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Spruce Biosciences,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2" w:lineRule="exact"/>
        <w:rPr>
          <w:sz w:val="24"/>
          <w:szCs w:val="24"/>
          <w:color w:val="auto"/>
        </w:rPr>
      </w:pPr>
    </w:p>
    <w:tbl>
      <w:tblPr>
        <w:tblLayout w:type="fixed"/>
        <w:tblInd w:w="780" w:type="dxa"/>
        <w:tblCellMar>
          <w:top w:w="0" w:type="dxa"/>
          <w:left w:w="0" w:type="dxa"/>
          <w:bottom w:w="0" w:type="dxa"/>
          <w:right w:w="0" w:type="dxa"/>
        </w:tblCellMar>
      </w:tblPr>
      <w:tr>
        <w:trPr>
          <w:trHeight w:val="238"/>
        </w:trPr>
        <w:tc>
          <w:tcPr>
            <w:tcW w:w="3340" w:type="dxa"/>
            <w:vAlign w:val="bottom"/>
          </w:tcPr>
          <w:p>
            <w:pPr>
              <w:jc w:val="center"/>
              <w:ind w:right="64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00" w:type="dxa"/>
            <w:vAlign w:val="bottom"/>
          </w:tcPr>
          <w:p>
            <w:pPr>
              <w:jc w:val="right"/>
              <w:ind w:right="1421"/>
              <w:spacing w:after="0"/>
              <w:rPr>
                <w:sz w:val="20"/>
                <w:szCs w:val="20"/>
                <w:color w:val="auto"/>
              </w:rPr>
            </w:pPr>
            <w:r>
              <w:rPr>
                <w:rFonts w:ascii="Times New Roman" w:cs="Times New Roman" w:eastAsia="Times New Roman" w:hAnsi="Times New Roman"/>
                <w:sz w:val="18"/>
                <w:szCs w:val="18"/>
                <w:b w:val="1"/>
                <w:bCs w:val="1"/>
                <w:color w:val="auto"/>
              </w:rPr>
              <w:t>001-39594</w:t>
            </w:r>
          </w:p>
        </w:tc>
        <w:tc>
          <w:tcPr>
            <w:tcW w:w="21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81-2154263</w:t>
            </w:r>
          </w:p>
        </w:tc>
      </w:tr>
      <w:tr>
        <w:trPr>
          <w:trHeight w:val="159"/>
        </w:trPr>
        <w:tc>
          <w:tcPr>
            <w:tcW w:w="33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400" w:type="dxa"/>
            <w:vAlign w:val="bottom"/>
          </w:tcPr>
          <w:p>
            <w:pPr>
              <w:spacing w:after="0"/>
              <w:rPr>
                <w:sz w:val="13"/>
                <w:szCs w:val="13"/>
                <w:color w:val="auto"/>
              </w:rPr>
            </w:pPr>
          </w:p>
        </w:tc>
        <w:tc>
          <w:tcPr>
            <w:tcW w:w="2180" w:type="dxa"/>
            <w:vAlign w:val="bottom"/>
          </w:tcPr>
          <w:p>
            <w:pPr>
              <w:jc w:val="center"/>
              <w:ind w:left="104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3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400" w:type="dxa"/>
            <w:vAlign w:val="bottom"/>
          </w:tcPr>
          <w:p>
            <w:pPr>
              <w:jc w:val="center"/>
              <w:ind w:right="30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180" w:type="dxa"/>
            <w:vAlign w:val="bottom"/>
          </w:tcPr>
          <w:p>
            <w:pPr>
              <w:jc w:val="center"/>
              <w:ind w:left="10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29"/>
        </w:trPr>
        <w:tc>
          <w:tcPr>
            <w:tcW w:w="3340" w:type="dxa"/>
            <w:vAlign w:val="bottom"/>
          </w:tcPr>
          <w:p>
            <w:pPr>
              <w:jc w:val="center"/>
              <w:ind w:right="641"/>
              <w:spacing w:after="0"/>
              <w:rPr>
                <w:sz w:val="20"/>
                <w:szCs w:val="20"/>
                <w:color w:val="auto"/>
              </w:rPr>
            </w:pPr>
            <w:r>
              <w:rPr>
                <w:rFonts w:ascii="Times New Roman" w:cs="Times New Roman" w:eastAsia="Times New Roman" w:hAnsi="Times New Roman"/>
                <w:sz w:val="18"/>
                <w:szCs w:val="18"/>
                <w:b w:val="1"/>
                <w:bCs w:val="1"/>
                <w:color w:val="auto"/>
                <w:w w:val="99"/>
              </w:rPr>
              <w:t>611 Gateway Boulevard, Suite 740</w:t>
            </w:r>
          </w:p>
        </w:tc>
        <w:tc>
          <w:tcPr>
            <w:tcW w:w="34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52"/>
        </w:trPr>
        <w:tc>
          <w:tcPr>
            <w:tcW w:w="3340" w:type="dxa"/>
            <w:vAlign w:val="bottom"/>
          </w:tcPr>
          <w:p>
            <w:pPr>
              <w:jc w:val="center"/>
              <w:ind w:right="64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400" w:type="dxa"/>
            <w:vAlign w:val="bottom"/>
          </w:tcPr>
          <w:p>
            <w:pPr>
              <w:spacing w:after="0"/>
              <w:rPr>
                <w:sz w:val="21"/>
                <w:szCs w:val="21"/>
                <w:color w:val="auto"/>
              </w:rPr>
            </w:pPr>
          </w:p>
        </w:tc>
        <w:tc>
          <w:tcPr>
            <w:tcW w:w="21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88"/>
        </w:trPr>
        <w:tc>
          <w:tcPr>
            <w:tcW w:w="33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400" w:type="dxa"/>
            <w:vAlign w:val="bottom"/>
          </w:tcPr>
          <w:p>
            <w:pPr>
              <w:spacing w:after="0"/>
              <w:rPr>
                <w:sz w:val="16"/>
                <w:szCs w:val="16"/>
                <w:color w:val="auto"/>
              </w:rPr>
            </w:pPr>
          </w:p>
        </w:tc>
        <w:tc>
          <w:tcPr>
            <w:tcW w:w="2180" w:type="dxa"/>
            <w:vAlign w:val="bottom"/>
          </w:tcPr>
          <w:p>
            <w:pPr>
              <w:jc w:val="center"/>
              <w:ind w:left="10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8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655-4168</w:t>
      </w:r>
    </w:p>
    <w:p>
      <w:pPr>
        <w:spacing w:after="0" w:line="1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93980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60" w:hanging="339"/>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39"/>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39"/>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840" w:firstLine="21"/>
        <w:spacing w:after="0" w:line="403" w:lineRule="auto"/>
        <w:tabs>
          <w:tab w:leader="none" w:pos="35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2"/>
                <w:szCs w:val="12"/>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SPRB</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On June 13, 2024, Spruce Biosciences, Inc. (the “Company”) entered into a “stalking horse” asset purchase agreement (the “Asset Purchase Agreement”), pursuant to which the Company agreed to acquire substantially all of the rights, title and interests in, to and under certain assets and interests used by Eiger BioPharmaceuticals, Inc. (the “Seller”) with respect to Avexitide (as such term is defined in the Asset Purchase Agreement) (the “Transferred Assets”). The Asset Purchase Agreement provides that the acquisition of the Transferred Assets by the Company is subject to approval of the United States Bankruptcy Court for the Northern District of Texas (the “Bankruptcy Court”) in the cases captioned </w:t>
      </w:r>
      <w:r>
        <w:rPr>
          <w:rFonts w:ascii="Times New Roman" w:cs="Times New Roman" w:eastAsia="Times New Roman" w:hAnsi="Times New Roman"/>
          <w:sz w:val="18"/>
          <w:szCs w:val="18"/>
          <w:i w:val="1"/>
          <w:iCs w:val="1"/>
          <w:color w:val="auto"/>
        </w:rPr>
        <w:t>In re Eiger BioPharmaceuticals, Inc., et al</w:t>
      </w:r>
      <w:r>
        <w:rPr>
          <w:rFonts w:ascii="Times New Roman" w:cs="Times New Roman" w:eastAsia="Times New Roman" w:hAnsi="Times New Roman"/>
          <w:sz w:val="18"/>
          <w:szCs w:val="18"/>
          <w:color w:val="auto"/>
        </w:rPr>
        <w:t>, Case No. 24-80040 (the “Chapter 11 Cases”), and one or more auctions, if necessary, to solicit higher or otherwise better competing bids in respect of all or any part of the Transferred Assets in accordance with the terms of the bid procedures previously approved by the Bankruptcy Court.</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Under the Asset Purchase Agreement, the Company agreed, subject to the Bankruptcy Court’s approval and absent any higher or otherwise better bid, to acquire the Transferred Assets from the Seller for $10.0 million, subject to certain adjustments pursuant to the Asset Purchase Agreement. The Asset Purchase Agreement includes customary representations and warranties and various customary covenants under the circumstances that are subject to certain limitations, including, without limitation, a termination fee of $0.3 million payable to the Company, and the right to designate executory contracts and unexpired leases to assume or reject.</w:t>
      </w:r>
    </w:p>
    <w:p>
      <w:pPr>
        <w:spacing w:after="0" w:line="18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Asset Purchase Agreement remains subject to approval by the Bankruptcy Court, is not complete, and is qualified in its entirety by reference to the Asset Purchase Agreement, a copy of which is attached to this Current Report on Form 8-K as Exhibit 10.1, and is hereby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Chapter 11 Cases, on June 17, 2024, an auction was conducted with respect to the Transferred Assets as part of the Seller’s court-supervised sale process under Section 363 of chapter 11 of Title 11 of the United States Code. Following the completion of the auction, the Company was designated the back-up bidder, with a final back-up bid during the auction of a purchase price in the amount of $35.0 million less a credit in the amount of $0.3 million for the termination fee resulting in a net purchase price in the amount of $34.7 million, plus the assumption of specified contractual cure amounts up to $0.3 million. The sale of the Transferred Assets remains subject to approval by the Bankruptcy Court at a hearing scheduled for June 26, 2024. In the event the sale of the Transferred Assets to the winning bidder is approved by the Bankruptcy Court and the winning bidder fails to consummate the acquisition of the Transferred Assets in accordance with the bid procedures approved by the Bankruptcy Court, then the Company would be obligated to promptly consummate the acquisition of the Transferred Assets as the back-up bidder; otherwise, the Company will be paid the $0.3 million termination fee in accordance with the terms of the Asset Purchase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Statements contained in this Current Report on Form 8-K regarding matters that are not historical facts are “forward-looking statements” within the meaning of the Private Securities Litigation Reform Act of 1995. Such forward-looking statements include statements regarding, among other things, the potential approval by the Bankruptcy Court and completion of the sale of the Transferred Assets. Because such statements are subject to risks and uncertainties, actual results may differ materially from those expressed or implied by such forward-looking statements. Words such as “potential” and similar expressions are intended to identify forward-looking statements. These forward-looking statements are based upon the Company’s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and uncertainties associated with the Company’s business in general, the impact of geopolitical and macroeconomic events, and the other risks described in the Company’s filings with the U.S. Securities and Exchange Commission. All forward-looking statements contained in this press release speak only as of the date on which they were made and are based on management’s assumptions and estimates as of such date. The Company undertakes no obligation to update such statements to reflect events that occur or circumstances that exist after the date on which they were made,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20" w:type="dxa"/>
            <w:vAlign w:val="bottom"/>
            <w:gridSpan w:val="3"/>
            <w:vMerge w:val="restart"/>
          </w:tcPr>
          <w:p>
            <w:pPr>
              <w:ind w:left="4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4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0" w:type="dxa"/>
            <w:vAlign w:val="bottom"/>
            <w:tcBorders>
              <w:bottom w:val="single" w:sz="8" w:color="0563C1"/>
            </w:tcBorders>
            <w:gridSpan w:val="2"/>
          </w:tcPr>
          <w:p>
            <w:pPr>
              <w:spacing w:after="0" w:line="169" w:lineRule="exact"/>
              <w:rPr>
                <w:rFonts w:ascii="Times New Roman" w:cs="Times New Roman" w:eastAsia="Times New Roman" w:hAnsi="Times New Roman"/>
                <w:sz w:val="18"/>
                <w:szCs w:val="18"/>
                <w:color w:val="0563C1"/>
                <w:w w:val="99"/>
              </w:rPr>
            </w:pPr>
            <w:hyperlink r:id="rId17">
              <w:r>
                <w:rPr>
                  <w:rFonts w:ascii="Times New Roman" w:cs="Times New Roman" w:eastAsia="Times New Roman" w:hAnsi="Times New Roman"/>
                  <w:sz w:val="18"/>
                  <w:szCs w:val="18"/>
                  <w:color w:val="0563C1"/>
                  <w:w w:val="99"/>
                </w:rPr>
                <w:t>Asset Purchase Agreement, by and between the Company and the Seller, dated as of June 13, 2024 (incorporated by reference to Exhibit 10.1 to</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20" w:type="dxa"/>
            <w:vAlign w:val="bottom"/>
            <w:gridSpan w:val="3"/>
          </w:tcPr>
          <w:p>
            <w:pPr>
              <w:spacing w:after="0" w:line="196" w:lineRule="exact"/>
              <w:rPr>
                <w:rFonts w:ascii="Times New Roman" w:cs="Times New Roman" w:eastAsia="Times New Roman" w:hAnsi="Times New Roman"/>
                <w:sz w:val="18"/>
                <w:szCs w:val="18"/>
                <w:color w:val="0563C1"/>
              </w:rPr>
            </w:pPr>
            <w:hyperlink r:id="rId17">
              <w:r>
                <w:rPr>
                  <w:rFonts w:ascii="Times New Roman" w:cs="Times New Roman" w:eastAsia="Times New Roman" w:hAnsi="Times New Roman"/>
                  <w:sz w:val="18"/>
                  <w:szCs w:val="18"/>
                  <w:color w:val="0563C1"/>
                </w:rPr>
                <w:t>the Seller’s Current Report on Form 8-K filed with the U.S. Securities and Exchange Commission on June 14, 2024).</w:t>
              </w:r>
            </w:hyperlink>
          </w:p>
        </w:tc>
        <w:tc>
          <w:tcPr>
            <w:tcW w:w="0" w:type="dxa"/>
            <w:vAlign w:val="bottom"/>
          </w:tcPr>
          <w:p>
            <w:pPr>
              <w:spacing w:after="0"/>
              <w:rPr>
                <w:sz w:val="1"/>
                <w:szCs w:val="1"/>
                <w:color w:val="auto"/>
              </w:rPr>
            </w:pPr>
          </w:p>
        </w:tc>
      </w:tr>
      <w:tr>
        <w:trPr>
          <w:trHeight w:val="250"/>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4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9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424"/>
        </w:trPr>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68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SPRUCE BIOSCIENCES, INC.</w:t>
            </w:r>
          </w:p>
        </w:tc>
      </w:tr>
      <w:tr>
        <w:trPr>
          <w:trHeight w:val="47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18, 2024</w:t>
            </w:r>
          </w:p>
        </w:tc>
        <w:tc>
          <w:tcPr>
            <w:tcW w:w="24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Samir Gharib</w:t>
            </w:r>
          </w:p>
        </w:tc>
      </w:tr>
      <w:tr>
        <w:trPr>
          <w:trHeight w:val="225"/>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Samir Gharib</w:t>
            </w:r>
          </w:p>
        </w:tc>
      </w:tr>
    </w:tbl>
    <w:p>
      <w:pPr>
        <w:ind w:left="726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7" Type="http://schemas.openxmlformats.org/officeDocument/2006/relationships/hyperlink" Target="https://www.sec.gov/ix?doc=/Archives/edgar/data/1305253/000119312524161203/d128195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2024-06-18T16:06:08Z</dcterms:created>
  <dcterms:modified xsi:type="dcterms:W3CDTF">2024-06-18T16:06:08Z</dcterms:modified>
</cp:coreProperties>
</file>