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0"/>
              <w:jc w:val="center"/>
              <w:rPr>
                <w:b/>
              </w:rPr>
            </w:pPr>
            <w:r>
              <w:rPr>
                <w:b/>
              </w:rPr>
              <w:t xml:space="preserve">(Amendment No. </w:t>
            </w:r>
            <w:r>
              <w:rPr>
                <w:b/>
                <w:color w:val="0000FF"/>
              </w:rPr>
              <w:t>1</w:t>
            </w:r>
            <w:r>
              <w:rPr>
                <w:b/>
              </w:rPr>
              <w:t xml:space="preserve">)*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Spruce Biosciences,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 par value $0.0001 per share</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026"/>
        <w:gridCol w:w="8179"/>
      </w:tblGrid>
      <w:tr>
        <w:trPr/>
        <w:tc>
          <w:tcPr>
            <w:tcW w:w="2026" w:type="dxa"/>
            <w:tcBorders/>
            <w:vAlign w:val="center"/>
          </w:tcPr>
          <w:p>
            <w:pPr>
              <w:pStyle w:val="TableContents"/>
              <w:bidi w:val="0"/>
              <w:spacing w:before="0" w:after="283"/>
              <w:jc w:val="left"/>
              <w:rPr/>
            </w:pPr>
            <w:r>
              <w:rPr/>
              <w:t>1</w:t>
            </w:r>
          </w:p>
        </w:tc>
        <w:tc>
          <w:tcPr>
            <w:tcW w:w="8179"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ADAR1 Capital Management, LLC</w:t>
            </w:r>
          </w:p>
        </w:tc>
      </w:tr>
      <w:tr>
        <w:trPr/>
        <w:tc>
          <w:tcPr>
            <w:tcW w:w="2026" w:type="dxa"/>
            <w:tcBorders/>
            <w:vAlign w:val="center"/>
          </w:tcPr>
          <w:p>
            <w:pPr>
              <w:pStyle w:val="TableContents"/>
              <w:bidi w:val="0"/>
              <w:spacing w:before="0" w:after="283"/>
              <w:jc w:val="left"/>
              <w:rPr/>
            </w:pPr>
            <w:r>
              <w:rPr/>
              <w:t>2</w:t>
            </w:r>
          </w:p>
        </w:tc>
        <w:tc>
          <w:tcPr>
            <w:tcW w:w="8179"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026" w:type="dxa"/>
            <w:tcBorders/>
            <w:vAlign w:val="center"/>
          </w:tcPr>
          <w:p>
            <w:pPr>
              <w:pStyle w:val="TableContents"/>
              <w:bidi w:val="0"/>
              <w:spacing w:before="0" w:after="283"/>
              <w:jc w:val="left"/>
              <w:rPr/>
            </w:pPr>
            <w:r>
              <w:rPr/>
              <w:t>3</w:t>
            </w:r>
          </w:p>
        </w:tc>
        <w:tc>
          <w:tcPr>
            <w:tcW w:w="8179" w:type="dxa"/>
            <w:tcBorders/>
            <w:vAlign w:val="center"/>
          </w:tcPr>
          <w:p>
            <w:pPr>
              <w:pStyle w:val="TableContents"/>
              <w:bidi w:val="0"/>
              <w:spacing w:before="0" w:after="283"/>
              <w:jc w:val="left"/>
              <w:rPr/>
            </w:pPr>
            <w:r>
              <w:rPr/>
              <w:t>Sec Use Only</w:t>
            </w:r>
          </w:p>
        </w:tc>
      </w:tr>
      <w:tr>
        <w:trPr/>
        <w:tc>
          <w:tcPr>
            <w:tcW w:w="2026" w:type="dxa"/>
            <w:tcBorders/>
            <w:vAlign w:val="center"/>
          </w:tcPr>
          <w:p>
            <w:pPr>
              <w:pStyle w:val="TableContents"/>
              <w:bidi w:val="0"/>
              <w:spacing w:before="0" w:after="283"/>
              <w:jc w:val="left"/>
              <w:rPr/>
            </w:pPr>
            <w:r>
              <w:rPr/>
              <w:t>4</w:t>
            </w:r>
          </w:p>
        </w:tc>
        <w:tc>
          <w:tcPr>
            <w:tcW w:w="8179"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TEXAS </w:t>
            </w:r>
          </w:p>
        </w:tc>
      </w:tr>
      <w:tr>
        <w:trPr/>
        <w:tc>
          <w:tcPr>
            <w:tcW w:w="2026"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67,717.00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67,717.00</w:t>
                  </w:r>
                </w:p>
              </w:tc>
            </w:tr>
          </w:tbl>
          <w:p>
            <w:pPr>
              <w:pStyle w:val="TableContents"/>
              <w:bidi w:val="0"/>
              <w:spacing w:before="0" w:after="283"/>
              <w:jc w:val="left"/>
              <w:rPr/>
            </w:pPr>
            <w:r>
              <w:rPr/>
            </w:r>
          </w:p>
        </w:tc>
        <w:tc>
          <w:tcPr>
            <w:tcW w:w="8179" w:type="dxa"/>
            <w:tcBorders/>
            <w:vAlign w:val="center"/>
          </w:tcPr>
          <w:p>
            <w:pPr>
              <w:pStyle w:val="TableContents"/>
              <w:bidi w:val="0"/>
              <w:spacing w:before="0" w:after="283"/>
              <w:jc w:val="left"/>
              <w:rPr>
                <w:sz w:val="4"/>
                <w:szCs w:val="4"/>
              </w:rPr>
            </w:pPr>
            <w:r>
              <w:rPr>
                <w:sz w:val="4"/>
                <w:szCs w:val="4"/>
              </w:rPr>
            </w:r>
          </w:p>
        </w:tc>
      </w:tr>
      <w:tr>
        <w:trPr/>
        <w:tc>
          <w:tcPr>
            <w:tcW w:w="2026" w:type="dxa"/>
            <w:tcBorders/>
            <w:vAlign w:val="center"/>
          </w:tcPr>
          <w:p>
            <w:pPr>
              <w:pStyle w:val="TableContents"/>
              <w:bidi w:val="0"/>
              <w:spacing w:before="0" w:after="283"/>
              <w:jc w:val="left"/>
              <w:rPr/>
            </w:pPr>
            <w:r>
              <w:rPr/>
              <w:t>9</w:t>
            </w:r>
          </w:p>
        </w:tc>
        <w:tc>
          <w:tcPr>
            <w:tcW w:w="8179"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67,717.00</w:t>
            </w:r>
          </w:p>
        </w:tc>
      </w:tr>
      <w:tr>
        <w:trPr/>
        <w:tc>
          <w:tcPr>
            <w:tcW w:w="2026" w:type="dxa"/>
            <w:tcBorders/>
            <w:vAlign w:val="center"/>
          </w:tcPr>
          <w:p>
            <w:pPr>
              <w:pStyle w:val="TableContents"/>
              <w:bidi w:val="0"/>
              <w:spacing w:before="0" w:after="283"/>
              <w:jc w:val="left"/>
              <w:rPr/>
            </w:pPr>
            <w:r>
              <w:rPr/>
              <w:t>10</w:t>
            </w:r>
          </w:p>
        </w:tc>
        <w:tc>
          <w:tcPr>
            <w:tcW w:w="8179"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026" w:type="dxa"/>
            <w:tcBorders/>
            <w:vAlign w:val="center"/>
          </w:tcPr>
          <w:p>
            <w:pPr>
              <w:pStyle w:val="TableContents"/>
              <w:bidi w:val="0"/>
              <w:spacing w:before="0" w:after="283"/>
              <w:jc w:val="left"/>
              <w:rPr/>
            </w:pPr>
            <w:r>
              <w:rPr/>
              <w:t>11</w:t>
            </w:r>
          </w:p>
        </w:tc>
        <w:tc>
          <w:tcPr>
            <w:tcW w:w="8179"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2.5 % </w:t>
            </w:r>
          </w:p>
        </w:tc>
      </w:tr>
      <w:tr>
        <w:trPr/>
        <w:tc>
          <w:tcPr>
            <w:tcW w:w="2026" w:type="dxa"/>
            <w:tcBorders/>
            <w:vAlign w:val="center"/>
          </w:tcPr>
          <w:p>
            <w:pPr>
              <w:pStyle w:val="TableContents"/>
              <w:bidi w:val="0"/>
              <w:spacing w:before="0" w:after="283"/>
              <w:jc w:val="left"/>
              <w:rPr/>
            </w:pPr>
            <w:r>
              <w:rPr/>
              <w:t>12</w:t>
            </w:r>
          </w:p>
        </w:tc>
        <w:tc>
          <w:tcPr>
            <w:tcW w:w="8179"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IA, OO</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Includes (i) 47,652 shares of common stock, par value $0.0001 per share ("Common Stock") held by ADAR1 Partners, LP, and (ii) 9,916 shares of Common Stock held by Spearhead Insurance Solutions IDF, LLC and (iii) 10,149 shares of Common Stock held by other separately managed accounts as of June 30, 2026. As the investment manager of ADAR1 Partners, LP, as the sub-advisor of Spearhead Insurance Solutions IDF, LLC and as the manager of the separately managed accounts referenced above, ADAR1 Capital Management, LLC may be deemed to indirectly beneficially own securities held by ADAR1 Partners, LP, Spearhead Insurance Solutions IDF, LLC and the separately managed accounts. Based on 2,752,810 shares of Common Stock of Spruce Biosciences, Inc (the "Issuer") outstanding as of June 30, 2026, reported in the Issuer's Quarterly Report on Form 10-Q for the quarterly period ended June 30, 2026, filed with the Securities and Exchange Commission on August 12, 2026.</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1999"/>
        <w:gridCol w:w="8206"/>
      </w:tblGrid>
      <w:tr>
        <w:trPr/>
        <w:tc>
          <w:tcPr>
            <w:tcW w:w="1999" w:type="dxa"/>
            <w:tcBorders/>
            <w:vAlign w:val="center"/>
          </w:tcPr>
          <w:p>
            <w:pPr>
              <w:pStyle w:val="TableContents"/>
              <w:bidi w:val="0"/>
              <w:spacing w:before="0" w:after="283"/>
              <w:jc w:val="left"/>
              <w:rPr/>
            </w:pPr>
            <w:r>
              <w:rPr/>
              <w:t>1</w:t>
            </w:r>
          </w:p>
        </w:tc>
        <w:tc>
          <w:tcPr>
            <w:tcW w:w="8206"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Daniel Schneeberger</w:t>
            </w:r>
          </w:p>
        </w:tc>
      </w:tr>
      <w:tr>
        <w:trPr/>
        <w:tc>
          <w:tcPr>
            <w:tcW w:w="1999" w:type="dxa"/>
            <w:tcBorders/>
            <w:vAlign w:val="center"/>
          </w:tcPr>
          <w:p>
            <w:pPr>
              <w:pStyle w:val="TableContents"/>
              <w:bidi w:val="0"/>
              <w:spacing w:before="0" w:after="283"/>
              <w:jc w:val="left"/>
              <w:rPr/>
            </w:pPr>
            <w:r>
              <w:rPr/>
              <w:t>2</w:t>
            </w:r>
          </w:p>
        </w:tc>
        <w:tc>
          <w:tcPr>
            <w:tcW w:w="8206"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xml:space="preserve">  (b) </w:t>
            </w:r>
          </w:p>
        </w:tc>
      </w:tr>
      <w:tr>
        <w:trPr/>
        <w:tc>
          <w:tcPr>
            <w:tcW w:w="1999" w:type="dxa"/>
            <w:tcBorders/>
            <w:vAlign w:val="center"/>
          </w:tcPr>
          <w:p>
            <w:pPr>
              <w:pStyle w:val="TableContents"/>
              <w:bidi w:val="0"/>
              <w:spacing w:before="0" w:after="283"/>
              <w:jc w:val="left"/>
              <w:rPr/>
            </w:pPr>
            <w:r>
              <w:rPr/>
              <w:t>3</w:t>
            </w:r>
          </w:p>
        </w:tc>
        <w:tc>
          <w:tcPr>
            <w:tcW w:w="8206" w:type="dxa"/>
            <w:tcBorders/>
            <w:vAlign w:val="center"/>
          </w:tcPr>
          <w:p>
            <w:pPr>
              <w:pStyle w:val="TableContents"/>
              <w:bidi w:val="0"/>
              <w:spacing w:before="0" w:after="283"/>
              <w:jc w:val="left"/>
              <w:rPr/>
            </w:pPr>
            <w:r>
              <w:rPr/>
              <w:t>Sec Use Only</w:t>
            </w:r>
          </w:p>
        </w:tc>
      </w:tr>
      <w:tr>
        <w:trPr/>
        <w:tc>
          <w:tcPr>
            <w:tcW w:w="1999" w:type="dxa"/>
            <w:tcBorders/>
            <w:vAlign w:val="center"/>
          </w:tcPr>
          <w:p>
            <w:pPr>
              <w:pStyle w:val="TableContents"/>
              <w:bidi w:val="0"/>
              <w:spacing w:before="0" w:after="283"/>
              <w:jc w:val="left"/>
              <w:rPr/>
            </w:pPr>
            <w:r>
              <w:rPr/>
              <w:t>4</w:t>
            </w:r>
          </w:p>
        </w:tc>
        <w:tc>
          <w:tcPr>
            <w:tcW w:w="8206"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SWITZERLAND </w:t>
            </w:r>
          </w:p>
        </w:tc>
      </w:tr>
      <w:tr>
        <w:trPr/>
        <w:tc>
          <w:tcPr>
            <w:tcW w:w="1999"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67,717.00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67,717.00</w:t>
                  </w:r>
                </w:p>
              </w:tc>
            </w:tr>
          </w:tbl>
          <w:p>
            <w:pPr>
              <w:pStyle w:val="TableContents"/>
              <w:bidi w:val="0"/>
              <w:spacing w:before="0" w:after="283"/>
              <w:jc w:val="left"/>
              <w:rPr/>
            </w:pPr>
            <w:r>
              <w:rPr/>
            </w:r>
          </w:p>
        </w:tc>
        <w:tc>
          <w:tcPr>
            <w:tcW w:w="8206" w:type="dxa"/>
            <w:tcBorders/>
            <w:vAlign w:val="center"/>
          </w:tcPr>
          <w:p>
            <w:pPr>
              <w:pStyle w:val="TableContents"/>
              <w:bidi w:val="0"/>
              <w:spacing w:before="0" w:after="283"/>
              <w:jc w:val="left"/>
              <w:rPr>
                <w:sz w:val="4"/>
                <w:szCs w:val="4"/>
              </w:rPr>
            </w:pPr>
            <w:r>
              <w:rPr>
                <w:sz w:val="4"/>
                <w:szCs w:val="4"/>
              </w:rPr>
            </w:r>
          </w:p>
        </w:tc>
      </w:tr>
      <w:tr>
        <w:trPr/>
        <w:tc>
          <w:tcPr>
            <w:tcW w:w="1999" w:type="dxa"/>
            <w:tcBorders/>
            <w:vAlign w:val="center"/>
          </w:tcPr>
          <w:p>
            <w:pPr>
              <w:pStyle w:val="TableContents"/>
              <w:bidi w:val="0"/>
              <w:spacing w:before="0" w:after="283"/>
              <w:jc w:val="left"/>
              <w:rPr/>
            </w:pPr>
            <w:r>
              <w:rPr/>
              <w:t>9</w:t>
            </w:r>
          </w:p>
        </w:tc>
        <w:tc>
          <w:tcPr>
            <w:tcW w:w="8206"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67,717.00</w:t>
            </w:r>
          </w:p>
        </w:tc>
      </w:tr>
      <w:tr>
        <w:trPr/>
        <w:tc>
          <w:tcPr>
            <w:tcW w:w="1999" w:type="dxa"/>
            <w:tcBorders/>
            <w:vAlign w:val="center"/>
          </w:tcPr>
          <w:p>
            <w:pPr>
              <w:pStyle w:val="TableContents"/>
              <w:bidi w:val="0"/>
              <w:spacing w:before="0" w:after="283"/>
              <w:jc w:val="left"/>
              <w:rPr/>
            </w:pPr>
            <w:r>
              <w:rPr/>
              <w:t>10</w:t>
            </w:r>
          </w:p>
        </w:tc>
        <w:tc>
          <w:tcPr>
            <w:tcW w:w="8206"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1999" w:type="dxa"/>
            <w:tcBorders/>
            <w:vAlign w:val="center"/>
          </w:tcPr>
          <w:p>
            <w:pPr>
              <w:pStyle w:val="TableContents"/>
              <w:bidi w:val="0"/>
              <w:spacing w:before="0" w:after="283"/>
              <w:jc w:val="left"/>
              <w:rPr/>
            </w:pPr>
            <w:r>
              <w:rPr/>
              <w:t>11</w:t>
            </w:r>
          </w:p>
        </w:tc>
        <w:tc>
          <w:tcPr>
            <w:tcW w:w="8206"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2.5 % </w:t>
            </w:r>
          </w:p>
        </w:tc>
      </w:tr>
      <w:tr>
        <w:trPr/>
        <w:tc>
          <w:tcPr>
            <w:tcW w:w="1999" w:type="dxa"/>
            <w:tcBorders/>
            <w:vAlign w:val="center"/>
          </w:tcPr>
          <w:p>
            <w:pPr>
              <w:pStyle w:val="TableContents"/>
              <w:bidi w:val="0"/>
              <w:spacing w:before="0" w:after="283"/>
              <w:jc w:val="left"/>
              <w:rPr/>
            </w:pPr>
            <w:r>
              <w:rPr/>
              <w:t>12</w:t>
            </w:r>
          </w:p>
        </w:tc>
        <w:tc>
          <w:tcPr>
            <w:tcW w:w="8206"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 IN</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Includes (i) 47,652 shares of common stock, par value $0.0001 per share ("Common Stock") held by ADAR1 Partners, LP, and (ii) 9,916 shares of Common Stock held by Spearhead Insurance Solutions IDF, LLC and (iii) 10,149 shares of Common Stock held by other separately managed accounts as of June 30, 2026. As the manager of ADAR1 Capital Management, LLC, Mr. Schneeberger may be deemed to indirectly beneficially own securities held by ADAR1 Partners, LP and Spearhead Insurance Solutions IDF, LLC. Based on 2,752,810 shares of Common Stock of Spruce Biosciences, Inc (the "Issuer") outstanding as of June 30, 2026, reported in the Issuer's Quarterly Report on Form 10-Q for the quarterly period ended June 30, 2026, filed with the Securities and Exchange Commission on August 12, 2026.</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4" w:name="item1to9"/>
      <w:bookmarkStart w:id="15" w:name="item1to9"/>
      <w:bookmarkEnd w:id="15"/>
    </w:p>
    <w:tbl>
      <w:tblPr>
        <w:tblW w:w="10205" w:type="dxa"/>
        <w:jc w:val="left"/>
        <w:tblInd w:w="0" w:type="dxa"/>
        <w:tblLayout w:type="fixed"/>
        <w:tblCellMar>
          <w:top w:w="28" w:type="dxa"/>
          <w:left w:w="28" w:type="dxa"/>
          <w:bottom w:w="28" w:type="dxa"/>
          <w:right w:w="28" w:type="dxa"/>
        </w:tblCellMar>
      </w:tblPr>
      <w:tblGrid>
        <w:gridCol w:w="1091"/>
        <w:gridCol w:w="8959"/>
        <w:gridCol w:w="155"/>
      </w:tblGrid>
      <w:tr>
        <w:trPr/>
        <w:tc>
          <w:tcPr>
            <w:tcW w:w="1091" w:type="dxa"/>
            <w:tcBorders/>
            <w:vAlign w:val="center"/>
          </w:tcPr>
          <w:p>
            <w:pPr>
              <w:pStyle w:val="TableContents"/>
              <w:bidi w:val="0"/>
              <w:spacing w:before="0" w:after="283"/>
              <w:jc w:val="left"/>
              <w:rPr/>
            </w:pPr>
            <w:r>
              <w:rPr/>
              <w:t>Item 1.</w:t>
            </w:r>
          </w:p>
        </w:tc>
        <w:tc>
          <w:tcPr>
            <w:tcW w:w="8959"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091" w:type="dxa"/>
            <w:tcBorders/>
            <w:vAlign w:val="center"/>
          </w:tcPr>
          <w:p>
            <w:pPr>
              <w:pStyle w:val="TableContents"/>
              <w:bidi w:val="0"/>
              <w:spacing w:before="0" w:after="283"/>
              <w:jc w:val="left"/>
              <w:rPr/>
            </w:pPr>
            <w:r>
              <w:rPr/>
              <w:t>(a)</w:t>
            </w:r>
          </w:p>
        </w:tc>
        <w:tc>
          <w:tcPr>
            <w:tcW w:w="8959" w:type="dxa"/>
            <w:tcBorders/>
            <w:vAlign w:val="center"/>
          </w:tcPr>
          <w:p>
            <w:pPr>
              <w:pStyle w:val="TableContents"/>
              <w:bidi w:val="0"/>
              <w:jc w:val="left"/>
              <w:rPr/>
            </w:pPr>
            <w:r>
              <w:rPr/>
              <w:t xml:space="preserve">Name of issuer: </w:t>
            </w:r>
          </w:p>
          <w:p>
            <w:pPr>
              <w:pStyle w:val="TableContents"/>
              <w:bidi w:val="0"/>
              <w:spacing w:before="0" w:after="0"/>
              <w:jc w:val="left"/>
              <w:rPr/>
            </w:pPr>
            <w:r>
              <w:rPr/>
              <w:t>Spruce Biosciences, Inc.</w:t>
            </w:r>
          </w:p>
        </w:tc>
        <w:tc>
          <w:tcPr>
            <w:tcW w:w="155" w:type="dxa"/>
            <w:tcBorders/>
          </w:tcPr>
          <w:p>
            <w:pPr>
              <w:pStyle w:val="TableContents"/>
              <w:bidi w:val="0"/>
              <w:spacing w:before="0" w:after="283"/>
              <w:jc w:val="left"/>
              <w:rPr>
                <w:sz w:val="4"/>
                <w:szCs w:val="4"/>
              </w:rPr>
            </w:pPr>
            <w:r>
              <w:rPr>
                <w:sz w:val="4"/>
                <w:szCs w:val="4"/>
              </w:rPr>
            </w:r>
          </w:p>
        </w:tc>
      </w:tr>
      <w:tr>
        <w:trPr/>
        <w:tc>
          <w:tcPr>
            <w:tcW w:w="1091" w:type="dxa"/>
            <w:tcBorders/>
            <w:vAlign w:val="center"/>
          </w:tcPr>
          <w:p>
            <w:pPr>
              <w:pStyle w:val="TableContents"/>
              <w:bidi w:val="0"/>
              <w:spacing w:before="0" w:after="283"/>
              <w:jc w:val="left"/>
              <w:rPr/>
            </w:pPr>
            <w:r>
              <w:rPr/>
              <w:t>(b)</w:t>
            </w:r>
          </w:p>
        </w:tc>
        <w:tc>
          <w:tcPr>
            <w:tcW w:w="8959"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611 Gateway Boulevard Suite 740 South San Francisco, CA 94080</w:t>
            </w:r>
          </w:p>
        </w:tc>
        <w:tc>
          <w:tcPr>
            <w:tcW w:w="155" w:type="dxa"/>
            <w:tcBorders/>
          </w:tcPr>
          <w:p>
            <w:pPr>
              <w:pStyle w:val="TableContents"/>
              <w:bidi w:val="0"/>
              <w:spacing w:before="0" w:after="283"/>
              <w:jc w:val="left"/>
              <w:rPr>
                <w:sz w:val="4"/>
                <w:szCs w:val="4"/>
              </w:rPr>
            </w:pPr>
            <w:r>
              <w:rPr>
                <w:sz w:val="4"/>
                <w:szCs w:val="4"/>
              </w:rPr>
            </w:r>
          </w:p>
        </w:tc>
      </w:tr>
      <w:tr>
        <w:trPr/>
        <w:tc>
          <w:tcPr>
            <w:tcW w:w="1091" w:type="dxa"/>
            <w:tcBorders/>
            <w:vAlign w:val="center"/>
          </w:tcPr>
          <w:p>
            <w:pPr>
              <w:pStyle w:val="TableContents"/>
              <w:bidi w:val="0"/>
              <w:spacing w:before="0" w:after="283"/>
              <w:jc w:val="left"/>
              <w:rPr/>
            </w:pPr>
            <w:r>
              <w:rPr/>
              <w:t>Item 2.</w:t>
            </w:r>
          </w:p>
        </w:tc>
        <w:tc>
          <w:tcPr>
            <w:tcW w:w="8959"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091" w:type="dxa"/>
            <w:tcBorders/>
            <w:vAlign w:val="center"/>
          </w:tcPr>
          <w:p>
            <w:pPr>
              <w:pStyle w:val="TableContents"/>
              <w:bidi w:val="0"/>
              <w:spacing w:before="0" w:after="283"/>
              <w:jc w:val="left"/>
              <w:rPr/>
            </w:pPr>
            <w:r>
              <w:rPr/>
              <w:t>(a)</w:t>
            </w:r>
          </w:p>
        </w:tc>
        <w:tc>
          <w:tcPr>
            <w:tcW w:w="8959" w:type="dxa"/>
            <w:tcBorders/>
            <w:vAlign w:val="center"/>
          </w:tcPr>
          <w:p>
            <w:pPr>
              <w:pStyle w:val="TableContents"/>
              <w:bidi w:val="0"/>
              <w:jc w:val="left"/>
              <w:rPr/>
            </w:pPr>
            <w:r>
              <w:rPr/>
              <w:t xml:space="preserve">Name of person filing: </w:t>
            </w:r>
          </w:p>
          <w:p>
            <w:pPr>
              <w:pStyle w:val="TableContents"/>
              <w:bidi w:val="0"/>
              <w:spacing w:before="0" w:after="0"/>
              <w:jc w:val="left"/>
              <w:rPr/>
            </w:pPr>
            <w:r>
              <w:rPr/>
              <w:t>This Schedule is being filed on behalf of each of the following persons (each, a "Reporting Person" and collectively, the "Reporting Persons"): (i) ADAR1 Capital Management, LLC ("ADAR1 Capital Management"); and (ii) Daniel Schneeberger ("Mr. Schneeberger").</w:t>
            </w:r>
          </w:p>
        </w:tc>
        <w:tc>
          <w:tcPr>
            <w:tcW w:w="155" w:type="dxa"/>
            <w:tcBorders/>
          </w:tcPr>
          <w:p>
            <w:pPr>
              <w:pStyle w:val="TableContents"/>
              <w:bidi w:val="0"/>
              <w:spacing w:before="0" w:after="283"/>
              <w:jc w:val="left"/>
              <w:rPr>
                <w:sz w:val="4"/>
                <w:szCs w:val="4"/>
              </w:rPr>
            </w:pPr>
            <w:r>
              <w:rPr>
                <w:sz w:val="4"/>
                <w:szCs w:val="4"/>
              </w:rPr>
            </w:r>
          </w:p>
        </w:tc>
      </w:tr>
      <w:tr>
        <w:trPr/>
        <w:tc>
          <w:tcPr>
            <w:tcW w:w="1091" w:type="dxa"/>
            <w:tcBorders/>
            <w:vAlign w:val="center"/>
          </w:tcPr>
          <w:p>
            <w:pPr>
              <w:pStyle w:val="TableContents"/>
              <w:bidi w:val="0"/>
              <w:spacing w:before="0" w:after="283"/>
              <w:jc w:val="left"/>
              <w:rPr/>
            </w:pPr>
            <w:r>
              <w:rPr/>
              <w:t>(b)</w:t>
            </w:r>
          </w:p>
        </w:tc>
        <w:tc>
          <w:tcPr>
            <w:tcW w:w="8959"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The address of the principal business office of each of the Reporting Persons is 3503 Wild Cherry Drive, Building 9, Austin, Texas 78738.</w:t>
            </w:r>
          </w:p>
        </w:tc>
        <w:tc>
          <w:tcPr>
            <w:tcW w:w="155" w:type="dxa"/>
            <w:tcBorders/>
          </w:tcPr>
          <w:p>
            <w:pPr>
              <w:pStyle w:val="TableContents"/>
              <w:bidi w:val="0"/>
              <w:spacing w:before="0" w:after="283"/>
              <w:jc w:val="left"/>
              <w:rPr>
                <w:sz w:val="4"/>
                <w:szCs w:val="4"/>
              </w:rPr>
            </w:pPr>
            <w:r>
              <w:rPr>
                <w:sz w:val="4"/>
                <w:szCs w:val="4"/>
              </w:rPr>
            </w:r>
          </w:p>
        </w:tc>
      </w:tr>
      <w:tr>
        <w:trPr/>
        <w:tc>
          <w:tcPr>
            <w:tcW w:w="1091" w:type="dxa"/>
            <w:tcBorders/>
            <w:vAlign w:val="center"/>
          </w:tcPr>
          <w:p>
            <w:pPr>
              <w:pStyle w:val="TableContents"/>
              <w:bidi w:val="0"/>
              <w:spacing w:before="0" w:after="283"/>
              <w:jc w:val="left"/>
              <w:rPr/>
            </w:pPr>
            <w:r>
              <w:rPr/>
              <w:t>(c)</w:t>
            </w:r>
          </w:p>
        </w:tc>
        <w:tc>
          <w:tcPr>
            <w:tcW w:w="8959" w:type="dxa"/>
            <w:tcBorders/>
            <w:vAlign w:val="center"/>
          </w:tcPr>
          <w:p>
            <w:pPr>
              <w:pStyle w:val="TableContents"/>
              <w:bidi w:val="0"/>
              <w:jc w:val="left"/>
              <w:rPr/>
            </w:pPr>
            <w:r>
              <w:rPr/>
              <w:t xml:space="preserve">Citizenship: </w:t>
            </w:r>
          </w:p>
          <w:p>
            <w:pPr>
              <w:pStyle w:val="TableContents"/>
              <w:bidi w:val="0"/>
              <w:spacing w:before="0" w:after="0"/>
              <w:jc w:val="left"/>
              <w:rPr/>
            </w:pPr>
            <w:r>
              <w:rPr/>
              <w:t>(i) ADAR1 Capital Management is a Texas limited liability company; and (ii) Mr. Schneeberger is a citizen of Switzerland.</w:t>
            </w:r>
          </w:p>
        </w:tc>
        <w:tc>
          <w:tcPr>
            <w:tcW w:w="155" w:type="dxa"/>
            <w:tcBorders/>
          </w:tcPr>
          <w:p>
            <w:pPr>
              <w:pStyle w:val="TableContents"/>
              <w:bidi w:val="0"/>
              <w:spacing w:before="0" w:after="283"/>
              <w:jc w:val="left"/>
              <w:rPr>
                <w:sz w:val="4"/>
                <w:szCs w:val="4"/>
              </w:rPr>
            </w:pPr>
            <w:r>
              <w:rPr>
                <w:sz w:val="4"/>
                <w:szCs w:val="4"/>
              </w:rPr>
            </w:r>
          </w:p>
        </w:tc>
      </w:tr>
      <w:tr>
        <w:trPr/>
        <w:tc>
          <w:tcPr>
            <w:tcW w:w="1091" w:type="dxa"/>
            <w:tcBorders/>
            <w:vAlign w:val="center"/>
          </w:tcPr>
          <w:p>
            <w:pPr>
              <w:pStyle w:val="TableContents"/>
              <w:bidi w:val="0"/>
              <w:spacing w:before="0" w:after="283"/>
              <w:jc w:val="left"/>
              <w:rPr/>
            </w:pPr>
            <w:r>
              <w:rPr/>
              <w:t>(d)</w:t>
            </w:r>
          </w:p>
        </w:tc>
        <w:tc>
          <w:tcPr>
            <w:tcW w:w="8959"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 par value $0.0001 per share</w:t>
            </w:r>
          </w:p>
        </w:tc>
        <w:tc>
          <w:tcPr>
            <w:tcW w:w="155" w:type="dxa"/>
            <w:tcBorders/>
          </w:tcPr>
          <w:p>
            <w:pPr>
              <w:pStyle w:val="TableContents"/>
              <w:bidi w:val="0"/>
              <w:spacing w:before="0" w:after="283"/>
              <w:jc w:val="left"/>
              <w:rPr>
                <w:sz w:val="4"/>
                <w:szCs w:val="4"/>
              </w:rPr>
            </w:pPr>
            <w:r>
              <w:rPr>
                <w:sz w:val="4"/>
                <w:szCs w:val="4"/>
              </w:rPr>
            </w:r>
          </w:p>
        </w:tc>
      </w:tr>
      <w:tr>
        <w:trPr/>
        <w:tc>
          <w:tcPr>
            <w:tcW w:w="1091" w:type="dxa"/>
            <w:tcBorders/>
            <w:vAlign w:val="center"/>
          </w:tcPr>
          <w:p>
            <w:pPr>
              <w:pStyle w:val="TableContents"/>
              <w:bidi w:val="0"/>
              <w:spacing w:before="0" w:after="283"/>
              <w:jc w:val="left"/>
              <w:rPr/>
            </w:pPr>
            <w:r>
              <w:rPr/>
              <w:t>(e)</w:t>
            </w:r>
          </w:p>
        </w:tc>
        <w:tc>
          <w:tcPr>
            <w:tcW w:w="8959"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091" w:type="dxa"/>
            <w:tcBorders/>
            <w:vAlign w:val="center"/>
          </w:tcPr>
          <w:p>
            <w:pPr>
              <w:pStyle w:val="TableContents"/>
              <w:bidi w:val="0"/>
              <w:spacing w:before="0" w:after="283"/>
              <w:jc w:val="left"/>
              <w:rPr/>
            </w:pPr>
            <w:r>
              <w:rPr/>
              <w:t>Item 3.</w:t>
            </w:r>
          </w:p>
        </w:tc>
        <w:tc>
          <w:tcPr>
            <w:tcW w:w="8959"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091" w:type="dxa"/>
            <w:tcBorders/>
            <w:vAlign w:val="center"/>
          </w:tcPr>
          <w:p>
            <w:pPr>
              <w:pStyle w:val="TableContents"/>
              <w:bidi w:val="0"/>
              <w:spacing w:before="0" w:after="283"/>
              <w:jc w:val="left"/>
              <w:rPr/>
            </w:pPr>
            <w:r>
              <w:rPr/>
              <w:t>(a)</w:t>
            </w:r>
          </w:p>
        </w:tc>
        <w:tc>
          <w:tcPr>
            <w:tcW w:w="8959"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091" w:type="dxa"/>
            <w:tcBorders/>
            <w:vAlign w:val="center"/>
          </w:tcPr>
          <w:p>
            <w:pPr>
              <w:pStyle w:val="TableContents"/>
              <w:bidi w:val="0"/>
              <w:spacing w:before="0" w:after="283"/>
              <w:jc w:val="left"/>
              <w:rPr/>
            </w:pPr>
            <w:r>
              <w:rPr/>
              <w:t>(b)</w:t>
            </w:r>
          </w:p>
        </w:tc>
        <w:tc>
          <w:tcPr>
            <w:tcW w:w="8959"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091" w:type="dxa"/>
            <w:tcBorders/>
            <w:vAlign w:val="center"/>
          </w:tcPr>
          <w:p>
            <w:pPr>
              <w:pStyle w:val="TableContents"/>
              <w:bidi w:val="0"/>
              <w:spacing w:before="0" w:after="283"/>
              <w:jc w:val="left"/>
              <w:rPr/>
            </w:pPr>
            <w:r>
              <w:rPr/>
              <w:t>(c)</w:t>
            </w:r>
          </w:p>
        </w:tc>
        <w:tc>
          <w:tcPr>
            <w:tcW w:w="8959"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091" w:type="dxa"/>
            <w:tcBorders/>
            <w:vAlign w:val="center"/>
          </w:tcPr>
          <w:p>
            <w:pPr>
              <w:pStyle w:val="TableContents"/>
              <w:bidi w:val="0"/>
              <w:spacing w:before="0" w:after="283"/>
              <w:jc w:val="left"/>
              <w:rPr/>
            </w:pPr>
            <w:r>
              <w:rPr/>
              <w:t>(d)</w:t>
            </w:r>
          </w:p>
        </w:tc>
        <w:tc>
          <w:tcPr>
            <w:tcW w:w="8959"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091" w:type="dxa"/>
            <w:tcBorders/>
            <w:vAlign w:val="center"/>
          </w:tcPr>
          <w:p>
            <w:pPr>
              <w:pStyle w:val="TableContents"/>
              <w:bidi w:val="0"/>
              <w:spacing w:before="0" w:after="283"/>
              <w:jc w:val="left"/>
              <w:rPr/>
            </w:pPr>
            <w:r>
              <w:rPr/>
              <w:t>(e)</w:t>
            </w:r>
          </w:p>
        </w:tc>
        <w:tc>
          <w:tcPr>
            <w:tcW w:w="8959"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091" w:type="dxa"/>
            <w:tcBorders/>
            <w:vAlign w:val="center"/>
          </w:tcPr>
          <w:p>
            <w:pPr>
              <w:pStyle w:val="TableContents"/>
              <w:bidi w:val="0"/>
              <w:spacing w:before="0" w:after="283"/>
              <w:jc w:val="left"/>
              <w:rPr/>
            </w:pPr>
            <w:r>
              <w:rPr/>
              <w:t>(f)</w:t>
            </w:r>
          </w:p>
        </w:tc>
        <w:tc>
          <w:tcPr>
            <w:tcW w:w="8959"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091" w:type="dxa"/>
            <w:tcBorders/>
            <w:vAlign w:val="center"/>
          </w:tcPr>
          <w:p>
            <w:pPr>
              <w:pStyle w:val="TableContents"/>
              <w:bidi w:val="0"/>
              <w:spacing w:before="0" w:after="283"/>
              <w:jc w:val="left"/>
              <w:rPr/>
            </w:pPr>
            <w:r>
              <w:rPr/>
              <w:t>(g)</w:t>
            </w:r>
          </w:p>
        </w:tc>
        <w:tc>
          <w:tcPr>
            <w:tcW w:w="8959"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091" w:type="dxa"/>
            <w:tcBorders/>
            <w:vAlign w:val="center"/>
          </w:tcPr>
          <w:p>
            <w:pPr>
              <w:pStyle w:val="TableContents"/>
              <w:bidi w:val="0"/>
              <w:spacing w:before="0" w:after="283"/>
              <w:jc w:val="left"/>
              <w:rPr/>
            </w:pPr>
            <w:r>
              <w:rPr/>
              <w:t>(h)</w:t>
            </w:r>
          </w:p>
        </w:tc>
        <w:tc>
          <w:tcPr>
            <w:tcW w:w="8959"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091" w:type="dxa"/>
            <w:tcBorders/>
            <w:vAlign w:val="center"/>
          </w:tcPr>
          <w:p>
            <w:pPr>
              <w:pStyle w:val="TableContents"/>
              <w:bidi w:val="0"/>
              <w:spacing w:before="0" w:after="283"/>
              <w:jc w:val="left"/>
              <w:rPr/>
            </w:pPr>
            <w:r>
              <w:rPr/>
              <w:t>(i)</w:t>
            </w:r>
          </w:p>
        </w:tc>
        <w:tc>
          <w:tcPr>
            <w:tcW w:w="8959" w:type="dxa"/>
            <w:tcBorders/>
            <w:vAlign w:val="center"/>
          </w:tcPr>
          <w:p>
            <w:pPr>
              <w:pStyle w:val="TableContents"/>
              <w:bidi w:val="0"/>
              <w:spacing w:before="0" w:after="283"/>
              <w:jc w:val="left"/>
              <w:rPr/>
            </w:pP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091" w:type="dxa"/>
            <w:tcBorders/>
            <w:vAlign w:val="center"/>
          </w:tcPr>
          <w:p>
            <w:pPr>
              <w:pStyle w:val="TableContents"/>
              <w:bidi w:val="0"/>
              <w:spacing w:before="0" w:after="283"/>
              <w:jc w:val="left"/>
              <w:rPr/>
            </w:pPr>
            <w:r>
              <w:rPr/>
              <w:t>(j)</w:t>
            </w:r>
          </w:p>
        </w:tc>
        <w:tc>
          <w:tcPr>
            <w:tcW w:w="8959" w:type="dxa"/>
            <w:tcBorders/>
            <w:vAlign w:val="center"/>
          </w:tcPr>
          <w:p>
            <w:pPr>
              <w:pStyle w:val="TableContents"/>
              <w:bidi w:val="0"/>
              <w:spacing w:before="0" w:after="283"/>
              <w:jc w:val="left"/>
              <w:rPr/>
            </w:pP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091" w:type="dxa"/>
            <w:tcBorders/>
            <w:vAlign w:val="center"/>
          </w:tcPr>
          <w:p>
            <w:pPr>
              <w:pStyle w:val="TableContents"/>
              <w:bidi w:val="0"/>
              <w:spacing w:before="0" w:after="283"/>
              <w:jc w:val="left"/>
              <w:rPr/>
            </w:pPr>
            <w:r>
              <w:rPr/>
              <w:t>(k)</w:t>
            </w:r>
          </w:p>
        </w:tc>
        <w:tc>
          <w:tcPr>
            <w:tcW w:w="8959" w:type="dxa"/>
            <w:tcBorders/>
            <w:vAlign w:val="center"/>
          </w:tcPr>
          <w:p>
            <w:pPr>
              <w:pStyle w:val="TableContents"/>
              <w:bidi w:val="0"/>
              <w:spacing w:before="0" w:after="283"/>
              <w:jc w:val="left"/>
              <w:rPr/>
            </w:pPr>
            <w: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091" w:type="dxa"/>
            <w:tcBorders/>
            <w:vAlign w:val="center"/>
          </w:tcPr>
          <w:p>
            <w:pPr>
              <w:pStyle w:val="TableContents"/>
              <w:bidi w:val="0"/>
              <w:spacing w:before="0" w:after="283"/>
              <w:jc w:val="left"/>
              <w:rPr/>
            </w:pPr>
            <w:r>
              <w:rPr/>
              <w:t> </w:t>
            </w:r>
          </w:p>
        </w:tc>
        <w:tc>
          <w:tcPr>
            <w:tcW w:w="9114" w:type="dxa"/>
            <w:gridSpan w:val="2"/>
            <w:tcBorders/>
            <w:vAlign w:val="center"/>
          </w:tcPr>
          <w:p>
            <w:pPr>
              <w:pStyle w:val="TableContents"/>
              <w:bidi w:val="0"/>
              <w:spacing w:before="0" w:after="283"/>
              <w:jc w:val="left"/>
              <w:rPr>
                <w:sz w:val="4"/>
                <w:szCs w:val="4"/>
              </w:rPr>
            </w:pPr>
            <w:r>
              <w:rPr>
                <w:sz w:val="4"/>
                <w:szCs w:val="4"/>
              </w:rPr>
            </w:r>
          </w:p>
        </w:tc>
      </w:tr>
      <w:tr>
        <w:trPr/>
        <w:tc>
          <w:tcPr>
            <w:tcW w:w="1091" w:type="dxa"/>
            <w:tcBorders/>
            <w:vAlign w:val="center"/>
          </w:tcPr>
          <w:p>
            <w:pPr>
              <w:pStyle w:val="TableContents"/>
              <w:bidi w:val="0"/>
              <w:spacing w:before="0" w:after="283"/>
              <w:jc w:val="left"/>
              <w:rPr/>
            </w:pPr>
            <w:r>
              <w:rPr/>
              <w:t>Item 4.</w:t>
            </w:r>
          </w:p>
        </w:tc>
        <w:tc>
          <w:tcPr>
            <w:tcW w:w="8959"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091" w:type="dxa"/>
            <w:tcBorders/>
            <w:vAlign w:val="center"/>
          </w:tcPr>
          <w:p>
            <w:pPr>
              <w:pStyle w:val="TableContents"/>
              <w:bidi w:val="0"/>
              <w:spacing w:before="0" w:after="283"/>
              <w:jc w:val="left"/>
              <w:rPr/>
            </w:pPr>
            <w:r>
              <w:rPr/>
              <w:t>(a)</w:t>
            </w:r>
          </w:p>
        </w:tc>
        <w:tc>
          <w:tcPr>
            <w:tcW w:w="8959"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The information contained on the cover pages of this Schedule 13G is incorporated herein by reference.</w:t>
            </w:r>
          </w:p>
        </w:tc>
        <w:tc>
          <w:tcPr>
            <w:tcW w:w="155" w:type="dxa"/>
            <w:tcBorders/>
          </w:tcPr>
          <w:p>
            <w:pPr>
              <w:pStyle w:val="TableContents"/>
              <w:bidi w:val="0"/>
              <w:spacing w:before="0" w:after="283"/>
              <w:jc w:val="left"/>
              <w:rPr>
                <w:sz w:val="4"/>
                <w:szCs w:val="4"/>
              </w:rPr>
            </w:pPr>
            <w:r>
              <w:rPr>
                <w:sz w:val="4"/>
                <w:szCs w:val="4"/>
              </w:rPr>
            </w:r>
          </w:p>
        </w:tc>
      </w:tr>
      <w:tr>
        <w:trPr/>
        <w:tc>
          <w:tcPr>
            <w:tcW w:w="1091" w:type="dxa"/>
            <w:tcBorders/>
            <w:vAlign w:val="center"/>
          </w:tcPr>
          <w:p>
            <w:pPr>
              <w:pStyle w:val="TableContents"/>
              <w:bidi w:val="0"/>
              <w:spacing w:before="0" w:after="283"/>
              <w:jc w:val="left"/>
              <w:rPr/>
            </w:pPr>
            <w:r>
              <w:rPr/>
              <w:t>(b)</w:t>
            </w:r>
          </w:p>
        </w:tc>
        <w:tc>
          <w:tcPr>
            <w:tcW w:w="8959"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The information contained on the cover pages of this Schedule 13G is incorporated herein by reference.  % </w:t>
            </w:r>
          </w:p>
        </w:tc>
        <w:tc>
          <w:tcPr>
            <w:tcW w:w="155" w:type="dxa"/>
            <w:tcBorders/>
          </w:tcPr>
          <w:p>
            <w:pPr>
              <w:pStyle w:val="TableContents"/>
              <w:bidi w:val="0"/>
              <w:spacing w:before="0" w:after="283"/>
              <w:jc w:val="left"/>
              <w:rPr>
                <w:sz w:val="4"/>
                <w:szCs w:val="4"/>
              </w:rPr>
            </w:pPr>
            <w:r>
              <w:rPr>
                <w:sz w:val="4"/>
                <w:szCs w:val="4"/>
              </w:rPr>
            </w:r>
          </w:p>
        </w:tc>
      </w:tr>
      <w:tr>
        <w:trPr/>
        <w:tc>
          <w:tcPr>
            <w:tcW w:w="1091" w:type="dxa"/>
            <w:tcBorders/>
            <w:vAlign w:val="center"/>
          </w:tcPr>
          <w:p>
            <w:pPr>
              <w:pStyle w:val="TableContents"/>
              <w:bidi w:val="0"/>
              <w:spacing w:before="0" w:after="283"/>
              <w:jc w:val="left"/>
              <w:rPr/>
            </w:pPr>
            <w:r>
              <w:rPr/>
              <w:t>(c)</w:t>
            </w:r>
          </w:p>
        </w:tc>
        <w:tc>
          <w:tcPr>
            <w:tcW w:w="8959"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091" w:type="dxa"/>
            <w:tcBorders/>
            <w:vAlign w:val="center"/>
          </w:tcPr>
          <w:p>
            <w:pPr>
              <w:pStyle w:val="TableContents"/>
              <w:bidi w:val="0"/>
              <w:spacing w:before="0" w:after="283"/>
              <w:jc w:val="left"/>
              <w:rPr/>
            </w:pPr>
            <w:r>
              <w:rPr/>
              <w:t> </w:t>
            </w:r>
          </w:p>
        </w:tc>
        <w:tc>
          <w:tcPr>
            <w:tcW w:w="8959"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The information contained on the cover pages of this Schedule 13G is incorporated herein by reference.</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91" w:type="dxa"/>
            <w:tcBorders/>
            <w:vAlign w:val="center"/>
          </w:tcPr>
          <w:p>
            <w:pPr>
              <w:pStyle w:val="TableContents"/>
              <w:bidi w:val="0"/>
              <w:spacing w:before="0" w:after="283"/>
              <w:jc w:val="left"/>
              <w:rPr/>
            </w:pPr>
            <w:r>
              <w:rPr/>
              <w:t> </w:t>
            </w:r>
          </w:p>
        </w:tc>
        <w:tc>
          <w:tcPr>
            <w:tcW w:w="8959"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The information contained on the cover pages of this Schedule 13G is incorporated herein by reference.</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91" w:type="dxa"/>
            <w:tcBorders/>
            <w:vAlign w:val="center"/>
          </w:tcPr>
          <w:p>
            <w:pPr>
              <w:pStyle w:val="TableContents"/>
              <w:bidi w:val="0"/>
              <w:spacing w:before="0" w:after="283"/>
              <w:jc w:val="left"/>
              <w:rPr/>
            </w:pPr>
            <w:r>
              <w:rPr/>
              <w:t> </w:t>
            </w:r>
          </w:p>
        </w:tc>
        <w:tc>
          <w:tcPr>
            <w:tcW w:w="8959"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The information contained on the cover pages of this Schedule 13G is incorporated herein by reference.</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91" w:type="dxa"/>
            <w:tcBorders/>
            <w:vAlign w:val="center"/>
          </w:tcPr>
          <w:p>
            <w:pPr>
              <w:pStyle w:val="TableContents"/>
              <w:bidi w:val="0"/>
              <w:spacing w:before="0" w:after="283"/>
              <w:jc w:val="left"/>
              <w:rPr/>
            </w:pPr>
            <w:r>
              <w:rPr/>
              <w:t> </w:t>
            </w:r>
          </w:p>
        </w:tc>
        <w:tc>
          <w:tcPr>
            <w:tcW w:w="8959"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The information contained on the cover pages of this Schedule 13G is incorporated herein by reference.</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91" w:type="dxa"/>
            <w:tcBorders/>
            <w:vAlign w:val="center"/>
          </w:tcPr>
          <w:p>
            <w:pPr>
              <w:pStyle w:val="TableContents"/>
              <w:bidi w:val="0"/>
              <w:spacing w:before="0" w:after="283"/>
              <w:jc w:val="left"/>
              <w:rPr/>
            </w:pPr>
            <w:r>
              <w:rPr/>
              <w:t>Item 5.</w:t>
            </w:r>
          </w:p>
        </w:tc>
        <w:tc>
          <w:tcPr>
            <w:tcW w:w="8959"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091" w:type="dxa"/>
            <w:tcBorders/>
            <w:vAlign w:val="center"/>
          </w:tcPr>
          <w:p>
            <w:pPr>
              <w:pStyle w:val="TableContents"/>
              <w:bidi w:val="0"/>
              <w:spacing w:before="0" w:after="283"/>
              <w:jc w:val="left"/>
              <w:rPr/>
            </w:pPr>
            <w:r>
              <w:rPr/>
              <w:t> </w:t>
            </w:r>
          </w:p>
        </w:tc>
        <w:tc>
          <w:tcPr>
            <w:tcW w:w="8959" w:type="dxa"/>
            <w:tcBorders/>
            <w:vAlign w:val="center"/>
          </w:tcPr>
          <w:p>
            <w:pPr>
              <w:pStyle w:val="TableContents"/>
              <w:bidi w:val="0"/>
              <w:spacing w:before="0" w:after="0"/>
              <w:jc w:val="left"/>
              <w:rPr/>
            </w:pPr>
            <w:r>
              <w:rPr/>
              <w:drawing>
                <wp:inline distT="0" distB="0" distL="0" distR="0">
                  <wp:extent cx="142875" cy="142875"/>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link="rId22"/>
                          <a:stretch>
                            <a:fillRect/>
                          </a:stretch>
                        </pic:blipFill>
                        <pic:spPr bwMode="auto">
                          <a:xfrm>
                            <a:off x="0" y="0"/>
                            <a:ext cx="142875" cy="142875"/>
                          </a:xfrm>
                          <a:prstGeom prst="rect">
                            <a:avLst/>
                          </a:prstGeom>
                        </pic:spPr>
                      </pic:pic>
                    </a:graphicData>
                  </a:graphic>
                </wp:inline>
              </w:drawing>
            </w:r>
            <w:r>
              <w:rPr/>
              <w:t xml:space="preserve">    </w:t>
            </w:r>
            <w:r>
              <w:rPr/>
              <w:t xml:space="preserve">Ownership of 5 percent or less of a class </w:t>
            </w:r>
          </w:p>
        </w:tc>
        <w:tc>
          <w:tcPr>
            <w:tcW w:w="155" w:type="dxa"/>
            <w:tcBorders/>
          </w:tcPr>
          <w:p>
            <w:pPr>
              <w:pStyle w:val="TableContents"/>
              <w:bidi w:val="0"/>
              <w:spacing w:before="0" w:after="283"/>
              <w:jc w:val="left"/>
              <w:rPr>
                <w:sz w:val="4"/>
                <w:szCs w:val="4"/>
              </w:rPr>
            </w:pPr>
            <w:r>
              <w:rPr>
                <w:sz w:val="4"/>
                <w:szCs w:val="4"/>
              </w:rPr>
            </w:r>
          </w:p>
        </w:tc>
      </w:tr>
      <w:tr>
        <w:trPr/>
        <w:tc>
          <w:tcPr>
            <w:tcW w:w="1091" w:type="dxa"/>
            <w:tcBorders/>
            <w:vAlign w:val="center"/>
          </w:tcPr>
          <w:p>
            <w:pPr>
              <w:pStyle w:val="TableContents"/>
              <w:bidi w:val="0"/>
              <w:spacing w:before="0" w:after="283"/>
              <w:jc w:val="left"/>
              <w:rPr/>
            </w:pPr>
            <w:r>
              <w:rPr/>
              <w:t>Item 6.</w:t>
            </w:r>
          </w:p>
        </w:tc>
        <w:tc>
          <w:tcPr>
            <w:tcW w:w="8959"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091" w:type="dxa"/>
            <w:tcBorders/>
            <w:vAlign w:val="center"/>
          </w:tcPr>
          <w:p>
            <w:pPr>
              <w:pStyle w:val="TableContents"/>
              <w:bidi w:val="0"/>
              <w:spacing w:before="0" w:after="283"/>
              <w:jc w:val="left"/>
              <w:rPr/>
            </w:pPr>
            <w:r>
              <w:rPr/>
              <w:t> </w:t>
            </w:r>
          </w:p>
        </w:tc>
        <w:tc>
          <w:tcPr>
            <w:tcW w:w="895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091" w:type="dxa"/>
            <w:tcBorders/>
            <w:vAlign w:val="center"/>
          </w:tcPr>
          <w:p>
            <w:pPr>
              <w:pStyle w:val="TableContents"/>
              <w:bidi w:val="0"/>
              <w:spacing w:before="0" w:after="283"/>
              <w:jc w:val="left"/>
              <w:rPr/>
            </w:pPr>
            <w:r>
              <w:rPr/>
              <w:t>Item 7.</w:t>
            </w:r>
          </w:p>
        </w:tc>
        <w:tc>
          <w:tcPr>
            <w:tcW w:w="8959"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091" w:type="dxa"/>
            <w:tcBorders/>
            <w:vAlign w:val="center"/>
          </w:tcPr>
          <w:p>
            <w:pPr>
              <w:pStyle w:val="TableContents"/>
              <w:bidi w:val="0"/>
              <w:spacing w:before="0" w:after="283"/>
              <w:jc w:val="left"/>
              <w:rPr/>
            </w:pPr>
            <w:r>
              <w:rPr/>
              <w:t> </w:t>
            </w:r>
          </w:p>
        </w:tc>
        <w:tc>
          <w:tcPr>
            <w:tcW w:w="8959" w:type="dxa"/>
            <w:tcBorders/>
            <w:vAlign w:val="center"/>
          </w:tcPr>
          <w:p>
            <w:pPr>
              <w:pStyle w:val="TableContents"/>
              <w:bidi w:val="0"/>
              <w:spacing w:before="0" w:after="0"/>
              <w:jc w:val="both"/>
              <w:rPr/>
            </w:pPr>
            <w:r>
              <w:rPr/>
              <w:t xml:space="preserve">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 </w:t>
            </w:r>
          </w:p>
          <w:p>
            <w:pPr>
              <w:pStyle w:val="TableContents"/>
              <w:bidi w:val="0"/>
              <w:jc w:val="left"/>
              <w:rPr/>
            </w:pPr>
            <w:r>
              <w:rPr/>
            </w:r>
          </w:p>
          <w:p>
            <w:pPr>
              <w:pStyle w:val="TableContents"/>
              <w:bidi w:val="0"/>
              <w:spacing w:before="0" w:after="0"/>
              <w:jc w:val="left"/>
              <w:rPr/>
            </w:pPr>
            <w:r>
              <w:rPr/>
              <w:t>Mr. Schneeberger is filing this Schedule 13G as a control person in respect of shares beneficially owned by ADAR1 Capital Management, an investment adviser as described in SS 240.13d-1(b)(1)(ii)(E).</w:t>
            </w:r>
          </w:p>
        </w:tc>
        <w:tc>
          <w:tcPr>
            <w:tcW w:w="155" w:type="dxa"/>
            <w:tcBorders/>
          </w:tcPr>
          <w:p>
            <w:pPr>
              <w:pStyle w:val="TableContents"/>
              <w:bidi w:val="0"/>
              <w:spacing w:before="0" w:after="283"/>
              <w:jc w:val="left"/>
              <w:rPr>
                <w:sz w:val="4"/>
                <w:szCs w:val="4"/>
              </w:rPr>
            </w:pPr>
            <w:r>
              <w:rPr>
                <w:sz w:val="4"/>
                <w:szCs w:val="4"/>
              </w:rPr>
            </w:r>
          </w:p>
        </w:tc>
      </w:tr>
      <w:tr>
        <w:trPr/>
        <w:tc>
          <w:tcPr>
            <w:tcW w:w="1091" w:type="dxa"/>
            <w:tcBorders/>
            <w:vAlign w:val="center"/>
          </w:tcPr>
          <w:p>
            <w:pPr>
              <w:pStyle w:val="TableContents"/>
              <w:bidi w:val="0"/>
              <w:spacing w:before="0" w:after="283"/>
              <w:jc w:val="left"/>
              <w:rPr/>
            </w:pPr>
            <w:r>
              <w:rPr/>
              <w:t>Item 8.</w:t>
            </w:r>
          </w:p>
        </w:tc>
        <w:tc>
          <w:tcPr>
            <w:tcW w:w="8959"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091" w:type="dxa"/>
            <w:tcBorders/>
            <w:vAlign w:val="center"/>
          </w:tcPr>
          <w:p>
            <w:pPr>
              <w:pStyle w:val="TableContents"/>
              <w:bidi w:val="0"/>
              <w:spacing w:before="0" w:after="283"/>
              <w:jc w:val="left"/>
              <w:rPr/>
            </w:pPr>
            <w:r>
              <w:rPr/>
              <w:t> </w:t>
            </w:r>
          </w:p>
        </w:tc>
        <w:tc>
          <w:tcPr>
            <w:tcW w:w="895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091" w:type="dxa"/>
            <w:tcBorders/>
            <w:vAlign w:val="center"/>
          </w:tcPr>
          <w:p>
            <w:pPr>
              <w:pStyle w:val="TableContents"/>
              <w:bidi w:val="0"/>
              <w:spacing w:before="0" w:after="283"/>
              <w:jc w:val="left"/>
              <w:rPr/>
            </w:pPr>
            <w:r>
              <w:rPr/>
              <w:t>Item 9.</w:t>
            </w:r>
          </w:p>
        </w:tc>
        <w:tc>
          <w:tcPr>
            <w:tcW w:w="8959"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091" w:type="dxa"/>
            <w:tcBorders/>
            <w:vAlign w:val="center"/>
          </w:tcPr>
          <w:p>
            <w:pPr>
              <w:pStyle w:val="TableContents"/>
              <w:bidi w:val="0"/>
              <w:spacing w:before="0" w:after="283"/>
              <w:jc w:val="left"/>
              <w:rPr/>
            </w:pPr>
            <w:r>
              <w:rPr/>
              <w:t> </w:t>
            </w:r>
          </w:p>
        </w:tc>
        <w:tc>
          <w:tcPr>
            <w:tcW w:w="895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6" w:name="certifications"/>
      <w:bookmarkStart w:id="17" w:name="certifications"/>
      <w:bookmarkEnd w:id="17"/>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8" w:name="signatureInfo"/>
      <w:bookmarkStart w:id="19" w:name="signatureInfo"/>
      <w:bookmarkEnd w:id="19"/>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7414" w:type="dxa"/>
        <w:jc w:val="left"/>
        <w:tblInd w:w="0" w:type="dxa"/>
        <w:tblLayout w:type="fixed"/>
        <w:tblCellMar>
          <w:top w:w="28" w:type="dxa"/>
          <w:left w:w="28" w:type="dxa"/>
          <w:bottom w:w="28" w:type="dxa"/>
          <w:right w:w="28" w:type="dxa"/>
        </w:tblCellMar>
      </w:tblPr>
      <w:tblGrid>
        <w:gridCol w:w="3707"/>
        <w:gridCol w:w="3707"/>
      </w:tblGrid>
      <w:tr>
        <w:trPr/>
        <w:tc>
          <w:tcPr>
            <w:tcW w:w="3707" w:type="dxa"/>
            <w:tcBorders/>
            <w:vAlign w:val="center"/>
          </w:tcPr>
          <w:p>
            <w:pPr>
              <w:pStyle w:val="TableContents"/>
              <w:bidi w:val="0"/>
              <w:spacing w:before="0" w:after="0"/>
              <w:jc w:val="left"/>
              <w:rPr/>
            </w:pPr>
            <w:r>
              <w:rPr/>
              <w:t> </w:t>
            </w:r>
          </w:p>
          <w:tbl>
            <w:tblPr>
              <w:tblW w:w="3601" w:type="dxa"/>
              <w:jc w:val="left"/>
              <w:tblInd w:w="0" w:type="dxa"/>
              <w:tblLayout w:type="fixed"/>
              <w:tblCellMar>
                <w:top w:w="28" w:type="dxa"/>
                <w:left w:w="28" w:type="dxa"/>
                <w:bottom w:w="28" w:type="dxa"/>
                <w:right w:w="28" w:type="dxa"/>
              </w:tblCellMar>
            </w:tblPr>
            <w:tblGrid>
              <w:gridCol w:w="3601"/>
            </w:tblGrid>
            <w:tr>
              <w:trPr/>
              <w:tc>
                <w:tcPr>
                  <w:tcW w:w="3601" w:type="dxa"/>
                  <w:tcBorders/>
                  <w:vAlign w:val="center"/>
                </w:tcPr>
                <w:p>
                  <w:pPr>
                    <w:pStyle w:val="TableContents"/>
                    <w:bidi w:val="0"/>
                    <w:spacing w:before="0" w:after="0"/>
                    <w:jc w:val="left"/>
                    <w:rPr/>
                  </w:pPr>
                  <w:r>
                    <w:rPr/>
                    <w:t>ADAR1 Capital Management, LLC</w:t>
                  </w:r>
                </w:p>
              </w:tc>
            </w:tr>
          </w:tbl>
          <w:p>
            <w:pPr>
              <w:pStyle w:val="TableContents"/>
              <w:bidi w:val="0"/>
              <w:spacing w:before="0" w:after="283"/>
              <w:jc w:val="left"/>
              <w:rPr/>
            </w:pPr>
            <w:r>
              <w:rPr/>
            </w:r>
          </w:p>
        </w:tc>
        <w:tc>
          <w:tcPr>
            <w:tcW w:w="3707"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6029"/>
        <w:gridCol w:w="4176"/>
      </w:tblGrid>
      <w:tr>
        <w:trPr/>
        <w:tc>
          <w:tcPr>
            <w:tcW w:w="6029"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0"/>
              <w:gridCol w:w="9035"/>
            </w:tblGrid>
            <w:tr>
              <w:trPr/>
              <w:tc>
                <w:tcPr>
                  <w:tcW w:w="1170" w:type="dxa"/>
                  <w:tcBorders/>
                  <w:vAlign w:val="center"/>
                </w:tcPr>
                <w:p>
                  <w:pPr>
                    <w:pStyle w:val="TableContents"/>
                    <w:bidi w:val="0"/>
                    <w:spacing w:before="0" w:after="283"/>
                    <w:jc w:val="left"/>
                    <w:rPr/>
                  </w:pPr>
                  <w:r>
                    <w:rPr/>
                    <w:t>Signature:</w:t>
                  </w:r>
                </w:p>
              </w:tc>
              <w:tc>
                <w:tcPr>
                  <w:tcW w:w="9035" w:type="dxa"/>
                  <w:tcBorders/>
                  <w:vAlign w:val="center"/>
                </w:tcPr>
                <w:p>
                  <w:pPr>
                    <w:pStyle w:val="TableContents"/>
                    <w:bidi w:val="0"/>
                    <w:spacing w:before="0" w:after="283"/>
                    <w:jc w:val="left"/>
                    <w:rPr/>
                  </w:pPr>
                  <w:r>
                    <w:rPr/>
                    <w:t>/s/ Daniel Schneeberger</w:t>
                  </w:r>
                </w:p>
              </w:tc>
            </w:tr>
            <w:tr>
              <w:trPr/>
              <w:tc>
                <w:tcPr>
                  <w:tcW w:w="1170" w:type="dxa"/>
                  <w:tcBorders/>
                  <w:vAlign w:val="center"/>
                </w:tcPr>
                <w:p>
                  <w:pPr>
                    <w:pStyle w:val="TableContents"/>
                    <w:bidi w:val="0"/>
                    <w:spacing w:before="0" w:after="283"/>
                    <w:jc w:val="left"/>
                    <w:rPr/>
                  </w:pPr>
                  <w:r>
                    <w:rPr/>
                    <w:t>Name/Title:</w:t>
                  </w:r>
                </w:p>
              </w:tc>
              <w:tc>
                <w:tcPr>
                  <w:tcW w:w="9035" w:type="dxa"/>
                  <w:tcBorders/>
                  <w:vAlign w:val="center"/>
                </w:tcPr>
                <w:p>
                  <w:pPr>
                    <w:pStyle w:val="TableContents"/>
                    <w:bidi w:val="0"/>
                    <w:spacing w:before="0" w:after="283"/>
                    <w:jc w:val="left"/>
                    <w:rPr/>
                  </w:pPr>
                  <w:r>
                    <w:rPr/>
                    <w:t>Daniel Schneeberger, Manager</w:t>
                  </w:r>
                </w:p>
              </w:tc>
            </w:tr>
            <w:tr>
              <w:trPr/>
              <w:tc>
                <w:tcPr>
                  <w:tcW w:w="1170" w:type="dxa"/>
                  <w:tcBorders/>
                  <w:vAlign w:val="center"/>
                </w:tcPr>
                <w:p>
                  <w:pPr>
                    <w:pStyle w:val="TableContents"/>
                    <w:bidi w:val="0"/>
                    <w:spacing w:before="0" w:after="283"/>
                    <w:jc w:val="left"/>
                    <w:rPr/>
                  </w:pPr>
                  <w:r>
                    <w:rPr/>
                    <w:t>Date:</w:t>
                  </w:r>
                </w:p>
              </w:tc>
              <w:tc>
                <w:tcPr>
                  <w:tcW w:w="9035"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176" w:type="dxa"/>
            <w:tcBorders/>
            <w:vAlign w:val="center"/>
          </w:tcPr>
          <w:p>
            <w:pPr>
              <w:pStyle w:val="TableContents"/>
              <w:bidi w:val="0"/>
              <w:spacing w:before="0" w:after="283"/>
              <w:jc w:val="left"/>
              <w:rPr>
                <w:sz w:val="4"/>
                <w:szCs w:val="4"/>
              </w:rPr>
            </w:pPr>
            <w:r>
              <w:rPr>
                <w:sz w:val="4"/>
                <w:szCs w:val="4"/>
              </w:rPr>
            </w:r>
          </w:p>
        </w:tc>
      </w:tr>
    </w:tbl>
    <w:tbl>
      <w:tblPr>
        <w:tblW w:w="4530" w:type="dxa"/>
        <w:jc w:val="left"/>
        <w:tblInd w:w="0" w:type="dxa"/>
        <w:tblLayout w:type="fixed"/>
        <w:tblCellMar>
          <w:top w:w="28" w:type="dxa"/>
          <w:left w:w="28" w:type="dxa"/>
          <w:bottom w:w="28" w:type="dxa"/>
          <w:right w:w="28" w:type="dxa"/>
        </w:tblCellMar>
      </w:tblPr>
      <w:tblGrid>
        <w:gridCol w:w="2265"/>
        <w:gridCol w:w="2265"/>
      </w:tblGrid>
      <w:tr>
        <w:trPr/>
        <w:tc>
          <w:tcPr>
            <w:tcW w:w="2265" w:type="dxa"/>
            <w:tcBorders/>
            <w:vAlign w:val="center"/>
          </w:tcPr>
          <w:p>
            <w:pPr>
              <w:pStyle w:val="TableContents"/>
              <w:bidi w:val="0"/>
              <w:spacing w:before="0" w:after="0"/>
              <w:jc w:val="left"/>
              <w:rPr/>
            </w:pPr>
            <w:r>
              <w:rPr/>
              <w:t> </w:t>
            </w:r>
          </w:p>
          <w:tbl>
            <w:tblPr>
              <w:tblW w:w="2146" w:type="dxa"/>
              <w:jc w:val="left"/>
              <w:tblInd w:w="0" w:type="dxa"/>
              <w:tblLayout w:type="fixed"/>
              <w:tblCellMar>
                <w:top w:w="28" w:type="dxa"/>
                <w:left w:w="28" w:type="dxa"/>
                <w:bottom w:w="28" w:type="dxa"/>
                <w:right w:w="28" w:type="dxa"/>
              </w:tblCellMar>
            </w:tblPr>
            <w:tblGrid>
              <w:gridCol w:w="2146"/>
            </w:tblGrid>
            <w:tr>
              <w:trPr/>
              <w:tc>
                <w:tcPr>
                  <w:tcW w:w="2146" w:type="dxa"/>
                  <w:tcBorders/>
                  <w:vAlign w:val="center"/>
                </w:tcPr>
                <w:p>
                  <w:pPr>
                    <w:pStyle w:val="TableContents"/>
                    <w:bidi w:val="0"/>
                    <w:spacing w:before="0" w:after="0"/>
                    <w:jc w:val="left"/>
                    <w:rPr/>
                  </w:pPr>
                  <w:r>
                    <w:rPr/>
                    <w:t>Daniel Schneeberger</w:t>
                  </w:r>
                </w:p>
              </w:tc>
            </w:tr>
          </w:tbl>
          <w:p>
            <w:pPr>
              <w:pStyle w:val="TableContents"/>
              <w:bidi w:val="0"/>
              <w:spacing w:before="0" w:after="283"/>
              <w:jc w:val="left"/>
              <w:rPr/>
            </w:pPr>
            <w:r>
              <w:rPr/>
            </w:r>
          </w:p>
        </w:tc>
        <w:tc>
          <w:tcPr>
            <w:tcW w:w="2265"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6024"/>
        <w:gridCol w:w="4181"/>
      </w:tblGrid>
      <w:tr>
        <w:trPr/>
        <w:tc>
          <w:tcPr>
            <w:tcW w:w="6024"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2"/>
              <w:gridCol w:w="9043"/>
            </w:tblGrid>
            <w:tr>
              <w:trPr/>
              <w:tc>
                <w:tcPr>
                  <w:tcW w:w="1162" w:type="dxa"/>
                  <w:tcBorders/>
                  <w:vAlign w:val="center"/>
                </w:tcPr>
                <w:p>
                  <w:pPr>
                    <w:pStyle w:val="TableContents"/>
                    <w:bidi w:val="0"/>
                    <w:spacing w:before="0" w:after="283"/>
                    <w:jc w:val="left"/>
                    <w:rPr/>
                  </w:pPr>
                  <w:r>
                    <w:rPr/>
                    <w:t>Signature:</w:t>
                  </w:r>
                </w:p>
              </w:tc>
              <w:tc>
                <w:tcPr>
                  <w:tcW w:w="9043" w:type="dxa"/>
                  <w:tcBorders/>
                  <w:vAlign w:val="center"/>
                </w:tcPr>
                <w:p>
                  <w:pPr>
                    <w:pStyle w:val="TableContents"/>
                    <w:bidi w:val="0"/>
                    <w:spacing w:before="0" w:after="283"/>
                    <w:jc w:val="left"/>
                    <w:rPr/>
                  </w:pPr>
                  <w:r>
                    <w:rPr/>
                    <w:t>/s/ Daniel Schneeberger</w:t>
                  </w:r>
                </w:p>
              </w:tc>
            </w:tr>
            <w:tr>
              <w:trPr/>
              <w:tc>
                <w:tcPr>
                  <w:tcW w:w="1162" w:type="dxa"/>
                  <w:tcBorders/>
                  <w:vAlign w:val="center"/>
                </w:tcPr>
                <w:p>
                  <w:pPr>
                    <w:pStyle w:val="TableContents"/>
                    <w:bidi w:val="0"/>
                    <w:spacing w:before="0" w:after="283"/>
                    <w:jc w:val="left"/>
                    <w:rPr/>
                  </w:pPr>
                  <w:r>
                    <w:rPr/>
                    <w:t>Name/Title:</w:t>
                  </w:r>
                </w:p>
              </w:tc>
              <w:tc>
                <w:tcPr>
                  <w:tcW w:w="9043" w:type="dxa"/>
                  <w:tcBorders/>
                  <w:vAlign w:val="center"/>
                </w:tcPr>
                <w:p>
                  <w:pPr>
                    <w:pStyle w:val="TableContents"/>
                    <w:bidi w:val="0"/>
                    <w:spacing w:before="0" w:after="283"/>
                    <w:jc w:val="left"/>
                    <w:rPr/>
                  </w:pPr>
                  <w:r>
                    <w:rPr/>
                    <w:t>Daniel Schneeberger, in his individual capacity</w:t>
                  </w:r>
                </w:p>
              </w:tc>
            </w:tr>
            <w:tr>
              <w:trPr/>
              <w:tc>
                <w:tcPr>
                  <w:tcW w:w="1162" w:type="dxa"/>
                  <w:tcBorders/>
                  <w:vAlign w:val="center"/>
                </w:tcPr>
                <w:p>
                  <w:pPr>
                    <w:pStyle w:val="TableContents"/>
                    <w:bidi w:val="0"/>
                    <w:spacing w:before="0" w:after="283"/>
                    <w:jc w:val="left"/>
                    <w:rPr/>
                  </w:pPr>
                  <w:r>
                    <w:rPr/>
                    <w:t>Date:</w:t>
                  </w:r>
                </w:p>
              </w:tc>
              <w:tc>
                <w:tcPr>
                  <w:tcW w:w="9043"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18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unchecked.jpg" TargetMode="External"/><Relationship Id="rId20" Type="http://schemas.openxmlformats.org/officeDocument/2006/relationships/image" Target="https://cdn.kscope.io/box-unchecked.jpg" TargetMode="External"/><Relationship Id="rId21" Type="http://schemas.openxmlformats.org/officeDocument/2006/relationships/image" Target="https://cdn.kscope.io/box-unchecked.jpg" TargetMode="External"/><Relationship Id="rId22" Type="http://schemas.openxmlformats.org/officeDocument/2006/relationships/image" Target="https://cdn.kscope.io/box-checked.jpg" TargetMode="External"/><Relationship Id="rId23" Type="http://schemas.openxmlformats.org/officeDocument/2006/relationships/fontTable" Target="fontTable.xml"/><Relationship Id="rId2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1406</Words>
  <Characters>7396</Characters>
  <CharactersWithSpaces>8776</CharactersWithSpaces>
  <Paragraphs>211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