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Spruce Biosciences,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00" w:type="dxa"/>
        <w:tblCellMar>
          <w:top w:w="0" w:type="dxa"/>
          <w:left w:w="0" w:type="dxa"/>
          <w:bottom w:w="0" w:type="dxa"/>
          <w:right w:w="0" w:type="dxa"/>
        </w:tblCellMar>
      </w:tblPr>
      <w:tr>
        <w:trPr>
          <w:trHeight w:val="222"/>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001-39594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81-2154263</w:t>
            </w:r>
          </w:p>
        </w:tc>
      </w:tr>
      <w:tr>
        <w:trPr>
          <w:trHeight w:val="149"/>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611 Gateway Boulevard, Suite 740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415-343-5986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SPRB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Spruce Biosciences, Inc. (the “Company”) held its 2026 Annual Meeting of Stockholders (the “Annual Meeting”) on May 21, 2026, in a virtual format. As of March 24, 2026, the record date for the Annual Meeting, there were 1,372,278 shares of the Company’s common stock outstanding and entitled to vote at the Annual Meeting, of which 903,893 shares, representing approximately 65.86% of the outstanding shares, were present virtually or represented by proxy, constituting a quorum. The final voting results for each of the proposals submitted to a vote of the Company’s stockholders at the Annual Meeting are set forth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Class III Directors.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each of the three nominees named below to serve as Class III directors of the Company until the Company’s 2029 Annual Meeting of Stockholders and until his or her successor is duly elected and qualified, or until his or her earlier death, resignation or removal. The voting results were as follows: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600" w:type="dxa"/>
            <w:vAlign w:val="bottom"/>
            <w:tcBorders>
              <w:top w:val="single" w:sz="8" w:color="auto"/>
              <w:left w:val="single" w:sz="8" w:color="auto"/>
              <w:bottom w:val="single" w:sz="8" w:color="auto"/>
              <w:right w:val="single" w:sz="8" w:color="auto"/>
            </w:tcBorders>
            <w:shd w:val="clear" w:color="auto" w:fill="D9D9D9"/>
          </w:tcPr>
          <w:p>
            <w:pPr>
              <w:ind w:left="19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080" w:type="dxa"/>
            <w:vAlign w:val="bottom"/>
            <w:tcBorders>
              <w:top w:val="single" w:sz="8" w:color="auto"/>
              <w:bottom w:val="single" w:sz="8" w:color="auto"/>
              <w:right w:val="single" w:sz="8" w:color="auto"/>
            </w:tcBorders>
            <w:shd w:val="clear" w:color="auto" w:fill="D9D9D9"/>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100" w:type="dxa"/>
            <w:vAlign w:val="bottom"/>
            <w:tcBorders>
              <w:top w:val="single" w:sz="8" w:color="auto"/>
              <w:bottom w:val="single" w:sz="8" w:color="auto"/>
              <w:right w:val="single" w:sz="8" w:color="auto"/>
            </w:tcBorders>
            <w:shd w:val="clear" w:color="auto" w:fill="D9D9D9"/>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460" w:type="dxa"/>
            <w:vAlign w:val="bottom"/>
            <w:tcBorders>
              <w:top w:val="single" w:sz="8" w:color="auto"/>
              <w:bottom w:val="single" w:sz="8" w:color="auto"/>
              <w:right w:val="single" w:sz="8" w:color="auto"/>
            </w:tcBorders>
            <w:shd w:val="clear" w:color="auto" w:fill="D9D9D9"/>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3"/>
        </w:trPr>
        <w:tc>
          <w:tcPr>
            <w:tcW w:w="460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color w:val="auto"/>
              </w:rPr>
              <w:t>Michael Grey</w:t>
            </w:r>
          </w:p>
        </w:tc>
        <w:tc>
          <w:tcPr>
            <w:tcW w:w="208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276,159</w:t>
            </w:r>
          </w:p>
        </w:tc>
        <w:tc>
          <w:tcPr>
            <w:tcW w:w="210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23,715</w:t>
            </w:r>
          </w:p>
        </w:tc>
        <w:tc>
          <w:tcPr>
            <w:tcW w:w="24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604,019</w:t>
            </w:r>
          </w:p>
        </w:tc>
      </w:tr>
      <w:tr>
        <w:trPr>
          <w:trHeight w:val="210"/>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Camilla V. Simpson, M.Sc.</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191,284</w:t>
            </w: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108,590</w:t>
            </w:r>
          </w:p>
        </w:tc>
        <w:tc>
          <w:tcPr>
            <w:tcW w:w="2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604,019</w:t>
            </w:r>
          </w:p>
        </w:tc>
      </w:tr>
      <w:tr>
        <w:trPr>
          <w:trHeight w:val="209"/>
        </w:trPr>
        <w:tc>
          <w:tcPr>
            <w:tcW w:w="46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Javier Szwarcberg, M.D., MPH</w:t>
            </w:r>
          </w:p>
        </w:tc>
        <w:tc>
          <w:tcPr>
            <w:tcW w:w="20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293,098</w:t>
            </w:r>
          </w:p>
        </w:tc>
        <w:tc>
          <w:tcPr>
            <w:tcW w:w="2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6,776</w:t>
            </w:r>
          </w:p>
        </w:tc>
        <w:tc>
          <w:tcPr>
            <w:tcW w:w="24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604,019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Selection of Independent Registered Public Accounting Firm.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Board of Directors of BDO USA, P.C. as the independent registered public accounting firm of the Company for the Company’s fiscal year ending December 31, 2026. The voting results were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shd w:val="clear" w:color="auto" w:fill="D9D9D9"/>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60" w:type="dxa"/>
            <w:vAlign w:val="bottom"/>
            <w:tcBorders>
              <w:top w:val="single" w:sz="8" w:color="auto"/>
              <w:bottom w:val="single" w:sz="8" w:color="auto"/>
              <w:right w:val="single" w:sz="8" w:color="auto"/>
            </w:tcBorders>
            <w:shd w:val="clear" w:color="auto" w:fill="D9D9D9"/>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660" w:type="dxa"/>
            <w:vAlign w:val="bottom"/>
            <w:tcBorders>
              <w:top w:val="single" w:sz="8" w:color="auto"/>
              <w:bottom w:val="single" w:sz="8" w:color="auto"/>
              <w:right w:val="single" w:sz="8" w:color="auto"/>
            </w:tcBorders>
            <w:shd w:val="clear" w:color="auto" w:fill="D9D9D9"/>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40" w:type="dxa"/>
            <w:vAlign w:val="bottom"/>
            <w:tcBorders>
              <w:top w:val="single" w:sz="8" w:color="auto"/>
              <w:bottom w:val="single" w:sz="8" w:color="auto"/>
              <w:right w:val="single" w:sz="8" w:color="auto"/>
            </w:tcBorders>
            <w:shd w:val="clear" w:color="auto" w:fill="D9D9D9"/>
          </w:tcPr>
          <w:p>
            <w:pPr>
              <w:ind w:left="8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3"/>
        </w:trPr>
        <w:tc>
          <w:tcPr>
            <w:tcW w:w="2880" w:type="dxa"/>
            <w:vAlign w:val="bottom"/>
            <w:tcBorders>
              <w:bottom w:val="single" w:sz="8" w:color="auto"/>
              <w:right w:val="single" w:sz="8" w:color="auto"/>
            </w:tcBorders>
          </w:tcPr>
          <w:p>
            <w:pPr>
              <w:jc w:val="right"/>
              <w:ind w:right="2090"/>
              <w:spacing w:after="0" w:line="193" w:lineRule="exact"/>
              <w:rPr>
                <w:sz w:val="20"/>
                <w:szCs w:val="20"/>
                <w:color w:val="auto"/>
              </w:rPr>
            </w:pPr>
            <w:r>
              <w:rPr>
                <w:rFonts w:ascii="Times New Roman" w:cs="Times New Roman" w:eastAsia="Times New Roman" w:hAnsi="Times New Roman"/>
                <w:sz w:val="18"/>
                <w:szCs w:val="18"/>
                <w:color w:val="auto"/>
              </w:rPr>
              <w:t>880,984</w:t>
            </w:r>
          </w:p>
        </w:tc>
        <w:tc>
          <w:tcPr>
            <w:tcW w:w="26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16,851</w:t>
            </w:r>
          </w:p>
        </w:tc>
        <w:tc>
          <w:tcPr>
            <w:tcW w:w="26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6,058</w:t>
            </w:r>
          </w:p>
        </w:tc>
        <w:tc>
          <w:tcPr>
            <w:tcW w:w="3040" w:type="dxa"/>
            <w:vAlign w:val="bottom"/>
            <w:tcBorders>
              <w:bottom w:val="single" w:sz="8" w:color="auto"/>
              <w:right w:val="single" w:sz="8" w:color="auto"/>
            </w:tcBorders>
          </w:tcPr>
          <w:p>
            <w:pPr>
              <w:ind w:left="2740"/>
              <w:spacing w:after="0" w:line="193" w:lineRule="exact"/>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on the Compensation of the Company’s Named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of the Company’s named executive officers, as disclosed in the Company’s definitive proxy statement filed with the Securities and Exchange Commission (the “SEC”) on April 9, 2026. The voting results were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shd w:val="clear" w:color="auto" w:fill="D9D9D9"/>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60" w:type="dxa"/>
            <w:vAlign w:val="bottom"/>
            <w:tcBorders>
              <w:top w:val="single" w:sz="8" w:color="auto"/>
              <w:bottom w:val="single" w:sz="8" w:color="auto"/>
              <w:right w:val="single" w:sz="8" w:color="auto"/>
            </w:tcBorders>
            <w:shd w:val="clear" w:color="auto" w:fill="D9D9D9"/>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660" w:type="dxa"/>
            <w:vAlign w:val="bottom"/>
            <w:tcBorders>
              <w:top w:val="single" w:sz="8" w:color="auto"/>
              <w:bottom w:val="single" w:sz="8" w:color="auto"/>
              <w:right w:val="single" w:sz="8" w:color="auto"/>
            </w:tcBorders>
            <w:shd w:val="clear" w:color="auto" w:fill="D9D9D9"/>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040" w:type="dxa"/>
            <w:vAlign w:val="bottom"/>
            <w:tcBorders>
              <w:top w:val="single" w:sz="8" w:color="auto"/>
              <w:bottom w:val="single" w:sz="8" w:color="auto"/>
              <w:right w:val="single" w:sz="8" w:color="auto"/>
            </w:tcBorders>
            <w:shd w:val="clear" w:color="auto" w:fill="D9D9D9"/>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3"/>
        </w:trPr>
        <w:tc>
          <w:tcPr>
            <w:tcW w:w="2880" w:type="dxa"/>
            <w:vAlign w:val="bottom"/>
            <w:tcBorders>
              <w:bottom w:val="single" w:sz="8" w:color="auto"/>
              <w:right w:val="single" w:sz="8" w:color="auto"/>
            </w:tcBorders>
          </w:tcPr>
          <w:p>
            <w:pPr>
              <w:jc w:val="right"/>
              <w:ind w:right="2090"/>
              <w:spacing w:after="0" w:line="193" w:lineRule="exact"/>
              <w:rPr>
                <w:sz w:val="20"/>
                <w:szCs w:val="20"/>
                <w:color w:val="auto"/>
              </w:rPr>
            </w:pPr>
            <w:r>
              <w:rPr>
                <w:rFonts w:ascii="Times New Roman" w:cs="Times New Roman" w:eastAsia="Times New Roman" w:hAnsi="Times New Roman"/>
                <w:sz w:val="18"/>
                <w:szCs w:val="18"/>
                <w:color w:val="auto"/>
              </w:rPr>
              <w:t>187,027</w:t>
            </w:r>
          </w:p>
        </w:tc>
        <w:tc>
          <w:tcPr>
            <w:tcW w:w="26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111,274</w:t>
            </w:r>
          </w:p>
        </w:tc>
        <w:tc>
          <w:tcPr>
            <w:tcW w:w="266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1,573</w:t>
            </w:r>
          </w:p>
        </w:tc>
        <w:tc>
          <w:tcPr>
            <w:tcW w:w="304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604,019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Advisory Vote on the Frequency of Future Advisory Votes on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indicated, on an advisory basis, their preference for the Company to hold a stockholder advisory vote on the compensation of the Company’s named executive officers every year. The voting results were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300" w:type="dxa"/>
            <w:vAlign w:val="bottom"/>
            <w:tcBorders>
              <w:top w:val="single" w:sz="8" w:color="auto"/>
              <w:left w:val="single" w:sz="8" w:color="auto"/>
              <w:bottom w:val="single" w:sz="8" w:color="auto"/>
              <w:right w:val="single" w:sz="8" w:color="auto"/>
            </w:tcBorders>
            <w:shd w:val="clear" w:color="auto" w:fill="D9D9D9"/>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300" w:type="dxa"/>
            <w:vAlign w:val="bottom"/>
            <w:tcBorders>
              <w:top w:val="single" w:sz="8" w:color="auto"/>
              <w:bottom w:val="single" w:sz="8" w:color="auto"/>
              <w:right w:val="single" w:sz="8" w:color="auto"/>
            </w:tcBorders>
            <w:shd w:val="clear" w:color="auto" w:fill="D9D9D9"/>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2280" w:type="dxa"/>
            <w:vAlign w:val="bottom"/>
            <w:tcBorders>
              <w:top w:val="single" w:sz="8" w:color="auto"/>
              <w:bottom w:val="single" w:sz="8" w:color="auto"/>
              <w:right w:val="single" w:sz="8" w:color="auto"/>
            </w:tcBorders>
            <w:shd w:val="clear" w:color="auto" w:fill="D9D9D9"/>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Years</w:t>
            </w:r>
          </w:p>
        </w:tc>
        <w:tc>
          <w:tcPr>
            <w:tcW w:w="2080" w:type="dxa"/>
            <w:vAlign w:val="bottom"/>
            <w:tcBorders>
              <w:top w:val="single" w:sz="8" w:color="auto"/>
              <w:bottom w:val="single" w:sz="8" w:color="auto"/>
              <w:right w:val="single" w:sz="8" w:color="auto"/>
            </w:tcBorders>
            <w:shd w:val="clear" w:color="auto" w:fill="D9D9D9"/>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80" w:type="dxa"/>
            <w:vAlign w:val="bottom"/>
            <w:tcBorders>
              <w:top w:val="single" w:sz="8" w:color="auto"/>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3"/>
        </w:trPr>
        <w:tc>
          <w:tcPr>
            <w:tcW w:w="2300" w:type="dxa"/>
            <w:vAlign w:val="bottom"/>
            <w:tcBorders>
              <w:bottom w:val="single" w:sz="8" w:color="auto"/>
              <w:right w:val="single" w:sz="8" w:color="auto"/>
            </w:tcBorders>
          </w:tcPr>
          <w:p>
            <w:pPr>
              <w:jc w:val="right"/>
              <w:ind w:right="1510"/>
              <w:spacing w:after="0" w:line="193" w:lineRule="exact"/>
              <w:rPr>
                <w:sz w:val="20"/>
                <w:szCs w:val="20"/>
                <w:color w:val="auto"/>
              </w:rPr>
            </w:pPr>
            <w:r>
              <w:rPr>
                <w:rFonts w:ascii="Times New Roman" w:cs="Times New Roman" w:eastAsia="Times New Roman" w:hAnsi="Times New Roman"/>
                <w:sz w:val="18"/>
                <w:szCs w:val="18"/>
                <w:color w:val="auto"/>
              </w:rPr>
              <w:t>297,804</w:t>
            </w:r>
          </w:p>
        </w:tc>
        <w:tc>
          <w:tcPr>
            <w:tcW w:w="2300" w:type="dxa"/>
            <w:vAlign w:val="bottom"/>
            <w:tcBorders>
              <w:bottom w:val="single" w:sz="8" w:color="auto"/>
              <w:right w:val="single" w:sz="8" w:color="auto"/>
            </w:tcBorders>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1,049</w:t>
            </w:r>
          </w:p>
        </w:tc>
        <w:tc>
          <w:tcPr>
            <w:tcW w:w="2280" w:type="dxa"/>
            <w:vAlign w:val="bottom"/>
            <w:tcBorders>
              <w:bottom w:val="single" w:sz="8" w:color="auto"/>
              <w:right w:val="single" w:sz="8" w:color="auto"/>
            </w:tcBorders>
          </w:tcPr>
          <w:p>
            <w:pPr>
              <w:jc w:val="right"/>
              <w:ind w:right="50"/>
              <w:spacing w:after="0" w:line="193" w:lineRule="exact"/>
              <w:rPr>
                <w:sz w:val="20"/>
                <w:szCs w:val="20"/>
                <w:color w:val="auto"/>
              </w:rPr>
            </w:pPr>
            <w:r>
              <w:rPr>
                <w:rFonts w:ascii="Times New Roman" w:cs="Times New Roman" w:eastAsia="Times New Roman" w:hAnsi="Times New Roman"/>
                <w:sz w:val="18"/>
                <w:szCs w:val="18"/>
                <w:color w:val="auto"/>
              </w:rPr>
              <w:t>804</w:t>
            </w:r>
          </w:p>
        </w:tc>
        <w:tc>
          <w:tcPr>
            <w:tcW w:w="208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217</w:t>
            </w:r>
          </w:p>
        </w:tc>
        <w:tc>
          <w:tcPr>
            <w:tcW w:w="2280" w:type="dxa"/>
            <w:vAlign w:val="bottom"/>
            <w:tcBorders>
              <w:bottom w:val="single" w:sz="8" w:color="auto"/>
              <w:right w:val="single" w:sz="8" w:color="auto"/>
            </w:tcBorders>
          </w:tcPr>
          <w:p>
            <w:pPr>
              <w:jc w:val="right"/>
              <w:ind w:right="30"/>
              <w:spacing w:after="0" w:line="193" w:lineRule="exact"/>
              <w:rPr>
                <w:sz w:val="20"/>
                <w:szCs w:val="20"/>
                <w:color w:val="auto"/>
              </w:rPr>
            </w:pPr>
            <w:r>
              <w:rPr>
                <w:rFonts w:ascii="Times New Roman" w:cs="Times New Roman" w:eastAsia="Times New Roman" w:hAnsi="Times New Roman"/>
                <w:sz w:val="18"/>
                <w:szCs w:val="18"/>
                <w:color w:val="auto"/>
              </w:rPr>
              <w:t>604,019</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light of the foregoing voting results, and consistent with the recommendation of the Board of Directors, the Company has determined that it will include a non-binding stockholder advisory vote on the compensation of the Company’s named executive officers in its proxy materials every year until the next required vote on the frequency of such advisory votes, which is required to occur no later than the Company’s 2032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tcPr>
          <w:p>
            <w:pPr>
              <w:spacing w:after="0"/>
              <w:rPr>
                <w:sz w:val="13"/>
                <w:szCs w:val="13"/>
                <w:color w:val="auto"/>
              </w:rPr>
            </w:pPr>
          </w:p>
        </w:tc>
      </w:tr>
      <w:tr>
        <w:trPr>
          <w:trHeight w:val="168"/>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8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4"/>
        </w:trPr>
        <w:tc>
          <w:tcPr>
            <w:tcW w:w="860" w:type="dxa"/>
            <w:vAlign w:val="bottom"/>
          </w:tcPr>
          <w:p>
            <w:pPr>
              <w:jc w:val="right"/>
              <w:ind w:right="502"/>
              <w:spacing w:after="0"/>
              <w:rPr>
                <w:sz w:val="20"/>
                <w:szCs w:val="20"/>
                <w:color w:val="auto"/>
              </w:rPr>
            </w:pPr>
            <w:r>
              <w:rPr>
                <w:rFonts w:ascii="Times New Roman" w:cs="Times New Roman" w:eastAsia="Times New Roman" w:hAnsi="Times New Roman"/>
                <w:sz w:val="18"/>
                <w:szCs w:val="18"/>
                <w:color w:val="auto"/>
                <w:w w:val="96"/>
              </w:rPr>
              <w:t>104</w:t>
            </w:r>
          </w:p>
        </w:tc>
        <w:tc>
          <w:tcPr>
            <w:tcW w:w="10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979"/>
        </w:trPr>
        <w:tc>
          <w:tcPr>
            <w:tcW w:w="860" w:type="dxa"/>
            <w:vAlign w:val="bottom"/>
            <w:tcBorders>
              <w:bottom w:val="single" w:sz="8" w:color="9A9A9A"/>
            </w:tcBorders>
          </w:tcPr>
          <w:p>
            <w:pPr>
              <w:spacing w:after="0"/>
              <w:rPr>
                <w:sz w:val="24"/>
                <w:szCs w:val="24"/>
                <w:color w:val="auto"/>
              </w:rPr>
            </w:pPr>
          </w:p>
        </w:tc>
        <w:tc>
          <w:tcPr>
            <w:tcW w:w="10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Spruce Biosciences, Inc.</w:t>
            </w:r>
          </w:p>
        </w:tc>
      </w:tr>
      <w:tr>
        <w:trPr>
          <w:trHeight w:val="432"/>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 May 26, 2026</w:t>
            </w:r>
          </w:p>
        </w:tc>
        <w:tc>
          <w:tcPr>
            <w:tcW w:w="23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 Samir Gharib</w:t>
            </w:r>
          </w:p>
        </w:tc>
      </w:tr>
      <w:tr>
        <w:trPr>
          <w:trHeight w:val="191"/>
        </w:trPr>
        <w:tc>
          <w:tcPr>
            <w:tcW w:w="35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66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Samir Gharib</w:t>
            </w:r>
          </w:p>
        </w:tc>
        <w:tc>
          <w:tcPr>
            <w:tcW w:w="74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979"/>
        </w:trPr>
        <w:tc>
          <w:tcPr>
            <w:tcW w:w="35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2026-05-26T15:11:56Z</dcterms:created>
  <dcterms:modified xsi:type="dcterms:W3CDTF">2026-05-26T15:11:56Z</dcterms:modified>
</cp:coreProperties>
</file>