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SPRUCE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AWM Investment Company,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146,988.00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146,988.00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146,988.00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AWM Investment Company, Inc., a Delaware Corporation (AWM), is the investment adviser to Special Situations Cayman Fund, L.P. (CAYMAN), Special Situations Fund III QP, L.P. (SSFQP) and Special Situations Life Sciences Fund, L.P. (SSLS). As the investment adviser to the Funds, AWM holds sole voting and investment power over 29,033 Common Shares held by CAYMAN, 99,618 Common Shares held by SSFQP and 18,337 Shares held by SSLS.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SPRUCE BIOSCIENCES, INC.</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BOULEVARD, SUITE 740,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Life Sciences Fund, L.P., a Delaware limited partnership (SSLS). The principal business of each Fund is to invest in equity and equity-related securities and other securities of any kind or nature. David M. Greenhouse (Greenhouse) and Adam C. Stettner (Stettner) are members of: SSCayman, L.L.C., a Delaware limited liability company (SSCAY), the general partner of CAYMAN; MGP Advisers Limited Partnership, a Delaware limited partnership (MGP), the general partner of SSFQP; and LS Advisers, L.L.C., a New York limited liability company (LS). Greenhouse and Stettner are also controlling principals of AWM.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AWM is c/o Special Situations Funds, 527 Madison Avenue, Suite 2600,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Citizenship: </w:t>
            </w:r>
          </w:p>
          <w:p>
            <w:pPr>
              <w:pStyle w:val="TableContents"/>
              <w:bidi w:val="0"/>
              <w:spacing w:before="0" w:after="0"/>
              <w:jc w:val="left"/>
              <w:rPr/>
            </w:pPr>
            <w:r>
              <w:rPr/>
              <w:t>AWM is 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(g)</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(h)</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(j)</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(k)</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9072" w:type="dxa"/>
            <w:gridSpan w:val="2"/>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146,988</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AWM is the investment adviser to each of the Funds. As the investment adviser to the Funds, AWM holds sole voting power over 29,033 Common Shares held by CAYMAN, 99,618 Common Shares held by SSFQP and 18,337 Shares held by SSLS. Greenhouse and Stettner are members of: SSCAY, the general partner of CAYMAN; MGP, the general partner of SSFQP and LS, the general partner of SSLS. Greenhouse and Stettner are also controlling principals of AWM</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AWM is the investment adviser to each of the Funds. As the investment adviser to the Funds, AWM holds sole investment power over 29,033 Common Shares held by CAYMAN, 99,618 Common Shares held by SSFQP and 18,337 Shares held by SSLS. Greenhouse and Stettner are members of: SSCAY, the general partner of CAYMAN; MGP, the general partner of SSFQP and LS, the general partner of SSLS. Greenhouse and Stettner are also controlling principals of AWM</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891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8.</w:t>
            </w:r>
          </w:p>
        </w:tc>
        <w:tc>
          <w:tcPr>
            <w:tcW w:w="891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9.</w:t>
            </w:r>
          </w:p>
        </w:tc>
        <w:tc>
          <w:tcPr>
            <w:tcW w:w="891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AWM Investment Company, Inc.</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Adam Stettner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Executive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1094</Words>
  <Characters>5719</Characters>
  <CharactersWithSpaces>6807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