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40331.htm"/>
        <w:bookmarkStart w:id="1" w:name="kssprb2024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center"/>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center"/>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May 9, 2024, the registrant had 41,154,799</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0"/>
        <w:gridCol w:w="146"/>
        <w:gridCol w:w="211"/>
        <w:gridCol w:w="841"/>
        <w:gridCol w:w="166"/>
        <w:gridCol w:w="146"/>
        <w:gridCol w:w="218"/>
        <w:gridCol w:w="875"/>
        <w:gridCol w:w="612"/>
      </w:tblGrid>
      <w:tr>
        <w:trPr/>
        <w:tc>
          <w:tcPr>
            <w:tcW w:w="6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vAlign w:val="center"/>
          </w:tcPr>
          <w:p>
            <w:pPr>
              <w:pStyle w:val="TableContents"/>
              <w:bidi w:val="0"/>
              <w:spacing w:before="0" w:after="283"/>
              <w:jc w:val="center"/>
              <w:rPr/>
            </w:pPr>
            <w:r>
              <w:rPr/>
              <w:t> </w:t>
            </w:r>
          </w:p>
        </w:tc>
      </w:tr>
      <w:tr>
        <w:trPr/>
        <w:tc>
          <w:tcPr>
            <w:tcW w:w="69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ind w:left="0" w:right="0" w:firstLine="100"/>
              <w:jc w:val="right"/>
              <w:rPr/>
            </w:pPr>
            <w:r>
              <w:rPr/>
              <w:t> </w:t>
            </w:r>
          </w:p>
        </w:tc>
      </w:tr>
      <w:tr>
        <w:trPr/>
        <w:tc>
          <w:tcPr>
            <w:tcW w:w="69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ind w:left="0" w:right="0" w:firstLine="200"/>
              <w:jc w:val="righ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96,339</w:t>
            </w:r>
          </w:p>
        </w:tc>
        <w:tc>
          <w:tcPr>
            <w:tcW w:w="612" w:type="dxa"/>
            <w:tcBorders/>
            <w:shd w:fill="CFF0FC" w:val="clear"/>
            <w:vAlign w:val="center"/>
          </w:tcPr>
          <w:p>
            <w:pPr>
              <w:pStyle w:val="TableContents"/>
              <w:bidi w:val="0"/>
              <w:spacing w:before="0" w:after="283"/>
              <w:ind w:left="0" w:right="0" w:firstLine="200"/>
              <w:jc w:val="left"/>
              <w:rPr/>
            </w:pPr>
            <w:r>
              <w:rPr/>
              <w:t> </w:t>
            </w:r>
          </w:p>
        </w:tc>
      </w:tr>
      <w:tr>
        <w:trPr/>
        <w:tc>
          <w:tcPr>
            <w:tcW w:w="69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612" w:type="dxa"/>
            <w:tcBorders/>
            <w:shd w:fill="FFFFFF" w:val="clear"/>
            <w:vAlign w:val="center"/>
          </w:tcPr>
          <w:p>
            <w:pPr>
              <w:pStyle w:val="TableContents"/>
              <w:bidi w:val="0"/>
              <w:spacing w:before="0" w:after="283"/>
              <w:ind w:left="0" w:right="0" w:firstLine="200"/>
              <w:jc w:val="lef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102,183</w:t>
            </w:r>
          </w:p>
        </w:tc>
        <w:tc>
          <w:tcPr>
            <w:tcW w:w="612" w:type="dxa"/>
            <w:tcBorders/>
            <w:shd w:fill="FFFFFF" w:val="clear"/>
            <w:vAlign w:val="center"/>
          </w:tcPr>
          <w:p>
            <w:pPr>
              <w:pStyle w:val="TableContents"/>
              <w:bidi w:val="0"/>
              <w:spacing w:before="0" w:after="283"/>
              <w:ind w:left="0" w:right="0" w:firstLine="100"/>
              <w:jc w:val="left"/>
              <w:rPr/>
            </w:pPr>
            <w:r>
              <w:rPr/>
              <w:t> </w:t>
            </w:r>
          </w:p>
        </w:tc>
      </w:tr>
      <w:tr>
        <w:trPr/>
        <w:tc>
          <w:tcPr>
            <w:tcW w:w="69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612" w:type="dxa"/>
            <w:tcBorders/>
            <w:shd w:fill="CFF0FC" w:val="clear"/>
            <w:vAlign w:val="center"/>
          </w:tcPr>
          <w:p>
            <w:pPr>
              <w:pStyle w:val="TableContents"/>
              <w:bidi w:val="0"/>
              <w:spacing w:before="0" w:after="283"/>
              <w:ind w:left="0" w:right="0" w:firstLine="100"/>
              <w:jc w:val="left"/>
              <w:rPr/>
            </w:pPr>
            <w:r>
              <w:rPr/>
              <w:t> </w:t>
            </w:r>
          </w:p>
        </w:tc>
      </w:tr>
      <w:tr>
        <w:trPr/>
        <w:tc>
          <w:tcPr>
            <w:tcW w:w="69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ind w:left="0" w:right="0" w:firstLine="100"/>
              <w:jc w:val="right"/>
              <w:rPr/>
            </w:pPr>
            <w:r>
              <w:rPr/>
              <w:t> </w:t>
            </w:r>
          </w:p>
        </w:tc>
      </w:tr>
      <w:tr>
        <w:trPr/>
        <w:tc>
          <w:tcPr>
            <w:tcW w:w="69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ind w:left="0" w:right="0" w:firstLine="200"/>
              <w:jc w:val="right"/>
              <w:rPr/>
            </w:pPr>
            <w:r>
              <w:rPr/>
              <w:t> </w:t>
            </w:r>
          </w:p>
        </w:tc>
      </w:tr>
      <w:tr>
        <w:trPr/>
        <w:tc>
          <w:tcPr>
            <w:tcW w:w="69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612" w:type="dxa"/>
            <w:tcBorders/>
            <w:shd w:fill="FFFFFF" w:val="clear"/>
            <w:vAlign w:val="center"/>
          </w:tcPr>
          <w:p>
            <w:pPr>
              <w:pStyle w:val="TableContents"/>
              <w:bidi w:val="0"/>
              <w:spacing w:before="0" w:after="283"/>
              <w:ind w:left="0" w:right="0" w:firstLine="200"/>
              <w:jc w:val="lef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612" w:type="dxa"/>
            <w:tcBorders/>
            <w:shd w:fill="CFF0FC" w:val="clear"/>
            <w:vAlign w:val="center"/>
          </w:tcPr>
          <w:p>
            <w:pPr>
              <w:pStyle w:val="TableContents"/>
              <w:bidi w:val="0"/>
              <w:spacing w:before="0" w:after="283"/>
              <w:ind w:left="0" w:right="0" w:firstLine="200"/>
              <w:jc w:val="left"/>
              <w:rPr/>
            </w:pPr>
            <w:r>
              <w:rPr/>
              <w:t> </w:t>
            </w:r>
          </w:p>
        </w:tc>
      </w:tr>
      <w:tr>
        <w:trPr/>
        <w:tc>
          <w:tcPr>
            <w:tcW w:w="69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2" w:type="dxa"/>
            <w:tcBorders/>
            <w:shd w:fill="FFFFFF" w:val="clear"/>
            <w:vAlign w:val="center"/>
          </w:tcPr>
          <w:p>
            <w:pPr>
              <w:pStyle w:val="TableContents"/>
              <w:bidi w:val="0"/>
              <w:spacing w:before="0" w:after="283"/>
              <w:ind w:left="0" w:right="0" w:firstLine="200"/>
              <w:jc w:val="lef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2" w:type="dxa"/>
            <w:tcBorders/>
            <w:shd w:fill="FFFFFF" w:val="clear"/>
            <w:vAlign w:val="center"/>
          </w:tcPr>
          <w:p>
            <w:pPr>
              <w:pStyle w:val="TableContents"/>
              <w:bidi w:val="0"/>
              <w:spacing w:before="0" w:after="283"/>
              <w:ind w:left="0" w:right="0" w:firstLine="100"/>
              <w:jc w:val="left"/>
              <w:rPr/>
            </w:pPr>
            <w:r>
              <w:rPr/>
              <w:t> </w:t>
            </w:r>
          </w:p>
        </w:tc>
      </w:tr>
      <w:tr>
        <w:trPr/>
        <w:tc>
          <w:tcPr>
            <w:tcW w:w="69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2" w:type="dxa"/>
            <w:tcBorders/>
            <w:shd w:fill="CFF0FC" w:val="clear"/>
            <w:vAlign w:val="center"/>
          </w:tcPr>
          <w:p>
            <w:pPr>
              <w:pStyle w:val="TableContents"/>
              <w:bidi w:val="0"/>
              <w:spacing w:before="0" w:after="283"/>
              <w:ind w:left="0" w:right="0" w:firstLine="100"/>
              <w:jc w:val="left"/>
              <w:rPr/>
            </w:pPr>
            <w:r>
              <w:rPr/>
              <w:t> </w:t>
            </w:r>
          </w:p>
        </w:tc>
      </w:tr>
      <w:tr>
        <w:trPr/>
        <w:tc>
          <w:tcPr>
            <w:tcW w:w="69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612" w:type="dxa"/>
            <w:tcBorders/>
            <w:shd w:fill="FFFFFF" w:val="clear"/>
            <w:vAlign w:val="center"/>
          </w:tcPr>
          <w:p>
            <w:pPr>
              <w:pStyle w:val="TableContents"/>
              <w:bidi w:val="0"/>
              <w:spacing w:before="0" w:after="283"/>
              <w:ind w:left="0" w:right="0" w:firstLine="100"/>
              <w:jc w:val="left"/>
              <w:rPr/>
            </w:pPr>
            <w:r>
              <w:rPr/>
              <w:t> </w:t>
            </w:r>
          </w:p>
        </w:tc>
      </w:tr>
      <w:tr>
        <w:trPr/>
        <w:tc>
          <w:tcPr>
            <w:tcW w:w="69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2" w:type="dxa"/>
            <w:tcBorders/>
            <w:shd w:fill="CFF0FC" w:val="clear"/>
            <w:vAlign w:val="center"/>
          </w:tcPr>
          <w:p>
            <w:pPr>
              <w:pStyle w:val="TableContents"/>
              <w:bidi w:val="0"/>
              <w:spacing w:before="0" w:after="283"/>
              <w:ind w:left="0" w:right="0" w:firstLine="100"/>
              <w:jc w:val="right"/>
              <w:rPr/>
            </w:pPr>
            <w:r>
              <w:rPr/>
              <w:t> </w:t>
            </w:r>
          </w:p>
        </w:tc>
      </w:tr>
      <w:tr>
        <w:trPr/>
        <w:tc>
          <w:tcPr>
            <w:tcW w:w="69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2" w:type="dxa"/>
            <w:tcBorders/>
            <w:shd w:fill="FFFFFF" w:val="clear"/>
            <w:vAlign w:val="center"/>
          </w:tcPr>
          <w:p>
            <w:pPr>
              <w:pStyle w:val="TableContents"/>
              <w:bidi w:val="0"/>
              <w:spacing w:before="0" w:after="283"/>
              <w:ind w:left="0" w:right="0" w:firstLine="200"/>
              <w:jc w:val="righ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612" w:type="dxa"/>
            <w:tcBorders/>
            <w:shd w:fill="CFF0FC" w:val="clear"/>
            <w:vAlign w:val="center"/>
          </w:tcPr>
          <w:p>
            <w:pPr>
              <w:pStyle w:val="TableContents"/>
              <w:bidi w:val="0"/>
              <w:spacing w:before="0" w:after="283"/>
              <w:ind w:left="0" w:right="0" w:firstLine="200"/>
              <w:jc w:val="left"/>
              <w:rPr/>
            </w:pPr>
            <w:r>
              <w:rPr/>
              <w:t> </w:t>
            </w:r>
          </w:p>
        </w:tc>
      </w:tr>
      <w:tr>
        <w:trPr/>
        <w:tc>
          <w:tcPr>
            <w:tcW w:w="69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March 31, 2024 and December 31, 2023; 41,154,799 and 41,029,832 shares </w:t>
              <w:br/>
              <w:t>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vAlign w:val="center"/>
          </w:tcPr>
          <w:p>
            <w:pPr>
              <w:pStyle w:val="TableContents"/>
              <w:bidi w:val="0"/>
              <w:spacing w:before="0" w:after="283"/>
              <w:ind w:left="0" w:right="0" w:firstLine="200"/>
              <w:jc w:val="left"/>
              <w:rPr/>
            </w:pPr>
            <w:r>
              <w:rPr/>
              <w:t> </w:t>
            </w:r>
          </w:p>
        </w:tc>
      </w:tr>
      <w:tr>
        <w:trPr/>
        <w:tc>
          <w:tcPr>
            <w:tcW w:w="6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612" w:type="dxa"/>
            <w:tcBorders/>
            <w:shd w:fill="CFF0FC" w:val="clear"/>
            <w:vAlign w:val="center"/>
          </w:tcPr>
          <w:p>
            <w:pPr>
              <w:pStyle w:val="TableContents"/>
              <w:bidi w:val="0"/>
              <w:spacing w:before="0" w:after="283"/>
              <w:ind w:left="0" w:right="0" w:firstLine="200"/>
              <w:jc w:val="left"/>
              <w:rPr/>
            </w:pPr>
            <w:r>
              <w:rPr/>
              <w:t> </w:t>
            </w:r>
          </w:p>
        </w:tc>
      </w:tr>
      <w:tr>
        <w:trPr/>
        <w:tc>
          <w:tcPr>
            <w:tcW w:w="699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8239" w:type="dxa"/>
        <w:jc w:val="left"/>
        <w:tblInd w:w="0" w:type="dxa"/>
        <w:tblLayout w:type="fixed"/>
        <w:tblCellMar>
          <w:top w:w="28" w:type="dxa"/>
          <w:left w:w="28" w:type="dxa"/>
          <w:bottom w:w="28" w:type="dxa"/>
          <w:right w:w="28" w:type="dxa"/>
        </w:tblCellMar>
      </w:tblPr>
      <w:tblGrid>
        <w:gridCol w:w="4696"/>
        <w:gridCol w:w="146"/>
        <w:gridCol w:w="211"/>
        <w:gridCol w:w="1036"/>
        <w:gridCol w:w="166"/>
        <w:gridCol w:w="146"/>
        <w:gridCol w:w="211"/>
        <w:gridCol w:w="1036"/>
        <w:gridCol w:w="5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59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31,900,160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18"/>
        <w:gridCol w:w="146"/>
        <w:gridCol w:w="146"/>
        <w:gridCol w:w="1036"/>
        <w:gridCol w:w="146"/>
        <w:gridCol w:w="146"/>
        <w:gridCol w:w="261"/>
        <w:gridCol w:w="430"/>
        <w:gridCol w:w="146"/>
        <w:gridCol w:w="146"/>
        <w:gridCol w:w="211"/>
        <w:gridCol w:w="781"/>
        <w:gridCol w:w="166"/>
        <w:gridCol w:w="146"/>
        <w:gridCol w:w="565"/>
        <w:gridCol w:w="703"/>
        <w:gridCol w:w="146"/>
        <w:gridCol w:w="146"/>
        <w:gridCol w:w="211"/>
        <w:gridCol w:w="841"/>
        <w:gridCol w:w="166"/>
        <w:gridCol w:w="146"/>
        <w:gridCol w:w="231"/>
        <w:gridCol w:w="811"/>
        <w:gridCol w:w="414"/>
      </w:tblGrid>
      <w:tr>
        <w:trPr/>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vAlign w:val="center"/>
          </w:tcPr>
          <w:p>
            <w:pPr>
              <w:pStyle w:val="TableContents"/>
              <w:bidi w:val="0"/>
              <w:spacing w:before="0" w:after="283"/>
              <w:jc w:val="center"/>
              <w:rPr/>
            </w:pPr>
            <w:r>
              <w:rPr/>
              <w:t> </w:t>
            </w:r>
          </w:p>
        </w:tc>
      </w:tr>
      <w:tr>
        <w:trPr/>
        <w:tc>
          <w:tcPr>
            <w:tcW w:w="1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4" w:type="dxa"/>
            <w:tcBorders/>
            <w:shd w:fill="FFFFFF" w:val="clear"/>
            <w:vAlign w:val="center"/>
          </w:tcPr>
          <w:p>
            <w:pPr>
              <w:pStyle w:val="TableContents"/>
              <w:bidi w:val="0"/>
              <w:spacing w:before="0" w:after="283"/>
              <w:jc w:val="center"/>
              <w:rPr/>
            </w:pPr>
            <w:r>
              <w:rPr/>
              <w:t> </w:t>
            </w:r>
          </w:p>
        </w:tc>
      </w:tr>
      <w:tr>
        <w:trPr/>
        <w:tc>
          <w:tcPr>
            <w:tcW w:w="1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41,029,832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9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9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1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91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41,154,799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00"/>
        <w:gridCol w:w="146"/>
        <w:gridCol w:w="146"/>
        <w:gridCol w:w="1036"/>
        <w:gridCol w:w="146"/>
        <w:gridCol w:w="146"/>
        <w:gridCol w:w="261"/>
        <w:gridCol w:w="430"/>
        <w:gridCol w:w="146"/>
        <w:gridCol w:w="146"/>
        <w:gridCol w:w="211"/>
        <w:gridCol w:w="781"/>
        <w:gridCol w:w="166"/>
        <w:gridCol w:w="146"/>
        <w:gridCol w:w="466"/>
        <w:gridCol w:w="801"/>
        <w:gridCol w:w="166"/>
        <w:gridCol w:w="146"/>
        <w:gridCol w:w="211"/>
        <w:gridCol w:w="841"/>
        <w:gridCol w:w="166"/>
        <w:gridCol w:w="146"/>
        <w:gridCol w:w="221"/>
        <w:gridCol w:w="821"/>
        <w:gridCol w:w="413"/>
      </w:tblGrid>
      <w:tr>
        <w:trPr/>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Issuance of common stock and warrants, </w:t>
              <w:br/>
              <w:t>   net of offering costs of $2,721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39,746,116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986" w:type="dxa"/>
        <w:jc w:val="left"/>
        <w:tblInd w:w="0" w:type="dxa"/>
        <w:tblLayout w:type="fixed"/>
        <w:tblCellMar>
          <w:top w:w="28" w:type="dxa"/>
          <w:left w:w="28" w:type="dxa"/>
          <w:bottom w:w="28" w:type="dxa"/>
          <w:right w:w="28" w:type="dxa"/>
        </w:tblCellMar>
      </w:tblPr>
      <w:tblGrid>
        <w:gridCol w:w="6031"/>
        <w:gridCol w:w="146"/>
        <w:gridCol w:w="229"/>
        <w:gridCol w:w="801"/>
        <w:gridCol w:w="180"/>
        <w:gridCol w:w="158"/>
        <w:gridCol w:w="229"/>
        <w:gridCol w:w="801"/>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(11,625</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(12,791</w:t>
            </w:r>
          </w:p>
        </w:tc>
        <w:tc>
          <w:tcPr>
            <w:tcW w:w="4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of discount on available-for-sale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4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righ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(1,441</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(1,354</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(2,003</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13,036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(14,958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maturities of investments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22,365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and warrants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Repayment of term loan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(15,185</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49,223</w:t>
            </w:r>
          </w:p>
        </w:tc>
        <w:tc>
          <w:tcPr>
            <w:tcW w:w="4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96,374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81,189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81,154</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73,926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81,189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located in South San Francisco, California and was incorporated in the state of Delaware in April 2016.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Private Placement of Common Stock and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The total gross proceeds to the Company were approximately $53.6 million, which does not include any proceeds that may be received upon exercise of the Standard Warrants.</w:t>
      </w:r>
    </w:p>
    <w:p>
      <w:pPr>
        <w:pStyle w:val="TextBody"/>
        <w:bidi w:val="0"/>
        <w:spacing w:before="120" w:after="283"/>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the Company's securities. Also, in February 2022, the Company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March 31, 2024, the Company has not issued any shares of Common Stock under the Sales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believes that based on its current operating plan, its cash and cash equivalents of $81.2 million as of March 31, 2024 will be sufficient to fund its planned operations and debt obligations for at least 12 months following the issuance date of these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three months ended March 31, 2024, the Company incurred a net loss of $11.6 million and used $15.0 million of cash in operations. As of March 31, 2024, the Company had an accumulated deficit of $208.9 million and does not expect positive cash flows from operations in the foreseeable future. The Company has funded its operations primarily through the issuance and sale of equity securities, debt and 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anticipates that it will need to raise substantial additional financing in the future to fund its operations. In order to meet these additional cash requirements, the Company may seek to out-license rights to 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 GAAP have been condensed or omitted. The condensed balance sheet as of March 31, 2024, the condensed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comprehensive loss for the three months ended March 31, 2024 and 2023, the condensed statement of stockholders’ equity for the three months ended March 31, 2024 and 2023, and the condensed statements of cash flows for the three months ended March 31, 2024 and 2023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2023 is derived from the Company’s audited financial statements. The results of operations for the three months ended March 31, 2024 are not necessarily indicative of the results to be expected for the year ending December 31, 2024,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2023 filed with the SEC on March 18, 2024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three months ended March 31, 2024,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are required to comply with those standards. The Company has elected to use the extended transition period for complying with new or revised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most notably the tax rate reconciliation and income taxes paid. ASU 2023-09 is effective for fiscal years beginning after December 15, 2024 on a prospective basis and retrospective application is permitted. The Company is currently evaluating the impact of the adoption of this standard on the Company’s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Improvements to Reportable Segment Disclosures</w:t>
      </w:r>
      <w:r>
        <w:rPr>
          <w:rFonts w:ascii="Times New Roman" w:hAnsi="Times New Roman"/>
          <w:color w:val="000000"/>
          <w:sz w:val="20"/>
        </w:rPr>
        <w:t xml:space="preserve"> (“ASU 2023-07”) which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disclosure requirements related to the new standard.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and U.S. treasury securities as Level 1 investments as the Company uses quoted prices in active markets for identical assets to determine the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measured at fair value on a recurring basis by level within the fair value hierarchy (in thousands): </w:t>
      </w:r>
    </w:p>
    <w:tbl>
      <w:tblPr>
        <w:tblW w:w="10042" w:type="dxa"/>
        <w:jc w:val="left"/>
        <w:tblInd w:w="0" w:type="dxa"/>
        <w:tblLayout w:type="fixed"/>
        <w:tblCellMar>
          <w:top w:w="28" w:type="dxa"/>
          <w:left w:w="28" w:type="dxa"/>
          <w:bottom w:w="28" w:type="dxa"/>
          <w:right w:w="28" w:type="dxa"/>
        </w:tblCellMar>
      </w:tblPr>
      <w:tblGrid>
        <w:gridCol w:w="2051"/>
        <w:gridCol w:w="886"/>
        <w:gridCol w:w="146"/>
        <w:gridCol w:w="296"/>
        <w:gridCol w:w="949"/>
        <w:gridCol w:w="146"/>
        <w:gridCol w:w="146"/>
        <w:gridCol w:w="686"/>
        <w:gridCol w:w="1129"/>
        <w:gridCol w:w="146"/>
        <w:gridCol w:w="146"/>
        <w:gridCol w:w="697"/>
        <w:gridCol w:w="1148"/>
        <w:gridCol w:w="146"/>
        <w:gridCol w:w="146"/>
        <w:gridCol w:w="211"/>
        <w:gridCol w:w="67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2051"/>
        <w:gridCol w:w="886"/>
        <w:gridCol w:w="146"/>
        <w:gridCol w:w="296"/>
        <w:gridCol w:w="949"/>
        <w:gridCol w:w="146"/>
        <w:gridCol w:w="146"/>
        <w:gridCol w:w="686"/>
        <w:gridCol w:w="1129"/>
        <w:gridCol w:w="146"/>
        <w:gridCol w:w="146"/>
        <w:gridCol w:w="697"/>
        <w:gridCol w:w="1148"/>
        <w:gridCol w:w="146"/>
        <w:gridCol w:w="146"/>
        <w:gridCol w:w="211"/>
        <w:gridCol w:w="67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have been no realized gains or losses on available for sale securities for the periods presented. Unrealized gains and losses are included in “accumulated other comprehensive loss” within stockholders' equity on the condensed balance sheets.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investments as of March 31, 2024 and December 31, 2023. No allowance for credit losses has been recognized as of March 31, 2024. During the three months ended March 31, 2024 and 2023, the Company did not recognize any impairment losses related to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 was $3.2 million and $3.6 million as of March 31, 2024 and December 31, 2023, respectively, and was based on market observable interest rates, a Level 2 input.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on a recurring or non-recurring basis as of March 31, 2024 and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272"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10,832</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research and development expenses were primarily related to clinical trials and manufacturing of clinical drug supply.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24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Loan and Security Agreement, as subsequently amended (the “Loan Agreement”) with Silicon Valley Bank (“SVB”) providing for a term loan (the “Term Loan”) for an aggregate principal amount of $4.5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carrying value of the Term Loan was $2.9 million, consisting of the outstanding principal under the First Tranche of $3.0 million, less unamortized debt discount and issuance costs of $31 thousand, which are being amortized using the effective interest method over the life of the Term Loan. Commitments available under the Second Tranche of $10.0 million expired on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but unpaid interest. As of March 31, 2024 and December 31, 2023, the stated interest rate of the Term Loan was 9.0%,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March 31, 2024, the Company was in compliance with all covenants under the Loan Agreement and there has been no material adverse change.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2024, future payments of principal and interest are as follows (in thousands):</w:t>
      </w:r>
    </w:p>
    <w:tbl>
      <w:tblPr>
        <w:tblW w:w="4595" w:type="dxa"/>
        <w:jc w:val="left"/>
        <w:tblInd w:w="0" w:type="dxa"/>
        <w:tblLayout w:type="fixed"/>
        <w:tblCellMar>
          <w:top w:w="28" w:type="dxa"/>
          <w:left w:w="28" w:type="dxa"/>
          <w:bottom w:w="28" w:type="dxa"/>
          <w:right w:w="28" w:type="dxa"/>
        </w:tblCellMar>
      </w:tblPr>
      <w:tblGrid>
        <w:gridCol w:w="3196"/>
        <w:gridCol w:w="146"/>
        <w:gridCol w:w="211"/>
        <w:gridCol w:w="63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9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gross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term loan,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Collaboration and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 Lily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is recognized as revenue using the cost-based input method over the estimated period of its non-contingent research and development obligations, which is approximately two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each of the three months ended March 31, 2024 and 2023, the Company recognized collaboration revenue of $2.0 million. As of March 31, 2024, deferred revenue was $2.9 million, all of which was current.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Company was authorized to issue 200,000,000 shares of common stock $0.0001 par value per share. Holders of common stock are entitled to dividends if and when declared by the board of directors of the Company (“Board of Directors”). The holder of each share of common stock is entitled to one vote. As of March 31, 2024, no dividends were declared.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reserved for future issuance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9689" w:type="dxa"/>
        <w:jc w:val="left"/>
        <w:tblInd w:w="0" w:type="dxa"/>
        <w:tblLayout w:type="fixed"/>
        <w:tblCellMar>
          <w:top w:w="28" w:type="dxa"/>
          <w:left w:w="28" w:type="dxa"/>
          <w:bottom w:w="28" w:type="dxa"/>
          <w:right w:w="28" w:type="dxa"/>
        </w:tblCellMar>
      </w:tblPr>
      <w:tblGrid>
        <w:gridCol w:w="6496"/>
        <w:gridCol w:w="146"/>
        <w:gridCol w:w="146"/>
        <w:gridCol w:w="1036"/>
        <w:gridCol w:w="146"/>
        <w:gridCol w:w="146"/>
        <w:gridCol w:w="146"/>
        <w:gridCol w:w="1036"/>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and performance stock units,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3,482,663</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4,097,376</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77,631</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21,019,708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during the three months ended March 31, 2024 and 2023 (in thousands): </w:t>
      </w:r>
    </w:p>
    <w:tbl>
      <w:tblPr>
        <w:tblW w:w="6584" w:type="dxa"/>
        <w:jc w:val="left"/>
        <w:tblInd w:w="0" w:type="dxa"/>
        <w:tblLayout w:type="fixed"/>
        <w:tblCellMar>
          <w:top w:w="28" w:type="dxa"/>
          <w:left w:w="28" w:type="dxa"/>
          <w:bottom w:w="28" w:type="dxa"/>
          <w:right w:w="28" w:type="dxa"/>
        </w:tblCellMar>
      </w:tblPr>
      <w:tblGrid>
        <w:gridCol w:w="3651"/>
        <w:gridCol w:w="146"/>
        <w:gridCol w:w="272"/>
        <w:gridCol w:w="738"/>
        <w:gridCol w:w="188"/>
        <w:gridCol w:w="188"/>
        <w:gridCol w:w="272"/>
        <w:gridCol w:w="73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three months ended March 31, 2024, the Company granted 1,698,400 restricted stock units (“RSUs”) with a weighted-average grant date fair value of $1.59 per unit. RSU grants in the period included 795,350 RSUs subject to performance-based vesting conditions related to the satisfaction of certain clinical development milestones. As of March 31, 2024, the Company had 1,651,262 RSUs outstanding subject to performance-based vesting conditions, of which 1,007,062 RSUs are considered probable of achievement. </w:t>
      </w:r>
    </w:p>
    <w:p>
      <w:pPr>
        <w:pStyle w:val="TextBody"/>
        <w:bidi w:val="0"/>
        <w:spacing w:before="24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8224" w:type="dxa"/>
        <w:jc w:val="left"/>
        <w:tblInd w:w="0" w:type="dxa"/>
        <w:tblLayout w:type="fixed"/>
        <w:tblCellMar>
          <w:top w:w="28" w:type="dxa"/>
          <w:left w:w="28" w:type="dxa"/>
          <w:bottom w:w="28" w:type="dxa"/>
          <w:right w:w="28" w:type="dxa"/>
        </w:tblCellMar>
      </w:tblPr>
      <w:tblGrid>
        <w:gridCol w:w="4881"/>
        <w:gridCol w:w="146"/>
        <w:gridCol w:w="211"/>
        <w:gridCol w:w="1036"/>
        <w:gridCol w:w="166"/>
        <w:gridCol w:w="146"/>
        <w:gridCol w:w="211"/>
        <w:gridCol w:w="1036"/>
        <w:gridCol w:w="3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1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Standard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2,373,915</w:t>
            </w:r>
          </w:p>
        </w:tc>
        <w:tc>
          <w:tcPr>
            <w:tcW w:w="3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4,045,310</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19,442,929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2023 filed with the Securities and Exchange Commission (“SEC”) on March 18, 2024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reduced steroid burden for patients suffering from classic congenital adrenal hyperplasia (“CAH”). Classic CAH is a serious and life-threatening disease with no known novel therapies approved in approximately 70 years. Over 200 subjects across nine completed clinical trials to date have been administered tildacerfont with no drug-related serious adverse events (“SAEs”) reported.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CAHmelia-203, a placebo-controlled, double-blind Phase 2b clinical trial in 96 adult patients with classic CAH with highly elevated levels of androstenedione (“A4”) at baseline and reported topline results in March 2024.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we decided to terminate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initiated CAHmelia-204, a second Phase 2b clinical trial in 100 adult patients with classic CAH on mean daily dose of supraphysiologic GCs of 37 mg/day of hydrocortisone equivalents. Patients enrolled had a mean A4 level at baseline of 224 ng/dL (approximately the ULN) and 66% of patients enrolled had androgenic control, defined as having A4 values below the ULN at baseline. Topline results from CAHmelia-204 are anticipated in the third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initiated CAHptain-205, a Phase 2 open-label clinical trial, which utilizes a sequential three cohort design, to evaluate the safety, efficacy, and pharmacokinetics of tildacerfont in children two to 17 years of age with classic CAH. We reported topline results in March 2024. CAHptain-205 enrolled 30 children between two and 17 years of age with a mean baseline GC dose of 14 mg/m2/day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relatively higher doses than adults to achieve optimal exposures of drugs. So, while we are encouraged by the activity observed thus far at suboptimal doses in this Phase 2 dose-ranging study, we plan to continue to evaluate the optimal dose, with topline interim results from additional dose ranging cohorts anticipated in the third quarter of 2024. Assuming positive results from CAHmelia-204 and CAHptain-205, we plan to meet with the U.S. Food and Drug Administration (“FDA”) and comparable foreign regulatory authorities to outline the design of a registrational clinical program in adult and pediatric classic CAH.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By leveraging our existing Phase 1 program, which includes safety, tolerability, and pharmacokinetics of tildacerfont, we initiated and completed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the study drug and single event occurrences. No serious adverse reactions or dose toxicities were observed, and there was no evidence of adrenal insufficiency. Final data from the POWER clinical trial will be presented at a future medical conference.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losses and negative cash flows from operations. During the three months ended March 31, 2024 and 2023, we incurred net losses of $11.6 million and $12.8 million, respectively, and used $15.0 million and $11.8 million of cash in operations, respectively. As of March 31, 2024 and December 31, 2023, we had an accumulated deficit of $208.9 million and $197.2 million, respectively, and we do not expect positive cash flows from operations for the foreseeable future.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2020, we consummated our initial public offering (“IPO”) and issued 6,900,000 shares of common stock for net proceeds of $93.4 million, after deducting underwriting discounts and commissions and offering expenses. Since inception through March 31, 2024,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the $15.0 million upfront payment from Kaken received in April 2023. As of March 31, 2024 and December 31, 2023, we had cash and cash equivalents of $81.2 million and $96.3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March 31, 2024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tildacerfont through our ongoing Phase 2b clinical trials in adult patients with classic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development of tildacerfont in additional indications, including pediatric classic CAH and PCOS;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approvals of tildacerfont in patients with classic CAH and PCOS;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tildacerfont,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indications and formulations for which to investigate tildacerfont in the future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March 31, 2024, we have not issued any shares of common stock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Eli Lilly and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Kaken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supply Kaken’s clinical drug supply requirements of tildacerfont pursuant to a clinical supply agreement that the parties plan to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as subsequently amended (the “Loan Agreement”), with SVB providing for a term loan (the “Term Loan”) for an aggregate principal amount of $4.5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Second Amendment to Loan and Security Agreement (the “Second Amendment”) which amended the milestones for the Second Tranche, added a liquidity covenant for the Second Tranche and amended the interest and prepayment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outstanding principal was comprised of $3.0 million and $3.4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March 31, 2024, management believes that we are in compliance with all covenants under the Loan Agreement and there has been no material adverse change.</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our revenue has been derived from the Kaken License Agreement, pursuant to which we granted Kaken the exclusive right to develop and commercialize tildacerfont for CAH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recognize royalty and milestone revenues under the Kaken License Agreement if and when appropriate under the relevant accounting rules (see Note 7 to our condensed financial statements). We have not generated any revenues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sale of approved products and we do not expect to generate revenues from the commercial sale of our product candidates for at least the foreseeable future, if ever.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condensed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the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cash equivalents and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Three Months Ended March 31, 2024 and 2023</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7010" w:type="dxa"/>
        <w:jc w:val="left"/>
        <w:tblInd w:w="0" w:type="dxa"/>
        <w:tblLayout w:type="fixed"/>
        <w:tblCellMar>
          <w:top w:w="28" w:type="dxa"/>
          <w:left w:w="28" w:type="dxa"/>
          <w:bottom w:w="28" w:type="dxa"/>
          <w:right w:w="28" w:type="dxa"/>
        </w:tblCellMar>
      </w:tblPr>
      <w:tblGrid>
        <w:gridCol w:w="2721"/>
        <w:gridCol w:w="146"/>
        <w:gridCol w:w="229"/>
        <w:gridCol w:w="801"/>
        <w:gridCol w:w="180"/>
        <w:gridCol w:w="158"/>
        <w:gridCol w:w="229"/>
        <w:gridCol w:w="801"/>
        <w:gridCol w:w="166"/>
        <w:gridCol w:w="146"/>
        <w:gridCol w:w="211"/>
        <w:gridCol w:w="631"/>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1" w:type="dxa"/>
            <w:tcBorders/>
            <w:shd w:fill="CFF0FC"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and 2023, we recognized $2.0 million, respectively, as collaboration revenue under the Kaken License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585" w:type="dxa"/>
        <w:jc w:val="left"/>
        <w:tblInd w:w="0" w:type="dxa"/>
        <w:tblLayout w:type="fixed"/>
        <w:tblCellMar>
          <w:top w:w="28" w:type="dxa"/>
          <w:left w:w="28" w:type="dxa"/>
          <w:bottom w:w="28" w:type="dxa"/>
          <w:right w:w="28" w:type="dxa"/>
        </w:tblCellMar>
      </w:tblPr>
      <w:tblGrid>
        <w:gridCol w:w="3496"/>
        <w:gridCol w:w="146"/>
        <w:gridCol w:w="245"/>
        <w:gridCol w:w="785"/>
        <w:gridCol w:w="169"/>
        <w:gridCol w:w="169"/>
        <w:gridCol w:w="245"/>
        <w:gridCol w:w="785"/>
        <w:gridCol w:w="14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decreased by $1.4 million during the three months ended March 31, 2024, compared to the three months ended March 31, 2023. The overall decrease in research and development expenses was primarily related to the decrease in clinical development expenses and manufacturing expenses driven by the completion of enrollment in the CAHmelia-203 and CAHmelia-204 studies. This was offset by an increase in personnel related expenses attributable to restructuring charges related to severance and benefits and an increase in other research and development expenses to support clinical development operations. We expect research and development expenses to decrease following the decision to terminate the CAHmelia-203 study.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$0.9 million during the three months ended March 31, 2024, compared to the three months ended March 31, 2023, primarily due to an increase in professional services, including legal, finance, and accounting and an increase in personnel expenses primarily due to an increase stock-based compensation expense.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three months ended March 31, 2024, compared to the three months ended March 31, 2023 and was related to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increased by $0.6 million during the three months ended March 31, 2024, compared to the three months ended March 31, 2023. The increase was primarily due to higher yield earned on money market fund balances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March 31, 2024 and December 31, 2023, we had an accumulated deficit of $208.9 million and $197.2 million, respectively. As of March 31, 2024 and December 31, 2023, we had cash and cash equivalents of $81.2 million and $96.3 million, respectively. Since inception through March 31, 2024,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March 31, 2024 will be sufficient to fund our operations and debt obligations for at least 12 months following the issuance date of our financial statements included elsewhere in this Quarterly Report. In addition, we have streamlined our operations and have implemented cost reduction measures, including termination of the CAHmelia-203 study and a reduction in force of approximately 21 percent, which has extended our cash runway through the end of 2025, beyond topline data readouts for CAHmelia-204 and additional dose ranging data from CAHptain-205.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and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March 31, 2024, we have not issued any shares of common stock pursuant to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tildacerfont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the COVID-19 pandemic, the wars in Ukraine and Israel and related sanctions, and recent and potential future disruptions in access to bank deposits or lending commitments due to bank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wars in Ukraine and Israel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future payments of principal and interest on the Term Loan, which commenced repayment in January 2023 and matures in January 2026, were $3.2 million. For a description of the terms of the Loan Agreement, see the section titled “Management’s Discussion and Analysis of Financial Condition and Results of Operations —Material Agreements — Loan Agreement"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total undiscounted lease payments for our non-cancelable operating lease for office space, which terminates in February 2028 unless renewed, was $1.4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March 31, 2024,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8525" w:type="dxa"/>
        <w:jc w:val="left"/>
        <w:tblInd w:w="0" w:type="dxa"/>
        <w:tblLayout w:type="fixed"/>
        <w:tblCellMar>
          <w:top w:w="28" w:type="dxa"/>
          <w:left w:w="28" w:type="dxa"/>
          <w:bottom w:w="28" w:type="dxa"/>
          <w:right w:w="28" w:type="dxa"/>
        </w:tblCellMar>
      </w:tblPr>
      <w:tblGrid>
        <w:gridCol w:w="4311"/>
        <w:gridCol w:w="146"/>
        <w:gridCol w:w="229"/>
        <w:gridCol w:w="801"/>
        <w:gridCol w:w="180"/>
        <w:gridCol w:w="158"/>
        <w:gridCol w:w="229"/>
        <w:gridCol w:w="801"/>
        <w:gridCol w:w="166"/>
        <w:gridCol w:w="146"/>
        <w:gridCol w:w="211"/>
        <w:gridCol w:w="736"/>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(14,958</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Net (decrease) increase in cash, cash equivalents, </w:t>
              <w:br/>
              <w:t>   and restricted cash</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$3.2 million during the three months ended March 31, 2024 compared to the three months ended March 31, 2023. There were higher cash payments driven by increased clinical development activities associated with the progression of clinical trials of tildacerfont in adult classic CAH and pediatric classic CAH. Additionally, there were higher personnel-related payments driven by increased stock-based compensation expenses and higher payments for increased professional services, including legal, finance and accounting.</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net cash provided by investing activities was nil.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2023, net cash provided by investing activities was $10.5 million, consisting of proceeds from maturities of investments of $22.4 million offset by purchases of investments of $11.9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net cash used in financing activities was $0.2 million, consisting primarily of principal payments on the Term Loan of $0.4 million, offset by proceeds of $0.2 million from stock option exercises.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2023, net cash provided by financing activities was $50.5 million, consisting primarily of net proceeds received from the February 2023 private placement of $51.0 million, offset by principal payments on the Term Loan of $0.4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Policies and Estimates” in the Annual Report. During the three months ended March 31, 2024, there were no changes to our critical accounting estimates from those discussed in the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March 31, 2024 consist of $81.2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geopolitical and macroeconomic events. As of March 31, 2024,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March 31, 2024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three months ended March 31, 2024 and 2023, we reported net losses of $11.6 million and $12.8 million, respectively. As of March 31, 2024, we had an accumulated deficit of $208.9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we had cash and cash equivalents of $81.2 million. In October 2020, we consummated our initial public offering (“IPO”) and issued 6,900,000 shares of common stock for net proceeds of $93.4 million, after deducting underwriting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discounts and commissions and offering expenses. In February 2023, we completed a private placement for net proceeds of $50.9 million. In April 2023, we received a $15.0 million upfront payment under the Kaken License Agreement. We believe, based on our current operating plan, that our cash and cash equivalents as of March 31, 2024 will be sufficient to fund our operations and debt obligations for at least 12 months following the issuance date of our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tildacerfont and any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including the COVID-19 pandemic and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initiated CAHmelia-203, a placebo-controlled, double-blind Phase 2b clinical trial in 96 adult patients with classic CAH with highly elevated levels of A4 at baseline and reported topline results in March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CAHmelia-203 enrolled 96 subjects with a mean baseline androstenedione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GC was low with approximately 50% of patients reporting 80% or greater compliance, which we believe resulted in lower-than-expected tildacerfont exposure. Tildacerfont was generally safe and well tolerated at all doses, with no treatment-related SAEs. Most adverse events were reported as mild to moderate. As a result of not meeting the primary efficacy endpoint, we have terminated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initiated CAHmelia-204, a second Phase 2b clinical trial in 100 adult patients with classic CAH on mean daily dose of supraphysiologic GCs of 37 mg/day of hydrocortisone equivalents. Patients were enrolled with a mean A4 level at baseline of 224 ng/dL (approximately the ULN) and 66% of patients were enrolled with androgenic control, defined as having A4 values below the ULN at baseline. Although we have terminated the CAHmelia-203 trial, we believe the differentiated patient population between CAHmelia-203 and CAHmelia-204 supports our decision to continue with the CAHmelia-204 trial until topline results are available in the third quarter of 2024. However, our belief about the differentiated patient population may be incorrect and the CAHmelia-204 trial may similarly fail to meet its primary efficacy endpoint, which would result in significant financial and development setbacks.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we are investigating tildacerfont for the treatment of classic CAH in children. We initiated CAHptain-205, a Phase 2 open-label clinical trial, which utilizes a sequential three cohort design, to evaluate the safety, efficacy, and pharmacokinetics of tildacerfont in children two to 17 years of age with classic CAH. We reported topline results in March 2024. CAHptain-205 enrolled 30 children between two and 17 years of age with a mean baseline GC dose of 14 mg/m</w:t>
      </w:r>
      <w:r>
        <w:rPr>
          <w:rFonts w:ascii="Times New Roman" w:hAnsi="Times New Roman"/>
          <w:color w:val="000000"/>
          <w:sz w:val="13"/>
        </w:rPr>
        <w:t>2</w:t>
      </w:r>
      <w:r>
        <w:rPr>
          <w:rFonts w:ascii="Times New Roman" w:hAnsi="Times New Roman"/>
          <w:color w:val="000000"/>
          <w:sz w:val="20"/>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While we are encouraged by the activity observed thus far at suboptimal doses in this Phase 2 dose-ranging study, we plan to continue to evaluate the optimal dose, with topline interim results from additional dose ranging cohorts anticipated in the third quarter of 2024. Assuming positive results from CAHmelia-204 and CAHptain-205, we plan to meet with the FDA and comparable foreign regulatory authorities to outline the design of a registrational clinical program in adult and pediatric classic CAH.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by leveraging our existing Phase 1 program, which includes safety, tolerability, and pharmacokinetics of tildacerfont, we initiated and completed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serious adverse reactions or dose toxicities were observed, and there was no evidence of adrenal insufficiency. We plan to present the final data from the POWER clinical trial at a future medical conference.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tildacerfont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tildacerfont,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tildacerfont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ongoing Phase 2b clinical trial uses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is still being evaluated in pediatric patients with classic CAH, and the results may not be similar to the results observed in clinical trials of adult patients. In addition, we are using doses in our Phase 2b clinical trial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in adult patients with classic CAH, and we may continue to face such setbacks, which may delay or prevent regulatory approval of tildacerfont. For example, due to not meeting its primary efficacy endpoint, we made the decision to terminate our CAHmelia-203 trial in March 2024 and will be largely dependent on our Phase 2b CAHmelia-204 and Phase 2 CAHptain-205 trials to inform the design of a registrational clinical program in adult and pediatric classic CAH, subject to feedback from FDA and comparable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Phase 2b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tildacerfont or any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tildacerfont and any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States until we receive approval of an NDA from the FDA. Similar requirements and risks are applicable in foreign markets. We have not previously submitted an NDA to the FDA, or similar drug approval filings to comparable foreign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wars in Ukraine and Israel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tildacerfont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conducting and plan to conduct several clinical trials for tildacerfont in parallel over the next several years, including multiple clinical trials in adult and pediatric patients with classic CAH and females with PCOS. As a result, we may forgo or delay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a granulate formulation or oral suspension for pediatric patients.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submit a Marketing Authorization Application (“MAA”) to the EMA for approval of tildacerfont in the EU for the treatment of classic CAH. As with the FDA, obtaining approval of an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200 subjects across nine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tildacerfont and any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tildacerfont and any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policies of the FDA and other regulatory authorities, including foreign regulatory authorities,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tildacerfont and any future product candidates, tildacerfont and any future product candidates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such as tildacerfont,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tildacerfont and any future product candidates, which could make it difficult for us to sell tildacerfont and any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or comparable foreign healthcare programs,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will apply from January 2025.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for our product candidates in the EU, if approved, among other regulatory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marketing tildacerfont and any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tildacerfont for additional indications, our commercial opportunity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pursue clinical development of tildacerfont in additional endocrine disorders, including, but not limited to, pediatric classic CAH and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reported positive topline results from both studies. Crinetics Pharmaceuticals, Inc. initiated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though we have obtained orphan drug designation for tildacerfont for the treatment of CAH, we may not be able to obtain or maintain the benefits associated with orphan drug status, including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the EU, may designate drugs for relatively small patient populations as orphan drugs. Under the Orphan Drug Act, the FDA may designate a drug as an orphan drug if it is intended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may grant orphan drug designation for medicinal products that are intended for the diagnosis, prevention or treatment of diseases that are life-threatening or chronically debilitating, and for which either no satisfactory method of diagnosis, prevention, or treatment exists, or if such method exists, the medicine is of significant benefit to those affected by such condition. In addition, to benefit from such designation, either the prevalence of such condition must not be more than five in 10,000 people across the EU or, if more prevalent, the product, without the benefits derived from orphan status, would not generate sufficient returns in the EU to justify the investment needed for its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from approving another marketing application for the same drug and same indication for that time period. In the EU, upon grant of a marketing authorization, orphan medicinal products market exclusivity precludes the EMA from accepting another marketing authorization application or an application to extend for a similar product, and the European Commission from granting a marketing authorization for the same indication. The applicable period is seven years in the United States and ten years in the EU, which may be extended by six months and two years, respectively, in the case of product candidates that have complied with the respective regulatory authority’s agreed upon pediatric investigation plan. The market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designation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the manufacturer of the original orphan medicinal product is unable to supply sufficient quantities or the regulatory authority concludes that a subsequent application for the same drug for the same indication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the regulatory exclusivities associated with orphan designation. Even though the FDA has granted orphan drug designation to tildacerfont for the treatment of classic CAH, if we receive approval for tildacerfont for a modified or different indication, our current orphan designations may not provide us with exclusivity.</w:t>
      </w:r>
    </w:p>
    <w:p>
      <w:pPr>
        <w:pStyle w:val="TextBody"/>
        <w:bidi w:val="0"/>
        <w:spacing w:before="120" w:after="283"/>
        <w:jc w:val="left"/>
        <w:rPr>
          <w:rFonts w:ascii="Times New Roman" w:hAnsi="Times New Roman"/>
          <w:sz w:val="20"/>
        </w:rPr>
      </w:pPr>
      <w:r>
        <w:rPr>
          <w:rFonts w:ascii="Times New Roman" w:hAnsi="Times New Roman"/>
          <w:color w:val="000000"/>
          <w:sz w:val="20"/>
        </w:rPr>
        <w:t>Orphan drug designation does not convey any advantage in, or shorten the duration of, the regulatory review or approval process. Also, regulatory approval for any product candidate may be withdrawn, suspended or varied</w:t>
      </w:r>
      <w:r>
        <w:rPr>
          <w:rFonts w:ascii="Times New Roman" w:hAnsi="Times New Roman"/>
          <w:color w:val="000000"/>
          <w:sz w:val="20"/>
          <w:u w:val="single"/>
        </w:rPr>
        <w:t xml:space="preserve"> </w:t>
      </w:r>
      <w:r>
        <w:rPr>
          <w:rFonts w:ascii="Times New Roman" w:hAnsi="Times New Roman"/>
          <w:color w:val="000000"/>
          <w:sz w:val="20"/>
        </w:rPr>
        <w:t>and other product candidates may obtain approval before us and receive orphan drug exclusivity, which could block us from entering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exclusivity for tildacerfont, that exclusivity may not effectively protect us from competition because different drugs can be approved for the same condition before the expiration of the orphan drug exclusivity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successfully in-license, acquire, develop, and market additional product candidates or approved products would impair our ability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a substantial amount of our efforts is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European Commission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we had 22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tildacerfont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March 2024, we reported topline results from CAHmelia-203, our placebo-controlled, double-blind Phase 2b clinical trial in adult patients with classic CAH with highly elevated levels of A4 at baseline. Additionally, we completed enrollment in CAHmelia-204, our second Phase 2b clinical trial in adult patients with classic CAH on supraphysiologic doses of glucocorticoids with normal or near normal levels of A4 at baseline focused on glucocorticoid reduction and anticipate topline results in the third quarter of 2024. We also reported topline results from our Phase 2 open-label clinical trial in pediatric patients between two and 17 years of age with classic CAH in March 2024.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we entered into a Loan and Security Agreement (the “Loan Agreement”) providing for a term loan (the “Term Loan”) with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million would become available. As of March 31, 2024, we had $3.0 million outstanding under the Loan Agreement. Repayment of principal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new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to detect and remediate vulnerabilities, in our information systems (such as our hardware and/or software, including that of third parties with whom we work.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with whom we work. A security incident or other interruption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experience a security incident, applicable data privacy and security obligations may require us to notify relevant stakeholders, such as consumers, partners, collaborators, government authorities, and the media. Such disclosures are costly, and the disclosure or the failure to comply with such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may be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or the third parties with whom we work fail, or are perceived to have failed, to address or comply with any such obligations, this could result in enforcement actions that could include investigations, fines, penalties, audits and inspections, litigation (including class-action claims) and arbitration, additional reporting requirements and/or oversight, temporary or permanent bans on all or some processing of personal data, or orders to destroy or not use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states, such as Virginia, Colorado, Connecticut and Utah have also passed comprehensive privacy laws, and similar laws are being considered in several other states, as well as at the federal and local levels.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European Union’s General Data Protection Regulation (“EU GDPR”) and the United Kingdom’s GDPR (“UK GDPR”) (collectively, “GDPR”). Each of these regulations requires stringent standards of data privacy and security concerning personal data and potentially significant sanctions. For example, under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transfer personal data from Europe and other jurisdictions to the United States or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r>
        <w:rPr>
          <w:rFonts w:ascii="Times New Roman" w:hAnsi="Times New Roman"/>
          <w:color w:val="000000"/>
          <w:sz w:val="20"/>
        </w:rPr>
        <w:t>inadequate’ countries in compliance with GDPR,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For example, patients about whom we or the third parties with whom we work to obtain information, as well as the third parties with whom we work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individuals’ data privacy and security expectations) are quickly changing, becoming increasingly stringent, and creating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with whom we work ability to operate in certain jurisdictions. Each of these constantly evolving laws can be subject to differing applications and interpretations which may be inconsistent or conflict among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tildacerfont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2023, after reducing net operating losses (“NOLs”) and tax credits for amounts not expected to be utilized, we had federal NOL carryforwards of approximately $118.2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$22.2 million and $1.7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March 31, 2024, we recorded a full valuation allowance on our net deferred tax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Lilly, the termination of which could result in the loss of significant rights,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tildacerfont and any future product candidates must be approved by the applicable regulatory authorities, including the FDA or comparable foreign regulatory authorities,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tildacerfont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tildacerfont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tildacerfont;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tildacerfont,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tildacerfont,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Times New Roman" w:hAnsi="Times New Roman"/>
          <w:color w:val="231F20"/>
          <w:sz w:val="20"/>
        </w:rPr>
        <w:t>In Europe, no earlier than October 1, 2022, European applications have the option, upon grant of a patent, of becoming a Unitary Patent which will be subject to the jurisdiction of the Unitary Patent Court (</w:t>
      </w:r>
      <w:r>
        <w:rPr>
          <w:rFonts w:ascii="Times New Roman" w:hAnsi="Times New Roman"/>
          <w:color w:val="000000"/>
          <w:sz w:val="20"/>
        </w:rPr>
        <w:t>“</w:t>
      </w:r>
      <w:r>
        <w:rPr>
          <w:rFonts w:ascii="Times New Roman" w:hAnsi="Times New Roman"/>
          <w:color w:val="231F20"/>
          <w:sz w:val="20"/>
        </w:rPr>
        <w:t>UPC</w:t>
      </w:r>
      <w:r>
        <w:rPr>
          <w:rFonts w:ascii="Times New Roman" w:hAnsi="Times New Roman"/>
          <w:color w:val="000000"/>
          <w:sz w:val="20"/>
        </w:rPr>
        <w:t>”</w:t>
      </w:r>
      <w:r>
        <w:rPr>
          <w:rFonts w:ascii="Times New Roman" w:hAnsi="Times New Roman"/>
          <w:color w:val="231F20"/>
          <w:sz w:val="20"/>
        </w:rPr>
        <w:t xml:space="preserve">). This is a significant change in European patent practice. As the UPC is a new court system, there is no precedent for the court, increasing the uncertainty of any litigation. In advance of June 1, 2023, European applications and patents had the option to opt-out of the UPC. We have opted-out all company owned European applications and patents from the UPC before the deadline. Also, for the licensed European applications and patents, the licensor has opted-out the licensed European applications and patents from the UPC except for EP1869049. Opted-out European applications and patents can withdraw opt-out requests and opt back in the UPC in the future. Nonetheless, due the uncertainty of the UPC, </w:t>
      </w:r>
      <w:r>
        <w:rPr>
          <w:rFonts w:ascii="Times New Roman" w:hAnsi="Times New Roman"/>
          <w:color w:val="000000"/>
          <w:sz w:val="20"/>
        </w:rPr>
        <w:t>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tildacerfont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 w:hAnsi="Times New Roman"/>
          <w:i/>
          <w:color w:val="000000"/>
          <w:sz w:val="20"/>
        </w:rPr>
        <w:t>sua sponte</w:t>
      </w:r>
      <w:r>
        <w:rPr>
          <w:rFonts w:ascii="Times New Roman" w:hAnsi="Times New Roman"/>
          <w:color w:val="000000"/>
          <w:sz w:val="20"/>
        </w:rPr>
        <w:t xml:space="preserve"> Director Review of the Board’s decisions. In August 2023, the USPTO issued a Director Review decision addressing the standards for inherent anticipation and written description and remanded for a new decision about institution from the Board. In December 2023, the Board instituted post-grant review.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notifying us that, for the previous 30 consecutive business day period prior to the date of the letter, the closing bid price for our common stock was below $1.00. In accordance with Nasdaq Listing Rule 5810(c)(3)(A) we have been provided an initial period of 180 calendar days, or until July 30, 2024, to regain compliance with Nasdaq’s bid price requirement. If, at any time before October 23, 2024, the bid price for our common stock closes at $1.00 or more for a minimum of 10 consecutive business days, we will regain compliance with the bid price requirement, unless Nasdaq staff exercised its discretion to extend this 10-day period pursuant to Nasdaq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liquid and orderly trading market for our common stock may not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2024 to May 9, 2024 has ranged from a low of $0.69 to a high of $5.49.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data from our Phase 2b clinical trial or any future clinical trials we conduct;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(such as the COVID-19 pandemic),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tildacerfont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executive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classic CAH in adult and pediatric patients and females with PCOS, and other rare endocrine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relating to contagious disease outbreaks, the ongoing wars in Ukraine and Israel, and recent and potential future disruptions in access to bank deposits or lending commitments due to bank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2024, there were 41,154,799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these additional shares of common stock, and the shares of common stock issued or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hyperlink r:id="rId4">
              <w:r>
                <w:rPr>
                  <w:rStyle w:val="InternetLink"/>
                  <w:rFonts w:ascii="Times New Roman" w:hAnsi="Times New Roman"/>
                  <w:color w:val="0000FF"/>
                  <w:sz w:val="20"/>
                </w:rPr>
                <w:t xml:space="preserve"> </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741"/>
        <w:gridCol w:w="109"/>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1741"/>
        <w:gridCol w:w="109"/>
        <w:gridCol w:w="406"/>
        <w:gridCol w:w="28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1741"/>
        <w:gridCol w:w="109"/>
        <w:gridCol w:w="406"/>
        <w:gridCol w:w="28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61293</Words>
  <Characters>343489</Characters>
  <CharactersWithSpaces>404206</CharactersWithSpaces>
  <Paragraphs>3665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