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1"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7"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2"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69" w:lineRule="exact"/>
        <w:rPr>
          <w:rFonts w:ascii="MS PGothic" w:cs="MS PGothic" w:eastAsia="MS PGothic" w:hAnsi="MS PGothic"/>
          <w:sz w:val="16"/>
          <w:szCs w:val="16"/>
          <w:color w:val="auto"/>
          <w:highlight w:val="black"/>
        </w:rPr>
      </w:pPr>
    </w:p>
    <w:p>
      <w:pPr>
        <w:ind w:left="3920"/>
        <w:spacing w:after="0"/>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For the fiscal year ended December 31, 2022</w:t>
      </w:r>
    </w:p>
    <w:p>
      <w:pPr>
        <w:spacing w:after="0" w:line="63" w:lineRule="exact"/>
        <w:rPr>
          <w:rFonts w:ascii="MS PGothic" w:cs="MS PGothic" w:eastAsia="MS PGothic" w:hAnsi="MS PGothic"/>
          <w:sz w:val="16"/>
          <w:szCs w:val="16"/>
          <w:color w:val="auto"/>
          <w:highlight w:val="black"/>
        </w:rPr>
      </w:pPr>
    </w:p>
    <w:p>
      <w:pPr>
        <w:ind w:left="5460"/>
        <w:spacing w:after="0"/>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OR</w:t>
      </w:r>
    </w:p>
    <w:p>
      <w:pPr>
        <w:ind w:left="480" w:hanging="459"/>
        <w:spacing w:after="0" w:line="185" w:lineRule="auto"/>
        <w:tabs>
          <w:tab w:leader="none" w:pos="480" w:val="left"/>
        </w:tabs>
        <w:numPr>
          <w:ilvl w:val="0"/>
          <w:numId w:val="2"/>
        </w:numPr>
        <w:rPr>
          <w:rFonts w:ascii="MS PGothic" w:cs="MS PGothic" w:eastAsia="MS PGothic" w:hAnsi="MS PGothic"/>
          <w:sz w:val="12"/>
          <w:szCs w:val="12"/>
          <w:color w:val="auto"/>
          <w:highlight w:val="black"/>
        </w:rPr>
      </w:pPr>
      <w:r>
        <w:rPr>
          <w:rFonts w:ascii="Arial" w:cs="Arial" w:eastAsia="Arial" w:hAnsi="Arial"/>
          <w:sz w:val="12"/>
          <w:szCs w:val="12"/>
          <w:b w:val="1"/>
          <w:bCs w:val="1"/>
          <w:color w:val="auto"/>
        </w:rPr>
        <w:t>TRANSITION REPORT PURSUANT TO SECTION 13 OR 15(d) OF THE SECURITIES EXCHANGE ACT OF 1934 FOR THE TRANSITION</w:t>
      </w:r>
    </w:p>
    <w:p>
      <w:pPr>
        <w:spacing w:after="0" w:line="191" w:lineRule="exact"/>
        <w:rPr>
          <w:sz w:val="24"/>
          <w:szCs w:val="24"/>
          <w:color w:val="auto"/>
        </w:rPr>
      </w:pPr>
    </w:p>
    <w:p>
      <w:pPr>
        <w:ind w:left="480"/>
        <w:spacing w:after="0"/>
        <w:tabs>
          <w:tab w:leader="none" w:pos="2520" w:val="left"/>
        </w:tabs>
        <w:rPr>
          <w:sz w:val="20"/>
          <w:szCs w:val="20"/>
          <w:color w:val="auto"/>
        </w:rPr>
      </w:pPr>
      <w:r>
        <w:rPr>
          <w:rFonts w:ascii="Arial" w:cs="Arial" w:eastAsia="Arial" w:hAnsi="Arial"/>
          <w:sz w:val="16"/>
          <w:szCs w:val="16"/>
          <w:b w:val="1"/>
          <w:bCs w:val="1"/>
          <w:color w:val="auto"/>
        </w:rPr>
        <w:t>PERIOD FROM</w:t>
      </w:r>
      <w:r>
        <w:rPr>
          <w:sz w:val="20"/>
          <w:szCs w:val="20"/>
          <w:color w:val="auto"/>
        </w:rPr>
        <w:tab/>
      </w:r>
      <w:r>
        <w:rPr>
          <w:rFonts w:ascii="Arial" w:cs="Arial" w:eastAsia="Arial" w:hAnsi="Arial"/>
          <w:sz w:val="15"/>
          <w:szCs w:val="15"/>
          <w:b w:val="1"/>
          <w:bCs w:val="1"/>
          <w:color w:val="auto"/>
        </w:rPr>
        <w:t>TO</w:t>
      </w:r>
    </w:p>
    <w:p>
      <w:pPr>
        <w:spacing w:after="0" w:line="7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Commission File Number 001-39594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Spruce Biosciences, Inc.</w:t>
      </w:r>
    </w:p>
    <w:p>
      <w:pPr>
        <w:spacing w:after="0" w:line="3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4500" w:type="dxa"/>
            <w:vAlign w:val="bottom"/>
          </w:tcPr>
          <w:p>
            <w:pPr>
              <w:jc w:val="center"/>
              <w:ind w:left="1052"/>
              <w:spacing w:after="0"/>
              <w:rPr>
                <w:sz w:val="20"/>
                <w:szCs w:val="20"/>
                <w:color w:val="auto"/>
              </w:rPr>
            </w:pPr>
            <w:r>
              <w:rPr>
                <w:rFonts w:ascii="Arial" w:cs="Arial" w:eastAsia="Arial" w:hAnsi="Arial"/>
                <w:sz w:val="14"/>
                <w:szCs w:val="14"/>
                <w:b w:val="1"/>
                <w:bCs w:val="1"/>
                <w:color w:val="auto"/>
                <w:w w:val="94"/>
              </w:rPr>
              <w:t>Delaware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560" w:type="dxa"/>
            <w:vAlign w:val="bottom"/>
          </w:tcPr>
          <w:p>
            <w:pPr>
              <w:jc w:val="right"/>
              <w:ind w:right="2393"/>
              <w:spacing w:after="0"/>
              <w:rPr>
                <w:sz w:val="20"/>
                <w:szCs w:val="20"/>
                <w:color w:val="auto"/>
              </w:rPr>
            </w:pPr>
            <w:r>
              <w:rPr>
                <w:rFonts w:ascii="Arial" w:cs="Arial" w:eastAsia="Arial" w:hAnsi="Arial"/>
                <w:sz w:val="14"/>
                <w:szCs w:val="14"/>
                <w:b w:val="1"/>
                <w:bCs w:val="1"/>
                <w:color w:val="auto"/>
              </w:rPr>
              <w:t>81-2154263</w:t>
            </w:r>
          </w:p>
        </w:tc>
        <w:tc>
          <w:tcPr>
            <w:tcW w:w="0" w:type="dxa"/>
            <w:vAlign w:val="bottom"/>
          </w:tcPr>
          <w:p>
            <w:pPr>
              <w:spacing w:after="0"/>
              <w:rPr>
                <w:sz w:val="1"/>
                <w:szCs w:val="1"/>
                <w:color w:val="auto"/>
              </w:rPr>
            </w:pPr>
          </w:p>
        </w:tc>
      </w:tr>
      <w:tr>
        <w:trPr>
          <w:trHeight w:val="135"/>
        </w:trPr>
        <w:tc>
          <w:tcPr>
            <w:tcW w:w="4500" w:type="dxa"/>
            <w:vAlign w:val="bottom"/>
          </w:tcPr>
          <w:p>
            <w:pPr>
              <w:jc w:val="center"/>
              <w:ind w:left="1052"/>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560" w:type="dxa"/>
            <w:vAlign w:val="bottom"/>
          </w:tcPr>
          <w:p>
            <w:pPr>
              <w:jc w:val="center"/>
              <w:ind w:right="1993"/>
              <w:spacing w:after="0" w:line="135"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58"/>
        </w:trPr>
        <w:tc>
          <w:tcPr>
            <w:tcW w:w="4500" w:type="dxa"/>
            <w:vAlign w:val="bottom"/>
          </w:tcPr>
          <w:p>
            <w:pPr>
              <w:jc w:val="center"/>
              <w:ind w:left="1072"/>
              <w:spacing w:after="0"/>
              <w:rPr>
                <w:sz w:val="20"/>
                <w:szCs w:val="20"/>
                <w:color w:val="auto"/>
              </w:rPr>
            </w:pPr>
            <w:r>
              <w:rPr>
                <w:rFonts w:ascii="Arial" w:cs="Arial" w:eastAsia="Arial" w:hAnsi="Arial"/>
                <w:sz w:val="13"/>
                <w:szCs w:val="13"/>
                <w:b w:val="1"/>
                <w:bCs w:val="1"/>
                <w:color w:val="auto"/>
                <w:w w:val="88"/>
              </w:rPr>
              <w:t>incorporation or organization)</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560" w:type="dxa"/>
            <w:vAlign w:val="bottom"/>
          </w:tcPr>
          <w:p>
            <w:pPr>
              <w:jc w:val="center"/>
              <w:ind w:right="1993"/>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148"/>
        </w:trPr>
        <w:tc>
          <w:tcPr>
            <w:tcW w:w="4500" w:type="dxa"/>
            <w:vAlign w:val="bottom"/>
          </w:tcPr>
          <w:p>
            <w:pPr>
              <w:jc w:val="center"/>
              <w:ind w:left="1052"/>
              <w:spacing w:after="0" w:line="149" w:lineRule="exact"/>
              <w:rPr>
                <w:sz w:val="20"/>
                <w:szCs w:val="20"/>
                <w:color w:val="auto"/>
              </w:rPr>
            </w:pPr>
            <w:r>
              <w:rPr>
                <w:rFonts w:ascii="Arial" w:cs="Arial" w:eastAsia="Arial" w:hAnsi="Arial"/>
                <w:sz w:val="14"/>
                <w:szCs w:val="14"/>
                <w:b w:val="1"/>
                <w:bCs w:val="1"/>
                <w:color w:val="auto"/>
                <w:w w:val="92"/>
              </w:rPr>
              <w:t>611 Gateway Boulevard, Suite 740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560" w:type="dxa"/>
            <w:vAlign w:val="bottom"/>
            <w:vMerge w:val="restart"/>
          </w:tcPr>
          <w:p>
            <w:pPr>
              <w:jc w:val="right"/>
              <w:ind w:right="2553"/>
              <w:spacing w:after="0"/>
              <w:rPr>
                <w:sz w:val="20"/>
                <w:szCs w:val="20"/>
                <w:color w:val="auto"/>
              </w:rPr>
            </w:pPr>
            <w:r>
              <w:rPr>
                <w:rFonts w:ascii="Arial" w:cs="Arial" w:eastAsia="Arial" w:hAnsi="Arial"/>
                <w:sz w:val="14"/>
                <w:szCs w:val="14"/>
                <w:b w:val="1"/>
                <w:bCs w:val="1"/>
                <w:color w:val="auto"/>
              </w:rPr>
              <w:t>94080</w:t>
            </w:r>
          </w:p>
        </w:tc>
        <w:tc>
          <w:tcPr>
            <w:tcW w:w="0" w:type="dxa"/>
            <w:vAlign w:val="bottom"/>
          </w:tcPr>
          <w:p>
            <w:pPr>
              <w:spacing w:after="0"/>
              <w:rPr>
                <w:sz w:val="1"/>
                <w:szCs w:val="1"/>
                <w:color w:val="auto"/>
              </w:rPr>
            </w:pPr>
          </w:p>
        </w:tc>
      </w:tr>
      <w:tr>
        <w:trPr>
          <w:trHeight w:val="180"/>
        </w:trPr>
        <w:tc>
          <w:tcPr>
            <w:tcW w:w="4500" w:type="dxa"/>
            <w:vAlign w:val="bottom"/>
          </w:tcPr>
          <w:p>
            <w:pPr>
              <w:jc w:val="center"/>
              <w:ind w:left="1072"/>
              <w:spacing w:after="0"/>
              <w:rPr>
                <w:sz w:val="20"/>
                <w:szCs w:val="20"/>
                <w:color w:val="auto"/>
              </w:rPr>
            </w:pPr>
            <w:r>
              <w:rPr>
                <w:rFonts w:ascii="Arial" w:cs="Arial" w:eastAsia="Arial" w:hAnsi="Arial"/>
                <w:sz w:val="14"/>
                <w:szCs w:val="14"/>
                <w:b w:val="1"/>
                <w:bCs w:val="1"/>
                <w:color w:val="auto"/>
                <w:w w:val="92"/>
              </w:rPr>
              <w:t>South San Francisco, California</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500" w:type="dxa"/>
            <w:vAlign w:val="bottom"/>
          </w:tcPr>
          <w:p>
            <w:pPr>
              <w:jc w:val="center"/>
              <w:ind w:left="1072"/>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560" w:type="dxa"/>
            <w:vAlign w:val="bottom"/>
          </w:tcPr>
          <w:p>
            <w:pPr>
              <w:jc w:val="center"/>
              <w:ind w:right="1993"/>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20"/>
        </w:trPr>
        <w:tc>
          <w:tcPr>
            <w:tcW w:w="7680" w:type="dxa"/>
            <w:vAlign w:val="bottom"/>
            <w:gridSpan w:val="7"/>
          </w:tcPr>
          <w:p>
            <w:pPr>
              <w:ind w:left="3540"/>
              <w:spacing w:after="0"/>
              <w:rPr>
                <w:sz w:val="20"/>
                <w:szCs w:val="20"/>
                <w:color w:val="auto"/>
              </w:rPr>
            </w:pPr>
            <w:r>
              <w:rPr>
                <w:rFonts w:ascii="Arial" w:cs="Arial" w:eastAsia="Arial" w:hAnsi="Arial"/>
                <w:sz w:val="14"/>
                <w:szCs w:val="14"/>
                <w:b w:val="1"/>
                <w:bCs w:val="1"/>
                <w:color w:val="auto"/>
                <w:w w:val="91"/>
              </w:rPr>
              <w:t>Registrant’s telephone number, including area code: (415) 655-4168</w:t>
            </w: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
        </w:trPr>
        <w:tc>
          <w:tcPr>
            <w:tcW w:w="4500" w:type="dxa"/>
            <w:vAlign w:val="bottom"/>
            <w:vMerge w:val="restart"/>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40" w:type="dxa"/>
            <w:vAlign w:val="bottom"/>
          </w:tcPr>
          <w:p>
            <w:pPr>
              <w:spacing w:after="0"/>
              <w:rPr>
                <w:sz w:val="6"/>
                <w:szCs w:val="6"/>
                <w:color w:val="auto"/>
              </w:rPr>
            </w:pPr>
          </w:p>
        </w:tc>
        <w:tc>
          <w:tcPr>
            <w:tcW w:w="3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4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4"/>
          </w:tcPr>
          <w:p>
            <w:pPr>
              <w:jc w:val="center"/>
              <w:ind w:right="1160"/>
              <w:spacing w:after="0"/>
              <w:rPr>
                <w:sz w:val="20"/>
                <w:szCs w:val="20"/>
                <w:color w:val="auto"/>
              </w:rPr>
            </w:pPr>
            <w:r>
              <w:rPr>
                <w:rFonts w:ascii="Arial" w:cs="Arial" w:eastAsia="Arial" w:hAnsi="Arial"/>
                <w:sz w:val="13"/>
                <w:szCs w:val="13"/>
                <w:b w:val="1"/>
                <w:bCs w:val="1"/>
                <w:color w:val="auto"/>
                <w:w w:val="96"/>
              </w:rPr>
              <w:t>Trading</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500" w:type="dxa"/>
            <w:vAlign w:val="bottom"/>
            <w:tcBorders>
              <w:bottom w:val="single" w:sz="8" w:color="auto"/>
            </w:tcBorders>
          </w:tcPr>
          <w:p>
            <w:pPr>
              <w:ind w:left="1800"/>
              <w:spacing w:after="0"/>
              <w:rPr>
                <w:sz w:val="20"/>
                <w:szCs w:val="20"/>
                <w:color w:val="auto"/>
              </w:rPr>
            </w:pPr>
            <w:r>
              <w:rPr>
                <w:rFonts w:ascii="Arial" w:cs="Arial" w:eastAsia="Arial" w:hAnsi="Arial"/>
                <w:sz w:val="13"/>
                <w:szCs w:val="13"/>
                <w:b w:val="1"/>
                <w:bCs w:val="1"/>
                <w:color w:val="auto"/>
              </w:rPr>
              <w:t>Title of each class</w:t>
            </w: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Symbol(s)</w:t>
            </w:r>
          </w:p>
        </w:tc>
        <w:tc>
          <w:tcPr>
            <w:tcW w:w="120" w:type="dxa"/>
            <w:vAlign w:val="bottom"/>
          </w:tcPr>
          <w:p>
            <w:pPr>
              <w:spacing w:after="0"/>
              <w:rPr>
                <w:sz w:val="15"/>
                <w:szCs w:val="15"/>
                <w:color w:val="auto"/>
              </w:rPr>
            </w:pPr>
          </w:p>
        </w:tc>
        <w:tc>
          <w:tcPr>
            <w:tcW w:w="1020" w:type="dxa"/>
            <w:vAlign w:val="bottom"/>
            <w:tcBorders>
              <w:bottom w:val="single" w:sz="8" w:color="auto"/>
            </w:tcBorders>
            <w:gridSpan w:val="2"/>
          </w:tcPr>
          <w:p>
            <w:pPr>
              <w:spacing w:after="0"/>
              <w:rPr>
                <w:sz w:val="15"/>
                <w:szCs w:val="15"/>
                <w:color w:val="auto"/>
              </w:rPr>
            </w:pPr>
          </w:p>
        </w:tc>
        <w:tc>
          <w:tcPr>
            <w:tcW w:w="3560" w:type="dxa"/>
            <w:vAlign w:val="bottom"/>
            <w:tcBorders>
              <w:bottom w:val="single" w:sz="8" w:color="auto"/>
            </w:tcBorders>
          </w:tcPr>
          <w:p>
            <w:pPr>
              <w:jc w:val="center"/>
              <w:ind w:right="953"/>
              <w:spacing w:after="0"/>
              <w:rPr>
                <w:sz w:val="20"/>
                <w:szCs w:val="20"/>
                <w:color w:val="auto"/>
              </w:rPr>
            </w:pPr>
            <w:r>
              <w:rPr>
                <w:rFonts w:ascii="Arial" w:cs="Arial" w:eastAsia="Arial" w:hAnsi="Arial"/>
                <w:sz w:val="13"/>
                <w:szCs w:val="13"/>
                <w:b w:val="1"/>
                <w:bCs w:val="1"/>
                <w:color w:val="auto"/>
                <w:w w:val="91"/>
              </w:rPr>
              <w:t>Name of each exchange on which registered</w:t>
            </w:r>
          </w:p>
        </w:tc>
        <w:tc>
          <w:tcPr>
            <w:tcW w:w="0" w:type="dxa"/>
            <w:vAlign w:val="bottom"/>
          </w:tcPr>
          <w:p>
            <w:pPr>
              <w:spacing w:after="0"/>
              <w:rPr>
                <w:sz w:val="1"/>
                <w:szCs w:val="1"/>
                <w:color w:val="auto"/>
              </w:rPr>
            </w:pPr>
          </w:p>
        </w:tc>
      </w:tr>
      <w:tr>
        <w:trPr>
          <w:trHeight w:val="169"/>
        </w:trPr>
        <w:tc>
          <w:tcPr>
            <w:tcW w:w="4500" w:type="dxa"/>
            <w:vAlign w:val="bottom"/>
          </w:tcPr>
          <w:p>
            <w:pPr>
              <w:ind w:left="20"/>
              <w:spacing w:after="0"/>
              <w:rPr>
                <w:sz w:val="20"/>
                <w:szCs w:val="20"/>
                <w:color w:val="auto"/>
              </w:rPr>
            </w:pPr>
            <w:r>
              <w:rPr>
                <w:rFonts w:ascii="Arial" w:cs="Arial" w:eastAsia="Arial" w:hAnsi="Arial"/>
                <w:sz w:val="13"/>
                <w:szCs w:val="13"/>
                <w:color w:val="auto"/>
              </w:rPr>
              <w:t>Common Stock, par value $0.0001 per share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40" w:type="dxa"/>
            <w:vAlign w:val="bottom"/>
            <w:gridSpan w:val="4"/>
          </w:tcPr>
          <w:p>
            <w:pPr>
              <w:jc w:val="center"/>
              <w:ind w:right="1140"/>
              <w:spacing w:after="0"/>
              <w:rPr>
                <w:sz w:val="20"/>
                <w:szCs w:val="20"/>
                <w:color w:val="auto"/>
              </w:rPr>
            </w:pPr>
            <w:r>
              <w:rPr>
                <w:rFonts w:ascii="Arial" w:cs="Arial" w:eastAsia="Arial" w:hAnsi="Arial"/>
                <w:sz w:val="13"/>
                <w:szCs w:val="13"/>
                <w:color w:val="auto"/>
                <w:w w:val="90"/>
              </w:rPr>
              <w:t>SPRB</w:t>
            </w:r>
          </w:p>
        </w:tc>
        <w:tc>
          <w:tcPr>
            <w:tcW w:w="3560" w:type="dxa"/>
            <w:vAlign w:val="bottom"/>
          </w:tcPr>
          <w:p>
            <w:pPr>
              <w:jc w:val="center"/>
              <w:ind w:right="953"/>
              <w:spacing w:after="0"/>
              <w:rPr>
                <w:sz w:val="20"/>
                <w:szCs w:val="20"/>
                <w:color w:val="auto"/>
              </w:rPr>
            </w:pPr>
            <w:r>
              <w:rPr>
                <w:rFonts w:ascii="Arial" w:cs="Arial" w:eastAsia="Arial" w:hAnsi="Arial"/>
                <w:sz w:val="13"/>
                <w:szCs w:val="13"/>
                <w:color w:val="auto"/>
                <w:w w:val="93"/>
              </w:rPr>
              <w:t>Nasdaq Global Select Market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 w:lineRule="exact"/>
        <w:rPr>
          <w:sz w:val="24"/>
          <w:szCs w:val="24"/>
          <w:color w:val="auto"/>
        </w:rPr>
      </w:pPr>
    </w:p>
    <w:p>
      <w:pPr>
        <w:ind w:right="4020"/>
        <w:spacing w:after="0" w:line="207"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7" w:lineRule="exact"/>
        <w:rPr>
          <w:sz w:val="24"/>
          <w:szCs w:val="24"/>
          <w:color w:val="auto"/>
        </w:rPr>
      </w:pPr>
    </w:p>
    <w:p>
      <w:pPr>
        <w:ind w:right="120"/>
        <w:spacing w:after="0" w:line="16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 w:lineRule="exact"/>
        <w:rPr>
          <w:sz w:val="24"/>
          <w:szCs w:val="24"/>
          <w:color w:val="auto"/>
        </w:rPr>
      </w:pPr>
    </w:p>
    <w:p>
      <w:pPr>
        <w:ind w:right="140"/>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 w:lineRule="exact"/>
        <w:rPr>
          <w:sz w:val="24"/>
          <w:szCs w:val="24"/>
          <w:color w:val="auto"/>
        </w:rPr>
      </w:pPr>
    </w:p>
    <w:p>
      <w:pPr>
        <w:ind w:right="80"/>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3" w:lineRule="exact"/>
        <w:rPr>
          <w:sz w:val="24"/>
          <w:szCs w:val="24"/>
          <w:color w:val="auto"/>
        </w:rPr>
      </w:pPr>
    </w:p>
    <w:tbl>
      <w:tblPr>
        <w:tblLayout w:type="fixed"/>
        <w:tblInd w:w="20" w:type="dxa"/>
        <w:tblCellMar>
          <w:top w:w="0" w:type="dxa"/>
          <w:left w:w="0" w:type="dxa"/>
          <w:bottom w:w="0" w:type="dxa"/>
          <w:right w:w="0" w:type="dxa"/>
        </w:tblCellMar>
      </w:tblPr>
      <w:tr>
        <w:trPr>
          <w:trHeight w:val="211"/>
        </w:trPr>
        <w:tc>
          <w:tcPr>
            <w:tcW w:w="18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Arial" w:cs="Arial" w:eastAsia="Arial" w:hAnsi="Arial"/>
                <w:sz w:val="13"/>
                <w:szCs w:val="13"/>
                <w:color w:val="auto"/>
              </w:rPr>
              <w:t>Accelerated filer</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418"/>
        </w:trPr>
        <w:tc>
          <w:tcPr>
            <w:tcW w:w="1860" w:type="dxa"/>
            <w:vAlign w:val="bottom"/>
          </w:tcPr>
          <w:p>
            <w:pPr>
              <w:spacing w:after="0"/>
              <w:rPr>
                <w:sz w:val="20"/>
                <w:szCs w:val="20"/>
                <w:color w:val="auto"/>
              </w:rPr>
            </w:pPr>
            <w:r>
              <w:rPr>
                <w:rFonts w:ascii="Arial" w:cs="Arial" w:eastAsia="Arial" w:hAnsi="Arial"/>
                <w:sz w:val="13"/>
                <w:szCs w:val="13"/>
                <w:color w:val="auto"/>
              </w:rPr>
              <w:t>Non-accelerated filer</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Arial" w:cs="Arial" w:eastAsia="Arial" w:hAnsi="Arial"/>
                <w:sz w:val="13"/>
                <w:szCs w:val="13"/>
                <w:color w:val="auto"/>
              </w:rPr>
              <w:t>Smaller reporting company</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418"/>
        </w:trPr>
        <w:tc>
          <w:tcPr>
            <w:tcW w:w="186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124" w:lineRule="exact"/>
        <w:rPr>
          <w:sz w:val="24"/>
          <w:szCs w:val="24"/>
          <w:color w:val="auto"/>
        </w:rPr>
      </w:pPr>
    </w:p>
    <w:p>
      <w:pPr>
        <w:ind w:right="160"/>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7" w:lineRule="exact"/>
        <w:rPr>
          <w:sz w:val="24"/>
          <w:szCs w:val="24"/>
          <w:color w:val="auto"/>
        </w:rPr>
      </w:pPr>
    </w:p>
    <w:p>
      <w:pPr>
        <w:spacing w:after="0" w:line="167"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7" w:lineRule="exact"/>
        <w:rPr>
          <w:sz w:val="24"/>
          <w:szCs w:val="24"/>
          <w:color w:val="auto"/>
        </w:rPr>
      </w:pPr>
    </w:p>
    <w:p>
      <w:pPr>
        <w:ind w:right="200"/>
        <w:spacing w:after="0" w:line="167"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7" w:lineRule="exact"/>
        <w:rPr>
          <w:sz w:val="24"/>
          <w:szCs w:val="24"/>
          <w:color w:val="auto"/>
        </w:rPr>
      </w:pPr>
    </w:p>
    <w:p>
      <w:pPr>
        <w:ind w:right="120"/>
        <w:spacing w:after="0" w:line="167"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9" w:lineRule="exact"/>
        <w:rPr>
          <w:sz w:val="24"/>
          <w:szCs w:val="24"/>
          <w:color w:val="auto"/>
        </w:rPr>
      </w:pPr>
    </w:p>
    <w:p>
      <w:pPr>
        <w:ind w:right="420"/>
        <w:spacing w:after="0" w:line="274" w:lineRule="auto"/>
        <w:rPr>
          <w:sz w:val="20"/>
          <w:szCs w:val="20"/>
          <w:color w:val="auto"/>
        </w:rPr>
      </w:pPr>
      <w:r>
        <w:rPr>
          <w:rFonts w:ascii="Arial" w:cs="Arial" w:eastAsia="Arial" w:hAnsi="Arial"/>
          <w:sz w:val="13"/>
          <w:szCs w:val="13"/>
          <w:color w:val="auto"/>
        </w:rPr>
        <w:t>The aggregate market value of the Registrant's common stock held by non-affiliates of the Registrant as of June 30, 2022, the last business day of the Registrant's most recently completed second fiscal quarter, was approximately $22.5 million, based on the closing price of the Registrant's common stock on the Nasdaq Global Select Market of $1.74 per share.</w:t>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Registrant’s Common Stock outstanding as of March 10, 2023 was 39,746,116.</w:t>
      </w:r>
    </w:p>
    <w:p>
      <w:pPr>
        <w:spacing w:after="0" w:line="53" w:lineRule="exact"/>
        <w:rPr>
          <w:sz w:val="24"/>
          <w:szCs w:val="24"/>
          <w:color w:val="auto"/>
        </w:rPr>
      </w:pPr>
    </w:p>
    <w:p>
      <w:pPr>
        <w:ind w:left="4160"/>
        <w:spacing w:after="0"/>
        <w:rPr>
          <w:sz w:val="20"/>
          <w:szCs w:val="20"/>
          <w:color w:val="auto"/>
        </w:rPr>
      </w:pPr>
      <w:r>
        <w:rPr>
          <w:rFonts w:ascii="Arial" w:cs="Arial" w:eastAsia="Arial" w:hAnsi="Arial"/>
          <w:sz w:val="13"/>
          <w:szCs w:val="13"/>
          <w:color w:val="auto"/>
        </w:rPr>
        <w:t>DOCUMENTS INCORPORATED BY REFERENCE</w:t>
      </w:r>
    </w:p>
    <w:p>
      <w:pPr>
        <w:spacing w:after="0" w:line="53" w:lineRule="exact"/>
        <w:rPr>
          <w:sz w:val="24"/>
          <w:szCs w:val="24"/>
          <w:color w:val="auto"/>
        </w:rPr>
      </w:pPr>
    </w:p>
    <w:p>
      <w:pPr>
        <w:ind w:right="180"/>
        <w:spacing w:after="0" w:line="274" w:lineRule="auto"/>
        <w:rPr>
          <w:sz w:val="20"/>
          <w:szCs w:val="20"/>
          <w:color w:val="auto"/>
        </w:rPr>
      </w:pPr>
      <w:r>
        <w:rPr>
          <w:rFonts w:ascii="Arial" w:cs="Arial" w:eastAsia="Arial" w:hAnsi="Arial"/>
          <w:sz w:val="13"/>
          <w:szCs w:val="13"/>
          <w:color w:val="auto"/>
        </w:rPr>
        <w:t>Portions of the Registrant’s definitive Proxy Statement for its 2023 Annual Meeting of Stockholders to be filed with the Securities and Exchange Commission pursuant to Regulation 14A not later than 120 days after the end of the fiscal year covered by this Annual Report on Form 10-K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351790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60" w:type="dxa"/>
            <w:vAlign w:val="bottom"/>
            <w:gridSpan w:val="25"/>
          </w:tcPr>
          <w:p>
            <w:pPr>
              <w:spacing w:after="0"/>
              <w:rPr>
                <w:sz w:val="20"/>
                <w:szCs w:val="20"/>
                <w:color w:val="auto"/>
              </w:rPr>
            </w:pPr>
            <w:r>
              <w:rPr>
                <w:rFonts w:ascii="Arial" w:cs="Arial" w:eastAsia="Arial" w:hAnsi="Arial"/>
                <w:sz w:val="18"/>
                <w:szCs w:val="18"/>
                <w:color w:val="0000FF"/>
              </w:rPr>
              <w:t>Table of Contents</w:t>
            </w:r>
          </w:p>
        </w:tc>
        <w:tc>
          <w:tcPr>
            <w:tcW w:w="780" w:type="dxa"/>
            <w:vAlign w:val="bottom"/>
          </w:tcPr>
          <w:p>
            <w:pPr>
              <w:spacing w:after="0"/>
              <w:rPr>
                <w:sz w:val="17"/>
                <w:szCs w:val="17"/>
                <w:color w:val="auto"/>
              </w:rPr>
            </w:pPr>
          </w:p>
        </w:tc>
      </w:tr>
      <w:tr>
        <w:trPr>
          <w:trHeight w:val="453"/>
        </w:trPr>
        <w:tc>
          <w:tcPr>
            <w:tcW w:w="2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960" w:type="dxa"/>
            <w:vAlign w:val="bottom"/>
            <w:gridSpan w:val="11"/>
          </w:tcPr>
          <w:p>
            <w:pPr>
              <w:ind w:left="16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Page</w:t>
            </w:r>
          </w:p>
        </w:tc>
      </w:tr>
      <w:tr>
        <w:trPr>
          <w:trHeight w:val="189"/>
        </w:trPr>
        <w:tc>
          <w:tcPr>
            <w:tcW w:w="20" w:type="dxa"/>
            <w:vAlign w:val="bottom"/>
          </w:tcPr>
          <w:p>
            <w:pPr>
              <w:spacing w:after="0"/>
              <w:rPr>
                <w:sz w:val="16"/>
                <w:szCs w:val="16"/>
                <w:color w:val="auto"/>
              </w:rPr>
            </w:pPr>
          </w:p>
        </w:tc>
        <w:tc>
          <w:tcPr>
            <w:tcW w:w="5340" w:type="dxa"/>
            <w:vAlign w:val="bottom"/>
            <w:tcBorders>
              <w:bottom w:val="single" w:sz="8" w:color="0000FF"/>
            </w:tcBorders>
            <w:gridSpan w:val="16"/>
          </w:tcPr>
          <w:p>
            <w:pPr>
              <w:spacing w:after="0" w:line="189" w:lineRule="exact"/>
              <w:rPr>
                <w:sz w:val="20"/>
                <w:szCs w:val="20"/>
                <w:color w:val="auto"/>
              </w:rPr>
            </w:pPr>
            <w:r>
              <w:rPr>
                <w:rFonts w:ascii="Arial" w:cs="Arial" w:eastAsia="Arial" w:hAnsi="Arial"/>
                <w:sz w:val="18"/>
                <w:szCs w:val="18"/>
                <w:color w:val="0000FF"/>
                <w:w w:val="95"/>
              </w:rPr>
              <w:t>SPECIAL NOTE REGARDING FORWARD-LOOKING STATEMENTS</w:t>
            </w:r>
          </w:p>
        </w:tc>
        <w:tc>
          <w:tcPr>
            <w:tcW w:w="5100" w:type="dxa"/>
            <w:vAlign w:val="bottom"/>
            <w:gridSpan w:val="8"/>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10440" w:type="dxa"/>
            <w:vAlign w:val="bottom"/>
            <w:gridSpan w:val="24"/>
          </w:tcPr>
          <w:p>
            <w:pPr>
              <w:spacing w:after="0"/>
              <w:rPr>
                <w:sz w:val="20"/>
                <w:szCs w:val="20"/>
                <w:color w:val="auto"/>
              </w:rPr>
            </w:pPr>
            <w:r>
              <w:rPr>
                <w:rFonts w:ascii="Arial" w:cs="Arial" w:eastAsia="Arial" w:hAnsi="Arial"/>
                <w:sz w:val="18"/>
                <w:szCs w:val="18"/>
                <w:color w:val="0000FF"/>
              </w:rPr>
              <w:t>SUMMARY OF RISKS ASSOCIATED WITH OUR BUSINESS</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507"/>
        </w:trPr>
        <w:tc>
          <w:tcPr>
            <w:tcW w:w="20" w:type="dxa"/>
            <w:vAlign w:val="bottom"/>
            <w:tcBorders>
              <w:top w:val="single" w:sz="8" w:color="0000EE"/>
            </w:tcBorders>
          </w:tcPr>
          <w:p>
            <w:pPr>
              <w:spacing w:after="0"/>
              <w:rPr>
                <w:sz w:val="24"/>
                <w:szCs w:val="24"/>
                <w:color w:val="auto"/>
              </w:rPr>
            </w:pPr>
          </w:p>
        </w:tc>
        <w:tc>
          <w:tcPr>
            <w:tcW w:w="116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color w:val="auto"/>
              </w:rPr>
              <w:t>PART I</w:t>
            </w:r>
          </w:p>
        </w:tc>
        <w:tc>
          <w:tcPr>
            <w:tcW w:w="1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1160" w:type="dxa"/>
            <w:vAlign w:val="bottom"/>
          </w:tcPr>
          <w:p>
            <w:pPr>
              <w:ind w:left="120"/>
              <w:spacing w:after="0" w:line="202" w:lineRule="exact"/>
              <w:rPr>
                <w:sz w:val="20"/>
                <w:szCs w:val="20"/>
                <w:color w:val="auto"/>
              </w:rPr>
            </w:pPr>
            <w:r>
              <w:rPr>
                <w:rFonts w:ascii="Arial" w:cs="Arial" w:eastAsia="Arial" w:hAnsi="Arial"/>
                <w:sz w:val="18"/>
                <w:szCs w:val="18"/>
                <w:color w:val="auto"/>
              </w:rPr>
              <w:t>Item 1.</w:t>
            </w:r>
          </w:p>
        </w:tc>
        <w:tc>
          <w:tcPr>
            <w:tcW w:w="9280" w:type="dxa"/>
            <w:vAlign w:val="bottom"/>
            <w:gridSpan w:val="23"/>
          </w:tcPr>
          <w:p>
            <w:pPr>
              <w:spacing w:after="0" w:line="202" w:lineRule="exact"/>
              <w:rPr>
                <w:sz w:val="20"/>
                <w:szCs w:val="20"/>
                <w:color w:val="auto"/>
              </w:rPr>
            </w:pPr>
            <w:r>
              <w:rPr>
                <w:rFonts w:ascii="Arial" w:cs="Arial" w:eastAsia="Arial" w:hAnsi="Arial"/>
                <w:sz w:val="18"/>
                <w:szCs w:val="18"/>
                <w:color w:val="0000FF"/>
              </w:rPr>
              <w:t>Business</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1A.</w:t>
            </w:r>
          </w:p>
        </w:tc>
        <w:tc>
          <w:tcPr>
            <w:tcW w:w="9280" w:type="dxa"/>
            <w:vAlign w:val="bottom"/>
            <w:gridSpan w:val="23"/>
          </w:tcPr>
          <w:p>
            <w:pPr>
              <w:spacing w:after="0"/>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1B.</w:t>
            </w:r>
          </w:p>
        </w:tc>
        <w:tc>
          <w:tcPr>
            <w:tcW w:w="9280" w:type="dxa"/>
            <w:vAlign w:val="bottom"/>
            <w:gridSpan w:val="23"/>
          </w:tcPr>
          <w:p>
            <w:pPr>
              <w:spacing w:after="0"/>
              <w:rPr>
                <w:sz w:val="20"/>
                <w:szCs w:val="20"/>
                <w:color w:val="auto"/>
              </w:rPr>
            </w:pPr>
            <w:r>
              <w:rPr>
                <w:rFonts w:ascii="Arial" w:cs="Arial" w:eastAsia="Arial" w:hAnsi="Arial"/>
                <w:sz w:val="18"/>
                <w:szCs w:val="18"/>
                <w:color w:val="0000FF"/>
              </w:rPr>
              <w:t>Unresolved Staff Comments</w:t>
            </w:r>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2.</w:t>
            </w:r>
          </w:p>
        </w:tc>
        <w:tc>
          <w:tcPr>
            <w:tcW w:w="9280" w:type="dxa"/>
            <w:vAlign w:val="bottom"/>
            <w:gridSpan w:val="23"/>
          </w:tcPr>
          <w:p>
            <w:pPr>
              <w:spacing w:after="0"/>
              <w:rPr>
                <w:sz w:val="20"/>
                <w:szCs w:val="20"/>
                <w:color w:val="auto"/>
              </w:rPr>
            </w:pPr>
            <w:r>
              <w:rPr>
                <w:rFonts w:ascii="Arial" w:cs="Arial" w:eastAsia="Arial" w:hAnsi="Arial"/>
                <w:sz w:val="18"/>
                <w:szCs w:val="18"/>
                <w:color w:val="0000FF"/>
              </w:rPr>
              <w:t>Properties</w:t>
            </w:r>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3.</w:t>
            </w:r>
          </w:p>
        </w:tc>
        <w:tc>
          <w:tcPr>
            <w:tcW w:w="9280" w:type="dxa"/>
            <w:vAlign w:val="bottom"/>
            <w:gridSpan w:val="23"/>
          </w:tcPr>
          <w:p>
            <w:pPr>
              <w:spacing w:after="0"/>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4.</w:t>
            </w:r>
          </w:p>
        </w:tc>
        <w:tc>
          <w:tcPr>
            <w:tcW w:w="9280" w:type="dxa"/>
            <w:vAlign w:val="bottom"/>
            <w:gridSpan w:val="23"/>
          </w:tcPr>
          <w:p>
            <w:pPr>
              <w:spacing w:after="0"/>
              <w:rPr>
                <w:sz w:val="20"/>
                <w:szCs w:val="20"/>
                <w:color w:val="auto"/>
              </w:rPr>
            </w:pPr>
            <w:r>
              <w:rPr>
                <w:rFonts w:ascii="Arial" w:cs="Arial" w:eastAsia="Arial" w:hAnsi="Arial"/>
                <w:sz w:val="18"/>
                <w:szCs w:val="18"/>
                <w:color w:val="0000FF"/>
              </w:rPr>
              <w:t>Mine Safety Disclosures</w:t>
            </w:r>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507"/>
        </w:trPr>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1160" w:type="dxa"/>
            <w:vAlign w:val="bottom"/>
          </w:tcPr>
          <w:p>
            <w:pPr>
              <w:ind w:left="120"/>
              <w:spacing w:after="0" w:line="202" w:lineRule="exact"/>
              <w:rPr>
                <w:sz w:val="20"/>
                <w:szCs w:val="20"/>
                <w:color w:val="auto"/>
              </w:rPr>
            </w:pPr>
            <w:r>
              <w:rPr>
                <w:rFonts w:ascii="Arial" w:cs="Arial" w:eastAsia="Arial" w:hAnsi="Arial"/>
                <w:sz w:val="18"/>
                <w:szCs w:val="18"/>
                <w:color w:val="auto"/>
              </w:rPr>
              <w:t>Item 5.</w:t>
            </w:r>
          </w:p>
        </w:tc>
        <w:tc>
          <w:tcPr>
            <w:tcW w:w="9280" w:type="dxa"/>
            <w:vAlign w:val="bottom"/>
            <w:gridSpan w:val="23"/>
          </w:tcPr>
          <w:p>
            <w:pPr>
              <w:spacing w:after="0" w:line="202"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6.</w:t>
            </w:r>
          </w:p>
        </w:tc>
        <w:tc>
          <w:tcPr>
            <w:tcW w:w="9280" w:type="dxa"/>
            <w:vAlign w:val="bottom"/>
            <w:gridSpan w:val="23"/>
          </w:tcPr>
          <w:p>
            <w:pPr>
              <w:spacing w:after="0"/>
              <w:rPr>
                <w:sz w:val="20"/>
                <w:szCs w:val="20"/>
                <w:color w:val="auto"/>
              </w:rPr>
            </w:pPr>
            <w:r>
              <w:rPr>
                <w:rFonts w:ascii="Arial" w:cs="Arial" w:eastAsia="Arial" w:hAnsi="Arial"/>
                <w:sz w:val="18"/>
                <w:szCs w:val="18"/>
                <w:color w:val="0000FF"/>
              </w:rPr>
              <w:t>[Reserved]</w:t>
            </w:r>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7.</w:t>
            </w:r>
          </w:p>
        </w:tc>
        <w:tc>
          <w:tcPr>
            <w:tcW w:w="9280" w:type="dxa"/>
            <w:vAlign w:val="bottom"/>
            <w:gridSpan w:val="23"/>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7A.</w:t>
            </w:r>
          </w:p>
        </w:tc>
        <w:tc>
          <w:tcPr>
            <w:tcW w:w="9280" w:type="dxa"/>
            <w:vAlign w:val="bottom"/>
            <w:gridSpan w:val="23"/>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8.</w:t>
            </w:r>
          </w:p>
        </w:tc>
        <w:tc>
          <w:tcPr>
            <w:tcW w:w="9280" w:type="dxa"/>
            <w:vAlign w:val="bottom"/>
            <w:gridSpan w:val="23"/>
          </w:tcPr>
          <w:p>
            <w:pPr>
              <w:spacing w:after="0"/>
              <w:rPr>
                <w:sz w:val="20"/>
                <w:szCs w:val="20"/>
                <w:color w:val="auto"/>
              </w:rPr>
            </w:pPr>
            <w:r>
              <w:rPr>
                <w:rFonts w:ascii="Arial" w:cs="Arial" w:eastAsia="Arial" w:hAnsi="Arial"/>
                <w:sz w:val="18"/>
                <w:szCs w:val="18"/>
                <w:color w:val="0000FF"/>
              </w:rPr>
              <w:t>Financial Statements and Supplementary Data</w:t>
            </w: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9.</w:t>
            </w:r>
          </w:p>
        </w:tc>
        <w:tc>
          <w:tcPr>
            <w:tcW w:w="9280" w:type="dxa"/>
            <w:vAlign w:val="bottom"/>
            <w:gridSpan w:val="23"/>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7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9A.</w:t>
            </w:r>
          </w:p>
        </w:tc>
        <w:tc>
          <w:tcPr>
            <w:tcW w:w="9280" w:type="dxa"/>
            <w:vAlign w:val="bottom"/>
            <w:gridSpan w:val="23"/>
          </w:tcPr>
          <w:p>
            <w:pPr>
              <w:spacing w:after="0"/>
              <w:rPr>
                <w:sz w:val="20"/>
                <w:szCs w:val="20"/>
                <w:color w:val="auto"/>
              </w:rPr>
            </w:pPr>
            <w:r>
              <w:rPr>
                <w:rFonts w:ascii="Arial" w:cs="Arial" w:eastAsia="Arial" w:hAnsi="Arial"/>
                <w:sz w:val="18"/>
                <w:szCs w:val="18"/>
                <w:color w:val="0000FF"/>
              </w:rPr>
              <w:t>Controls and Procedures</w:t>
            </w:r>
          </w:p>
        </w:tc>
        <w:tc>
          <w:tcPr>
            <w:tcW w:w="7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9B.</w:t>
            </w:r>
          </w:p>
        </w:tc>
        <w:tc>
          <w:tcPr>
            <w:tcW w:w="9280" w:type="dxa"/>
            <w:vAlign w:val="bottom"/>
            <w:gridSpan w:val="23"/>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9C.</w:t>
            </w:r>
          </w:p>
        </w:tc>
        <w:tc>
          <w:tcPr>
            <w:tcW w:w="9280" w:type="dxa"/>
            <w:vAlign w:val="bottom"/>
            <w:gridSpan w:val="23"/>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507"/>
        </w:trPr>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1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1160" w:type="dxa"/>
            <w:vAlign w:val="bottom"/>
          </w:tcPr>
          <w:p>
            <w:pPr>
              <w:ind w:left="120"/>
              <w:spacing w:after="0" w:line="202" w:lineRule="exact"/>
              <w:rPr>
                <w:sz w:val="20"/>
                <w:szCs w:val="20"/>
                <w:color w:val="auto"/>
              </w:rPr>
            </w:pPr>
            <w:r>
              <w:rPr>
                <w:rFonts w:ascii="Arial" w:cs="Arial" w:eastAsia="Arial" w:hAnsi="Arial"/>
                <w:sz w:val="18"/>
                <w:szCs w:val="18"/>
                <w:color w:val="auto"/>
              </w:rPr>
              <w:t>Item 10.</w:t>
            </w:r>
          </w:p>
        </w:tc>
        <w:tc>
          <w:tcPr>
            <w:tcW w:w="9280" w:type="dxa"/>
            <w:vAlign w:val="bottom"/>
            <w:gridSpan w:val="23"/>
          </w:tcPr>
          <w:p>
            <w:pPr>
              <w:spacing w:after="0" w:line="202" w:lineRule="exact"/>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138</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11.</w:t>
            </w:r>
          </w:p>
        </w:tc>
        <w:tc>
          <w:tcPr>
            <w:tcW w:w="9280" w:type="dxa"/>
            <w:vAlign w:val="bottom"/>
            <w:gridSpan w:val="23"/>
          </w:tcPr>
          <w:p>
            <w:pPr>
              <w:spacing w:after="0"/>
              <w:rPr>
                <w:sz w:val="20"/>
                <w:szCs w:val="20"/>
                <w:color w:val="auto"/>
              </w:rPr>
            </w:pPr>
            <w:r>
              <w:rPr>
                <w:rFonts w:ascii="Arial" w:cs="Arial" w:eastAsia="Arial" w:hAnsi="Arial"/>
                <w:sz w:val="18"/>
                <w:szCs w:val="18"/>
                <w:color w:val="0000FF"/>
              </w:rPr>
              <w:t>Executive Compensation</w:t>
            </w:r>
          </w:p>
        </w:tc>
        <w:tc>
          <w:tcPr>
            <w:tcW w:w="7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12.</w:t>
            </w:r>
          </w:p>
        </w:tc>
        <w:tc>
          <w:tcPr>
            <w:tcW w:w="9280" w:type="dxa"/>
            <w:vAlign w:val="bottom"/>
            <w:gridSpan w:val="23"/>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60" w:type="dxa"/>
            <w:vAlign w:val="bottom"/>
            <w:gridSpan w:val="7"/>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13.</w:t>
            </w:r>
          </w:p>
        </w:tc>
        <w:tc>
          <w:tcPr>
            <w:tcW w:w="9280" w:type="dxa"/>
            <w:vAlign w:val="bottom"/>
            <w:gridSpan w:val="23"/>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7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60" w:type="dxa"/>
            <w:vAlign w:val="bottom"/>
            <w:gridSpan w:val="7"/>
            <w:shd w:val="clear" w:color="auto" w:fill="0000FF"/>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14.</w:t>
            </w:r>
          </w:p>
        </w:tc>
        <w:tc>
          <w:tcPr>
            <w:tcW w:w="9280" w:type="dxa"/>
            <w:vAlign w:val="bottom"/>
            <w:gridSpan w:val="23"/>
          </w:tcPr>
          <w:p>
            <w:pPr>
              <w:spacing w:after="0"/>
              <w:rPr>
                <w:sz w:val="20"/>
                <w:szCs w:val="20"/>
                <w:color w:val="auto"/>
              </w:rPr>
            </w:pPr>
            <w:r>
              <w:rPr>
                <w:rFonts w:ascii="Arial" w:cs="Arial" w:eastAsia="Arial" w:hAnsi="Arial"/>
                <w:sz w:val="18"/>
                <w:szCs w:val="18"/>
                <w:color w:val="0000FF"/>
              </w:rPr>
              <w:t>Principal Accountant Fees and Services</w:t>
            </w:r>
          </w:p>
        </w:tc>
        <w:tc>
          <w:tcPr>
            <w:tcW w:w="7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506"/>
        </w:trPr>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1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1160" w:type="dxa"/>
            <w:vAlign w:val="bottom"/>
          </w:tcPr>
          <w:p>
            <w:pPr>
              <w:ind w:left="120"/>
              <w:spacing w:after="0" w:line="202" w:lineRule="exact"/>
              <w:rPr>
                <w:sz w:val="20"/>
                <w:szCs w:val="20"/>
                <w:color w:val="auto"/>
              </w:rPr>
            </w:pPr>
            <w:r>
              <w:rPr>
                <w:rFonts w:ascii="Arial" w:cs="Arial" w:eastAsia="Arial" w:hAnsi="Arial"/>
                <w:sz w:val="18"/>
                <w:szCs w:val="18"/>
                <w:color w:val="auto"/>
              </w:rPr>
              <w:t>Item 15.</w:t>
            </w:r>
          </w:p>
        </w:tc>
        <w:tc>
          <w:tcPr>
            <w:tcW w:w="9280" w:type="dxa"/>
            <w:vAlign w:val="bottom"/>
            <w:gridSpan w:val="23"/>
          </w:tcPr>
          <w:p>
            <w:pPr>
              <w:spacing w:after="0" w:line="202" w:lineRule="exact"/>
              <w:rPr>
                <w:sz w:val="20"/>
                <w:szCs w:val="20"/>
                <w:color w:val="auto"/>
              </w:rPr>
            </w:pPr>
            <w:r>
              <w:rPr>
                <w:rFonts w:ascii="Arial" w:cs="Arial" w:eastAsia="Arial" w:hAnsi="Arial"/>
                <w:sz w:val="18"/>
                <w:szCs w:val="18"/>
                <w:color w:val="0000FF"/>
              </w:rPr>
              <w:t>Exhibit and Financial Statement Schedules</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139</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622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Arial" w:cs="Arial" w:eastAsia="Arial" w:hAnsi="Arial"/>
                <w:sz w:val="18"/>
                <w:szCs w:val="18"/>
                <w:color w:val="auto"/>
              </w:rPr>
              <w:t>Item 16</w:t>
            </w:r>
          </w:p>
        </w:tc>
        <w:tc>
          <w:tcPr>
            <w:tcW w:w="9280" w:type="dxa"/>
            <w:vAlign w:val="bottom"/>
            <w:gridSpan w:val="23"/>
          </w:tcPr>
          <w:p>
            <w:pPr>
              <w:spacing w:after="0"/>
              <w:rPr>
                <w:sz w:val="20"/>
                <w:szCs w:val="20"/>
                <w:color w:val="auto"/>
              </w:rPr>
            </w:pPr>
            <w:r>
              <w:rPr>
                <w:rFonts w:ascii="Arial" w:cs="Arial" w:eastAsia="Arial" w:hAnsi="Arial"/>
                <w:sz w:val="18"/>
                <w:szCs w:val="18"/>
                <w:color w:val="0000FF"/>
              </w:rPr>
              <w:t>Form 10-K Summary</w:t>
            </w:r>
          </w:p>
        </w:tc>
        <w:tc>
          <w:tcPr>
            <w:tcW w:w="7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This Annual Report on Form 10-K (the Annual Report) contains forward-looking statements within the meaning of the federal securities laws made pursuant to the safe harbor provisions of the Private Securities Litigation Reform Act of 1995. All statements other than statements of historical facts contained in this Annual Report, including statements regarding our future results of operations and financial position, business strategy, research and development costs; the anticipated timing, costs and conduct of our clinical trials for our only product candidate, tildacerfont; the timing and likelihood of regulatory filings and approvals for tildacerfont; our ability to commercialize tildacerfont, if approved; the pricing and reimbursement of tildacerfont, if approved; the potential benefits of strategic collaborations and our ability to enter into strategic arrangements; the timing and likelihood of success, plans and objectives of management for future operations; future results of anticipated product development efforts; and our expected future financing needs,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77" w:lineRule="exact"/>
        <w:rPr>
          <w:sz w:val="20"/>
          <w:szCs w:val="20"/>
          <w:color w:val="auto"/>
        </w:rPr>
      </w:pPr>
    </w:p>
    <w:p>
      <w:pPr>
        <w:ind w:right="80" w:firstLine="509"/>
        <w:spacing w:after="0" w:line="286"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risks, uncertainties and assumptions described under the sections titled “Risk Factors” and “Management’s Discussion and Analysis of Financial Condition and Results of Operations” and elsewhere in this Annual Report.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undertake no obligation to publicly update or revise any forward-looking statements contained herein, whether as a result of any new information, future events, changed circumstances or otherwise. You should, however, review the factors and risks we describe in the reports we will file from time to time with the Securities and Exchange Commission (SEC) after the date of this Annual Report.</w:t>
      </w:r>
    </w:p>
    <w:p>
      <w:pPr>
        <w:spacing w:after="0" w:line="63"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Annual Report, and while we believe such information provides a reasonable basis for these statements, such information may be limited or incomplete. Our statements should not be read to indicate that we have conducted an exhaustive inquiry into, or review of, all potentially available relevant information. These statements are inherently uncertain, and you are cautioned not to unduly rely on these statements.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RISKS ASSOCIATED WITH OUR BUSINESS</w:t>
      </w:r>
    </w:p>
    <w:p>
      <w:pPr>
        <w:spacing w:after="0" w:line="121"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We face risks and uncertainties associated with our business, many of which are beyond our control. Some of the material risks associated with our business include the following:</w:t>
      </w:r>
    </w:p>
    <w:p>
      <w:pPr>
        <w:spacing w:after="0" w:line="62" w:lineRule="exact"/>
        <w:rPr>
          <w:sz w:val="20"/>
          <w:szCs w:val="20"/>
          <w:color w:val="auto"/>
        </w:rPr>
      </w:pPr>
    </w:p>
    <w:p>
      <w:pPr>
        <w:ind w:left="1020" w:right="38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operating history, have incurred significant net losses since our inception, and anticipate that we will continue to incur significant net losses for the foreseeable future. We expect these losses to increase as we continue our clinical development of, and seek regulatory approvals for, tildacerfont and any future product candidates.</w:t>
      </w:r>
    </w:p>
    <w:p>
      <w:pPr>
        <w:spacing w:after="0" w:line="75" w:lineRule="exact"/>
        <w:rPr>
          <w:rFonts w:ascii="Arial" w:cs="Arial" w:eastAsia="Arial" w:hAnsi="Arial"/>
          <w:sz w:val="18"/>
          <w:szCs w:val="18"/>
          <w:color w:val="auto"/>
        </w:rPr>
      </w:pPr>
    </w:p>
    <w:p>
      <w:pPr>
        <w:ind w:left="1020" w:right="4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need substantial additional financing to develop tildacerfont and any future product candidates and implement our operating plans. If we fail to obtain additional financing, we may be forced to delay, reduce or eliminate our product development programs or commercialization efforts.</w:t>
      </w:r>
    </w:p>
    <w:p>
      <w:pPr>
        <w:spacing w:after="0" w:line="75" w:lineRule="exact"/>
        <w:rPr>
          <w:rFonts w:ascii="Arial" w:cs="Arial" w:eastAsia="Arial" w:hAnsi="Arial"/>
          <w:sz w:val="18"/>
          <w:szCs w:val="18"/>
          <w:color w:val="auto"/>
        </w:rPr>
      </w:pPr>
    </w:p>
    <w:p>
      <w:pPr>
        <w:ind w:left="1020" w:right="6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currently depend entirely on the success of tildacerfont, which is our only product candidate. If we are unable to advance tildacerfont in clinical development, obtain regulatory approval, and ultimately commercialize tildacerfont, or experience significant delays in doing so, our business will be materially harmed.</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encounter difficulties enrolling patients in our clinical trials, our clinical development activities could be delayed or otherwise adversely affected.</w:t>
      </w:r>
    </w:p>
    <w:p>
      <w:pPr>
        <w:spacing w:after="0" w:line="62" w:lineRule="exact"/>
        <w:rPr>
          <w:rFonts w:ascii="Arial" w:cs="Arial" w:eastAsia="Arial" w:hAnsi="Arial"/>
          <w:sz w:val="18"/>
          <w:szCs w:val="18"/>
          <w:color w:val="auto"/>
        </w:rPr>
      </w:pPr>
    </w:p>
    <w:p>
      <w:pPr>
        <w:ind w:left="1020" w:right="68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clinical trials may fail to adequately demonstrate the safety and efficacy of tildacerfont, which could prevent or delay regulatory approval and commercialization.</w:t>
      </w:r>
    </w:p>
    <w:p>
      <w:pPr>
        <w:spacing w:after="0" w:line="62" w:lineRule="exact"/>
        <w:rPr>
          <w:rFonts w:ascii="Arial" w:cs="Arial" w:eastAsia="Arial" w:hAnsi="Arial"/>
          <w:sz w:val="18"/>
          <w:szCs w:val="18"/>
          <w:color w:val="auto"/>
        </w:rPr>
      </w:pPr>
    </w:p>
    <w:p>
      <w:pPr>
        <w:ind w:left="1020" w:right="4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delays in the commencement or completion, or termination or suspension, of our clinical trials could result in increased costs to us, delay or limit our ability to generate revenue, and adversely affect our commercial prospects.</w:t>
      </w:r>
    </w:p>
    <w:p>
      <w:pPr>
        <w:spacing w:after="0" w:line="62" w:lineRule="exact"/>
        <w:rPr>
          <w:rFonts w:ascii="Arial" w:cs="Arial" w:eastAsia="Arial" w:hAnsi="Arial"/>
          <w:sz w:val="18"/>
          <w:szCs w:val="18"/>
          <w:color w:val="auto"/>
        </w:rPr>
      </w:pPr>
    </w:p>
    <w:p>
      <w:pPr>
        <w:ind w:left="1020" w:right="120" w:hanging="503"/>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 Food and Drug Administration (FDA) and comparable foreign regulatory authorities may require us to initiate one or more additional clinical trials for tildacerfont in adult patients with classic congenital adrenal hyperplasia (CAH), including a Phase 3 clinical trial or trials. The estimated timing or scope of any such future clinical trials is not currently ascertainable. Even if regulatory approvals are obtained, we may never be able to successfully commercialize tildacerfont.</w:t>
      </w:r>
    </w:p>
    <w:p>
      <w:pPr>
        <w:spacing w:after="0" w:line="78" w:lineRule="exact"/>
        <w:rPr>
          <w:rFonts w:ascii="Arial" w:cs="Arial" w:eastAsia="Arial" w:hAnsi="Arial"/>
          <w:sz w:val="18"/>
          <w:szCs w:val="18"/>
          <w:color w:val="auto"/>
        </w:rPr>
      </w:pPr>
    </w:p>
    <w:p>
      <w:pPr>
        <w:ind w:left="1020" w:right="280" w:hanging="503"/>
        <w:spacing w:after="0" w:line="286"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tildacerfont and any future product candidates.</w:t>
      </w:r>
    </w:p>
    <w:p>
      <w:pPr>
        <w:spacing w:after="0" w:line="57" w:lineRule="exact"/>
        <w:rPr>
          <w:rFonts w:ascii="Arial" w:cs="Arial" w:eastAsia="Arial" w:hAnsi="Arial"/>
          <w:sz w:val="17"/>
          <w:szCs w:val="17"/>
          <w:color w:val="auto"/>
        </w:rPr>
      </w:pPr>
    </w:p>
    <w:p>
      <w:pPr>
        <w:ind w:left="1020" w:right="50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U.S. and global economic and geopolitical conditions could adversely affect our business, financial condition or results of operations.</w:t>
      </w:r>
    </w:p>
    <w:p>
      <w:pPr>
        <w:spacing w:after="0" w:line="62" w:lineRule="exact"/>
        <w:rPr>
          <w:rFonts w:ascii="Arial" w:cs="Arial" w:eastAsia="Arial" w:hAnsi="Arial"/>
          <w:sz w:val="18"/>
          <w:szCs w:val="18"/>
          <w:color w:val="auto"/>
        </w:rPr>
      </w:pPr>
    </w:p>
    <w:p>
      <w:pPr>
        <w:ind w:left="1020" w:right="22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Tildacerfont is, and any future product candidates will be, subject to extensive regulation and compliance obligations, which are costly and time-consuming, and such regulation may cause unanticipated delays or prevent the receipt of the required approvals to commercialize tildacerfont and any future product candidates.</w:t>
      </w:r>
    </w:p>
    <w:p>
      <w:pPr>
        <w:spacing w:after="0" w:line="75"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market opportunities for tildacerfont and any future product candidates are smaller than we believe they are, our future revenue may be adversely affected, and our business may suffer.</w:t>
      </w:r>
    </w:p>
    <w:p>
      <w:pPr>
        <w:spacing w:after="0" w:line="62" w:lineRule="exact"/>
        <w:rPr>
          <w:rFonts w:ascii="Arial" w:cs="Arial" w:eastAsia="Arial" w:hAnsi="Arial"/>
          <w:sz w:val="18"/>
          <w:szCs w:val="18"/>
          <w:color w:val="auto"/>
        </w:rPr>
      </w:pPr>
    </w:p>
    <w:p>
      <w:pPr>
        <w:ind w:left="1020" w:hanging="503"/>
        <w:spacing w:after="0" w:line="311"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may not be successful in our efforts to expand our pipeline by identifying additional indications and formulations for which to investigate tildacerfont in the future. We may expend our limited resources to pursue a particular indication or formulation for tildacerfont and fail to capitalize on product candidates, indications, or formulations that may be more profitable or for which there is a greater likelihood of success.</w:t>
      </w:r>
    </w:p>
    <w:p>
      <w:pPr>
        <w:spacing w:after="0" w:line="40" w:lineRule="exact"/>
        <w:rPr>
          <w:rFonts w:ascii="Arial" w:cs="Arial" w:eastAsia="Arial" w:hAnsi="Arial"/>
          <w:sz w:val="16"/>
          <w:szCs w:val="16"/>
          <w:color w:val="auto"/>
        </w:rPr>
      </w:pPr>
    </w:p>
    <w:p>
      <w:pPr>
        <w:jc w:val="both"/>
        <w:ind w:left="1020" w:right="100" w:hanging="503"/>
        <w:spacing w:after="0" w:line="291"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currently have no marketing and sales organization and have yet to commercialize a product. If we are unable to establish marketing and sales capabilities or enter into agreements with third parties to market and sell tildacerfont and any future product candidates, we may not be</w:t>
      </w:r>
    </w:p>
    <w:p>
      <w:pPr>
        <w:ind w:left="1020"/>
        <w:spacing w:after="0"/>
        <w:rPr>
          <w:sz w:val="20"/>
          <w:szCs w:val="20"/>
          <w:color w:val="auto"/>
        </w:rPr>
      </w:pPr>
      <w:r>
        <w:rPr>
          <w:rFonts w:ascii="Arial" w:cs="Arial" w:eastAsia="Arial" w:hAnsi="Arial"/>
          <w:sz w:val="18"/>
          <w:szCs w:val="18"/>
          <w:color w:val="auto"/>
        </w:rPr>
        <w:t>able to generate product revenues.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left="10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not successful in attracting and retaining highly qualified personnel, we may not be able to successfully implement our business strategy.</w:t>
      </w:r>
    </w:p>
    <w:p>
      <w:pPr>
        <w:spacing w:after="0" w:line="62" w:lineRule="exact"/>
        <w:rPr>
          <w:rFonts w:ascii="Arial" w:cs="Arial" w:eastAsia="Arial" w:hAnsi="Arial"/>
          <w:sz w:val="18"/>
          <w:szCs w:val="18"/>
          <w:color w:val="auto"/>
        </w:rPr>
      </w:pPr>
    </w:p>
    <w:p>
      <w:pPr>
        <w:ind w:left="1020" w:right="50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 parties to conduct our clinical trials. If these third parties do not successfully carry out their contractual duties or meet expected deadlines, we may not be able to obtain regulatory approval for or commercialize tildacerfont.</w:t>
      </w:r>
    </w:p>
    <w:p>
      <w:pPr>
        <w:spacing w:after="0" w:line="62" w:lineRule="exact"/>
        <w:rPr>
          <w:rFonts w:ascii="Arial" w:cs="Arial" w:eastAsia="Arial" w:hAnsi="Arial"/>
          <w:sz w:val="18"/>
          <w:szCs w:val="18"/>
          <w:color w:val="auto"/>
        </w:rPr>
      </w:pPr>
    </w:p>
    <w:p>
      <w:pPr>
        <w:ind w:left="1020" w:right="80" w:hanging="503"/>
        <w:spacing w:after="0" w:line="301"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are unable to obtain and maintain sufficient intellectual property protection for tildacerfont,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tildacerfont, if approved, and any future product candidates, and other proprietary technologies if approved, may be adversely affected.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We are a late-stage biopharmaceutical company focused on developing and commercializing novel therapies for rare endocrine disorders with significant unmet medical need. We are initially developing our wholly-owned product candidate, tildacerfont, as the potential first non-steroidal therapy to offer markedly improved disease control and reduce steroid burden for patients suffering from classic congenital adrenal hyperplasia (CAH). Classic CAH is a serious and life-threatening disease with no known novel therapies approved in approximately 70 years. In a 12-week Phase 2a proof-of-concept clinical trial, tildacerfont-treated adult patients suffering from classic CAH who had elevated adrenal hormones at baseline despite being on standard of care therapy achieved approximately 80% reductions in hormones that are key indicators of poorly controlled disease. Furthermore, over 200 subjects across eight completed clinical trials to date have been administered tildacerfont with no drug-related serious adverse events (SAEs) reported.</w:t>
      </w:r>
    </w:p>
    <w:p>
      <w:pPr>
        <w:spacing w:after="0" w:line="58"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 xml:space="preserve">We have initiated CAHmelia-203, a placebo-controlled, double-blind Phase 2b clinical trial in adult patients with classic CAH with highly elevated levels of androstenedione (A4) at baseline and anticipate topline results in the second half of 2023. We have also initiated CAHmelia-204, a second Phase 2b clinical trial in adult patients with classic CAH on </w:t>
      </w:r>
      <w:r>
        <w:rPr>
          <w:rFonts w:ascii="Arial" w:cs="Arial" w:eastAsia="Arial" w:hAnsi="Arial"/>
          <w:sz w:val="16"/>
          <w:szCs w:val="16"/>
          <w:color w:val="363E3B"/>
        </w:rPr>
        <w:t>supraphysiologic doses of glucocorticoids with normal or near normal levels of A4</w:t>
      </w:r>
      <w:r>
        <w:rPr>
          <w:rFonts w:ascii="Arial" w:cs="Arial" w:eastAsia="Arial" w:hAnsi="Arial"/>
          <w:sz w:val="16"/>
          <w:szCs w:val="16"/>
          <w:color w:val="auto"/>
        </w:rPr>
        <w:t xml:space="preserve"> at baseline focused on glucocorticoid reduction and anticipate topline results in the second half of 2024. Based on post-hoc analyses of our clinical data to date, we have chosen to target two distinct groups of classic CAH patients with either supraphysiologic daily glucocorticoids </w:t>
      </w:r>
      <w:r>
        <w:rPr>
          <w:rFonts w:ascii="Arial" w:cs="Arial" w:eastAsia="Arial" w:hAnsi="Arial"/>
          <w:sz w:val="16"/>
          <w:szCs w:val="16"/>
          <w:color w:val="363E3B"/>
        </w:rPr>
        <w:t>with normal or near normal levels of</w:t>
      </w:r>
      <w:r>
        <w:rPr>
          <w:rFonts w:ascii="Arial" w:cs="Arial" w:eastAsia="Arial" w:hAnsi="Arial"/>
          <w:sz w:val="16"/>
          <w:szCs w:val="16"/>
          <w:color w:val="auto"/>
        </w:rPr>
        <w:t xml:space="preserve"> </w:t>
      </w:r>
      <w:r>
        <w:rPr>
          <w:rFonts w:ascii="Arial" w:cs="Arial" w:eastAsia="Arial" w:hAnsi="Arial"/>
          <w:sz w:val="16"/>
          <w:szCs w:val="16"/>
          <w:color w:val="363E3B"/>
        </w:rPr>
        <w:t xml:space="preserve">A4 at baseline </w:t>
      </w:r>
      <w:r>
        <w:rPr>
          <w:rFonts w:ascii="Arial" w:cs="Arial" w:eastAsia="Arial" w:hAnsi="Arial"/>
          <w:sz w:val="16"/>
          <w:szCs w:val="16"/>
          <w:color w:val="000000"/>
        </w:rPr>
        <w:t>or highly elevated levels of A4 at baseline. A4 is an androgen steroid routinely used as a biomarker of androgen synthesis by the adrenal</w:t>
      </w:r>
      <w:r>
        <w:rPr>
          <w:rFonts w:ascii="Arial" w:cs="Arial" w:eastAsia="Arial" w:hAnsi="Arial"/>
          <w:sz w:val="16"/>
          <w:szCs w:val="16"/>
          <w:color w:val="363E3B"/>
        </w:rPr>
        <w:t xml:space="preserve"> </w:t>
      </w:r>
      <w:r>
        <w:rPr>
          <w:rFonts w:ascii="Arial" w:cs="Arial" w:eastAsia="Arial" w:hAnsi="Arial"/>
          <w:sz w:val="16"/>
          <w:szCs w:val="16"/>
          <w:color w:val="000000"/>
        </w:rPr>
        <w:t>gland. These two groups, which together make up the entire classic CAH patient population, have differing disease challenges centered on excessive adrenal hormone levels or excessive glucocorticoid usage, both of which have the potential to be addressed by treatment with tildacerfont, if approved. We believe our strategy to study CAH patients in these two enriched sub-populations may enable us to observe clinically meaningful outcomes. Additionally, we believe these two clinical trials will provide sufficient patient exposures for our registrational safety database, which are designed to potentially support registration in the United States and Europe. Assuming positive results from these clinical trials, we plan to meet with the U.S. Food and Drug Administration (FDA) and certain comparable foreign regulatory authorities to discuss potential registration.</w:t>
      </w:r>
    </w:p>
    <w:p>
      <w:pPr>
        <w:spacing w:after="0" w:line="60" w:lineRule="exact"/>
        <w:rPr>
          <w:sz w:val="20"/>
          <w:szCs w:val="20"/>
          <w:color w:val="auto"/>
        </w:rPr>
      </w:pPr>
    </w:p>
    <w:p>
      <w:pPr>
        <w:jc w:val="both"/>
        <w:ind w:right="80" w:firstLine="509"/>
        <w:spacing w:after="0" w:line="301" w:lineRule="auto"/>
        <w:rPr>
          <w:sz w:val="20"/>
          <w:szCs w:val="20"/>
          <w:color w:val="auto"/>
        </w:rPr>
      </w:pPr>
      <w:r>
        <w:rPr>
          <w:rFonts w:ascii="Arial" w:cs="Arial" w:eastAsia="Arial" w:hAnsi="Arial"/>
          <w:sz w:val="16"/>
          <w:szCs w:val="16"/>
          <w:color w:val="auto"/>
        </w:rPr>
        <w:t>Classic CAH is an autosomal recessive disease, driven by a mutation in the gene that encodes an enzyme necessary for the synthesis of key adrenal hormones. In classic CAH patients, the body is not able to produce cortisol, leading to serious health consequences. In the absence of cortisol, patients can face adrenal crisis and death rapidly as a result of any stressing event, such as infection. Physicians administer replacement steroid hormones to reduce the risk of adrenal crises and death; however, replacement alone is not sufficient to address all of the consequences associated with classic CAH.</w:t>
      </w:r>
    </w:p>
    <w:p>
      <w:pPr>
        <w:spacing w:after="0" w:line="49"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The absence of cortisol alters the normal feedback cycle of the hypothalamic-pituitary-adrenal (HPA) axis, and leads to excess secretion of adrenocorticotropic hormone (ACTH), hyperplasia of the adrenal gland, and consequently high levels of endogenous androgen production. As a result, classic CAH patients suffer from premature puberty, impaired fertility, hirsutism, acne, the development of adrenal rest tumors, and an impaired quality of life, and additionally for females, virilized genitalia and menstrual irregularities. Currently, the only way to downregulate the production of excess androgens in classic CAH patients is to administer even higher doses of glucocorticoids, known as supraphysiologic glucocorticoid dosing. These elevated dose levels present specific side effects, including increased risks of developing diabetes, cardiovascular disease, stunted growth, osteoporosis, thin skin, gastrointestinal disorders, and decreased lifespan.</w:t>
      </w:r>
    </w:p>
    <w:p>
      <w:pPr>
        <w:spacing w:after="0" w:line="87"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Due to the severity of the disease, most developed countries have established newborn screening programs to test for classic CAH at birth. Infants diagnosed with classic CAH are generally initiated on glucocorticoid therapy at the time of diagnosis and lifelong disease management with steroids is required, with pediatric patients generally transitioning into the care of adult endocrinologists between the ages of 18 and 21. Due to the complexity of management of classic CAH, in the United States, patients are generally managed within specialty endocrinology clinics, and in the European Union (EU), most countries have a small number of centers of excellence addressing the population. We estimate the total classic CAH populations are approximately 20,000 to 30,000 people in the United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States and approximately 50,000 people in the EU, and, according to the National Organization for Rare Disorders, the estimated incidence of classic CAH in the United States and Europe is between one in 10,000 and one in 15,000 live births. In addition, we estimate based on industry reports that the global market opportunity in patients with classic CAH is at least approximately $3.0 billion.</w:t>
      </w:r>
    </w:p>
    <w:p>
      <w:pPr>
        <w:spacing w:after="0" w:line="76"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Tildacerfont is a potent and highly selective, non-steroidal, oral antagonist of the CRF1 receptor, which is the receptor for corticotropin-releasing factor (CRF), a hormone that is secreted by the hypothalamus. The CRF1 receptor is abundantly expressed in the pituitary gland where it is the primary regulator of the HPA axis. By blocking the CRF1 receptor, tildacerfont has the potential to address the uncontrolled cortisol feedback regulatory pathway in CAH, and in turn reduce the production of ACTH in the pituitary, limiting the amount of androgen produced downstream from the adrenal gland. We believe that by controlling excess adrenal androgens through an independent mechanism, tildacerfont could reduce the unwanted clinical symptoms associated with high androgen exposure. Tildacerfont use could also enable treating physicians to lower the supraphysiologic glucocorticoid doses given to classic CAH patients to near physiologic levels, thus reducing or avoiding the long-term and serious side effects associated with the chronic use of high dose glucocorticoids.</w:t>
      </w:r>
    </w:p>
    <w:p>
      <w:pPr>
        <w:spacing w:after="0" w:line="84"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color w:val="auto"/>
        </w:rPr>
        <w:t>Tildacerfont has been evaluated in over 200 subjects across eight completed clinical trials in which it has been generally well tolerated. No drug-related SAEs have been reported related to tildacerfont treatment. To date, we have completed two Phase 2 clinical trials in patients with classic CAH, comprising of a two-week proof-of-mechanism dose ranging clinical trial, and a 12-week proof-of-concept clinical trial, in which we observed that tildacerfont led to the decrease in the levels of a series of hormones associated with adrenal hyperplasia and androgen synthesis, both of which are key indicators of poorly controlled disease. In our 12-week clinical trial, among patients with highly elevated levels of adrenal hormones at baseline, 60% achieved normalization of ACTH, one subject at week two prior to discontinuation and two subjects during month three, and 40% achieved normalization of A4 during month three.</w:t>
      </w:r>
    </w:p>
    <w:p>
      <w:pPr>
        <w:spacing w:after="0" w:line="87" w:lineRule="exact"/>
        <w:rPr>
          <w:sz w:val="20"/>
          <w:szCs w:val="20"/>
          <w:color w:val="auto"/>
        </w:rPr>
      </w:pPr>
    </w:p>
    <w:p>
      <w:pPr>
        <w:ind w:right="240" w:firstLine="509"/>
        <w:spacing w:after="0" w:line="290" w:lineRule="auto"/>
        <w:rPr>
          <w:sz w:val="20"/>
          <w:szCs w:val="20"/>
          <w:color w:val="auto"/>
        </w:rPr>
      </w:pPr>
      <w:r>
        <w:rPr>
          <w:rFonts w:ascii="Arial" w:cs="Arial" w:eastAsia="Arial" w:hAnsi="Arial"/>
          <w:sz w:val="16"/>
          <w:szCs w:val="16"/>
          <w:color w:val="auto"/>
        </w:rPr>
        <w:t>Through our clinical trials completed to date, we have conducted post-hoc analyses of two distinct groups of classic CAH patients, both on stable standard-of-care glucocorticoids: those who have highly elevated levels of A4 at baseline; and those on supraphysiologic doses of glucocorticoids with normal or near normal levels of A4 at baseline. In patients with highly elevated levels of adrenal hormones at baseline, we believe that the dose of glucocorticoids being administered was insufficient on its own to suppress adrenal hyperplasia and androgen synthesis. Patients with poorly controlled disease may be intolerant to higher glucocorticoid doses or unwilling to accept the negative consequences resulting from chronic use of high doses of glucocorticoids. In patients with highly elevated levels of adrenal hormones at baseline, the addition of tildacerfont provided a potential non-steroidal solution to control excess androgen synthesis. Patients receiving tildacerfont showed reduced levels of disease-driving hormones by a mean of approximately 80%, resulting in levels close to those found in healthy adults without any changes to the glucocorticoid dosing in these patients.</w:t>
      </w:r>
    </w:p>
    <w:p>
      <w:pPr>
        <w:spacing w:after="0" w:line="57"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We observed that classic CAH patients in our clinical trials on supraphysiologic doses of glucocorticoids with normal or near normal levels of A4 at baseline upon trial enrollment were receiving glucocorticoid doses approximately 44% higher than those patients with highly elevated levels of adrenal hormones at baseline. Dosing of tildacerfont in patients on supraphysiologic doses of glucocorticoids with normal or near normal levels of A4 at baseline was well tolerated and did not lead to further suppression of adrenal function or androgen synthesis. In these patients, tildacerfont may be able to allow a significant reduction in glucocorticoid dosing while continuing to maintain normal levels of androgens. Based on the strength of our clinical results to date, we believe tildacerfont has the potential to offer improved clinical outcomes for all classic CAH patients.</w:t>
      </w:r>
    </w:p>
    <w:p>
      <w:pPr>
        <w:spacing w:after="0" w:line="70"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In addition, we are investigating tildacerfont for the treatment of classic CAH in children. We believe there is a significant medical need to provide androgen-lowering and glucocorticoid-sparing therapies to pediatric classic CAH patients to reduce the risk of premature puberty and the adverse effects of glucocorticoids, including growth inhibition and short-stature as adults. We have initiated CAHptain, a Phase 2 open-label clinical trial, which will utilize a sequential three cohort design, to evaluate the safety, efficacy, and pharmacokinetics of tildacerfont in children two to 17 years of age with classic CAH. We anticipate topline data from adolescents (cohorts 1 and 2) of the Phase 2 open-label clinical trial in the second half of 2023.</w:t>
      </w:r>
    </w:p>
    <w:p>
      <w:pPr>
        <w:spacing w:after="0" w:line="53" w:lineRule="exact"/>
        <w:rPr>
          <w:sz w:val="20"/>
          <w:szCs w:val="20"/>
          <w:color w:val="auto"/>
        </w:rPr>
      </w:pPr>
    </w:p>
    <w:p>
      <w:pPr>
        <w:jc w:val="both"/>
        <w:ind w:right="120" w:firstLine="509"/>
        <w:spacing w:after="0" w:line="287" w:lineRule="auto"/>
        <w:rPr>
          <w:sz w:val="20"/>
          <w:szCs w:val="20"/>
          <w:color w:val="auto"/>
        </w:rPr>
      </w:pPr>
      <w:r>
        <w:rPr>
          <w:rFonts w:ascii="Arial" w:cs="Arial" w:eastAsia="Arial" w:hAnsi="Arial"/>
          <w:sz w:val="16"/>
          <w:szCs w:val="16"/>
          <w:color w:val="auto"/>
        </w:rPr>
        <w:t>We own worldwide development and commercialization rights for tildacerfont. We intend to build a highly specialized commercial organization to support the commercialization of tildacerfont, if approved, in the United States. Given a relatively small number of endocrinologists and specialists treat a large proportion of the patients with classic CAH, we believe this market can be effectively addressed with a modest-sized targeted commercial</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sales force, alongside various high-touch patient initiatives. If tildacerfont is approved for additional indications, we plan to leverage our rare disease commercial infrastructure and expertise to efficiently address those patient populations. We plan to seek strategic collaborations to benefit from the resources of biopharmaceutical companies specialized in either relevant disease areas or geographies in markets outside the United States. In January 2023, we and Kaken Pharmaceutical Co. Ltd (Kaken) entered into an exclusive licensing agreement for the development and commercialization of tildacerfont for the treatment of CAH in Japan. Under the terms of the agreement, we will receive an upfront payment of $15.0 million from Kaken and will be eligible to receive additional payments upon the achievement of future development and commercial milestones, as well as tiered double-digit royalties on net sales in Japan. Kaken will be responsible for the clinical development and commercialization of tildacerfont in Japan, and we will retain all rights to tildacerfont in all other geographies. Kaken will also be responsible for securing and maintaining regulatory approvals necessary to market and sell tildacerfont in Japan.</w:t>
      </w:r>
    </w:p>
    <w:p>
      <w:pPr>
        <w:spacing w:after="0" w:line="88"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We have developed and continue to expand our extensive patent portfolio for tildacerfont, covering composition of matter, method of synthesis, formulation, and use. We have also been granted orphan drug designation for tildacerfont for the treatment of CAH both in the United States and the EU. We have assembled a highly experienced team with broad capabilities in drug discovery, development, and commercialization. Javier Szwarcberg, M.D., MPH, our Chief Executive Officer, previously served as Group Vice President and Head of Program and Portfolio Development for BioMarin Pharmaceuticals. Previously, he held positions as Senior Vice President, Head of Program and Portfolio Management at Ultragenyx Pharmaceutical and Vice President of R&amp;D and Business Development at Horizon Pharma. Samir Gharib, our President and Chief Financial Officer, previously served as Chief Financial Officer at Stemedica Cell Technologies and prior to that in executive finance roles at Revance Therapeutics, Inc. and Talon Therapeutics, Inc.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Plan for Tildacerfont</w:t>
      </w:r>
    </w:p>
    <w:p>
      <w:pPr>
        <w:spacing w:after="0" w:line="121"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 xml:space="preserve">We are investigating tildacerfont in orphan indications where the underlying disease biology supports a need to reduce excess secretion of or hyperresponsiveness to ACTH. We are currently in late-stage clinical development for tildacerfont in adult patients with classic CAH. We have initiated the CAHmelia-203 trial in adult patients with classic CAH with highly elevated levels of A4 at baseline and anticipate topline results in the second half of 2023. We have also initiated the CAHmelia-204 trial in adult patients with classic CAH on supraphysiologic doses of glucocorticoids with normal or near normal levels of A4 at baseline focused on glucocorticoid reduction and anticipate topline results in the second half of 2024. Based on analyses of our clinical data to date, we have chosen to target two distinct groups of classic CAH patients with either supraphysiologic doses of glucocorticoids </w:t>
      </w:r>
      <w:r>
        <w:rPr>
          <w:rFonts w:ascii="Arial" w:cs="Arial" w:eastAsia="Arial" w:hAnsi="Arial"/>
          <w:sz w:val="17"/>
          <w:szCs w:val="17"/>
          <w:color w:val="363E3B"/>
        </w:rPr>
        <w:t>with</w:t>
      </w:r>
      <w:r>
        <w:rPr>
          <w:rFonts w:ascii="Arial" w:cs="Arial" w:eastAsia="Arial" w:hAnsi="Arial"/>
          <w:sz w:val="17"/>
          <w:szCs w:val="17"/>
          <w:color w:val="auto"/>
        </w:rPr>
        <w:t xml:space="preserve"> </w:t>
      </w:r>
      <w:r>
        <w:rPr>
          <w:rFonts w:ascii="Arial" w:cs="Arial" w:eastAsia="Arial" w:hAnsi="Arial"/>
          <w:sz w:val="17"/>
          <w:szCs w:val="17"/>
          <w:color w:val="363E3B"/>
        </w:rPr>
        <w:t xml:space="preserve">normal or near normal levels of A4 at baseline </w:t>
      </w:r>
      <w:r>
        <w:rPr>
          <w:rFonts w:ascii="Arial" w:cs="Arial" w:eastAsia="Arial" w:hAnsi="Arial"/>
          <w:sz w:val="17"/>
          <w:szCs w:val="17"/>
          <w:color w:val="000000"/>
        </w:rPr>
        <w:t>or highly elevated levels of A4 at baseline. These two groups, which together make up the entire classic</w:t>
      </w:r>
      <w:r>
        <w:rPr>
          <w:rFonts w:ascii="Arial" w:cs="Arial" w:eastAsia="Arial" w:hAnsi="Arial"/>
          <w:sz w:val="17"/>
          <w:szCs w:val="17"/>
          <w:color w:val="363E3B"/>
        </w:rPr>
        <w:t xml:space="preserve"> </w:t>
      </w:r>
      <w:r>
        <w:rPr>
          <w:rFonts w:ascii="Arial" w:cs="Arial" w:eastAsia="Arial" w:hAnsi="Arial"/>
          <w:sz w:val="17"/>
          <w:szCs w:val="17"/>
          <w:color w:val="000000"/>
        </w:rPr>
        <w:t>CAH patient population, have differing disease challenges centered on excessive adrenal androgen levels or excessive glucocorticoid usage, both of which have the potential to be addressed by treatment with tildacerfont, if approved. We believe our strategy to study CAH patients in these two enriched sub-populations may enable us to observe clinically meaningful outcomes. Additionally, we believe these two clinical trials will provide sufficient patient exposures for our registrational safety database. Assuming positive results from these clinical trials, we plan to meet with the FDA and certain comparable foreign regulatory authorities to discuss potential registration.</w:t>
      </w:r>
    </w:p>
    <w:p>
      <w:pPr>
        <w:spacing w:after="0" w:line="71"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We are also investigating tildacerfont for the treatment of classic CAH in children. We believe there is a significant medical need to provide androgen-lowering and glucocorticoid-sparing therapies to pediatric classic CAH patients to reduce the risk of premature puberty and the adverse effects of glucocorticoids, including growth inhibition and short-stature as adults. We have initiated CAHptain, a Phase 2 open-label clinical trial, which will utilize a sequential three cohort design, to evaluate the safety, efficacy, and pharmacokinetics of tildacerfont in children two to 17 years of age with classic CAH. We anticipate topline data from adolescents (cohorts 1 and 2) of the Phase 2 open-label clinical trial in the second half of 2023. We have also submitted a PIP to PDCO of the EMA regarding a registrational program in children with classic CAH. PDCO issued an opinion on its agreement with the proposed PIP of tildacerfont for the treatment of CAH which endorsed the clinical program to evaluate the safety, tolerability and efficacy of tildacerfont for the treatment of CAH in patients from one year of age to less than 18 years of age. PDCO also granted a waiver for the treatment of CAH in patients less than one year of age.</w:t>
      </w:r>
    </w:p>
    <w:p>
      <w:pPr>
        <w:spacing w:after="0" w:line="88" w:lineRule="exact"/>
        <w:rPr>
          <w:sz w:val="20"/>
          <w:szCs w:val="20"/>
          <w:color w:val="auto"/>
        </w:rPr>
      </w:pPr>
    </w:p>
    <w:p>
      <w:pPr>
        <w:jc w:val="both"/>
        <w:ind w:right="60" w:firstLine="509"/>
        <w:spacing w:after="0" w:line="287" w:lineRule="auto"/>
        <w:rPr>
          <w:sz w:val="20"/>
          <w:szCs w:val="20"/>
          <w:color w:val="auto"/>
        </w:rPr>
      </w:pPr>
      <w:r>
        <w:rPr>
          <w:rFonts w:ascii="Arial" w:cs="Arial" w:eastAsia="Arial" w:hAnsi="Arial"/>
          <w:sz w:val="16"/>
          <w:szCs w:val="16"/>
          <w:color w:val="auto"/>
        </w:rPr>
        <w:t>Polycystic ovary syndrome (PCOS) is a hormonal disorder common among females of reproductive age affecting nearly five million females in the United States and approximately 115 million females worldwide. PCOS is characterized by elevated levels of androgens, cysts in the ovaries, and irregular periods. We have identified a subpopulation of patients where elevated levels of adrenal androgens are the cause of disease. We believe that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tildacerfont may present a novel mechanism to reduce ACTH and provide a therapeutic option for females with PCOS and elevated adrenal androgens. By leveraging our existing Phase 1 program, which includes safety, tolerability, and pharmacokinetics of tildacerfont, we have initiated P.O.W.E.R., a Phase 2 proof-of-concept clinical trial. The Phase 2 proof-of-concept clinical trial is a randomized, placebo-controlled, dose escalation trial which will evaluate the safety and efficacy of tildacerfont titrated to 200mg once daily (QD) compared to placebo at 12 weeks of treatment in subjects with PCOS and elevated adrenal androgens as measured by dehydroepiandrosterone sulfate (DHEAS) levels at baseline. We anticipate topline results from the Phase 2 proof-of-concept clinical trial in the first half of 2023.</w:t>
      </w:r>
    </w:p>
    <w:p>
      <w:pPr>
        <w:spacing w:after="0" w:line="84"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Beyond classic CAH and PCOS, we believe tildacerfont has potential utility in a range of diseases where the underlying biology supports a need to reduce excess secretion of or hyperresponsiveness to ACTH. We are committed to leveraging our deep scientific knowledge of the biology of rare endocrine disorders, the benefits of tildacerfont, and our commercial expertise to dramatically transform the lives of individuals living with these devastating disorders.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summarizes our ongoing clinical trials and anticipated upcoming milestones for tildacerfont: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5349240" cy="2297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4924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17" w:lineRule="exact"/>
        <w:rPr>
          <w:sz w:val="20"/>
          <w:szCs w:val="20"/>
          <w:color w:val="auto"/>
        </w:rPr>
      </w:pPr>
    </w:p>
    <w:p>
      <w:pPr>
        <w:ind w:left="1020" w:hanging="503"/>
        <w:spacing w:after="0" w:line="283"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Complete clinical development for tildacerfont and seek regulatory approval for the treatment of adults with classic CAH. </w:t>
      </w:r>
      <w:r>
        <w:rPr>
          <w:rFonts w:ascii="Arial" w:cs="Arial" w:eastAsia="Arial" w:hAnsi="Arial"/>
          <w:sz w:val="16"/>
          <w:szCs w:val="16"/>
          <w:color w:val="auto"/>
        </w:rPr>
        <w:t>Our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completed Phase 2 clinical trials of tildacerfont in classic CAH patients have demonstrated the potential of tildacerfont to lower ACTH and levels of key steroid precursors for androgen synthesis. We have initiated CAHmelia-203, a placebo-controlled, double-blind Phase 2b clinical trial in adult patients with classic CAH with highly elevated levels of A4 at baseline and anticipate topline results in the second half of 2023. We have also initiated CAHmelia-204, a second Phase 2b clinical trial in adult patients with classic CAH on supraphysiologic doses of glucocorticoids with normal or near normal levels of A4 at baseline focused on glucocorticoid reduction and anticipate topline results in the second half of 2024. Based on analyses of our clinical data to date, we have chosen to target two distinct groups of classic CAH patients with either supraphysiologic doses of glucocorticoids </w:t>
      </w:r>
      <w:r>
        <w:rPr>
          <w:rFonts w:ascii="Arial" w:cs="Arial" w:eastAsia="Arial" w:hAnsi="Arial"/>
          <w:sz w:val="16"/>
          <w:szCs w:val="16"/>
          <w:color w:val="363E3B"/>
        </w:rPr>
        <w:t>with normal or near normal levels of A4 at baseline</w:t>
      </w:r>
      <w:r>
        <w:rPr>
          <w:rFonts w:ascii="Arial" w:cs="Arial" w:eastAsia="Arial" w:hAnsi="Arial"/>
          <w:sz w:val="16"/>
          <w:szCs w:val="16"/>
          <w:color w:val="auto"/>
        </w:rPr>
        <w:t xml:space="preserve"> or highly elevated levels of A4 at baseline. These two groups, which together make up the entire classic CAH patient population, have differing disease challenges centered on excessive adrenal androgen levels or excessive glucocorticoid usage, both of which have the potential to be addressed by treatment with tildacerfont, if approved. We believe our strategy to study CAH patients in these two enriched sub-populations may enable us to observe clinically meaningful outcomes. Additionally, we believe these two clinical trials will provide sufficient patient exposures for our</w:t>
      </w:r>
    </w:p>
    <w:p>
      <w:pPr>
        <w:spacing w:after="0" w:line="7" w:lineRule="exact"/>
        <w:rPr>
          <w:sz w:val="20"/>
          <w:szCs w:val="20"/>
          <w:color w:val="auto"/>
        </w:rPr>
      </w:pPr>
    </w:p>
    <w:p>
      <w:pPr>
        <w:ind w:left="1020" w:right="340"/>
        <w:spacing w:after="0" w:line="250" w:lineRule="auto"/>
        <w:rPr>
          <w:sz w:val="20"/>
          <w:szCs w:val="20"/>
          <w:color w:val="auto"/>
        </w:rPr>
      </w:pPr>
      <w:r>
        <w:rPr>
          <w:rFonts w:ascii="Arial" w:cs="Arial" w:eastAsia="Arial" w:hAnsi="Arial"/>
          <w:sz w:val="18"/>
          <w:szCs w:val="18"/>
          <w:color w:val="auto"/>
        </w:rPr>
        <w:t>registrational safety database. Assuming positive results from these clinical trials, we plan to meet with the FDA and certain comparable foreign regulatory authorities to discuss potential registration.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ind w:left="1020" w:right="60" w:hanging="503"/>
        <w:spacing w:after="0" w:line="273"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Advance tildacerfont through clinical development and seek regulatory approval for the treatment of children with classic CAH. </w:t>
      </w:r>
      <w:r>
        <w:rPr>
          <w:rFonts w:ascii="Arial" w:cs="Arial" w:eastAsia="Arial" w:hAnsi="Arial"/>
          <w:sz w:val="17"/>
          <w:szCs w:val="17"/>
          <w:color w:val="auto"/>
        </w:rPr>
        <w:t>There is an urgent medical need to bring androgen-lowering and glucocorticoid-reduction therapy to pediatric classic CAH patients to avoid premature puberty, which together with the adverse effects of glucocorticoids, can prevent a child from growing to their full height. We have developed a pediatric development plan to assess the safety and efficacy of tildacerfont in patients as young as one year of age. We have initiated CAHptain, a Phase 2 open-label clinical trial, which will utilize a sequential three cohort design, to evaluate the safety, efficacy, and pharmacokinetics of tildacerfont in children two to 17 years of age with classic CAH. We anticipate topline data from adolescents (cohorts 1 and 2) of the Phase 2 open-label clinical trial in the second half of 2023.</w:t>
      </w:r>
    </w:p>
    <w:p>
      <w:pPr>
        <w:spacing w:after="0" w:line="63" w:lineRule="exact"/>
        <w:rPr>
          <w:rFonts w:ascii="Arial" w:cs="Arial" w:eastAsia="Arial" w:hAnsi="Arial"/>
          <w:sz w:val="17"/>
          <w:szCs w:val="17"/>
          <w:color w:val="auto"/>
        </w:rPr>
      </w:pPr>
    </w:p>
    <w:p>
      <w:pPr>
        <w:ind w:left="1020" w:right="100" w:hanging="503"/>
        <w:spacing w:after="0" w:line="287"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Maximize the commercial potential of tildacerfont in classic CAH. </w:t>
      </w:r>
      <w:r>
        <w:rPr>
          <w:rFonts w:ascii="Arial" w:cs="Arial" w:eastAsia="Arial" w:hAnsi="Arial"/>
          <w:sz w:val="16"/>
          <w:szCs w:val="16"/>
          <w:color w:val="auto"/>
        </w:rPr>
        <w:t>We intend to build a highly specialized commercial organization to</w:t>
      </w:r>
      <w:r>
        <w:rPr>
          <w:rFonts w:ascii="Arial" w:cs="Arial" w:eastAsia="Arial" w:hAnsi="Arial"/>
          <w:sz w:val="16"/>
          <w:szCs w:val="16"/>
          <w:b w:val="1"/>
          <w:bCs w:val="1"/>
          <w:color w:val="auto"/>
        </w:rPr>
        <w:t xml:space="preserve"> </w:t>
      </w:r>
      <w:r>
        <w:rPr>
          <w:rFonts w:ascii="Arial" w:cs="Arial" w:eastAsia="Arial" w:hAnsi="Arial"/>
          <w:sz w:val="16"/>
          <w:szCs w:val="16"/>
          <w:color w:val="auto"/>
        </w:rPr>
        <w:t>support the commercialization of tildacerfont, if approved, in the United States. Given a relatively small number of endocrinologists and specialists treat a large proportion of the patients with classic CAH, we believe this market can be effectively addressed with a modest-sized targeted commercial sales force, alongside various high-touch patient initiatives. If tildacerfont is approved for additional indications, we plan to leverage our rare disorder commercial infrastructure and expertise to efficiently address those patient populations. We plan to seek strategic collaborations to benefit from the resources of biopharmaceutical companies specialized in either relevant disease areas or geographies in markets outside the United States. In January 2023, we and Kaken entered into an exclusive licensing agreement for the development and commercialization of tildacerfont for the treatment of CAH in Japan. Under the terms of the agreement, we will receive an upfront payment of $15.0 million from Kaken and will be eligible to receive additional payments upon the achievement of future development and commercial milestones, as well as tiered double-digit royalties on net sales in Japan. Kaken will be responsible for the clinical development and commercialization of tildacerfont in Japan, and we will retain all rights to tildacerfont in all other geographies. Kaken will also be responsible for securing and maintaining regulatory approvals necessary to market and sell tildacerfont in Japan.</w:t>
      </w:r>
    </w:p>
    <w:p>
      <w:pPr>
        <w:spacing w:after="0" w:line="59" w:lineRule="exact"/>
        <w:rPr>
          <w:rFonts w:ascii="Arial" w:cs="Arial" w:eastAsia="Arial" w:hAnsi="Arial"/>
          <w:sz w:val="16"/>
          <w:szCs w:val="16"/>
          <w:color w:val="auto"/>
        </w:rPr>
      </w:pPr>
    </w:p>
    <w:p>
      <w:pPr>
        <w:ind w:left="1020" w:hanging="503"/>
        <w:spacing w:after="0" w:line="288"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Explore the potential of tildacerfont to bring therapeutic benefit to patients with other rare endocrine disorders. </w:t>
      </w:r>
      <w:r>
        <w:rPr>
          <w:rFonts w:ascii="Arial" w:cs="Arial" w:eastAsia="Arial" w:hAnsi="Arial"/>
          <w:sz w:val="16"/>
          <w:szCs w:val="16"/>
          <w:color w:val="auto"/>
        </w:rPr>
        <w:t>We believe that</w:t>
      </w:r>
      <w:r>
        <w:rPr>
          <w:rFonts w:ascii="Arial" w:cs="Arial" w:eastAsia="Arial" w:hAnsi="Arial"/>
          <w:sz w:val="16"/>
          <w:szCs w:val="16"/>
          <w:b w:val="1"/>
          <w:bCs w:val="1"/>
          <w:color w:val="auto"/>
        </w:rPr>
        <w:t xml:space="preserve"> </w:t>
      </w:r>
      <w:r>
        <w:rPr>
          <w:rFonts w:ascii="Arial" w:cs="Arial" w:eastAsia="Arial" w:hAnsi="Arial"/>
          <w:sz w:val="16"/>
          <w:szCs w:val="16"/>
          <w:color w:val="auto"/>
        </w:rPr>
        <w:t>tildacerfont has the potential to bring therapeutic benefit to patients suffering from rare endocrine disorders where the underlying disease biology supports a need to reduce excess secretion of or hyperresponsiveness to ACTH. Based on this biological rationale, we believe tildacerfont may have utility in controlling elevated levels of adrenal androgens in a subpopulation of females with PCOS. We believe these patients may potentially benefit from treatment with tildacerfont by reducing their ACTH level and related adrenal androgen production. By leveraging our existing Phase 1 program, which includes safety, tolerability, and pharmacokinetics of tildacerfont, we have initiated P.O.W.E.R., a Phase 2 proof-of-concept clinical trial. The Phase 2 proof-of-concept clinical trial is a randomized, placebo-controlled, dose escalation trial which will evaluate the safety and efficacy of tildacerfont titrated to 200mg QD compared to placebo at 12 weeks of treatment in subjects with PCOS and elevated adrenal androgens as measured by DHEAS levels at baseline. We will also continue to explore the utility of tildacerfont in other rare endocrine disorders, such as the severe form of non-classic CAH in which there is a strong scientific and clinical rationale. We anticipate topline results from the Phase 2 proof-of-concept clinical trial in the first half of 2023.</w:t>
      </w:r>
    </w:p>
    <w:p>
      <w:pPr>
        <w:spacing w:after="0" w:line="55" w:lineRule="exact"/>
        <w:rPr>
          <w:rFonts w:ascii="Arial" w:cs="Arial" w:eastAsia="Arial" w:hAnsi="Arial"/>
          <w:sz w:val="16"/>
          <w:szCs w:val="16"/>
          <w:color w:val="auto"/>
        </w:rPr>
      </w:pPr>
    </w:p>
    <w:p>
      <w:pPr>
        <w:ind w:left="1020" w:hanging="503"/>
        <w:spacing w:after="0"/>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Evaluate strategic opportunities to expand our product candidate portfolio.  </w:t>
      </w:r>
      <w:r>
        <w:rPr>
          <w:rFonts w:ascii="Arial" w:cs="Arial" w:eastAsia="Arial" w:hAnsi="Arial"/>
          <w:sz w:val="16"/>
          <w:szCs w:val="16"/>
          <w:color w:val="auto"/>
        </w:rPr>
        <w:t>We intend to seek to in-license or acquire development-</w:t>
      </w:r>
    </w:p>
    <w:p>
      <w:pPr>
        <w:spacing w:after="0" w:line="50" w:lineRule="exact"/>
        <w:rPr>
          <w:sz w:val="20"/>
          <w:szCs w:val="20"/>
          <w:color w:val="auto"/>
        </w:rPr>
      </w:pPr>
    </w:p>
    <w:p>
      <w:pPr>
        <w:jc w:val="both"/>
        <w:ind w:left="1020" w:right="200"/>
        <w:spacing w:after="0" w:line="250" w:lineRule="auto"/>
        <w:rPr>
          <w:sz w:val="20"/>
          <w:szCs w:val="20"/>
          <w:color w:val="auto"/>
        </w:rPr>
      </w:pPr>
      <w:r>
        <w:rPr>
          <w:rFonts w:ascii="Arial" w:cs="Arial" w:eastAsia="Arial" w:hAnsi="Arial"/>
          <w:sz w:val="18"/>
          <w:szCs w:val="18"/>
          <w:color w:val="auto"/>
        </w:rPr>
        <w:t>stage product candidates in rare endocrine disorders that have the potential to complement our existing portfolio. We believe that there are many opportunities to leverage our deep endocrine expertise to develop new treatments for rare endocrine disorders with significant unmet medical needs.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Endocrine System and the HPA Axis</w:t>
      </w:r>
    </w:p>
    <w:p>
      <w:pPr>
        <w:spacing w:after="0" w:line="117"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The endocrine system regulates most of the body’s physiological activities through the actions of hormones, which are chemical and biochemical messengers secreted from different organs that influence growth, gastrointestinal function, maturation and development, reproduction, stress, metabolism, and nearly all aspects of homeostasis. The endocrine system includes, among other glands and organs, the pituitary gland, hypothalamus, pancreas, adrenal gland, thyroid and parathyroid, ovaries and testes, as well as specialized enteroendocrine cells. Hormonal secretion is complex and the body employs several mechanisms to exert positive and negative feedback control to maintain homeostasis.</w:t>
      </w:r>
    </w:p>
    <w:p>
      <w:pPr>
        <w:spacing w:after="0" w:line="68"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The HPA axis is a critical component of the endocrine system and the body’s response to stress. In a functioning HPA axis, CRF is synthesized and secreted from the hypothalamus in the brain. This stimulates the secretion of ACTH, through activation of the CRF1 receptor at the pituitary gland, which in turn stimulates the production of several hormones in the adrenal cortex: corticosteroids, which gauge the body’s response to illness or injury; mineralocorticoids, which regulate salt and water levels; and androgens, which are male sex hormones. Cortisol, a glucocorticoid steroid, exerts a negative feedback response at the hypothalamus and pituitary, which decreases secretion of CRF and ACTH, respectively, to maintain an appropriate balance of all three hormones.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131445</wp:posOffset>
            </wp:positionV>
            <wp:extent cx="4886325" cy="18516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886325"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Figure 1. Normal HPA Axis function.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Classic CAH Disease Overview</w:t>
      </w:r>
    </w:p>
    <w:p>
      <w:pPr>
        <w:spacing w:after="0" w:line="117"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Classic CAH is a chronic and potentially life-threatening rare disease with no cure. The most common cause of classic CAH, accounting for an estimated 95% of cases, is a genetic mutation leading to the production of dysfunctional 21-hydroxylase, an enzyme necessary for the biosynthesis of both corticosteroids and mineralocorticoids. Patients with classic CAH present with dysregulation across the HPA axis due to this enzymatic deficiency that shuts down the production of corticosteroids and, in approximately 75% of cases, the production of mineralocorticoids.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5983605" cy="2074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83605"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2. The dysregulation of the HPA axis in classic CAH.</w:t>
      </w:r>
    </w:p>
    <w:p>
      <w:pPr>
        <w:spacing w:after="0" w:line="121" w:lineRule="exact"/>
        <w:rPr>
          <w:sz w:val="20"/>
          <w:szCs w:val="20"/>
          <w:color w:val="auto"/>
        </w:rPr>
      </w:pPr>
    </w:p>
    <w:p>
      <w:pPr>
        <w:ind w:right="160" w:firstLine="509"/>
        <w:spacing w:after="0" w:line="273" w:lineRule="auto"/>
        <w:rPr>
          <w:sz w:val="20"/>
          <w:szCs w:val="20"/>
          <w:color w:val="auto"/>
        </w:rPr>
      </w:pPr>
      <w:r>
        <w:rPr>
          <w:rFonts w:ascii="Arial" w:cs="Arial" w:eastAsia="Arial" w:hAnsi="Arial"/>
          <w:sz w:val="17"/>
          <w:szCs w:val="17"/>
          <w:color w:val="auto"/>
        </w:rPr>
        <w:t>The immediate goal of treatment is the prevention of adrenal crises by replacing the missing physiological levels of corticosteroids. However, cortisol levels in the body vary daily, and normally increase during periods of high stress, making adequate control very difficult to achieve for most patients. In response to chronically absent or inadequate cortisol levels, the pituitary gland secretes higher levels of ACTH to further stimulate steroid synthesis in the adrenal gland. This results in hyperplasia of the gland and the shunting of the steroid precursors to androgen synthesis, resulting in excess levels of androgens such as testosterone and A4 with overt symptoms of virilization. Therefore, the long-term symptomatic control in these patients is to reduce ACTH through supraphysiological doses of exogenous glucocorticoids via a negative feedback response.</w:t>
      </w:r>
    </w:p>
    <w:p>
      <w:pPr>
        <w:spacing w:after="0" w:line="70" w:lineRule="exact"/>
        <w:rPr>
          <w:sz w:val="20"/>
          <w:szCs w:val="20"/>
          <w:color w:val="auto"/>
        </w:rPr>
      </w:pPr>
    </w:p>
    <w:p>
      <w:pPr>
        <w:ind w:right="180" w:firstLine="509"/>
        <w:spacing w:after="0" w:line="293" w:lineRule="auto"/>
        <w:rPr>
          <w:sz w:val="20"/>
          <w:szCs w:val="20"/>
          <w:color w:val="auto"/>
        </w:rPr>
      </w:pPr>
      <w:r>
        <w:rPr>
          <w:rFonts w:ascii="Arial" w:cs="Arial" w:eastAsia="Arial" w:hAnsi="Arial"/>
          <w:sz w:val="16"/>
          <w:szCs w:val="16"/>
          <w:color w:val="auto"/>
        </w:rPr>
        <w:t>The consequences of being born with CAH are severe. All patients born with classic CAH have cortisol deficiency, which makes these patients susceptible to adrenal crises in as early as one to four weeks of age. Due to the life-threatening adrenal crisis, screening for classic CAH is a standard part of routine neonatal screening in the United States and many other major geographies around the world. The most common cause of an adrenal crisis is an infection. Adrenal crisis can also be precipitated by other inducers of stress including surgery, dehydration, or trauma, and is characterized by extreme weakness, nausea, and vomiting. To prevent adrenal crises, physiological replacement of glucocorticoids is initiated in the neonatal period. Data from approximately 6.5 million newborn infants screened worldwide show an estimated incidence of approximately one in 15,000 live births.</w:t>
      </w:r>
    </w:p>
    <w:p>
      <w:pPr>
        <w:spacing w:after="0" w:line="56"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Even when patients are diagnosed early and treated with steroids, the associated, continued exposure to high levels of androgens results in premature or precocious puberty, with onset sometimes occurring as early as five years of age. Early puberty drives early maturation of the body’s bones, resulting in an adult height that is typically significantly below the height expected based on the parents’ heights. In females, the presence of excess androgens in the body causes virilization, often leading to ambiguous genitalia and masculinizing features apparent at birth. Female adolescents and adults may develop male-pattern alopecia, acne, hirsutism, menstrual irregularities, and impaired fertility. Often commencing in early adolescence, a substantial proportion of males can develop testicular adrenal rest tumors (TARTs), benign tumors that can lead to pain and impaired fertility.</w:t>
      </w:r>
    </w:p>
    <w:p>
      <w:pPr>
        <w:spacing w:after="0" w:line="56" w:lineRule="exact"/>
        <w:rPr>
          <w:sz w:val="20"/>
          <w:szCs w:val="20"/>
          <w:color w:val="auto"/>
        </w:rPr>
      </w:pPr>
    </w:p>
    <w:p>
      <w:pPr>
        <w:ind w:right="700" w:firstLine="509"/>
        <w:spacing w:after="0" w:line="263" w:lineRule="auto"/>
        <w:rPr>
          <w:sz w:val="20"/>
          <w:szCs w:val="20"/>
          <w:color w:val="auto"/>
        </w:rPr>
      </w:pPr>
      <w:r>
        <w:rPr>
          <w:rFonts w:ascii="Arial" w:cs="Arial" w:eastAsia="Arial" w:hAnsi="Arial"/>
          <w:sz w:val="18"/>
          <w:szCs w:val="18"/>
          <w:color w:val="auto"/>
        </w:rPr>
        <w:t>Numerous studies have documented diminished quality of life in patients with CAH related both to the disease and its treatment with glucocorticoids. For example, CAH patients commonly experience fatigue, sleep disturbances, concentration problems, and challenges with social interactions.</w:t>
      </w:r>
    </w:p>
    <w:p>
      <w:pPr>
        <w:spacing w:after="0" w:line="76"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Patients with classic CAH face increased risk of mortality, with one study documenting an average reduced lifespan of 6.5 years. The causes of death were adrenal crisis (42%), cardiovascular disease (32%), cancer (16%), and suicide (10%).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of Lack of Cortisol and Aldosterone</w:t>
      </w:r>
    </w:p>
    <w:p>
      <w:pPr>
        <w:spacing w:after="0" w:line="117" w:lineRule="exact"/>
        <w:rPr>
          <w:sz w:val="20"/>
          <w:szCs w:val="20"/>
          <w:color w:val="auto"/>
        </w:rPr>
      </w:pPr>
    </w:p>
    <w:p>
      <w:pPr>
        <w:ind w:right="260" w:firstLine="509"/>
        <w:spacing w:after="0" w:line="286" w:lineRule="auto"/>
        <w:rPr>
          <w:sz w:val="20"/>
          <w:szCs w:val="20"/>
          <w:color w:val="auto"/>
        </w:rPr>
      </w:pPr>
      <w:r>
        <w:rPr>
          <w:rFonts w:ascii="Arial" w:cs="Arial" w:eastAsia="Arial" w:hAnsi="Arial"/>
          <w:sz w:val="16"/>
          <w:szCs w:val="16"/>
          <w:color w:val="auto"/>
        </w:rPr>
        <w:t>A lack of functional 21-hydroxylase enzyme results in the inability to produce sufficient corticosteroids, such as cortisol, and mineralocorticoids, such as aldosterone. Cortisol functions as the body’s main stress hormone. Biochemically, it regulates glucose metabolism, inflammation and blood pressure. On a behavioral level, it controls mood, motivation, fear, and sleep/wake cycles. Aldosterone regulates the electrolyte balance between sodium and potassium in the body. Low levels of aldosterone result in hyponatremia, low blood pressure and volume, dizziness,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1240"/>
        <w:spacing w:after="0" w:line="375" w:lineRule="auto"/>
        <w:rPr>
          <w:sz w:val="20"/>
          <w:szCs w:val="20"/>
          <w:color w:val="auto"/>
        </w:rPr>
      </w:pPr>
      <w:r>
        <w:rPr>
          <w:rFonts w:ascii="Arial" w:cs="Arial" w:eastAsia="Arial" w:hAnsi="Arial"/>
          <w:sz w:val="18"/>
          <w:szCs w:val="18"/>
          <w:color w:val="auto"/>
        </w:rPr>
        <w:t xml:space="preserve">and lightheadedness. Restoration of the function of both cortisol and aldosterone is the primary goal of current therapies for classic CAH. </w:t>
      </w:r>
      <w:r>
        <w:rPr>
          <w:rFonts w:ascii="Arial" w:cs="Arial" w:eastAsia="Arial" w:hAnsi="Arial"/>
          <w:sz w:val="18"/>
          <w:szCs w:val="18"/>
          <w:i w:val="1"/>
          <w:iCs w:val="1"/>
          <w:color w:val="auto"/>
        </w:rPr>
        <w:t>Consequences of the Accumulation of the Androgen Precursor 17-OHP</w:t>
      </w:r>
    </w:p>
    <w:p>
      <w:pPr>
        <w:spacing w:after="0" w:line="1"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A consequence of the absence of 21-hydroxylase is the accumulation of 17-hydroxyprogesterone (17-OHP), a precursor molecule to androgens and cortisol. Without 21-hydroxylase to convert 17-OHP into cortisol, increased levels of 17-OHP are shunted to an alternative hormone resulting in increased synthesis of the testosterone precursor, A4, and related increases in the levels of other androgens in the body, resulting in virilization that complicates fertility and sexual maturation in both females and males. The following figure depicts steroid treatment intervention in patients with classic CAH.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108585</wp:posOffset>
            </wp:positionV>
            <wp:extent cx="4663440" cy="2443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663440"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Figure 3. Depiction of steroid treatment intervention in patients with classic CAH.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Inadequate Regulation of Steroid Synthesis Leading to Androgen Excess</w:t>
      </w:r>
    </w:p>
    <w:p>
      <w:pPr>
        <w:spacing w:after="0" w:line="117"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Cortisol serves as a negative regulator of the HPA axis, regulating its own production. Increasing levels of cortisol downregulate the synthesis of CRF in the hypothalamus and ACTH in the pituitary to ultimately reduce the production of cortisol precursor molecules, such as 17-OHP. In classic CAH patients, deficiencies in cortisol levels stimulate this feedback mechanism and results in excess production of CRF and ACTH. CRF produced in the hypothalamus binds to the CRF1 receptor in the pituitary gland to stimulate the production of ACTH. In turn, ACTH overproduction drives both adrenal hyperplasia, or enlargement of the adrenal glands, and overproduction of steroid molecules such as 17-OHP and A4, leading to increased androgen production. This serves to further exacerbate the excessive levels of androgens in these patients.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Treatment Paradigm and its Limitations</w:t>
      </w:r>
    </w:p>
    <w:p>
      <w:pPr>
        <w:spacing w:after="0" w:line="117"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The mainstay of classic CAH therapy for approximately 70 years has been lifelong treatment with glucocorticoids such as hydrocortisone, prednisone, prednisolone, methylprednisolone, or dexamethasone. These treatments do not cure the disease, but they serve a two-fold purpose in disease management. Firstly, physiologic levels of glucocorticoids replace the missing cortisol in order to prevent adrenal crisis. Secondly, supraphysiologic levels of glucocorticoids reduce excess androgens through the negative feedback loop alleviating additional hyperandrogenic symptoms.</w:t>
      </w:r>
    </w:p>
    <w:p>
      <w:pPr>
        <w:spacing w:after="0" w:line="49" w:lineRule="exact"/>
        <w:rPr>
          <w:sz w:val="20"/>
          <w:szCs w:val="20"/>
          <w:color w:val="auto"/>
        </w:rPr>
      </w:pPr>
    </w:p>
    <w:p>
      <w:pPr>
        <w:ind w:right="300" w:firstLine="509"/>
        <w:spacing w:after="0" w:line="254" w:lineRule="auto"/>
        <w:rPr>
          <w:sz w:val="20"/>
          <w:szCs w:val="20"/>
          <w:color w:val="auto"/>
        </w:rPr>
      </w:pPr>
      <w:r>
        <w:rPr>
          <w:rFonts w:ascii="Arial" w:cs="Arial" w:eastAsia="Arial" w:hAnsi="Arial"/>
          <w:sz w:val="18"/>
          <w:szCs w:val="18"/>
          <w:color w:val="auto"/>
        </w:rPr>
        <w:t>The level of glucocorticoid necessary to achieve therapeutic benefit is specific to each patient, requires adjustment to individual patient circumstances, and may change over the patient’s lifetime, thereby creating multiple challenges for effective treatment. Chronic use of glucocorticoids requires careful management, because of the well-known serious side effects of these drugs, which include growth inhibition in children, high blood pressure, diabetes, psychological effects, skin thinning, and increased risks of infections.</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color w:val="auto"/>
        </w:rPr>
        <w:t>Clinical management of classic CAH is a difficult balance between supplying sufficient levels of glucocorticoids to compensate for deficiencies in cortisol levels while minimizing side effects resulting in a narrow therapeutic window. In an analysis of classic CAH patients treated in the United States and the United Kingdom (UK), only one-third of those dosed with glucocorticoids achieved optimal control of their androgen levels. While treatment with supraphysiologic glucocorticoids can help restore the regulation of CRF and ACTH production leading to reductions in excess 17-OHP and A4 synthesis, in order to restore a more appropriate balance, physicians must identify the desired glucocorticoid dose for each patient. This is challenging, because the amount of cortisol needed to modulate 17-OHP and A4 levels is much higher than that required to functionally replace the missing cortisol.</w:t>
      </w:r>
    </w:p>
    <w:p>
      <w:pPr>
        <w:spacing w:after="0" w:line="56"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From birth to adulthood, the aim of glucocorticoid treatment is to identify the right balance based on both the patient’s physical maturation as well as gender. At birth, the aim of treatment is to provide an adequate level of steroids to prevent an adrenal crisis. Throughout childhood, treatment becomes more complex with both a need to maintain adequate steroid levels but also ensure androgen levels are as close to normal to prevent precocious puberty while not stunting growth and to prevent premature closure of bone growth plates as a result of treatment with supraphysiologic steroids. The aim of treatment for adolescents and adults is to provide the body with the ability to maintain a normal energy level, normal growth, and fertility while minimizing clinically overt signs of excess glucocorticoids or excess androgens. In adults, the balancing act may be different between males and females. Females experience more outward signs of excess androgens than males, so females are more attentive to androgen control through supraphysiologic glucocorticoids while males may be more attentive to the adverse outcomes associated with supraphysiologic glucocorticoid replacement.</w:t>
      </w:r>
    </w:p>
    <w:p>
      <w:pPr>
        <w:spacing w:after="0" w:line="57" w:lineRule="exact"/>
        <w:rPr>
          <w:sz w:val="20"/>
          <w:szCs w:val="20"/>
          <w:color w:val="auto"/>
        </w:rPr>
      </w:pPr>
    </w:p>
    <w:p>
      <w:pPr>
        <w:ind w:right="140" w:firstLine="509"/>
        <w:spacing w:after="0" w:line="301" w:lineRule="auto"/>
        <w:rPr>
          <w:sz w:val="20"/>
          <w:szCs w:val="20"/>
          <w:color w:val="auto"/>
        </w:rPr>
      </w:pPr>
      <w:r>
        <w:rPr>
          <w:rFonts w:ascii="Arial" w:cs="Arial" w:eastAsia="Arial" w:hAnsi="Arial"/>
          <w:sz w:val="16"/>
          <w:szCs w:val="16"/>
          <w:color w:val="auto"/>
        </w:rPr>
        <w:t>This makes glucocorticoid therapy challenging, since treatment with high levels of glucocorticoids leads to, among other consequences, obesity, short stature, the loss of bone mineral density, drug-induced Cushing’s disease, which is a condition that occurs from exposure to high cortisol levels for a long period of time, metabolic disorders, increased cardiovascular and infection risk, and early mortality. The following figure depicts the need to balance the negative consequences that result from excess levels of androgen levels with those associated with high levels of glucocorticoids.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108585</wp:posOffset>
            </wp:positionV>
            <wp:extent cx="3651885" cy="18688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51885"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Figure 4. The challenge in treating CAH is balancing therapy to provide optimal control of androgens while avoiding excess cortisol levels.</w:t>
      </w:r>
    </w:p>
    <w:p>
      <w:pPr>
        <w:spacing w:after="0" w:line="144"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A novel approach to suppress androgen synthesis would be to directly inhibit the ability of CRF to stimulate ACTH synthesis using a CRF1 receptor antagonist. This approach has the potential to dissociate physiologic cortisol replacement with glucocorticoids from cortisol’s regulatory role as a negative-regulator of ACTH to both prevent the hyperplasia of the adrenal gland and reduce the ensuing excess androgen synthesis. In effect, this is an independent mechanism to block excessive ACTH production. We believe that an effective CRF1receptor antagonist will enable physicians to reduce the dose of glucocorticoids administered to patients in a way that will address their cortisol replacement needs and simultaneously avoid excessive androgen production.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 Tildacerfont</w:t>
      </w:r>
    </w:p>
    <w:p>
      <w:pPr>
        <w:spacing w:after="0" w:line="121"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Tildacerfont is a potent and highly selective, non-steroidal, oral, small-molecule antagonist of the CRF1 receptor, a regulator of the production of ACTH. The CRF1 receptor binds CRF, a potent mediator of endocrine, autonomic, behavioral, and immune responses to stress. Activation of the CRF1 receptor in the pituitary gland has been shown to increase the secretion of ACTH, which in turn drives the production of cortisol and androgens in the adrenal gland. By blocking the CRF1 receptor, tildacerfont can address the uncontrolled cortisol feedback regulatory pathway in CAH, and in turn reduce the production of ACTH in the pituitary, limiting the amount of androgen produced downstream from the adrenal gland. Tildacerfont has been assessed in over 200 subjects across eight completed clinical trials, in which it has been well tolerated with no drug-related SAEs. In preclinical studies, we showed that blocking the binding of CRF to this receptor decreased ACTH production and the production of hormones and androgens such as 17-OHP and A4 and that tildacerfont was over 1,000-fold selective for the CRF1 receptor versus any other receptor tested. Based on preclinical data, receptor occupancy of at least 90% was predicted to be achieved at a dose of less than 400mg.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360" w:right="180"/>
        <w:spacing w:after="0" w:line="282" w:lineRule="auto"/>
        <w:rPr>
          <w:sz w:val="20"/>
          <w:szCs w:val="20"/>
          <w:color w:val="auto"/>
        </w:rPr>
      </w:pPr>
      <w:r>
        <w:rPr>
          <w:rFonts w:ascii="Arial" w:cs="Arial" w:eastAsia="Arial" w:hAnsi="Arial"/>
          <w:sz w:val="18"/>
          <w:szCs w:val="18"/>
          <w:b w:val="1"/>
          <w:bCs w:val="1"/>
          <w:color w:val="auto"/>
        </w:rPr>
        <w:t>Figure 5. Tildacerfont blocks CRF1 receptors at the anterior pituitary gland to decrease secretion of ACTH, hormones, such as 17-OHP, and androgens, such as A4.</w:t>
      </w:r>
    </w:p>
    <w:p>
      <w:pPr>
        <w:spacing w:after="0" w:line="58"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Tildacerfont has been investigated in six completed Phase 1 clinical trials in healthy adult volunteers, in single doses up to 800mg as well as in multiple doses ranging from 50mg to 200mg once daily, for 14 days. In all of these clinical trials, tildacerfont was generally well tolerated. Over 200 healthy volunteers have received at least one dose of tildacerfont in completed studies. No drug-related SAEs during tildacerfont treatment were observed in these clinical trials and the most frequent non-procedural adverse events, defined as events experienced by greater than 5% of the healthy volunteer population was headache.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Completed Clinical Trials in Classic CAH Patients</w:t>
      </w:r>
    </w:p>
    <w:p>
      <w:pPr>
        <w:spacing w:after="0" w:line="117"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We conducted two Phase 2a clinical trials of tildacerfont in adult patients with classic CAH on stable glucocorticoid therapy. Clinical trial SPR001-201 was an open-label, dose-ranging clinical trial in 24 patients. These patients received a series of doses of tildacerfont for two weeks each in addition to their standard daily glucocorticoid dose. Two patients participated in two cohorts in SPR001-201. Clinical trial SPR001-202 was a 12-week clinical trial of 11 patients treated with a fixed dose of 400mg tildacerfont once daily. Nine of the 11 SPR001-202 patients also participated in SPR001-201. A total of 26 unique classic CAH patients have been treated to date with tildacerfont. The results from the clinical trials to date suggest that tildacerfont may reduce elevated androgens and may also allow for reduction of supraphysiologic glucocorticoid doses.</w:t>
      </w:r>
    </w:p>
    <w:p>
      <w:pPr>
        <w:spacing w:after="0" w:line="70" w:lineRule="exact"/>
        <w:rPr>
          <w:sz w:val="20"/>
          <w:szCs w:val="20"/>
          <w:color w:val="auto"/>
        </w:rPr>
      </w:pPr>
    </w:p>
    <w:p>
      <w:pPr>
        <w:ind w:right="80" w:firstLine="509"/>
        <w:spacing w:after="0" w:line="285" w:lineRule="auto"/>
        <w:rPr>
          <w:sz w:val="20"/>
          <w:szCs w:val="20"/>
          <w:color w:val="auto"/>
        </w:rPr>
      </w:pPr>
      <w:r>
        <w:rPr>
          <w:rFonts w:ascii="Arial" w:cs="Arial" w:eastAsia="Arial" w:hAnsi="Arial"/>
          <w:sz w:val="16"/>
          <w:szCs w:val="16"/>
          <w:color w:val="auto"/>
        </w:rPr>
        <w:t>Previous observations had identified that tildacerfont interacts with CYP3A4, a liver enzyme that is responsible for the metabolism of a number of drugs. When a drug inhibits or induces CYP3A4, it can impact the body’s ability to metabolize other drugs. In SPR001-201, we observed that tildacerfont led to an approximately two-fold increase in the levels of dexamethasone, a glucocorticoid that is primarily metabolized through CYP3A4. In order to eliminate any potentially confounding drug-drug interactions from our clinical trial, we subsequently removed patients who were being treated with dexamethasone from our efficacy analyses. No drug-drug interactions were observed with other glucocorticoids and we made no other modifications.</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10895" cy="8255"/>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288925</wp:posOffset>
            </wp:positionV>
            <wp:extent cx="4208780" cy="21513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20878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Figure 6. Phase 2 SPR001-201.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SPR001-201 Results</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SPR001-201 was our first clinical trial in adults with classic CAH and was a proof-of-concept, dose-escalating Phase 2a clinical trial in patients who were on a stable glucocorticoid dosing regimen but still had levels of 17-OHP that were four-fold or greater above the 200 ng/dL upper limit of normal (ULN). Patients enrolled in three sequential cohorts, and during the clinical trial, could not change their underlying glucocorticoid regimen to avoid confounding the effect of varying glucocorticoid levels on disease-driving hormones. The clinical trial assessed the safety and pharmacokinetics of tildacerfont across a range of doses from 200mg to 1,000mg once daily and 100mg and 200mg twice daily. Pharmacodynamic activity was assessed using ACTH, 17-OHP, and A4 overnight with the baseline and key assessment at 8:00 a.m. This overnight period was selected as it represents the time period during which excess production of ACTH and hormones and androgens peak. The goal of this clinical trial was to assess whether tildacerfont could blunt the magnitude of this rise in the hormones.</w:t>
      </w:r>
    </w:p>
    <w:p>
      <w:pPr>
        <w:spacing w:after="0" w:line="84"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The enrollment screening criteria for SPR001-201 ensured that 17-OHP was elevated in all but one patient at baseline (8:00 a.m. on day one) enrolled in this clinical trial; however, the levels of ACTH and A4 were more variable. In a post-hoc analysis, we identified two homogenous patient groups using ACTH and A4 and classified these patients as either those with highly elevated adrenal hormones at baseline or on supraphysiologic doses of glucocorticoids with normal or near normal levels of A4 at baseline. In our clinical trial, patients with highly elevated levels of adrenal hormones at baseline had highly elevated ACTH, 17-OHP, and A4 levels, generally greater than twice the ULN and, more commonly, greater than four times the ULN. Patients with highly elevated levels of adrenal hormones at baseline were on a stable mean daily supraphysiologic dose of approximately 25mg of hydrocortisone, or a dose of another glucocorticoid equivalent to 25mg of hydrocortisone. Patients on supraphysiologic doses of glucocorticoids with normal or near normal levels of A4 at baseline had elevated 17-OHP levels but had ACTH and A4 generally less than twice the ULN and more commonly, within the normal bounds for ACTH and A4. These patients were on doses equivalent to a mean daily supraphysiologic dose 36mg of hydrocortisone, which was a 44% higher total daily dose than patients with highly elevated levels of adrenal hormones at baseline. These findings suggest that patients with highly elevated levels of adrenal hormones at baseline may have been receiving inadequate glucocorticoid doses to provide adequate control of their disease, possibly due to an inability to tolerate higher doses of glucocorticoids or unwillingness to accept the adverse outcomes attributed to chronic dosing of supraphysiologic glucocorticoids. Given the clear differences in baseline hormone profiles and glucocorticoid dosing, we decided to analyze the effect of tildacerfont on hormones in these two groups independently. We believe that by identifying these two homogeneous patient groups, and designing our development program around the two groups, we are uniquely positioned to address the two major areas of unmet medical need for these patients.</w:t>
      </w:r>
    </w:p>
    <w:p>
      <w:pPr>
        <w:spacing w:after="0" w:line="59" w:lineRule="exact"/>
        <w:rPr>
          <w:sz w:val="20"/>
          <w:szCs w:val="20"/>
          <w:color w:val="auto"/>
        </w:rPr>
      </w:pPr>
    </w:p>
    <w:p>
      <w:pPr>
        <w:jc w:val="both"/>
        <w:ind w:right="200" w:firstLine="509"/>
        <w:spacing w:after="0" w:line="255" w:lineRule="auto"/>
        <w:rPr>
          <w:sz w:val="20"/>
          <w:szCs w:val="20"/>
          <w:color w:val="auto"/>
        </w:rPr>
      </w:pPr>
      <w:r>
        <w:rPr>
          <w:rFonts w:ascii="Arial" w:cs="Arial" w:eastAsia="Arial" w:hAnsi="Arial"/>
          <w:sz w:val="18"/>
          <w:szCs w:val="18"/>
          <w:color w:val="auto"/>
        </w:rPr>
        <w:t>Table 1 summarizes the key demographic and baseline characteristics across the two patient groups. The demographics across both patient groups were similar. The age distribution trended to older subjects with an average age of 44 years, as compared to an age range of 19 years to 67 years, with an average body mass index (BMI) of</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approximately 31, signifying an obese population on average. The daily glucocorticoid dose and baseline hormones were different between the two patient groups.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Supraphysiologic</w:t>
            </w:r>
          </w:p>
        </w:tc>
        <w:tc>
          <w:tcPr>
            <w:tcW w:w="140" w:type="dxa"/>
            <w:vAlign w:val="bottom"/>
          </w:tcPr>
          <w:p>
            <w:pPr>
              <w:spacing w:after="0"/>
              <w:rPr>
                <w:sz w:val="14"/>
                <w:szCs w:val="14"/>
                <w:color w:val="auto"/>
              </w:rPr>
            </w:pPr>
          </w:p>
        </w:tc>
        <w:tc>
          <w:tcPr>
            <w:tcW w:w="1600" w:type="dxa"/>
            <w:vAlign w:val="bottom"/>
          </w:tcPr>
          <w:p>
            <w:pPr>
              <w:jc w:val="right"/>
              <w:ind w:right="268"/>
              <w:spacing w:after="0"/>
              <w:rPr>
                <w:sz w:val="20"/>
                <w:szCs w:val="20"/>
                <w:color w:val="auto"/>
              </w:rPr>
            </w:pPr>
            <w:r>
              <w:rPr>
                <w:rFonts w:ascii="Arial" w:cs="Arial" w:eastAsia="Arial" w:hAnsi="Arial"/>
                <w:sz w:val="14"/>
                <w:szCs w:val="14"/>
                <w:b w:val="1"/>
                <w:bCs w:val="1"/>
                <w:color w:val="auto"/>
              </w:rPr>
              <w:t>Highly Elevated</w:t>
            </w:r>
          </w:p>
        </w:tc>
      </w:tr>
      <w:tr>
        <w:trPr>
          <w:trHeight w:val="148"/>
        </w:trPr>
        <w:tc>
          <w:tcPr>
            <w:tcW w:w="5640" w:type="dxa"/>
            <w:vAlign w:val="bottom"/>
          </w:tcPr>
          <w:p>
            <w:pPr>
              <w:spacing w:after="0"/>
              <w:rPr>
                <w:sz w:val="12"/>
                <w:szCs w:val="12"/>
                <w:color w:val="auto"/>
              </w:rPr>
            </w:pPr>
          </w:p>
        </w:tc>
        <w:tc>
          <w:tcPr>
            <w:tcW w:w="16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Glucocorticoids</w:t>
            </w:r>
          </w:p>
        </w:tc>
        <w:tc>
          <w:tcPr>
            <w:tcW w:w="140" w:type="dxa"/>
            <w:vAlign w:val="bottom"/>
          </w:tcPr>
          <w:p>
            <w:pPr>
              <w:spacing w:after="0"/>
              <w:rPr>
                <w:sz w:val="12"/>
                <w:szCs w:val="12"/>
                <w:color w:val="auto"/>
              </w:rPr>
            </w:pPr>
          </w:p>
        </w:tc>
        <w:tc>
          <w:tcPr>
            <w:tcW w:w="160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Adrenal Hormones</w:t>
            </w:r>
          </w:p>
        </w:tc>
      </w:tr>
      <w:tr>
        <w:trPr>
          <w:trHeight w:val="185"/>
        </w:trPr>
        <w:tc>
          <w:tcPr>
            <w:tcW w:w="5640" w:type="dxa"/>
            <w:vAlign w:val="bottom"/>
          </w:tcPr>
          <w:p>
            <w:pPr>
              <w:spacing w:after="0"/>
              <w:rPr>
                <w:sz w:val="16"/>
                <w:szCs w:val="16"/>
                <w:color w:val="auto"/>
              </w:rPr>
            </w:pPr>
          </w:p>
        </w:tc>
        <w:tc>
          <w:tcPr>
            <w:tcW w:w="1000" w:type="dxa"/>
            <w:vAlign w:val="bottom"/>
            <w:tcBorders>
              <w:bottom w:val="single" w:sz="8" w:color="auto"/>
            </w:tcBorders>
          </w:tcPr>
          <w:p>
            <w:pPr>
              <w:jc w:val="center"/>
              <w:ind w:left="495"/>
              <w:spacing w:after="0"/>
              <w:rPr>
                <w:sz w:val="20"/>
                <w:szCs w:val="20"/>
                <w:color w:val="auto"/>
              </w:rPr>
            </w:pPr>
            <w:r>
              <w:rPr>
                <w:rFonts w:ascii="Arial" w:cs="Arial" w:eastAsia="Arial" w:hAnsi="Arial"/>
                <w:sz w:val="14"/>
                <w:szCs w:val="14"/>
                <w:b w:val="1"/>
                <w:bCs w:val="1"/>
                <w:color w:val="auto"/>
                <w:w w:val="95"/>
              </w:rPr>
              <w:t>(N=6)</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(N=11)</w:t>
            </w:r>
          </w:p>
        </w:tc>
      </w:tr>
      <w:tr>
        <w:trPr>
          <w:trHeight w:val="237"/>
        </w:trPr>
        <w:tc>
          <w:tcPr>
            <w:tcW w:w="5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Demographics</w:t>
            </w: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r>
      <w:tr>
        <w:trPr>
          <w:trHeight w:val="237"/>
        </w:trPr>
        <w:tc>
          <w:tcPr>
            <w:tcW w:w="5640" w:type="dxa"/>
            <w:vAlign w:val="bottom"/>
          </w:tcPr>
          <w:p>
            <w:pPr>
              <w:ind w:left="180"/>
              <w:spacing w:after="0"/>
              <w:rPr>
                <w:sz w:val="20"/>
                <w:szCs w:val="20"/>
                <w:color w:val="auto"/>
              </w:rPr>
            </w:pPr>
            <w:r>
              <w:rPr>
                <w:rFonts w:ascii="Arial" w:cs="Arial" w:eastAsia="Arial" w:hAnsi="Arial"/>
                <w:sz w:val="18"/>
                <w:szCs w:val="18"/>
                <w:color w:val="auto"/>
              </w:rPr>
              <w:t>Age (yrs), mean (SD)</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(16.6)</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45 (17.0)</w:t>
            </w:r>
          </w:p>
        </w:tc>
      </w:tr>
      <w:tr>
        <w:trPr>
          <w:trHeight w:val="249"/>
        </w:trPr>
        <w:tc>
          <w:tcPr>
            <w:tcW w:w="56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Sex, Female, n (%)</w:t>
            </w:r>
          </w:p>
        </w:tc>
        <w:tc>
          <w:tcPr>
            <w:tcW w:w="100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8"/>
              </w:rPr>
              <w:t>5 (83%)</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 (55%)</w:t>
            </w:r>
          </w:p>
        </w:tc>
      </w:tr>
      <w:tr>
        <w:trPr>
          <w:trHeight w:val="237"/>
        </w:trPr>
        <w:tc>
          <w:tcPr>
            <w:tcW w:w="5640" w:type="dxa"/>
            <w:vAlign w:val="bottom"/>
          </w:tcPr>
          <w:p>
            <w:pPr>
              <w:ind w:left="180"/>
              <w:spacing w:after="0"/>
              <w:rPr>
                <w:sz w:val="20"/>
                <w:szCs w:val="20"/>
                <w:color w:val="auto"/>
              </w:rPr>
            </w:pPr>
            <w:r>
              <w:rPr>
                <w:rFonts w:ascii="Arial" w:cs="Arial" w:eastAsia="Arial" w:hAnsi="Arial"/>
                <w:sz w:val="18"/>
                <w:szCs w:val="18"/>
                <w:color w:val="auto"/>
              </w:rPr>
              <w:t>Race, White n (%)</w:t>
            </w: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6"/>
              </w:rPr>
              <w:t>(100%)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10 (91%)</w:t>
            </w:r>
          </w:p>
        </w:tc>
      </w:tr>
      <w:tr>
        <w:trPr>
          <w:trHeight w:val="249"/>
        </w:trPr>
        <w:tc>
          <w:tcPr>
            <w:tcW w:w="56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BMI (kg/m2), mean (SD)</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(5.77)</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 (5.9)</w:t>
            </w:r>
          </w:p>
        </w:tc>
      </w:tr>
      <w:tr>
        <w:trPr>
          <w:trHeight w:val="239"/>
        </w:trPr>
        <w:tc>
          <w:tcPr>
            <w:tcW w:w="5640" w:type="dxa"/>
            <w:vAlign w:val="bottom"/>
          </w:tcPr>
          <w:p>
            <w:pPr>
              <w:spacing w:after="0"/>
              <w:rPr>
                <w:sz w:val="20"/>
                <w:szCs w:val="20"/>
                <w:color w:val="auto"/>
              </w:rPr>
            </w:pPr>
            <w:r>
              <w:rPr>
                <w:rFonts w:ascii="Arial" w:cs="Arial" w:eastAsia="Arial" w:hAnsi="Arial"/>
                <w:sz w:val="18"/>
                <w:szCs w:val="18"/>
                <w:b w:val="1"/>
                <w:bCs w:val="1"/>
                <w:color w:val="auto"/>
              </w:rPr>
              <w:t>Baseline Glucocorticoid dose</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47"/>
        </w:trPr>
        <w:tc>
          <w:tcPr>
            <w:tcW w:w="56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Dose (mg) in Hydrocortisone equivalents</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(8.02)</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24.5 (8.6)</w:t>
            </w:r>
          </w:p>
        </w:tc>
      </w:tr>
      <w:tr>
        <w:trPr>
          <w:trHeight w:val="239"/>
        </w:trPr>
        <w:tc>
          <w:tcPr>
            <w:tcW w:w="5640" w:type="dxa"/>
            <w:vAlign w:val="bottom"/>
          </w:tcPr>
          <w:p>
            <w:pPr>
              <w:spacing w:after="0"/>
              <w:rPr>
                <w:sz w:val="20"/>
                <w:szCs w:val="20"/>
                <w:color w:val="auto"/>
              </w:rPr>
            </w:pPr>
            <w:r>
              <w:rPr>
                <w:rFonts w:ascii="Arial" w:cs="Arial" w:eastAsia="Arial" w:hAnsi="Arial"/>
                <w:sz w:val="18"/>
                <w:szCs w:val="18"/>
                <w:b w:val="1"/>
                <w:bCs w:val="1"/>
                <w:color w:val="auto"/>
              </w:rPr>
              <w:t>Baseline Hormones (8:00 a.m.)</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47"/>
        </w:trPr>
        <w:tc>
          <w:tcPr>
            <w:tcW w:w="56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ACTH (pg/mL), geometric mean (CV%)</w:t>
            </w:r>
          </w:p>
        </w:tc>
        <w:tc>
          <w:tcPr>
            <w:tcW w:w="16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30.9 (273.1%)</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397.0 (88.5%)</w:t>
            </w:r>
          </w:p>
        </w:tc>
      </w:tr>
      <w:tr>
        <w:trPr>
          <w:trHeight w:val="237"/>
        </w:trPr>
        <w:tc>
          <w:tcPr>
            <w:tcW w:w="5640" w:type="dxa"/>
            <w:vAlign w:val="bottom"/>
          </w:tcPr>
          <w:p>
            <w:pPr>
              <w:ind w:left="180"/>
              <w:spacing w:after="0"/>
              <w:rPr>
                <w:sz w:val="20"/>
                <w:szCs w:val="20"/>
                <w:color w:val="auto"/>
              </w:rPr>
            </w:pPr>
            <w:r>
              <w:rPr>
                <w:rFonts w:ascii="Arial" w:cs="Arial" w:eastAsia="Arial" w:hAnsi="Arial"/>
                <w:sz w:val="18"/>
                <w:szCs w:val="18"/>
                <w:color w:val="auto"/>
              </w:rPr>
              <w:t>17-OHP (ng/dl), geometric mean (CV%)</w:t>
            </w:r>
          </w:p>
        </w:tc>
        <w:tc>
          <w:tcPr>
            <w:tcW w:w="1000" w:type="dxa"/>
            <w:vAlign w:val="bottom"/>
          </w:tcPr>
          <w:p>
            <w:pPr>
              <w:jc w:val="right"/>
              <w:spacing w:after="0"/>
              <w:rPr>
                <w:sz w:val="20"/>
                <w:szCs w:val="20"/>
                <w:color w:val="auto"/>
              </w:rPr>
            </w:pPr>
            <w:r>
              <w:rPr>
                <w:rFonts w:ascii="Arial" w:cs="Arial" w:eastAsia="Arial" w:hAnsi="Arial"/>
                <w:sz w:val="18"/>
                <w:szCs w:val="18"/>
                <w:color w:val="auto"/>
              </w:rPr>
              <w:t>1,531.6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6"/>
              </w:rPr>
              <w:t>(489%)</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6,688.6 (113%)</w:t>
            </w:r>
          </w:p>
        </w:tc>
      </w:tr>
      <w:tr>
        <w:trPr>
          <w:trHeight w:val="249"/>
        </w:trPr>
        <w:tc>
          <w:tcPr>
            <w:tcW w:w="56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A4 (ng/dL), geometric mean (CV%)</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6"/>
              </w:rPr>
              <w:t>(338%)</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333.1 (171%)</w:t>
            </w:r>
          </w:p>
        </w:tc>
      </w:tr>
    </w:tbl>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1. Demographics and baseline hormones in non-dexamethasone patients (SPR001-201).</w:t>
      </w:r>
    </w:p>
    <w:p>
      <w:pPr>
        <w:spacing w:after="0" w:line="121"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While the exposure levels, as a function of dose, generally demonstrated dose linearity, no clear dose-response was observed in ACTH, 17-OHP, and A4 reductions. The lowest evaluated dose of 200mg once daily resulted in hormone changes that were comparable to those observed at higher doses (Figures 7-9). Also, overall dosing twice daily did not result in greater hormone reductions compared to once daily dosing. This finding corresponds with the initial predicted receptor occupancy data based on preclinical experiments demonstrating at least 90% receptor occupancy at doses of tildacerfont up to 400mg.</w:t>
      </w:r>
    </w:p>
    <w:p>
      <w:pPr>
        <w:spacing w:after="0" w:line="80"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Figures 7-9 below summarize the changes in hormones across the overnight period. We conducted a post-hoc analysis which divided the subjects in this study into two groups, based on patients with highly elevated levels of adrenal hormones at baseline and patients on supraphysiologic doses of glucocorticoids with normal or near normal levels of A4 at baseline. Of the patients with highly elevated levels of adrenal hormones at baseline, there were 11 patients at doses equal to 200mg, six of whom received 200mg once per day in Cohort A and five of whom received 100mg twice per day in Cohort C, and 12 patients at doses greater than 200mg, six of whom received 600mg once per day and the same six of whom received 1,000mg once per day. There were six patients on supraphysiologic doses of glucocorticoids with normal or near normal levels of A4 at baseline, one patient at 200mg once per day in Cohort A and five patients at doses greater than 200mg, each receiving 200mg twice per day in Cohort B.</w:t>
      </w:r>
    </w:p>
    <w:p>
      <w:pPr>
        <w:spacing w:after="0" w:line="58"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Patients with highly elevated levels of adrenal hormones at baseline had baseline levels of ACTH, 17-OHP, and A4 that were substantially above the target goal for these hormones (ACTH target of 63.3 pg/mL, 17-OHP target of 1200 ng/dL and A4 target of 152 ng/dL for males and 262 ng/dL for females). Subsequent to receiving tildacerfont for 14 days, the mean levels of all three hormones were generally reduced throughout the overnight period from 10:00 p.m. to 8:00 a.m. These reductions were observed despite no changes in glucocorticoid dosing. We believe that the reductions in patients with highly elevated levels of adrenal hormones at baseline demonstrated proof-of-concept and supported further studies to assess the ability of tildacerfont to reduce hormones.</w:t>
      </w:r>
    </w:p>
    <w:p>
      <w:pPr>
        <w:spacing w:after="0" w:line="84"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Patients on supraphysiologic doses of glucocorticoids with normal or near normal levels of A4 at baseline had mean baseline levels of ACTH and A4 that were already below the target goal for these hormones. Treatment with tildacerfont did not lead to clinically meaningful reduction of these levels, suggesting that administering tildacerfont in these patients have a low risk of excessive adrenal suppression. We believe the observed changes in these hormones are reflective of typical day-to-day variation in these patients. Treatment of these patients who had elevated levels of 17-OHP led to a modest decrease in 17-OHP.</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089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452120</wp:posOffset>
            </wp:positionV>
            <wp:extent cx="4585970" cy="1148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585970"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7. Change from baseline in ACTH (pg/mL) in patients during the overnight period (SPR001-201).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317500</wp:posOffset>
            </wp:positionV>
            <wp:extent cx="4585970" cy="11398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585970" cy="113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8. Change from baseline in 17-OHP (ng/dL) in patients during the overnight period (SPR001-201).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317500</wp:posOffset>
            </wp:positionV>
            <wp:extent cx="3111500" cy="15087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1150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9. Change from baseline in A4 (ng/dL) (SPR001-201).</w:t>
      </w:r>
    </w:p>
    <w:p>
      <w:pPr>
        <w:spacing w:after="0" w:line="12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Of note, one classic CAH patient enrolled in this clinical trial, who had a pre-existing testicular mass classified as TART, saw a 25% decrease in the size of his tumor following six weeks of dosing with tildacerfont through two dose escalations in Cohort A. TARTs are directly driven by excess ACTH and the empiric standard of care to reduce TARTs is high dose dexamethasone. This tumor shrinkage is consistent with the mechanism of action of tildacerfont, reduction of excess ACTH, and provides the first known evidence of a non-steroidal, non-surgical reduction in a TART.</w:t>
      </w:r>
    </w:p>
    <w:p>
      <w:pPr>
        <w:spacing w:after="0" w:line="63" w:lineRule="exact"/>
        <w:rPr>
          <w:sz w:val="20"/>
          <w:szCs w:val="20"/>
          <w:color w:val="auto"/>
        </w:rPr>
      </w:pPr>
    </w:p>
    <w:p>
      <w:pPr>
        <w:ind w:right="80" w:firstLine="509"/>
        <w:spacing w:after="0" w:line="252" w:lineRule="auto"/>
        <w:rPr>
          <w:sz w:val="20"/>
          <w:szCs w:val="20"/>
          <w:color w:val="auto"/>
        </w:rPr>
      </w:pPr>
      <w:r>
        <w:rPr>
          <w:rFonts w:ascii="Arial" w:cs="Arial" w:eastAsia="Arial" w:hAnsi="Arial"/>
          <w:sz w:val="18"/>
          <w:szCs w:val="18"/>
          <w:color w:val="auto"/>
        </w:rPr>
        <w:t>Tildacerfont was well tolerated in SPR001-201 at doses up to 1,000mg once daily. No drug-related SAEs were reported. The most common adverse event was headache (n=3). The majority of events were grade one in nature. A female subject (age 48; 200mg twice daily) experienced a grade three hot flush that resolved on its own within 30 minutes in the first week of treatment. One event of special interest was observed at the highest dose of 1,000mg once daily. After 14 days of treatment at 1,000mg once daily, this patient experienced a grade one liver-related adverse event, as determined by the investigator. This patient had elevated levels of alanine transaminase (ALT) between five and nine times ULN, elevations in aspartate aminotransferase (AST) less than five times ULN, and no increases in bilirubin. The event resolved on its own without additional medical intervention. No cases of liver enzyme elevations above three times the ULN were observed in any patient receiving total daily doses of 600mg, which is approximately three times the proposed therapeutic dose, and below.</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1089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151765</wp:posOffset>
            </wp:positionV>
            <wp:extent cx="5349240" cy="1028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4924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Figure 10. Phase 2 SPR001-202.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SPR001-202 Results</w:t>
      </w:r>
    </w:p>
    <w:p>
      <w:pPr>
        <w:spacing w:after="0" w:line="117"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SPR001-202, our open-label, 12-week Phase 2a clinical trial, assessed the ability of a daily dose of 400mg of tildacerfont to lower disease-driving hormones such as ACTH, 17-OHP, and A4 over a 12-week dosing period. SPR001-202 was an extension clinical trial of SPR001-201, where the enrollment criteria was either prior participation in SPR001-201 or treatment-naïve patients meeting the 17-OHP criterion in SPR001-201. Disease-driving hormones were assessed at approximately 8:00 a.m. on each day corresponding to the peak excess hormone production. This clinical trial was conducted to evaluate the safety and tolerability of long-term treatment with tildacerfont and to assess the magnitude of hormone reductions after 12 weeks of treatment.</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with SPR001-201, dexamethasone subjects (n=3) were excluded from pharmacodynamic activity summaries but included in safety summaries.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key demographic and baseline hormones in the non-dexamethasone patients.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0"/>
              </w:rPr>
              <w:t>Supraphysiologic</w:t>
            </w:r>
          </w:p>
        </w:tc>
        <w:tc>
          <w:tcPr>
            <w:tcW w:w="12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3"/>
              </w:rPr>
              <w:t>Highly Elevated</w:t>
            </w:r>
          </w:p>
        </w:tc>
      </w:tr>
      <w:tr>
        <w:trPr>
          <w:trHeight w:val="148"/>
        </w:trPr>
        <w:tc>
          <w:tcPr>
            <w:tcW w:w="528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Glucocorticoids</w:t>
            </w:r>
          </w:p>
        </w:tc>
        <w:tc>
          <w:tcPr>
            <w:tcW w:w="12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Adrenal Hormones</w:t>
            </w:r>
          </w:p>
        </w:tc>
      </w:tr>
      <w:tr>
        <w:trPr>
          <w:trHeight w:val="185"/>
        </w:trPr>
        <w:tc>
          <w:tcPr>
            <w:tcW w:w="528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(N=3)</w:t>
            </w:r>
          </w:p>
        </w:tc>
        <w:tc>
          <w:tcPr>
            <w:tcW w:w="120" w:type="dxa"/>
            <w:vAlign w:val="bottom"/>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(N=5)</w:t>
            </w:r>
          </w:p>
        </w:tc>
      </w:tr>
      <w:tr>
        <w:trPr>
          <w:trHeight w:val="237"/>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Demographics</w:t>
            </w:r>
          </w:p>
        </w:tc>
        <w:tc>
          <w:tcPr>
            <w:tcW w:w="18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Age (yrs), mean (SD)</w:t>
            </w:r>
          </w:p>
        </w:tc>
        <w:tc>
          <w:tcPr>
            <w:tcW w:w="1800" w:type="dxa"/>
            <w:vAlign w:val="bottom"/>
          </w:tcPr>
          <w:p>
            <w:pPr>
              <w:jc w:val="right"/>
              <w:spacing w:after="0"/>
              <w:rPr>
                <w:sz w:val="20"/>
                <w:szCs w:val="20"/>
                <w:color w:val="auto"/>
              </w:rPr>
            </w:pPr>
            <w:r>
              <w:rPr>
                <w:rFonts w:ascii="Arial" w:cs="Arial" w:eastAsia="Arial" w:hAnsi="Arial"/>
                <w:sz w:val="18"/>
                <w:szCs w:val="18"/>
                <w:color w:val="auto"/>
              </w:rPr>
              <w:t>48.0 (17.69)</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42.4 (15.63)</w:t>
            </w:r>
          </w:p>
        </w:tc>
      </w:tr>
      <w:tr>
        <w:trPr>
          <w:trHeight w:val="249"/>
        </w:trPr>
        <w:tc>
          <w:tcPr>
            <w:tcW w:w="5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Sex, Female, n (%)</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(100%)</w:t>
            </w:r>
          </w:p>
        </w:tc>
        <w:tc>
          <w:tcPr>
            <w:tcW w:w="1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 (40%)</w:t>
            </w: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Race, White n (%)</w:t>
            </w:r>
          </w:p>
        </w:tc>
        <w:tc>
          <w:tcPr>
            <w:tcW w:w="1800" w:type="dxa"/>
            <w:vAlign w:val="bottom"/>
          </w:tcPr>
          <w:p>
            <w:pPr>
              <w:jc w:val="right"/>
              <w:spacing w:after="0"/>
              <w:rPr>
                <w:sz w:val="20"/>
                <w:szCs w:val="20"/>
                <w:color w:val="auto"/>
              </w:rPr>
            </w:pPr>
            <w:r>
              <w:rPr>
                <w:rFonts w:ascii="Arial" w:cs="Arial" w:eastAsia="Arial" w:hAnsi="Arial"/>
                <w:sz w:val="18"/>
                <w:szCs w:val="18"/>
                <w:color w:val="auto"/>
              </w:rPr>
              <w:t>3 (100%)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 (80%)</w:t>
            </w:r>
          </w:p>
        </w:tc>
      </w:tr>
      <w:tr>
        <w:trPr>
          <w:trHeight w:val="249"/>
        </w:trPr>
        <w:tc>
          <w:tcPr>
            <w:tcW w:w="5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BMI (kg/m2), mean (SD)</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 (6.10)</w:t>
            </w:r>
          </w:p>
        </w:tc>
        <w:tc>
          <w:tcPr>
            <w:tcW w:w="1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27.8 (5.56)</w:t>
            </w:r>
          </w:p>
        </w:tc>
      </w:tr>
      <w:tr>
        <w:trPr>
          <w:trHeight w:val="239"/>
        </w:trPr>
        <w:tc>
          <w:tcPr>
            <w:tcW w:w="5280" w:type="dxa"/>
            <w:vAlign w:val="bottom"/>
          </w:tcPr>
          <w:p>
            <w:pPr>
              <w:spacing w:after="0"/>
              <w:rPr>
                <w:sz w:val="20"/>
                <w:szCs w:val="20"/>
                <w:color w:val="auto"/>
              </w:rPr>
            </w:pPr>
            <w:r>
              <w:rPr>
                <w:rFonts w:ascii="Arial" w:cs="Arial" w:eastAsia="Arial" w:hAnsi="Arial"/>
                <w:sz w:val="18"/>
                <w:szCs w:val="18"/>
                <w:b w:val="1"/>
                <w:bCs w:val="1"/>
                <w:color w:val="auto"/>
              </w:rPr>
              <w:t>Baseline Glucocorticoid dose</w:t>
            </w: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47"/>
        </w:trPr>
        <w:tc>
          <w:tcPr>
            <w:tcW w:w="5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Dose (mg) in Hydrocortisone equivalents</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 (11.6)</w:t>
            </w:r>
          </w:p>
        </w:tc>
        <w:tc>
          <w:tcPr>
            <w:tcW w:w="1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24.5 (11.5)</w:t>
            </w:r>
          </w:p>
        </w:tc>
      </w:tr>
      <w:tr>
        <w:trPr>
          <w:trHeight w:val="239"/>
        </w:trPr>
        <w:tc>
          <w:tcPr>
            <w:tcW w:w="5280" w:type="dxa"/>
            <w:vAlign w:val="bottom"/>
          </w:tcPr>
          <w:p>
            <w:pPr>
              <w:spacing w:after="0"/>
              <w:rPr>
                <w:sz w:val="20"/>
                <w:szCs w:val="20"/>
                <w:color w:val="auto"/>
              </w:rPr>
            </w:pPr>
            <w:r>
              <w:rPr>
                <w:rFonts w:ascii="Arial" w:cs="Arial" w:eastAsia="Arial" w:hAnsi="Arial"/>
                <w:sz w:val="18"/>
                <w:szCs w:val="18"/>
                <w:b w:val="1"/>
                <w:bCs w:val="1"/>
                <w:color w:val="auto"/>
              </w:rPr>
              <w:t>Baseline hormones</w:t>
            </w: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47"/>
        </w:trPr>
        <w:tc>
          <w:tcPr>
            <w:tcW w:w="5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ACTH (pg/mL), geometric mean (CV%)</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 (584.1%)</w:t>
            </w:r>
          </w:p>
        </w:tc>
        <w:tc>
          <w:tcPr>
            <w:tcW w:w="1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536.6 (108.5%)</w:t>
            </w: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17-OHP (ng/dl), geometric mean (CV%)</w:t>
            </w:r>
          </w:p>
        </w:tc>
        <w:tc>
          <w:tcPr>
            <w:tcW w:w="1800" w:type="dxa"/>
            <w:vAlign w:val="bottom"/>
          </w:tcPr>
          <w:p>
            <w:pPr>
              <w:jc w:val="right"/>
              <w:spacing w:after="0"/>
              <w:rPr>
                <w:sz w:val="20"/>
                <w:szCs w:val="20"/>
                <w:color w:val="auto"/>
              </w:rPr>
            </w:pPr>
            <w:r>
              <w:rPr>
                <w:rFonts w:ascii="Arial" w:cs="Arial" w:eastAsia="Arial" w:hAnsi="Arial"/>
                <w:sz w:val="18"/>
                <w:szCs w:val="18"/>
                <w:color w:val="auto"/>
              </w:rPr>
              <w:t>314.1 (1068.6%)</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15,323.3 (46.9%)</w:t>
            </w:r>
          </w:p>
        </w:tc>
      </w:tr>
      <w:tr>
        <w:trPr>
          <w:trHeight w:val="249"/>
        </w:trPr>
        <w:tc>
          <w:tcPr>
            <w:tcW w:w="5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A4 (ng/dL), geometric mean (CV%)</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 (216.1%)</w:t>
            </w:r>
          </w:p>
        </w:tc>
        <w:tc>
          <w:tcPr>
            <w:tcW w:w="1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1001.1 (48.4%)</w:t>
            </w:r>
          </w:p>
        </w:tc>
      </w:tr>
    </w:tbl>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2. Demographics and baseline hormones (SPR001-202).</w:t>
      </w:r>
    </w:p>
    <w:p>
      <w:pPr>
        <w:spacing w:after="0" w:line="121"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Like with the SPR001-201 clinical trial, in the SPR001-202 clinical trial, we conducted a post-hoc analysis which divided the subjects in this study into patients with highly elevated levels of adrenal hormones at baseline and patients on supraphysiologic doses of glucocorticoids with normal or near normal levels of adrenal hormones at baseline. We observed that tildacerfont-treated patients with highly elevated levels of adrenal hormones at baseline had mean maximum reductions in ACTH, 17-OHP, and A4 of approximately 80% compared to baseline at 8:00 a.m., bringing the levels of these key hormones to near normal levels that are used as targets for standard glucocorticoid therapy. In addition, 60% of patients achieved normalization of ACTH levels, one subject at week two prior to discontinuation from the clinical trial and two subjects during month three, and 40% achieved normalization of A4 levels during month three. We are not aware of normalization of these highly elevated hormones in classic CAH patients with any other investigational product candidate without increases to daily steroid doses.</w:t>
      </w:r>
    </w:p>
    <w:p>
      <w:pPr>
        <w:spacing w:after="0" w:line="70"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As reflected in the figures below, we observed reductions in these hormones as early as the two-week time point and the reductions increased throughout the 12-week dosing period of the clinical trial. Last observation carried forward is applied for patients missing assessments during the 12-week period in the time course figures.</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1089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452120</wp:posOffset>
            </wp:positionV>
            <wp:extent cx="4585970" cy="1157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585970"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Figure 11. Change from baseline in ACTH (pg/mL) (SPR001-202).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317500</wp:posOffset>
            </wp:positionV>
            <wp:extent cx="2194560" cy="11569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94560" cy="115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Figure 12. Change from baseline in 17-OHP (ng/dL) (SPR001-202).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317500</wp:posOffset>
            </wp:positionV>
            <wp:extent cx="4585970" cy="1148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585970"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Figure 13. Change from baseline in A4 (ng/dL) (SPR001-202).</w:t>
      </w:r>
    </w:p>
    <w:p>
      <w:pPr>
        <w:spacing w:after="0" w:line="121"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Upon completion of tildacerfont dosing at week 12, in patients with highly elevated levels of adrenal hormones at baseline, levels of these disease-driving hormones increased, approaching their pre-trial baseline levels at follow-up, week 16. The results from this clinical trial are consistent with the ability of tildacerfont to inhibit CRF signaling, leading to reduction of adrenal stimulation by ACTH and the production of androgen precursors. Treatment with tildacerfont in this clinical trial led to this adrenal hormone and androgen reduction without requiring any change in the dose of glucocorticoids.</w:t>
      </w:r>
    </w:p>
    <w:p>
      <w:pPr>
        <w:spacing w:after="0" w:line="49"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Of the patients with highly elevated levels of adrenal hormones at baseline, the best response for each patient in the non-dexamethasone group in month three is summarized below. The majority of patients achieved robust reductions. One patient discontinued prior to month three and is not included in this figure. This patient had reductions of 99%, 82% and 68% for ACTH, 17-OHP and A4, respectively, prior to discontinuation.</w:t>
      </w: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10895"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288925</wp:posOffset>
            </wp:positionV>
            <wp:extent cx="2854325" cy="16548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54325" cy="165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Figure 14. Change from baseline in hormones in patients with highly elevated levels of adrenal hormones at baseline in month three (SPR001-202) at the individual patient level for subjects completing 12 weeks of treatment.</w:t>
      </w:r>
    </w:p>
    <w:p>
      <w:pPr>
        <w:spacing w:after="0" w:line="58"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Patients on supraphysiologic doses of glucocorticoids with normal or near normal levels of A4 at baseline upon entry to SPR001-202 had mean levels of ACTH, 17-OHP and A4 that were well below the target goal. Administration of tildacerfont to these patients did not lead to significant changes in these levels. We believe that this finding is important because it supports that there may be a limit as to how much tildacerfont can suppress adrenal function, which could reduce the risk that excess dosing with tildacerfont could lead to excessive levels of suppression. This is consistent with the results we observed in SPR001-201.</w:t>
      </w:r>
    </w:p>
    <w:p>
      <w:pPr>
        <w:spacing w:after="0" w:line="80" w:lineRule="exact"/>
        <w:rPr>
          <w:sz w:val="20"/>
          <w:szCs w:val="20"/>
          <w:color w:val="auto"/>
        </w:rPr>
      </w:pPr>
    </w:p>
    <w:p>
      <w:pPr>
        <w:jc w:val="both"/>
        <w:ind w:right="320" w:firstLine="509"/>
        <w:spacing w:after="0" w:line="263" w:lineRule="auto"/>
        <w:rPr>
          <w:sz w:val="20"/>
          <w:szCs w:val="20"/>
          <w:color w:val="auto"/>
        </w:rPr>
      </w:pPr>
      <w:r>
        <w:rPr>
          <w:rFonts w:ascii="Arial" w:cs="Arial" w:eastAsia="Arial" w:hAnsi="Arial"/>
          <w:sz w:val="18"/>
          <w:szCs w:val="18"/>
          <w:color w:val="auto"/>
        </w:rPr>
        <w:t>Tildacerfont was well tolerated in SPR001-202. The most common adverse events were upper respiratory tract infection (n=2) and elevated A1c (n=2) and all four events deemed not related to tildacerfont treatment. The majority of events were grade one in nature. One subject discontinued study drug due to itching without a rash experienced between weeks two and four of treatment.</w:t>
      </w:r>
    </w:p>
    <w:p>
      <w:pPr>
        <w:spacing w:after="0" w:line="76" w:lineRule="exact"/>
        <w:rPr>
          <w:sz w:val="20"/>
          <w:szCs w:val="20"/>
          <w:color w:val="auto"/>
        </w:rPr>
      </w:pPr>
    </w:p>
    <w:p>
      <w:pPr>
        <w:ind w:right="80" w:firstLine="509"/>
        <w:spacing w:after="0" w:line="289" w:lineRule="auto"/>
        <w:rPr>
          <w:sz w:val="20"/>
          <w:szCs w:val="20"/>
          <w:color w:val="auto"/>
        </w:rPr>
      </w:pPr>
      <w:r>
        <w:rPr>
          <w:rFonts w:ascii="Arial" w:cs="Arial" w:eastAsia="Arial" w:hAnsi="Arial"/>
          <w:sz w:val="16"/>
          <w:szCs w:val="16"/>
          <w:color w:val="auto"/>
        </w:rPr>
        <w:t>Patients with highly elevated levels of adrenal hormones at baseline were receiving supraphysiologic glucocorticoid doses equivalent to approximately 25mg hydrocortisone daily. Based on the levels of ACTH, 17-OHP, and A4 at baseline, these glucocorticoid doses were insufficient to adequately suppress androgen synthesis. However, the addition of tildacerfont lowered the levels of these hormones by approximately 80%, bringing them close to normal levels. In contrast, patients on supraphysiologic doses of glucocorticoids with normal or near normal levels of A4 at baseline upon enrollment in the clinical trial were receiving supraphysiologic glucocorticoid doses equivalent to 36mg of hydrocortisone daily. Because the baseline levels of ACTH and A4 were all well below the target goal, we believe that these patients may have been receiving glucocorticoid doses that were higher than would be necessary with the addition of tildacerfont. Furthermore, we believe that treatment of these patients with tildacerfont could enable these patients to reduce their glucocorticoid doses. Over time, we believe that tildacerfont may enable both groups of patients to achieve potentially normal or markedly improved levels of androgen synthesis with minimized levels of glucocorticoid replacement.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Late-Stage Clinical Trials in Adult Classic CAH</w:t>
      </w:r>
    </w:p>
    <w:p>
      <w:pPr>
        <w:spacing w:after="0" w:line="117"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We have two ongoing late-stage clinical trials in patients with classic CAH. CAHmelia-203, a randomized, double-blind, placebo-controlled, dose-ranging Phase 2b clinical trial will evaluate the safety and efficacy of tildacerfont in adults with classic CAH who are exhibiting highly elevated levels of A4 at baseline while on stable glucocorticoid dosing. This clinical trial will enroll approximately 72 patients who have elevated levels of A4. For the first six weeks, patients will receive blinded placebo to assess their adherence to their existing glucocorticoid therapy. Patients who continue to meet all eligibility criteria at the end of this period will enter a three-part treatment period. During the placebo-controlled treatment period, patients will be randomized in a blinded manner to receive placebo, 50mg, 100mg, or 200mg tildacerfont once daily. Dosing in the placebo-controlled treatment period will continue for 12 weeks. The primary endpoint of the clinical trial will be the percentage change in A4 from baseline at week zero to week 12 with secondary endpoints including the proportion of patients with levels of 17-OHP and A4 within the target and normal range, respectively, and change in lesion volume of TARTs in men. Following the placebo-controlled treatment period, all patients will receive tildacerfont following a proposed dose-escalation protocol based on hormone response in which the dosage will be increased to 200mg once daily over 12 weeks.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1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Following the 12-week dose-escalation period, all patients will continue receiving tildacerfont at 200mg once daily for an additional 46 weeks. Patients who achieve control of A4 while on supraphysiologic glucocorticoid treatment will have the opportunity to taper down their glucocorticoid dosing in the open-label period according to a pre-specified algorithm in the protocol. Additional endpoints include clinical outcomes and patient and clinician reported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59055</wp:posOffset>
            </wp:positionV>
            <wp:extent cx="4714875" cy="18434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714875"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15. Design of trial CAHmelia-203</w:t>
      </w:r>
    </w:p>
    <w:p>
      <w:pPr>
        <w:spacing w:after="0" w:line="121"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We also initiated CAHmelia-204, a randomized, double-blind, placebo-controlled clinical trial to evaluate the safety and efficacy of tildacerfont in reducing supraphysiologic glucocorticoid usage in approximately 90 adults with classic CAH in patients on supraphysiologic doses of glucocorticoids with normal or near normal levels of A4 at baseline. This clinical trial is designed in two parts. In the first part of the clinical trial, patients will be randomized to receive 200mg tildacerfont once daily or placebo for 24 weeks. During the second part of the clinical trial, all patients will receive open-label 200mg tildacerfont once daily for 52 weeks. Throughout the trial, tapering of glucocorticoids will be guided according to a pre-specified algorithm and continue to the lowest level possible (replacement levels only), as long as patients remain well controlled based on standard biomarkers and clinical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233680</wp:posOffset>
            </wp:positionV>
            <wp:extent cx="4705985" cy="2049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705985" cy="204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16. Design of trial CAHmelia-204</w:t>
      </w:r>
    </w:p>
    <w:p>
      <w:pPr>
        <w:spacing w:after="0" w:line="121" w:lineRule="exact"/>
        <w:rPr>
          <w:sz w:val="20"/>
          <w:szCs w:val="20"/>
          <w:color w:val="auto"/>
        </w:rPr>
      </w:pPr>
    </w:p>
    <w:p>
      <w:pPr>
        <w:ind w:right="120" w:firstLine="509"/>
        <w:spacing w:after="0" w:line="269" w:lineRule="auto"/>
        <w:rPr>
          <w:sz w:val="20"/>
          <w:szCs w:val="20"/>
          <w:color w:val="auto"/>
        </w:rPr>
      </w:pPr>
      <w:r>
        <w:rPr>
          <w:rFonts w:ascii="Arial" w:cs="Arial" w:eastAsia="Arial" w:hAnsi="Arial"/>
          <w:sz w:val="17"/>
          <w:szCs w:val="17"/>
          <w:color w:val="auto"/>
        </w:rPr>
        <w:t>The primary endpoint of this clinical trial will be the proportion of patients with reduction of glucocorticoid dose greater than or equal to 5 mg/day of hydrocortisone equivalent (HCe) at week 24. The percent change in glucocorticoid dose from baseline to week 24 will be assessed as a secondary endpoint. Median total cumulative GC dose (HCe) at week 24, change from baseline in insulin resistance at week 24, and percent change from baseline in weight at week 24 and after 52 weeks of tildacerfont treatment will also be assessed as secondary endpoints. Effects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on insulin resistance, weight, waist circumference, bone mineral density after 52 weeks of tildacerfont treatment will be assessed as exploratory endpoints.</w:t>
      </w:r>
    </w:p>
    <w:p>
      <w:pPr>
        <w:spacing w:after="0" w:line="140"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 xml:space="preserve">Based on analyses of our clinical data to date, we have chosen to target two distinct groups of classic CAH patients with either supraphysiologic doses of glucocorticoids </w:t>
      </w:r>
      <w:r>
        <w:rPr>
          <w:rFonts w:ascii="Arial" w:cs="Arial" w:eastAsia="Arial" w:hAnsi="Arial"/>
          <w:sz w:val="17"/>
          <w:szCs w:val="17"/>
          <w:color w:val="363E3B"/>
        </w:rPr>
        <w:t>with normal or near normal levels of A4 at baseline</w:t>
      </w:r>
      <w:r>
        <w:rPr>
          <w:rFonts w:ascii="Arial" w:cs="Arial" w:eastAsia="Arial" w:hAnsi="Arial"/>
          <w:sz w:val="17"/>
          <w:szCs w:val="17"/>
          <w:color w:val="auto"/>
        </w:rPr>
        <w:t xml:space="preserve"> or highly elevated levels of A4 at baseline. These two groups, which together make up the entire classic CAH patient population, have differing disease challenges centered on excessive adrenal androgen levels or excessive glucocorticoid usage, both of which have the potential to be addressed by treatment with tildacerfont, if approved. We believe our strategy to study CAH patients in these two enriched sub-populations may enable us to observe clinically meaningful outcomes. Additionally, we believe these two clinical trials will provide sufficient patient exposures for our registrational safety database. Assuming positive results from these clinical trials, we plan to meet with the FDA and certain comparable foreign regulatory authorities to discuss potential registration.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2 CAHptain Clinical Trial in Pediatric Classic CAH</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At birth, newborns with classic CAH are immediately faced with a risk of adrenal crisis, which produces symptoms that include vomiting, severe dehydration, low blood pressure, and life-threatening shock. Replacement glucocorticoid therapy, initiated immediately after diagnosis, remains the customary treatment for children with classic CAH. Glucocorticoid therapy is administered to avoid precocious puberty. The growth suppressing effects of glucocorticoids, however, combined with the early bone growth closure from elevated levels of adrenal androgens, limits the height potential of children impacted by classic CAH. Many patients with classic CAH complete growth prematurely and are ultimately short as adults. We believe tildacerfont has the potential to reduce both the levels of adrenal androgens and the need for excess glucocorticoids, which may enable management of classic CAH at doses of glucocorticoids near physiologic replacement levels, with potential to enable more normal growth progression through childhood and adolescence. We estimate that children represent approximately 20% of the total classic CAH patient population.</w:t>
      </w:r>
    </w:p>
    <w:p>
      <w:pPr>
        <w:spacing w:after="0" w:line="70"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We have initiated CAHptain, a Phase 2 open-label clinical trial, which will utilize a sequential three cohort design, to evaluate the safety, efficacy, and pharmacokinetics of tildacerfont in children two to 17 years of age. The study will also characterize changes in androgen levels over 12 weeks of treatment, and the ability to reduce daily glucocorticoid dose based on A4 normalization. An optional open-label extension period will provide additional open-label treatment with tildacerfont to provide long-term safety data for up to two years. Cohort 1 will enroll up to five participants between the ages of 11 and 17 years of age, who will receive a weight-adjusted, adult dose equivalent of 50mg QD of tildacerfont. Cohort 2 will enroll up to five participants between the ages of 11 and 17 years of age, who will receive a weight-adjusted, adult dose equivalent of 200mg QD of tildacerfont. Cohort 3 will enroll up to 10 participants between the ages of two and 10 years of age, who will receive a weight-adjusted, adult dose equivalent of 200mg QD of tildacerfont.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97790</wp:posOffset>
            </wp:positionV>
            <wp:extent cx="3677285" cy="18942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77285"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Figure 17. Design of CAHptain</w:t>
      </w:r>
    </w:p>
    <w:p>
      <w:pPr>
        <w:spacing w:after="0" w:line="121" w:lineRule="exact"/>
        <w:rPr>
          <w:sz w:val="20"/>
          <w:szCs w:val="20"/>
          <w:color w:val="auto"/>
        </w:rPr>
      </w:pPr>
    </w:p>
    <w:p>
      <w:pPr>
        <w:ind w:firstLine="509"/>
        <w:spacing w:after="0" w:line="258" w:lineRule="auto"/>
        <w:rPr>
          <w:sz w:val="20"/>
          <w:szCs w:val="20"/>
          <w:color w:val="auto"/>
        </w:rPr>
      </w:pPr>
      <w:r>
        <w:rPr>
          <w:rFonts w:ascii="Arial" w:cs="Arial" w:eastAsia="Arial" w:hAnsi="Arial"/>
          <w:sz w:val="18"/>
          <w:szCs w:val="18"/>
          <w:color w:val="auto"/>
        </w:rPr>
        <w:t>The primary endpoint of this clinical trial will be safety. Additional secondary endpoints include the proportion of subjects who achieve reduction in A4 or daily glucocorticoid dosing at week 12 and the proportion of</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subjects with elevated A4 at baseline who achieve a reduction in A4 at week 4. We anticipate topline data from adolescents (cohorts 1 and 2) of the Phase 2 open-label clinical trial in the second half of 2023.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2 P.O.W.E.R. Clinical Trial in Polycystic Ovary Syndrome (PCOS)</w:t>
      </w:r>
    </w:p>
    <w:p>
      <w:pPr>
        <w:spacing w:after="0" w:line="117"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color w:val="auto"/>
        </w:rPr>
        <w:t>PCOS is a hormonal disorder common among females of reproductive age affecting nearly five million females in the United States and approximately 115 million females worldwide. PCOS is characterized by elevated levels of androgens, cysts in the ovaries, and irregular periods. Females with PCOS present with additional symptoms, including hirsutism, alopecia, acne, infertility, weight gain, fatigue, depression and mood changes. The underlying causes of PCOS are unknown. However, excess insulin secretion and low-grade inflammation, which stimulate the polycystic ovaries, have been linked to androgen excess. The source of this androgen excess may be ovarian, adrenal, both adrenal and ovarian, or from other sources. Adrenal androgen excess in PCOS appears to occur independently of ovarian androgen excess, suggesting it may represent an intrinsic, and possible primary source of abnormal synthesis of androgens. Adrenal androgen excess in PCOS does not result from enzymatic deficiencies, rather it represents an altered adrenal responsivity to ACTH. We believe that, in women whose PCOS is caused by elevated adrenal androgens, tildacerfont may provide a therapeutic option to treat the underlying cause of disease through reductions of ACTH. We may pursue orphan drug designation in this patient population.</w:t>
      </w:r>
    </w:p>
    <w:p>
      <w:pPr>
        <w:spacing w:after="0" w:line="58" w:lineRule="exact"/>
        <w:rPr>
          <w:sz w:val="20"/>
          <w:szCs w:val="20"/>
          <w:color w:val="auto"/>
        </w:rPr>
      </w:pPr>
    </w:p>
    <w:p>
      <w:pPr>
        <w:jc w:val="both"/>
        <w:ind w:right="60" w:firstLine="509"/>
        <w:spacing w:after="0" w:line="311" w:lineRule="auto"/>
        <w:rPr>
          <w:sz w:val="20"/>
          <w:szCs w:val="20"/>
          <w:color w:val="auto"/>
        </w:rPr>
      </w:pPr>
      <w:r>
        <w:rPr>
          <w:rFonts w:ascii="Arial" w:cs="Arial" w:eastAsia="Arial" w:hAnsi="Arial"/>
          <w:sz w:val="16"/>
          <w:szCs w:val="16"/>
          <w:color w:val="auto"/>
        </w:rPr>
        <w:t>By leveraging our existing Phase 1 program, which includes safety, tolerability, and pharmacokinetics of tildacerfont, we have initiated P.O.W.E.R., a Phase 2 proof-of-concept, randomized, placebo-controlled dose escalation study which will evaluate the safety and efficacy of tildacerfont titrated to 200 mg QD compared to placebo at 12 weeks of treatment in subjects with PCOS and elevated adrenal androgens as measured by DHEAS levels at baseline.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34925</wp:posOffset>
            </wp:positionV>
            <wp:extent cx="4603115" cy="1157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603115"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Figure 18. Design of P.O.W.E.R.</w:t>
      </w:r>
    </w:p>
    <w:p>
      <w:pPr>
        <w:spacing w:after="0" w:line="121"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 primary endpoint of this clinical trial is the absolute change from baseline in DHEAS. Additional secondary endpoints include safety and tolerability, the proportion of subjects who achieve a 30% or greater reduction in DHEAS and change from baseline in hormonal biomarkers. We anticipate topline results from the Phase 2 proof-of-concept clinical trial in the first half of 2023.</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Role of Tildacerfont in the Treatment of Non-Classic CAH</w:t>
      </w:r>
    </w:p>
    <w:p>
      <w:pPr>
        <w:spacing w:after="0" w:line="117" w:lineRule="exact"/>
        <w:rPr>
          <w:sz w:val="20"/>
          <w:szCs w:val="20"/>
          <w:color w:val="auto"/>
        </w:rPr>
      </w:pPr>
    </w:p>
    <w:p>
      <w:pPr>
        <w:ind w:right="40" w:firstLine="509"/>
        <w:spacing w:after="0" w:line="266" w:lineRule="auto"/>
        <w:rPr>
          <w:sz w:val="20"/>
          <w:szCs w:val="20"/>
          <w:color w:val="auto"/>
        </w:rPr>
      </w:pPr>
      <w:r>
        <w:rPr>
          <w:rFonts w:ascii="Arial" w:cs="Arial" w:eastAsia="Arial" w:hAnsi="Arial"/>
          <w:sz w:val="17"/>
          <w:szCs w:val="17"/>
          <w:color w:val="auto"/>
        </w:rPr>
        <w:t>The non-classic form of CAH (non-classic CAH), also called late-onset CAH, occurs in approximately one in 1,000 of the general population. In females, non-classic CAH is characterized by a generally less severe dysregulation of cortisol production and clinically manifests with a variety of late-onset virilizing symptoms. Females may experience irregular periods, hirsutism, deep voice, and infertility. Some males and females may experience early onset puberty and rapid growth in childhood but short stature in adulthood. Other symptoms of non-classic CAH include low bone density, severe acne, obesity, and elevated lipids. Patients with non-classic CAH typically do not require glucocorticoids to replace deficiencies in cortisol levels. However, they possess high levels of adrenal androgens caused by the inability of their endogenous levels of cortisol to properly regulate ACTH production and adrenal stimulation. Although, genetic mutations have been associated with about 30% to 40% of residual 21-hydroxylase enzymatic activity, approximately 5% of patients presenting with non-classic CAH may have a mutation in one copy of the 21-hydroxylase gene, that results in clinical phenotype that is indistinguishable from classic CAH. We believe that tildacerfont has the potential to bring non-steroidal therapeutic benefit to these non-classic CAH patients with the severe form of disease.</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We currently do not have a commercial organization for the marketing, sales, and distribution of pharmaceutical products. We intend to build a highly specialized commercial organization to support the commercialization of tildacerfont, if approved, in the United States. Given a relatively small number of endocrinologists and specialists treat a large proportion of patients with classic CAH, we believe this market can be effectively addressed with a modest-sized targeted commercial sales force, alongside various high-touch patient initiatives. If tildacerfont is approved for additional indications, we plan to leverage our rare disease commercial infrastructure and expertise to efficiently address those patient populations. We plan to seek strategic collaborations to benefit from the resources of biopharmaceutical companies specialized in either relevant disease areas or geographies in markets outside the United States.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Eli Lilly and Company (Lilly)</w:t>
      </w:r>
    </w:p>
    <w:p>
      <w:pPr>
        <w:spacing w:after="0" w:line="121"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In May 2016, we entered into a license agreement (the Lilly License Agreement) with Lilly. Pursuant to the terms of the Lilly License Agreement, Lilly granted us an exclusive, worldwide, royalty bearing, sublicensable license under certain technology, patent rights, know-how, and proprietary materials, which we refer to collectively as the Lilly IP, and such patents, the Lilly Licensed Patents, relating to the CRF1 receptor antagonist compounds either listed in the Lilly License Agreement or covered by patent rights controlled by Lilly, which we refer to collectively as the Lilly Compounds, to research, develop, commercialize, make, have made, use, sell, offer to sell, and import the Lilly Compounds and any products containing a Lilly Compound, including any products containing a Lilly Compound and one or more additional active pharmaceutical ingredients other than a Lilly Compound, which we refer to collectively as the Lilly Licensed Products, for all pharmaceutical uses, including all diagnostic, therapeutic, and prophylactic uses, for human or animal administration, which we refer to as the Field. Lilly retained rights under the Lilly IP and the Lilly Licensed Patents for internal research purposes.</w:t>
      </w:r>
    </w:p>
    <w:p>
      <w:pPr>
        <w:spacing w:after="0" w:line="88" w:lineRule="exact"/>
        <w:rPr>
          <w:sz w:val="20"/>
          <w:szCs w:val="20"/>
          <w:color w:val="auto"/>
        </w:rPr>
      </w:pPr>
    </w:p>
    <w:p>
      <w:pPr>
        <w:jc w:val="both"/>
        <w:ind w:right="40" w:firstLine="509"/>
        <w:spacing w:after="0" w:line="259" w:lineRule="auto"/>
        <w:rPr>
          <w:sz w:val="20"/>
          <w:szCs w:val="20"/>
          <w:color w:val="auto"/>
        </w:rPr>
      </w:pPr>
      <w:r>
        <w:rPr>
          <w:rFonts w:ascii="Arial" w:cs="Arial" w:eastAsia="Arial" w:hAnsi="Arial"/>
          <w:sz w:val="18"/>
          <w:szCs w:val="18"/>
          <w:color w:val="auto"/>
        </w:rPr>
        <w:t>Under the Lilly License Agreement, we are required to use commercially reasonable efforts to develop and commercialize a Lilly Licensed Product in the Field. In addition, we are responsible to oversee, monitor, and manage all regulatory interactions, communications, and filings with, and submissions to regulatory authorities, with respect to the Lilly Licensed Products, and shall have final decision-making authority regarding all such regulatory activities, including the regulatory and labeling strategy and the content of submissions.</w:t>
      </w:r>
    </w:p>
    <w:p>
      <w:pPr>
        <w:spacing w:after="0" w:line="79"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As partial consideration for the rights granted to us under the Lilly License Agreement, we made a one-time upfront payment to Lilly of approximately $0.8 million. We are also required to pay Lilly up to an aggregate of $23.0 million upon the achievement, during the time the Lilly License Agreement remains in effect, of certain milestones relating to the clinical development and commercial sales of the Lilly Licensed Products. Such payments are for predetermined fixed amounts, are paid only upon the first occurrence of each event, and are due shortly after achieving the applicable milestone. In addition, we are required to pay Lilly tiered royalties on annual worldwide net sales of Lilly Licensed Products in the Field, with rates ranging from mid-single-digits to sub-teens (the Lilly Royalties). The Lilly Royalties shall commence on a country-by-country basis on the date of the first commercial sale of Lilly Licensed Product in such country, and shall expire on a country-by-country basis on the latest of the following dates: (i) the tenth anniversary of the date of first commercial sale in such country, (ii) the expiration in such country of the last-to-expire Lilly Licensed Patent having a valid claim covering the manufacture, use, or sale of the Lilly Licensed Product as commercialized in such country, and (iii) the expiration of any data or regulatory exclusivity period for the Lilly Licensed Product in such country. Upon such expiration, the license granted to us with respect to such country shall be come fully paid-up, royalty-free, perpetual and irrevocable. In addition, the Lilly Royalties may be reduced upon the occurrence of certain events.</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Lilly License Agreement shall remain in effect until the expiration of all payment obligations thereunder, unless terminated earlier as follows,</w:t>
      </w:r>
    </w:p>
    <w:p>
      <w:pPr>
        <w:spacing w:after="0" w:line="46" w:lineRule="exact"/>
        <w:rPr>
          <w:sz w:val="20"/>
          <w:szCs w:val="20"/>
          <w:color w:val="auto"/>
        </w:rPr>
      </w:pPr>
    </w:p>
    <w:p>
      <w:pPr>
        <w:ind w:right="260" w:firstLine="8"/>
        <w:spacing w:after="0" w:line="281" w:lineRule="auto"/>
        <w:tabs>
          <w:tab w:leader="none" w:pos="215" w:val="left"/>
        </w:tabs>
        <w:numPr>
          <w:ilvl w:val="0"/>
          <w:numId w:val="7"/>
        </w:numPr>
        <w:rPr>
          <w:rFonts w:ascii="Arial" w:cs="Arial" w:eastAsia="Arial" w:hAnsi="Arial"/>
          <w:sz w:val="16"/>
          <w:szCs w:val="16"/>
          <w:color w:val="auto"/>
        </w:rPr>
      </w:pPr>
      <w:r>
        <w:rPr>
          <w:rFonts w:ascii="Arial" w:cs="Arial" w:eastAsia="Arial" w:hAnsi="Arial"/>
          <w:sz w:val="16"/>
          <w:szCs w:val="16"/>
          <w:color w:val="auto"/>
        </w:rPr>
        <w:t>termination upon mutual agreement, (ii) unilateral termination by us, on a worldwide basis or with respect to any country or countries, in our sole discretion, upon 60 days’ advance written notice, (iii) unilateral termination by either party upon written notice of the other party’s material breach of its obligations under the Lilly License Agreement and failure to cure such breach within 90 days after receiving written notice of such breach, and (iv) unilateral termination by either party in the event of a general assignment for the benefit of creditors of the other party or if proceedings are commenced against such other party relating to bankruptcy, insolvency, liquidation, reorganization, winding up, or composition or adjustment of debt, and such proceedings continue undismissed, or an order with respect to the foregoing shall be entered and continue unabated, for a period of more than 60 days.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Kaken Pharmaceutical Co. Ltd (Kaken)</w:t>
      </w:r>
    </w:p>
    <w:p>
      <w:pPr>
        <w:spacing w:after="0" w:line="121"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On January 5, 2023, we entered into a Collaboration and License Agreement (the Kaken License Agreement) with Kaken. Under the terms of the Kaken License Agreement, we granted to Kaken the exclusive right to develop, manufacture and commercialize our product candidate, tildacerfont, for the treatment of CAH in Japan. Pursuant to the Kaken License Agreement, Kaken will be responsible for securing and maintaining regulatory approvals necessary to commercialize tildacerfont in Japan. We will retain all rights to tildacerfont in all other geographies.</w:t>
      </w:r>
    </w:p>
    <w:p>
      <w:pPr>
        <w:spacing w:after="0" w:line="63"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We have also granted to Kaken a right of first negotiation with respect to the development, manufacturing and commercialization of tildacerfont for CAH in China (including Hong Kong, Taiwan, and Macau), South Korea and other specified southeastern Asian countries, and for indications other than CAH.</w:t>
      </w:r>
    </w:p>
    <w:p>
      <w:pPr>
        <w:spacing w:after="0" w:line="76"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Pursuant to the Kaken License Agreement, Kaken is required to make an upfront payment to us of $15.0 million. In addition to the upfront payment, we are entitled to receive up to an aggregate of approximately $65.0 million (at exchange rates in effect on the date of the Kaken License Agreement) upon the achievement of specified milestones related to the development, regulatory approval and commercialization of tildacerfont in Japan, including the achievement of specified net sales thresholds, if approved. Kaken has agreed to pay us a non-creditable, non-refundable specified purchase price for each unit of Company-manufactured product supplied to Kaken for commercial sale. In addition, we will also be entitled to receive a royalty for each unit of non-Company manufactured product sold equal to a range of double-digit percentages up to the mid-twenties based on annual net sales of tildacerfont in Japan. Both the purchase price for each unit and the royalty rate are subject to reduction in certain circumstances as specified in the Kaken License Agreement. Kaken’s obligation to pay royalties will continue for ten years after the first commercial sale in Japan or, if later, until the expiration of regulatory exclusivity of tildacerfont or the expiration of the last valid claim of a Company-licensed patent covering tildacerfont in Japan (the Royalty Term).</w:t>
      </w:r>
    </w:p>
    <w:p>
      <w:pPr>
        <w:spacing w:after="0" w:line="86"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have agreed to supply Kaken’s clinical drug supply requirements of tildacerfont pursuant to a clinical supply agreement that the parties will enter into within ninety days of the effective date of the Kaken License Agreement. During the Royalty Term, we have agreed to supply Kaken’s requirements of tildacerfont pursuant to the Kaken License Agreement and a commercial supply agreement to be entered into by the parties, though Kaken may procure alternate suppliers. Following the Royalty Term, Kaken at its option may continue to purchase Company-manufactured tildacerfont at a purchase price equal to our manufacturing cost plus a low double-digit administrative fee.</w:t>
      </w:r>
    </w:p>
    <w:p>
      <w:pPr>
        <w:spacing w:after="0" w:line="80" w:lineRule="exact"/>
        <w:rPr>
          <w:sz w:val="20"/>
          <w:szCs w:val="20"/>
          <w:color w:val="auto"/>
        </w:rPr>
      </w:pPr>
    </w:p>
    <w:p>
      <w:pPr>
        <w:ind w:right="160" w:firstLine="509"/>
        <w:spacing w:after="0" w:line="273" w:lineRule="auto"/>
        <w:rPr>
          <w:sz w:val="20"/>
          <w:szCs w:val="20"/>
          <w:color w:val="auto"/>
        </w:rPr>
      </w:pPr>
      <w:r>
        <w:rPr>
          <w:rFonts w:ascii="Arial" w:cs="Arial" w:eastAsia="Arial" w:hAnsi="Arial"/>
          <w:sz w:val="17"/>
          <w:szCs w:val="17"/>
          <w:color w:val="auto"/>
        </w:rPr>
        <w:t>Either party may terminate the Kaken License Agreement (i) in the event the other party shall have materially breached its obligations thereunder and such default shall have continued for a specified period after written notice thereof or (ii) upon the bankruptcy or insolvency of the other party. In addition, we may terminate the Kaken License Agreement upon prior written notice if Kaken ceases all development or commercialization activities for a specified period of time, subject to certain exceptions, or (ii) challenges the validity, enforceability or scope of any of the patents licensed by us to Kaken under the Kaken License Agreement, subject to certain conditions. Kaken may terminate the Kaken License Agreement at any time for convenience upon prior written notice provided within a specified period of time to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We have developed and continue to expand our patent portfolio for tildacerfont. We have licensed from Lilly at least 23 patents in the United States and other countries throughout the world covering composition of matter of tildacerfont, which are expected to expire in 2027, absent any patent term adjustments or extensions. We also have pending applications from the same family in Venezuela, and Pakistan covering tildacerfont, which, if issued, would also be expected to expire in 2027, absent any patent term adjustments or extensions. Additionally, we have licensed patents in the United States and other countries from Lilly covering methods of making tildacerfont, which are expected to expire in 2029, absent any patent term adjustments or extensions.</w:t>
      </w:r>
    </w:p>
    <w:p>
      <w:pPr>
        <w:spacing w:after="0" w:line="84"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We have filed our own patent applications in the United States and other countries throughout the world directed to various methods of use and formulations, and six of these applications have been issued in the United States. Five of the issued United States patents are expected to expire in 2038 and one of the issued United States patents is expected to expire in 2039, absent any patent term adjustments or extensions. The remaining patent applications, if issued, would be expected to expire between 2038 and 2042, absent any patent term adjustments or extensions. We have also filed applications in the United States and other countries, including Argentina and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1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Taiwan, directed to combination therapies as well as further uses of tildacerfont. Any patents that would issue from these applications would be expected to expire no later than 2041, absent any patent term adjustments or extensions. We have also filed an international patent application and a United States patent application directed to various forms of tildacerfont. Any patents that would issue from this application would be expected to expire around 2042, absent any patent term adjustments or extension. Patents related to tildacerfont may be eligible for patent term extensions in certain jurisdictions, including up to five years in both the United States and the EU, upon approval of a commercial use of the corresponding product by a regulatory agency in the jurisdiction where the patent was granted.</w:t>
      </w:r>
    </w:p>
    <w:p>
      <w:pPr>
        <w:spacing w:after="0" w:line="84"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In addition to patent protection, we rely on trade secret protection and know-how to expand our proprietary position around our chemistry, technology, and other discoveries and inventions that we consider important to our business. Under the Lilly License Agreement, Lilly granted intellectual property rights to know-how that are important to our business. The Lilly License Agreement imposes various development, regulatory, and commercial diligence obligations, payment of milestones and/or royalties, and other obligations.</w:t>
      </w:r>
    </w:p>
    <w:p>
      <w:pPr>
        <w:spacing w:after="0" w:line="79"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 addition, we have been granted orphan drug designation for tildacerfont for the treatment of patients with CAH in the United States and the EU, providing the opportunity to receive seven years of market exclusivity in the United States, which can be extended to seven and a half years if clinical trials are conducted in accordance with an agreed-upon PIP and ten years of market exclusivity in the EU, which can be extended to 12 years in the EU if clinical trials are conducted in accordance with an agreed-upon PIP.</w:t>
      </w:r>
    </w:p>
    <w:p>
      <w:pPr>
        <w:spacing w:after="0" w:line="79"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If approved in the United States, as tildacerfont has not previously been approved in the United States for any indication, tildacerfont may be eligible for five years of new chemical entity exclusivity, which would run concurrently with its seven years of orphan drug exclusivity if we obtain orphan drug exclusivity for its approved uses. Further, if approved in the EU, as tildacerfont has not previously been approved in the EU for any indication, tildacerfont may be eligible for eight years of data exclusivity, as well as two years of market exclusivity. In the EU, an additional one year of exclusivity may be obtained if tildacerfont is approved for a new indication that provides a significant clinical benefit.</w:t>
      </w:r>
    </w:p>
    <w:p>
      <w:pPr>
        <w:spacing w:after="0" w:line="68"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We also seek to protect our intellectual property in part by entering into confidentiality agreements with companies with whom we share proprietary and confidential information in the course of business discussions, and by having confidentiality terms in our agreements with our employees, consultants, scientific advisors, clinical investigators, and other contractors and also by requiring our employees, commercial contractors, and certain consultants and investigators, to enter into invention assignment agreements that grant us ownership of any discoveries or inventions made by them while in our employ.</w:t>
      </w:r>
    </w:p>
    <w:p>
      <w:pPr>
        <w:spacing w:after="0" w:line="49"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In addition to patent protection around tildacerfont, we have also licensed from Lilly patents in the United States and other countries throughout the world directed to composition of matter around other CRF1 antagonists.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We rely on contract manufacturing organizations (CMOs) to produce tildacerfont in accordance with the FDA’s current Good Manufacturing Practices (cGMP), regulations for use in our clinical trials. The manufacture of pharmaceuticals for human use is subject to extensive cGMP regulations, which impose various procedural and documentation requirements and govern all areas of record keeping, production processes and controls, personnel training, and quality control. Tildacerfont is manufactured using common chemical engineering and synthetic processes from readily available raw materials. We have entered into manufacturing, development, and clinical supply agreements with our CMOs that provide for the procurement of active pharmaceutical ingredient (API) and drug product in connection with our planned and future clinical trials. These agreements contain no minimum purchase commitments or other purchase obligations. To date, the CMOs have met our manufacturing requirements, and we expect them to be capable of providing sufficient quantities of API and our drug product to meet estimated full-scale commercial needs. We plan to enter into commercial manufacturing and supply agreements with our CMOs prior to commercialization of tildacerfont, if approved, in the United States, Europe, and Japan. Our relationships with CMOs are managed by internal personnel with extensive experience in pharmaceutical development and manufacturing.</w:t>
      </w:r>
    </w:p>
    <w:p>
      <w:pPr>
        <w:spacing w:after="0" w:line="60" w:lineRule="exact"/>
        <w:rPr>
          <w:sz w:val="20"/>
          <w:szCs w:val="20"/>
          <w:color w:val="auto"/>
        </w:rPr>
      </w:pPr>
    </w:p>
    <w:p>
      <w:pPr>
        <w:jc w:val="both"/>
        <w:ind w:right="120" w:firstLine="509"/>
        <w:spacing w:after="0" w:line="291" w:lineRule="auto"/>
        <w:rPr>
          <w:sz w:val="20"/>
          <w:szCs w:val="20"/>
          <w:color w:val="auto"/>
        </w:rPr>
      </w:pPr>
      <w:r>
        <w:rPr>
          <w:rFonts w:ascii="Arial" w:cs="Arial" w:eastAsia="Arial" w:hAnsi="Arial"/>
          <w:sz w:val="16"/>
          <w:szCs w:val="16"/>
          <w:color w:val="auto"/>
        </w:rPr>
        <w:t>Our contract manufacturing agreements give us visibility into the expected future cost of producing tildacerfont at commercial scale. Based upon a range of prices of currently marketed therapies indicated for orphan diseases, we believe that our cost of goods for tildacerfont will be highly competitive.</w:t>
      </w: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The commercialization of new drugs is competitive, and we may face worldwide competition from major pharmaceutical companies, specialty pharmaceutical companies, biotechnology companies, and ultimately generic companies. Our competitors may develop or market therapies that are more effective, safer, or less costly than any that we are commercializing, or may obtain regulatory or reimbursement approval for their therapies more rapidly than we may obtain approval for ours.</w:t>
      </w:r>
    </w:p>
    <w:p>
      <w:pPr>
        <w:spacing w:after="0" w:line="79"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We are aware of other companies actively developing treatments for patients with classic CAH. Neurocrine Biosciences, Inc. is developing a CRF1 receptor antagonist and has initiated Phase 3 registrational trials in adult and pediatric classic CAH and plans to report topline results from both studies in 2023. Crinetics Pharmaceuticals, Inc. plans to initiate a Phase 2 clinical trial in 2023 to evaluate the safety and efficacy of an oral ACTH antagonist in adults with classic CAH. BridgeBio Pharma, Inc. is evaluating an AAV5 gene therapy product candidate to treat classic CAH in a Phase 1/2 proof-of-concept clinical trial. In addition, while tildacerfont ultimately seeks to significantly reduce steroid use for patients with classic CAH, patients will continue to use their steroid regimen. As high doses of corticosteroids are the current standard of care for the treatment of classic CAH, in the United States alone, there are more than two dozen companies manufacturing steroid-based products.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As a pharmaceutical company that operates in the United States, we are subject to extensive regulation. 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drug products such as those we are developing. Any drug candidates that we develop must be approved by the FDA before they may be legally marketed in the United States and by the appropriate foreign regulatory agency before they may be legally marketed in foreign countries. Generally, our activities in other countries will be subject to regulation that is similar in nature and scope as that imposed in the United States, although there can be important differences. Additionally, some significant aspects of regulation in the EU are addressed in a centralized way, but country-specific regulation remains essential in many respects.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In the United States, the FDA regulates drugs under the Federal Food, Drug and Cosmetic Act (FDCA) and implements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FDA sanctions could include, among other actions,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The process required by the FDA before a drug may be marketed in the United States generally involves the following:</w:t>
      </w:r>
    </w:p>
    <w:p>
      <w:pPr>
        <w:spacing w:after="0" w:line="70" w:lineRule="exact"/>
        <w:rPr>
          <w:sz w:val="20"/>
          <w:szCs w:val="20"/>
          <w:color w:val="auto"/>
        </w:rPr>
      </w:pPr>
    </w:p>
    <w:p>
      <w:pPr>
        <w:ind w:left="1020" w:right="660" w:hanging="503"/>
        <w:spacing w:after="0" w:line="308"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completion of extensive preclinical laboratory tests, preclinical animal studies and formulation studies in accordance </w:t>
      </w:r>
      <w:r>
        <w:rPr>
          <w:rFonts w:ascii="Arial" w:cs="Arial" w:eastAsia="Arial" w:hAnsi="Arial"/>
          <w:sz w:val="17"/>
          <w:szCs w:val="17"/>
          <w:i w:val="1"/>
          <w:iCs w:val="1"/>
          <w:color w:val="auto"/>
        </w:rPr>
        <w:t>with</w:t>
      </w:r>
      <w:r>
        <w:rPr>
          <w:rFonts w:ascii="Arial" w:cs="Arial" w:eastAsia="Arial" w:hAnsi="Arial"/>
          <w:sz w:val="17"/>
          <w:szCs w:val="17"/>
          <w:color w:val="auto"/>
        </w:rPr>
        <w:t xml:space="preserve"> applicable regulations, including the FDA’s Good Laboratory Practices (GLP), regulations, and other applicable regulations;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submission </w:t>
      </w:r>
      <w:r>
        <w:rPr>
          <w:rFonts w:ascii="Arial" w:cs="Arial" w:eastAsia="Arial" w:hAnsi="Arial"/>
          <w:sz w:val="18"/>
          <w:szCs w:val="18"/>
          <w:color w:val="auto"/>
        </w:rPr>
        <w:t>to the FDA of an IND, which must become effective before human clinical trials may begin;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approval </w:t>
      </w:r>
      <w:r>
        <w:rPr>
          <w:rFonts w:ascii="Arial" w:cs="Arial" w:eastAsia="Arial" w:hAnsi="Arial"/>
          <w:sz w:val="18"/>
          <w:szCs w:val="18"/>
          <w:color w:val="auto"/>
        </w:rPr>
        <w:t>by an IRB at each clinical site before each clinical trial may be initiated;</w:t>
      </w:r>
    </w:p>
    <w:p>
      <w:pPr>
        <w:spacing w:after="0" w:line="117" w:lineRule="exact"/>
        <w:rPr>
          <w:rFonts w:ascii="Arial" w:cs="Arial" w:eastAsia="Arial" w:hAnsi="Arial"/>
          <w:sz w:val="18"/>
          <w:szCs w:val="18"/>
          <w:color w:val="auto"/>
        </w:rPr>
      </w:pPr>
    </w:p>
    <w:p>
      <w:pPr>
        <w:ind w:left="1020" w:right="320" w:hanging="503"/>
        <w:spacing w:after="0" w:line="342"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performance of adequate and well-controlled human clinical trials in accordance with applicable regulations, </w:t>
      </w:r>
      <w:r>
        <w:rPr>
          <w:rFonts w:ascii="Arial" w:cs="Arial" w:eastAsia="Arial" w:hAnsi="Arial"/>
          <w:sz w:val="16"/>
          <w:szCs w:val="16"/>
          <w:i w:val="1"/>
          <w:iCs w:val="1"/>
          <w:color w:val="auto"/>
        </w:rPr>
        <w:t>including</w:t>
      </w:r>
      <w:r>
        <w:rPr>
          <w:rFonts w:ascii="Arial" w:cs="Arial" w:eastAsia="Arial" w:hAnsi="Arial"/>
          <w:sz w:val="16"/>
          <w:szCs w:val="16"/>
          <w:color w:val="auto"/>
        </w:rPr>
        <w:t xml:space="preserve"> the FDA’s current good clinical practices (GCP), regulations to establish the safety and efficacy of the proposed drug for its proposed indication;</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submission to the FDA of a new drug application (NDA) for a new drug;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NDA for review;</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left="1020" w:right="80" w:hanging="503"/>
        <w:spacing w:after="0" w:line="26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where the drug is produced to assess compliance with the FDA’s current cGMP requirements to assure that the facilities, methods and controls are adequate to preserve the drug’s identity, strength, quality, and purity;</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FDA audit of the preclinical and/or clinical trial sites that generated the data in support of the NDA;</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or sale of the drug in the United States.</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Before testing any compounds with potential therapeutic value in humans, the drug candidate enters the preclinical testing stage. Preclinical tests include laboratory evaluations of product chemistry, toxicity, and formulation, as well as animal studies, to assess the potential safety and activity of the drug candidate. The conduct of the preclinical tests must comply with federal regulations and requirements, including GLPs. The sponsor must submit the results of the preclinical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The central focus of an IND submission is on the general investigational plan and the protocol(s) for human trials. Some preclinical testing may continue even after the IND is submitted. The IND automatically becomes effective 30 days after receipt by the FDA, unless the FDA raises concerns or questions regarding the proposed clinical trials and places the IND on clinical hold within that 30-day time period. In such a case, the IND sponsor and the FDA must resolve any outstanding concerns before the clinical trial can begin. The FDA may also impose clinical holds on a drug candidate at any time before or during clinical trials due to safety concerns or non-compliance.</w:t>
      </w:r>
    </w:p>
    <w:p>
      <w:pPr>
        <w:spacing w:after="0" w:line="77"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Clinical trials involve the administration of the drug candidate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IRB or ethics committee,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17" w:lineRule="exact"/>
        <w:rPr>
          <w:sz w:val="20"/>
          <w:szCs w:val="20"/>
          <w:color w:val="auto"/>
        </w:rPr>
      </w:pPr>
    </w:p>
    <w:p>
      <w:pPr>
        <w:ind w:left="1020" w:right="80" w:hanging="503"/>
        <w:spacing w:after="0" w:line="259"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The drug is initially introduced into healthy human subjects and tested for safety, dosage tolerance, absorption, metabolism,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distribution, and excretion, the side effects associated with increasing doses and if </w:t>
      </w:r>
      <w:r>
        <w:rPr>
          <w:rFonts w:ascii="Arial" w:cs="Arial" w:eastAsia="Arial" w:hAnsi="Arial"/>
          <w:sz w:val="18"/>
          <w:szCs w:val="18"/>
          <w:i w:val="1"/>
          <w:iCs w:val="1"/>
          <w:color w:val="auto"/>
        </w:rPr>
        <w:t>possible</w:t>
      </w:r>
      <w:r>
        <w:rPr>
          <w:rFonts w:ascii="Arial" w:cs="Arial" w:eastAsia="Arial" w:hAnsi="Arial"/>
          <w:sz w:val="18"/>
          <w:szCs w:val="18"/>
          <w:color w:val="auto"/>
        </w:rPr>
        <w:t>, to gain early evidence of effectiveness. In the case of some products for severe or life-threatening diseases, especially when the product may be too inherently toxic to ethically administer to healthy volunteers, the initial human testing is often conducted in patients.</w:t>
      </w:r>
    </w:p>
    <w:p>
      <w:pPr>
        <w:spacing w:after="0" w:line="78" w:lineRule="exact"/>
        <w:rPr>
          <w:rFonts w:ascii="Arial" w:cs="Arial" w:eastAsia="Arial" w:hAnsi="Arial"/>
          <w:sz w:val="18"/>
          <w:szCs w:val="18"/>
          <w:color w:val="auto"/>
        </w:rPr>
      </w:pPr>
    </w:p>
    <w:p>
      <w:pPr>
        <w:ind w:left="1020" w:right="60" w:hanging="503"/>
        <w:spacing w:after="0" w:line="26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drug is evaluated in a limited patient population to identify possible adverse effects and safety risks,</w:t>
      </w:r>
      <w:r>
        <w:rPr>
          <w:rFonts w:ascii="Arial" w:cs="Arial" w:eastAsia="Arial" w:hAnsi="Arial"/>
          <w:sz w:val="18"/>
          <w:szCs w:val="18"/>
          <w:i w:val="1"/>
          <w:iCs w:val="1"/>
          <w:color w:val="auto"/>
        </w:rPr>
        <w:t xml:space="preserve"> to </w:t>
      </w:r>
      <w:r>
        <w:rPr>
          <w:rFonts w:ascii="Arial" w:cs="Arial" w:eastAsia="Arial" w:hAnsi="Arial"/>
          <w:sz w:val="18"/>
          <w:szCs w:val="18"/>
          <w:color w:val="auto"/>
        </w:rPr>
        <w:t>preliminarily evaluate</w:t>
      </w:r>
      <w:r>
        <w:rPr>
          <w:rFonts w:ascii="Arial" w:cs="Arial" w:eastAsia="Arial" w:hAnsi="Arial"/>
          <w:sz w:val="18"/>
          <w:szCs w:val="18"/>
          <w:i w:val="1"/>
          <w:iCs w:val="1"/>
          <w:color w:val="auto"/>
        </w:rPr>
        <w:t xml:space="preserve"> </w:t>
      </w:r>
      <w:r>
        <w:rPr>
          <w:rFonts w:ascii="Arial" w:cs="Arial" w:eastAsia="Arial" w:hAnsi="Arial"/>
          <w:sz w:val="18"/>
          <w:szCs w:val="18"/>
          <w:color w:val="auto"/>
        </w:rPr>
        <w:t>the efficacy of the product for specific targeted diseases or conditions and to determine dosage tolerance, optimal dosage, and dosing schedule.</w:t>
      </w:r>
    </w:p>
    <w:p>
      <w:pPr>
        <w:spacing w:after="0" w:line="75" w:lineRule="exact"/>
        <w:rPr>
          <w:rFonts w:ascii="Arial" w:cs="Arial" w:eastAsia="Arial" w:hAnsi="Arial"/>
          <w:sz w:val="18"/>
          <w:szCs w:val="18"/>
          <w:color w:val="auto"/>
        </w:rPr>
      </w:pPr>
    </w:p>
    <w:p>
      <w:pPr>
        <w:ind w:left="1020" w:right="160" w:hanging="503"/>
        <w:spacing w:after="0" w:line="259"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w:t>
      </w:r>
      <w:r>
        <w:rPr>
          <w:rFonts w:ascii="Arial" w:cs="Arial" w:eastAsia="Arial" w:hAnsi="Arial"/>
          <w:sz w:val="18"/>
          <w:szCs w:val="18"/>
          <w:i w:val="1"/>
          <w:iCs w:val="1"/>
          <w:color w:val="auto"/>
        </w:rPr>
        <w:t xml:space="preserve"> Clinical </w:t>
      </w:r>
      <w:r>
        <w:rPr>
          <w:rFonts w:ascii="Arial" w:cs="Arial" w:eastAsia="Arial" w:hAnsi="Arial"/>
          <w:sz w:val="18"/>
          <w:szCs w:val="18"/>
          <w:color w:val="auto"/>
        </w:rPr>
        <w:t>trials are undertaken to further evaluate dosage, clinical efficacy and safety in an expanded patient population at</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geographically dispersed clinical trial sites. These clinical trials are intended to establish the overall benefit/risk ratio of the product and provide an adequate basis for product approval. Generally, two adequate and well-controlled Phase 3 clinical trials are required by the FDA for approval of an NDA.</w:t>
      </w:r>
    </w:p>
    <w:p>
      <w:pPr>
        <w:spacing w:after="0" w:line="79" w:lineRule="exact"/>
        <w:rPr>
          <w:sz w:val="20"/>
          <w:szCs w:val="20"/>
          <w:color w:val="auto"/>
        </w:rPr>
      </w:pPr>
    </w:p>
    <w:p>
      <w:pPr>
        <w:ind w:right="20" w:firstLine="509"/>
        <w:spacing w:after="0" w:line="258" w:lineRule="auto"/>
        <w:rPr>
          <w:sz w:val="20"/>
          <w:szCs w:val="20"/>
          <w:color w:val="auto"/>
        </w:rPr>
      </w:pPr>
      <w:r>
        <w:rPr>
          <w:rFonts w:ascii="Arial" w:cs="Arial" w:eastAsia="Arial" w:hAnsi="Arial"/>
          <w:sz w:val="18"/>
          <w:szCs w:val="18"/>
          <w:color w:val="auto"/>
        </w:rPr>
        <w:t>In some cases, FDA may require, or sponsors may voluntarily pursue, post-approval studies, or Phase 4 clinical trials, that are conducted after initial marketing approval. These trials are used to gain additional experience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from the treatment of patients in the intended therapeutic indication. In certain instances, such as with accelerated approval drugs, FDA may mandate the performance of Phase 4 trials. In certain instances, the FDA may mandate the performance of Phase 4 clinical trials as a condition of approval of an NDA.</w:t>
      </w:r>
    </w:p>
    <w:p>
      <w:pPr>
        <w:spacing w:after="0" w:line="16"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Progress reports detailing the results of the clinical trials must be submitted at least annually to the FDA and written IND safety reports must be submitted to the FDA and the investigators for serious and unexpected adverse events or any finding from tests in laboratory animals that suggests a significant risk for human subjects. Phase 1, Phase 2, and Phase 3 clinical trials may not be completed successfully within any specified period, if at all. The FDA, the IRB,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w:t>
      </w:r>
    </w:p>
    <w:p>
      <w:pPr>
        <w:spacing w:after="0" w:line="73"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and purity of the final drug. Additionally, appropriate packaging must be selected and tested and stability studies must be conducted to demonstrate that the drug candidate does not undergo unacceptable deterioration over its shelf life.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17"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preclinical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Data may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drug product to the satisfaction of the FDA. The submission of an NDA is subject to the payment of substantial user fees; a waiver of such fees may be obtained under certain limited circumstances.</w:t>
      </w:r>
    </w:p>
    <w:p>
      <w:pPr>
        <w:spacing w:after="0" w:line="69"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In addition, 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 Unless otherwise required by regulation, the Pediatric Research Equity Act does not apply to any drug for an indication for which orphan designation has been granted. However, if only one indication for a product has orphan designation, a pediatric assessment may still be required for any applications to market that same product for the non-orphan indication(s).</w:t>
      </w:r>
    </w:p>
    <w:p>
      <w:pPr>
        <w:spacing w:after="0" w:line="74"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Prescription Drug User Fee Act (PDUFA), guidelines that are currently in effect, the FDA has a goal of ten months from the date of “filing” of a standard NDA for a new molecular entity to review and act on the submission. This review typically takes 12 months from the date the NDA is submitted to FDA because the FDA has approximately two months to make a “filing” decision after the application is submitted. The FDA does not always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meet its PDUFA goal dates for standard and priority NDAs, and the review process is often significantly extended by FDA requests for additional information or clarification.</w:t>
      </w:r>
    </w:p>
    <w:p>
      <w:pPr>
        <w:spacing w:after="0" w:line="62"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and typically follows the advisory committee’s recommendations.</w:t>
      </w:r>
    </w:p>
    <w:p>
      <w:pPr>
        <w:spacing w:after="0" w:line="5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sites to assure compliance with GCP requirements. After the FDA evaluates the application, manufacturing process, and manufacturing facilities,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identified by the FDA. The Complete Response Letter may require additional clinical data and/or (an) additional pivotal Phase 3 clinical trial(s), and/or other significant and time-consuming requirements related to clinical trials, preclinical studies, or manufacturing. If a Complete Response Letter is issued, the applicant may either resubmit the NDA, addressing all of the deficiencies identified in the letter, or withdraw the application. Even if such data and information is submitted, the FDA may ultimately decide that the NDA does not satisfy the criteria for approval.</w:t>
      </w:r>
    </w:p>
    <w:p>
      <w:pPr>
        <w:spacing w:after="0" w:line="74"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or may condition the approval of the NDA on other changes to the proposed labeling, development of adequate controls and specifications, or a commitment to conduct one or more post-market studies or clinical trials. For example, the FDA may require Phase 4 testing, which involves clinical trials designed to further assess a drug safety and effectiveness, and may require testing and surveillance programs to monitor the safety of approved products that have been commercialized. The FDA may also determine that a risk evaluation and mitigation strategy (REMS) is necessary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220" w:firstLine="509"/>
        <w:spacing w:after="0" w:line="255" w:lineRule="auto"/>
        <w:rPr>
          <w:sz w:val="20"/>
          <w:szCs w:val="20"/>
          <w:color w:val="auto"/>
        </w:rPr>
      </w:pPr>
      <w:r>
        <w:rPr>
          <w:rFonts w:ascii="Arial" w:cs="Arial" w:eastAsia="Arial" w:hAnsi="Arial"/>
          <w:sz w:val="18"/>
          <w:szCs w:val="18"/>
          <w:color w:val="auto"/>
        </w:rPr>
        <w:t>Under the Orphan Drug Act, the FDA may grant orphan designation to a drug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 drug product available in the United States for this type of disease or condition will be recovered from sales of the product. Orphan designation must be requested before submitting an NDA.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84"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or inability to manufacture the product in sufficient quantities. The designation of such drug also entitles a party to financial incentives such as opportunities for grant funding towards clinical trial costs, tax advantages and user-fee waivers. Competitors, however, may receive approval of different products for the indication for which the orphan product has exclusivity or obtain approval for the same product but for a different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indication for which the orphan product has exclusivity. Orphan exclusivity also could block the approval of one of our products for seven years if a competitor obtains approval of the same drug as defined by the FDA or if our product candidate is determined to be contained within the competitor’s product for the same indication or disease. If an orphan designated product receives marketing approval for an indication broader than what is designated, it may not be entitled to orphan exclusivity. Orphan drug status in the EU has similar but not identical benefits in that jurisdiction.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200" w:firstLine="509"/>
        <w:spacing w:after="0" w:line="255" w:lineRule="auto"/>
        <w:rPr>
          <w:sz w:val="20"/>
          <w:szCs w:val="20"/>
          <w:color w:val="auto"/>
        </w:rPr>
      </w:pPr>
      <w:r>
        <w:rPr>
          <w:rFonts w:ascii="Arial" w:cs="Arial" w:eastAsia="Arial" w:hAnsi="Arial"/>
          <w:sz w:val="18"/>
          <w:szCs w:val="18"/>
          <w:color w:val="auto"/>
        </w:rPr>
        <w:t>Any drug products for which we receive FDA approvals are subject to continuing regulation by the FDA, including, among other things, manufacturing, record-keeping requirements, reporting of adverse experiences with the product, providing the FDA with updated safety and efficacy information, product sampling and distribution requirements, and complying with FDA promotion and advertising requirements, which include, among others, standards for direct-to-consumer advertising, restrictions on promoting drugs for uses or in patient populations that are not described in the drug’s approved labeling (known as “off-label use”), limitations on industry-sponsored scientific and educational activities, and requirements for promotional activities involving the internet.</w:t>
      </w:r>
    </w:p>
    <w:p>
      <w:pPr>
        <w:spacing w:after="0" w:line="84"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In addition, quality control and manufacturing procedures must continue to conform to applicable manufacturing requirements after approval to ensure the long-term stability of the drug product. We rely, and expect to continue to rely, on third parties for the production of clinical and commercial quantities of our products in accordance with cGMP regulations. cGMP regulations require among other things, quality control and quality assurance as well as the corresponding maintenance of records and documentation and the obligation to investigate and correct any deviations from cGMP requirements.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w:t>
      </w:r>
    </w:p>
    <w:p>
      <w:pPr>
        <w:spacing w:after="0" w:line="84"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68"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restrictions </w:t>
      </w:r>
      <w:r>
        <w:rPr>
          <w:rFonts w:ascii="Arial" w:cs="Arial" w:eastAsia="Arial" w:hAnsi="Arial"/>
          <w:sz w:val="17"/>
          <w:szCs w:val="17"/>
          <w:color w:val="auto"/>
        </w:rPr>
        <w:t>on the marketing or manufacturing of the product, complete withdrawal of the product from the market or product recalls;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fines, </w:t>
      </w:r>
      <w:r>
        <w:rPr>
          <w:rFonts w:ascii="Arial" w:cs="Arial" w:eastAsia="Arial" w:hAnsi="Arial"/>
          <w:sz w:val="18"/>
          <w:szCs w:val="18"/>
          <w:i w:val="1"/>
          <w:iCs w:val="1"/>
          <w:color w:val="auto"/>
        </w:rPr>
        <w:t>warning</w:t>
      </w:r>
      <w:r>
        <w:rPr>
          <w:rFonts w:ascii="Arial" w:cs="Arial" w:eastAsia="Arial" w:hAnsi="Arial"/>
          <w:sz w:val="18"/>
          <w:szCs w:val="18"/>
          <w:color w:val="auto"/>
        </w:rPr>
        <w:t xml:space="preserve"> letters, or untitled letters;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clinical </w:t>
      </w:r>
      <w:r>
        <w:rPr>
          <w:rFonts w:ascii="Arial" w:cs="Arial" w:eastAsia="Arial" w:hAnsi="Arial"/>
          <w:sz w:val="18"/>
          <w:szCs w:val="18"/>
          <w:i w:val="1"/>
          <w:iCs w:val="1"/>
          <w:color w:val="auto"/>
        </w:rPr>
        <w:t>holds</w:t>
      </w:r>
      <w:r>
        <w:rPr>
          <w:rFonts w:ascii="Arial" w:cs="Arial" w:eastAsia="Arial" w:hAnsi="Arial"/>
          <w:sz w:val="18"/>
          <w:szCs w:val="18"/>
          <w:color w:val="auto"/>
        </w:rPr>
        <w:t xml:space="preserve"> on clinical trials;</w:t>
      </w:r>
    </w:p>
    <w:p>
      <w:pPr>
        <w:spacing w:after="0" w:line="117"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refusal of the FDA to approve pending applications or supplements to approved applications, or suspension or revocation </w:t>
      </w:r>
      <w:r>
        <w:rPr>
          <w:rFonts w:ascii="Arial" w:cs="Arial" w:eastAsia="Arial" w:hAnsi="Arial"/>
          <w:sz w:val="18"/>
          <w:szCs w:val="18"/>
          <w:i w:val="1"/>
          <w:iCs w:val="1"/>
          <w:color w:val="auto"/>
        </w:rPr>
        <w:t>of</w:t>
      </w:r>
      <w:r>
        <w:rPr>
          <w:rFonts w:ascii="Arial" w:cs="Arial" w:eastAsia="Arial" w:hAnsi="Arial"/>
          <w:sz w:val="18"/>
          <w:szCs w:val="18"/>
          <w:color w:val="auto"/>
        </w:rPr>
        <w:t xml:space="preserve"> product license approvals;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product </w:t>
      </w:r>
      <w:r>
        <w:rPr>
          <w:rFonts w:ascii="Arial" w:cs="Arial" w:eastAsia="Arial" w:hAnsi="Arial"/>
          <w:sz w:val="18"/>
          <w:szCs w:val="18"/>
          <w:color w:val="auto"/>
        </w:rPr>
        <w:t>seizure or detention, or refusal to permit the import or export of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consent </w:t>
      </w:r>
      <w:r>
        <w:rPr>
          <w:rFonts w:ascii="Arial" w:cs="Arial" w:eastAsia="Arial" w:hAnsi="Arial"/>
          <w:sz w:val="18"/>
          <w:szCs w:val="18"/>
          <w:color w:val="auto"/>
        </w:rPr>
        <w:t>decrees, corporate integrity agreements, debarment, or exclusion from federal healthcare programs;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mandated </w:t>
      </w:r>
      <w:r>
        <w:rPr>
          <w:rFonts w:ascii="Arial" w:cs="Arial" w:eastAsia="Arial" w:hAnsi="Arial"/>
          <w:sz w:val="18"/>
          <w:szCs w:val="18"/>
          <w:color w:val="auto"/>
        </w:rPr>
        <w:t>modification of promotional materials and labeling and the issuance of corrective information;</w:t>
      </w:r>
    </w:p>
    <w:p>
      <w:pPr>
        <w:spacing w:after="0" w:line="117"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 injunctions or the imposition of civil or criminal penalties.</w:t>
      </w:r>
    </w:p>
    <w:p>
      <w:pPr>
        <w:spacing w:after="0" w:line="62"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The FDA also may require post-marketing testing, known as Phase 4 testing, and surveillance to monitor the effects of an approved product.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w:t>
      </w:r>
    </w:p>
    <w:p>
      <w:pPr>
        <w:spacing w:after="0" w:line="76" w:lineRule="exact"/>
        <w:rPr>
          <w:sz w:val="20"/>
          <w:szCs w:val="20"/>
          <w:color w:val="auto"/>
        </w:rPr>
      </w:pPr>
    </w:p>
    <w:p>
      <w:pPr>
        <w:ind w:right="60" w:firstLine="509"/>
        <w:spacing w:after="0" w:line="287" w:lineRule="auto"/>
        <w:rPr>
          <w:sz w:val="20"/>
          <w:szCs w:val="20"/>
          <w:color w:val="auto"/>
        </w:rPr>
      </w:pPr>
      <w:r>
        <w:rPr>
          <w:rFonts w:ascii="Arial" w:cs="Arial" w:eastAsia="Arial" w:hAnsi="Arial"/>
          <w:sz w:val="16"/>
          <w:szCs w:val="16"/>
          <w:color w:val="auto"/>
        </w:rPr>
        <w:t>The FDA closely regulates the marketing, labeling, advertising, and promotion of drug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64"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117"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Market exclusivity provisions under the FDCA can also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70"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accepting ANDAs or 505(b)(2) NDAs for drugs referencing the approved application for review.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87"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auto"/>
        </w:rPr>
        <w:t>Orphan drug exclusivity, as described above, may offer a seven-year period of marketing exclusivity, except in certain circumstances. Pediatric exclusivity is another type of non-patent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117" w:lineRule="exact"/>
        <w:rPr>
          <w:sz w:val="20"/>
          <w:szCs w:val="20"/>
          <w:color w:val="auto"/>
        </w:rPr>
      </w:pPr>
    </w:p>
    <w:p>
      <w:pPr>
        <w:ind w:right="420" w:firstLine="509"/>
        <w:spacing w:after="0" w:line="258" w:lineRule="auto"/>
        <w:rPr>
          <w:sz w:val="20"/>
          <w:szCs w:val="20"/>
          <w:color w:val="auto"/>
        </w:rPr>
      </w:pPr>
      <w:r>
        <w:rPr>
          <w:rFonts w:ascii="Arial" w:cs="Arial" w:eastAsia="Arial" w:hAnsi="Arial"/>
          <w:sz w:val="18"/>
          <w:szCs w:val="18"/>
          <w:color w:val="auto"/>
        </w:rPr>
        <w:t>Although we currently do not have any products on the market, we are and, upon approval and commercialization, will be subject to additional healthcare regulation and enforcement by the federal government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and by authorities in the states and foreign jurisdictions in which we conduct our business. In the United States, such laws include, without limitation, state and federal anti-kickback, fraud and abuse, false claims, privacy and security, price reporting, and physician sunshine laws and regulations.</w:t>
      </w:r>
    </w:p>
    <w:p>
      <w:pPr>
        <w:spacing w:after="0" w:line="38" w:lineRule="exact"/>
        <w:rPr>
          <w:sz w:val="20"/>
          <w:szCs w:val="20"/>
          <w:color w:val="auto"/>
        </w:rPr>
      </w:pPr>
    </w:p>
    <w:p>
      <w:pPr>
        <w:ind w:right="120" w:firstLine="509"/>
        <w:spacing w:after="0" w:line="269" w:lineRule="auto"/>
        <w:rPr>
          <w:sz w:val="20"/>
          <w:szCs w:val="20"/>
          <w:color w:val="auto"/>
        </w:rPr>
      </w:pPr>
      <w:r>
        <w:rPr>
          <w:rFonts w:ascii="Arial" w:cs="Arial" w:eastAsia="Arial" w:hAnsi="Arial"/>
          <w:sz w:val="17"/>
          <w:szCs w:val="17"/>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74" w:lineRule="exact"/>
        <w:rPr>
          <w:sz w:val="20"/>
          <w:szCs w:val="20"/>
          <w:color w:val="auto"/>
        </w:rPr>
      </w:pPr>
    </w:p>
    <w:p>
      <w:pPr>
        <w:jc w:val="both"/>
        <w:ind w:right="100" w:firstLine="509"/>
        <w:spacing w:after="0" w:line="255" w:lineRule="auto"/>
        <w:rPr>
          <w:sz w:val="20"/>
          <w:szCs w:val="20"/>
          <w:color w:val="auto"/>
        </w:rPr>
      </w:pPr>
      <w:r>
        <w:rPr>
          <w:rFonts w:ascii="Arial" w:cs="Arial" w:eastAsia="Arial" w:hAnsi="Arial"/>
          <w:sz w:val="18"/>
          <w:szCs w:val="18"/>
          <w:color w:val="auto"/>
        </w:rPr>
        <w:t>Additionally, the intent standard under the Anti-Kickback Statute and the criminal healthcare fraud statutes (discussed below) was amended by the Patient Protection and Affordable Care Act, as amended by the Health Care and Education Reconciliation Act, together with subsequent amendments and regulations, collectively, the Affordable Care Act, to a stricter standard such that a person or entity no longer needs to have actual knowledge of the statute or specific intent to violate it in order to have committed a violation. In addition, the Affordable Care Act codified case law that a claim including items or services resulting from a violation of the federal Anti-Kickback Statute constitutes a false or fraudulent claim for purposes of the federal False Claims Act (discussed below).</w:t>
      </w:r>
    </w:p>
    <w:p>
      <w:pPr>
        <w:spacing w:after="0" w:line="84"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federal False Claims Act prohibits,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non-covered, uses.</w:t>
      </w:r>
    </w:p>
    <w:p>
      <w:pPr>
        <w:spacing w:after="0" w:line="87"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The Health Insurance Portability and Accountability Act (HIPAA) also created new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Also, many states have similar fraud and abuse statutes or regulations that apply to items and services reimbursed under Medicaid and other state programs, or, in several states, apply regardless of the payor.</w:t>
      </w:r>
    </w:p>
    <w:p>
      <w:pPr>
        <w:spacing w:after="0" w:line="56" w:lineRule="exact"/>
        <w:rPr>
          <w:sz w:val="20"/>
          <w:szCs w:val="20"/>
          <w:color w:val="auto"/>
        </w:rPr>
      </w:pPr>
    </w:p>
    <w:p>
      <w:pPr>
        <w:ind w:right="280" w:firstLine="509"/>
        <w:spacing w:after="0" w:line="255" w:lineRule="auto"/>
        <w:rPr>
          <w:sz w:val="20"/>
          <w:szCs w:val="20"/>
          <w:color w:val="auto"/>
        </w:rPr>
      </w:pPr>
      <w:r>
        <w:rPr>
          <w:rFonts w:ascii="Arial" w:cs="Arial" w:eastAsia="Arial" w:hAnsi="Arial"/>
          <w:sz w:val="18"/>
          <w:szCs w:val="18"/>
          <w:color w:val="auto"/>
        </w:rPr>
        <w:t>Additionally, the federal Physician Payments Sunshine Act within the Affordable Care Act, and its implementing regulations, require that certain manufacturers of drugs, devices, biological and medical supplies for which payment is available under Medicare, Medicaid, or the Children’s Health Insurance Program (with certain exceptions) annually report information related to certain payments or other transfers of value made or distributed to physicians (defined to include doctors, dentists, optometrists, podiatrists and chiropractors), certain other healthcare professionals (such as physician assistants and nurse practitioners), and teaching hospitals, certain ownership and investment interests held by physicians and their immediate family members.</w:t>
      </w:r>
    </w:p>
    <w:p>
      <w:pPr>
        <w:spacing w:after="0" w:line="84" w:lineRule="exact"/>
        <w:rPr>
          <w:sz w:val="20"/>
          <w:szCs w:val="20"/>
          <w:color w:val="auto"/>
        </w:rPr>
      </w:pPr>
    </w:p>
    <w:p>
      <w:pPr>
        <w:ind w:right="300" w:firstLine="509"/>
        <w:spacing w:after="0" w:line="269" w:lineRule="auto"/>
        <w:rPr>
          <w:sz w:val="20"/>
          <w:szCs w:val="20"/>
          <w:color w:val="auto"/>
        </w:rPr>
      </w:pPr>
      <w:r>
        <w:rPr>
          <w:rFonts w:ascii="Arial" w:cs="Arial" w:eastAsia="Arial" w:hAnsi="Arial"/>
          <w:sz w:val="17"/>
          <w:szCs w:val="17"/>
          <w:color w:val="auto"/>
        </w:rPr>
        <w:t>We may also be subject to data privacy and security regulations by both the federal government and the states in which we conduct our business. HIPAA, as amended by the Health Information Technology for Economic and Clinical Health Act (HITECH) and its implementing regulations, impose requirements relating to the privacy, security and transmission of individually identifiable health information. Among other things, HITECH makes HIPAA’s privacy and security standards directly applicable to business associates, independent contractors or agents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of covered entities that receive or obtain protected health information in connection with providing a service on behalf of a covered entity, and their covered subcontractors.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84"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In order to distribute products commercially, we must also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track, and report gifts, compensation and other remuneration made to physicians and other healthcare providers, clinical trials and other activities, and/or register their sales representatives, as well as to prohibit pharmacies and other healthcare entities from providing certain physician prescribing data to pharmaceutical companies for use in sales and marketing, and to prohibit certain other sales and marketing practices. All of our activities are potentially subject to federal and state consumer protection and unfair competition laws.</w:t>
      </w:r>
    </w:p>
    <w:p>
      <w:pPr>
        <w:spacing w:after="0" w:line="77" w:lineRule="exact"/>
        <w:rPr>
          <w:sz w:val="20"/>
          <w:szCs w:val="20"/>
          <w:color w:val="auto"/>
        </w:rPr>
      </w:pPr>
    </w:p>
    <w:p>
      <w:pPr>
        <w:ind w:right="100" w:firstLine="509"/>
        <w:spacing w:after="0" w:line="273" w:lineRule="auto"/>
        <w:rPr>
          <w:sz w:val="20"/>
          <w:szCs w:val="20"/>
          <w:color w:val="auto"/>
        </w:rPr>
      </w:pPr>
      <w:r>
        <w:rPr>
          <w:rFonts w:ascii="Arial" w:cs="Arial" w:eastAsia="Arial" w:hAnsi="Arial"/>
          <w:sz w:val="17"/>
          <w:szCs w:val="17"/>
          <w:color w:val="auto"/>
        </w:rPr>
        <w:t>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1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or our collaborators obtain regulatory approval. In the United States and markets in other countries, sales of any products for which we or our collaborators receive regulatory approval for commercial sale will depend, in part, on the extent to which third-party payors provide coverage, and establish adequate reimbursement levels for such drug products.</w:t>
      </w:r>
    </w:p>
    <w:p>
      <w:pPr>
        <w:spacing w:after="0" w:line="79"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In the United States, third-party payors include federal and state healthcare programs, government authorities, private managed care providers, private health insurers, and other organizations. Third-party payors are increasingly challenging the price, examining the medical necessity and reviewing the cost-effectiveness of medical drug products and medical services, in addition to questioning their safety and efficacy. Such payors may limit coverage to specific drug products on an approved list, also known as a formulary, which might not include all of the FDA-approved drugs for a particular indication. We or our collaborators may need to conduct expensive pharmaco-economic studies in order to demonstrate the medical necessity and cost-effectiveness of our products, in addition to the costs required to obtain the FDA approvals. Nonetheless, our product candidates may not be considered medically necessary or cost-effective. Moreover, the process for determining whether a third-party payor will provide coverage for a drug product may be separate from the process for setting the price of a drug product or for establishing the reimbursement rate that such a payor will pay for the drug product.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Adequate third-party reimbursement may not be available to enable us to maintain price levels sufficient to realize an appropriate return on our investment in product development.</w:t>
      </w:r>
    </w:p>
    <w:p>
      <w:pPr>
        <w:spacing w:after="0" w:line="64" w:lineRule="exact"/>
        <w:rPr>
          <w:sz w:val="20"/>
          <w:szCs w:val="20"/>
          <w:color w:val="auto"/>
        </w:rPr>
      </w:pPr>
    </w:p>
    <w:p>
      <w:pPr>
        <w:jc w:val="center"/>
        <w:ind w:right="120"/>
        <w:spacing w:after="0" w:line="259" w:lineRule="auto"/>
        <w:rPr>
          <w:sz w:val="20"/>
          <w:szCs w:val="20"/>
          <w:color w:val="auto"/>
        </w:rPr>
      </w:pPr>
      <w:r>
        <w:rPr>
          <w:rFonts w:ascii="Arial" w:cs="Arial" w:eastAsia="Arial" w:hAnsi="Arial"/>
          <w:sz w:val="18"/>
          <w:szCs w:val="18"/>
          <w:color w:val="auto"/>
        </w:rPr>
        <w:t>If we elect to participate in certain governmental programs, we may be required to participate in discount and rebate programs, which may result in prices for our future products that will likely be lower than the prices we might otherwise obtain. For example, drug manufacturers participating under the Medicaid Drug Rebate Program must pay rebates on prescription drugs to state Medicaid programs. Under the Veterans Health Care Act (VHCA), drug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companies are required to offer certain drugs at a reduced price to a number of federal agencies, including the U.S. Department of Veterans Affairs and the U.S. Department of Defense, the Public Health Service and certain private Public Health Service designated entities in order to participate in other federal funding programs, including Medicare and Medicaid. Recent legislative changes require that discounted prices be offered for certain U.S. Department of Defense purchases for its TRICARE program via a rebate system. Participation under the VHCA also requires submission of pricing data and calculation of discounts and rebates pursuant to complex statutory formulas, as well as the entry into government procurement contracts governed by the Federal Acquisition Regulations. If our products are made available to authorized users of the Federal Supply Schedule of the General Services Administration, additional laws and requirements apply.</w:t>
      </w:r>
    </w:p>
    <w:p>
      <w:pPr>
        <w:spacing w:after="0" w:line="87" w:lineRule="exact"/>
        <w:rPr>
          <w:sz w:val="20"/>
          <w:szCs w:val="20"/>
          <w:color w:val="auto"/>
        </w:rPr>
      </w:pPr>
    </w:p>
    <w:p>
      <w:pPr>
        <w:ind w:right="100" w:firstLine="509"/>
        <w:spacing w:after="0" w:line="271" w:lineRule="auto"/>
        <w:rPr>
          <w:sz w:val="20"/>
          <w:szCs w:val="20"/>
          <w:color w:val="auto"/>
        </w:rPr>
      </w:pPr>
      <w:r>
        <w:rPr>
          <w:rFonts w:ascii="Arial" w:cs="Arial" w:eastAsia="Arial" w:hAnsi="Arial"/>
          <w:sz w:val="17"/>
          <w:szCs w:val="17"/>
          <w:color w:val="auto"/>
        </w:rPr>
        <w:t>Different pricing and reimbursement schemes exist in other countries. In Europe,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drug candidate to currently available therapies. Other Member States allow companies to fix their own prices for medicines,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70" w:lineRule="exact"/>
        <w:rPr>
          <w:sz w:val="20"/>
          <w:szCs w:val="20"/>
          <w:color w:val="auto"/>
        </w:rPr>
      </w:pPr>
    </w:p>
    <w:p>
      <w:pPr>
        <w:ind w:right="220" w:firstLine="509"/>
        <w:spacing w:after="0" w:line="275" w:lineRule="auto"/>
        <w:rPr>
          <w:sz w:val="20"/>
          <w:szCs w:val="20"/>
          <w:color w:val="auto"/>
        </w:rPr>
      </w:pPr>
      <w:r>
        <w:rPr>
          <w:rFonts w:ascii="Arial" w:cs="Arial" w:eastAsia="Arial" w:hAnsi="Arial"/>
          <w:sz w:val="17"/>
          <w:szCs w:val="17"/>
          <w:color w:val="auto"/>
        </w:rPr>
        <w:t>The marketability of any product candidates for which we or our collaborators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and other third-party payors have attempted to control costs by limiting coverage and the amount of reimbursement for particular medical products and services, implementing reductions in Medicare and other healthcare funding and applying new payment methodologies. For example, in March 2010, the Affordable Care Act was enacted, which affected existing government healthcare programs and resulted in the development of new programs.</w:t>
      </w:r>
    </w:p>
    <w:p>
      <w:pPr>
        <w:spacing w:after="0" w:line="63"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Among the Affordable Care Act’s provisions of importance to the pharmaceutical industry, in addition to those otherwise described above, are the following:</w:t>
      </w:r>
    </w:p>
    <w:p>
      <w:pPr>
        <w:spacing w:after="0" w:line="62" w:lineRule="exact"/>
        <w:rPr>
          <w:sz w:val="20"/>
          <w:szCs w:val="20"/>
          <w:color w:val="auto"/>
        </w:rPr>
      </w:pPr>
    </w:p>
    <w:p>
      <w:pPr>
        <w:ind w:left="1020" w:right="400" w:hanging="503"/>
        <w:spacing w:after="0" w:line="308"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specified branded prescription drugs and biologic agents apportioned among these entities according to their market share in some government healthcare programs;</w:t>
      </w:r>
    </w:p>
    <w:p>
      <w:pPr>
        <w:spacing w:after="0" w:line="38" w:lineRule="exact"/>
        <w:rPr>
          <w:rFonts w:ascii="Arial" w:cs="Arial" w:eastAsia="Arial" w:hAnsi="Arial"/>
          <w:sz w:val="17"/>
          <w:szCs w:val="17"/>
          <w:color w:val="auto"/>
        </w:rPr>
      </w:pPr>
    </w:p>
    <w:p>
      <w:pPr>
        <w:ind w:left="1020" w:right="260" w:hanging="503"/>
        <w:spacing w:after="0" w:line="26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for most branded and generic drugs, respectively, and a cap on the total rebate amount for innovator drugs at 100% of the Average Manufacturer Price (AMP);</w:t>
      </w:r>
    </w:p>
    <w:p>
      <w:pPr>
        <w:spacing w:after="0" w:line="75" w:lineRule="exact"/>
        <w:rPr>
          <w:rFonts w:ascii="Arial" w:cs="Arial" w:eastAsia="Arial" w:hAnsi="Arial"/>
          <w:sz w:val="18"/>
          <w:szCs w:val="18"/>
          <w:color w:val="auto"/>
        </w:rPr>
      </w:pPr>
    </w:p>
    <w:p>
      <w:pPr>
        <w:ind w:left="1020" w:right="240" w:hanging="503"/>
        <w:spacing w:after="0" w:line="26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75"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expansion of eligibility criteria for Medicaid programs by, among other things, allowing states to offer Medicaid coverage to additional</w:t>
      </w:r>
    </w:p>
    <w:p>
      <w:pPr>
        <w:spacing w:after="0" w:line="35" w:lineRule="exact"/>
        <w:rPr>
          <w:sz w:val="20"/>
          <w:szCs w:val="20"/>
          <w:color w:val="auto"/>
        </w:rPr>
      </w:pPr>
    </w:p>
    <w:p>
      <w:pPr>
        <w:ind w:left="1020" w:right="180"/>
        <w:spacing w:after="0" w:line="250" w:lineRule="auto"/>
        <w:rPr>
          <w:sz w:val="20"/>
          <w:szCs w:val="20"/>
          <w:color w:val="auto"/>
        </w:rPr>
      </w:pPr>
      <w:r>
        <w:rPr>
          <w:rFonts w:ascii="Arial" w:cs="Arial" w:eastAsia="Arial" w:hAnsi="Arial"/>
          <w:sz w:val="18"/>
          <w:szCs w:val="18"/>
          <w:color w:val="auto"/>
        </w:rPr>
        <w:t>individuals, including individuals with income at or below 133% of the federal poverty level, thereby potentially increasing manufacturers’ Medicaid rebate liability;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 and</w:t>
      </w:r>
    </w:p>
    <w:p>
      <w:pPr>
        <w:spacing w:after="0" w:line="117" w:lineRule="exact"/>
        <w:rPr>
          <w:rFonts w:ascii="Arial" w:cs="Arial" w:eastAsia="Arial" w:hAnsi="Arial"/>
          <w:sz w:val="18"/>
          <w:szCs w:val="18"/>
          <w:color w:val="auto"/>
        </w:rPr>
      </w:pPr>
    </w:p>
    <w:p>
      <w:pPr>
        <w:ind w:left="1020" w:right="66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62"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There have been executive, judicial and Congressional challenges to certain aspects of the Affordable Care Act. For example, the Tax Cuts and Jobs Act of 2017 (the Tax Act) was enacted, which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On June 17, 2021, the U.S. Supreme Court dismissed a challenge on procedural grounds that argue the Affordable Care Act is unconstitutional in its entirety because the "individual mandate" was repealed by Congress. Further, on August 16, 2022, President Biden signed the Inflation Reduction Act of 2022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It is possible that the Affordable Care Act will be subject to judicial or Congressional challenges in the future. It is unclear how such challenges and the healthcare reform measures of the Biden administration will impact the Affordable Care Act and our business.</w:t>
      </w:r>
    </w:p>
    <w:p>
      <w:pPr>
        <w:spacing w:after="0" w:line="77" w:lineRule="exact"/>
        <w:rPr>
          <w:sz w:val="20"/>
          <w:szCs w:val="20"/>
          <w:color w:val="auto"/>
        </w:rPr>
      </w:pPr>
    </w:p>
    <w:p>
      <w:pPr>
        <w:ind w:right="100" w:firstLine="509"/>
        <w:spacing w:after="0" w:line="272" w:lineRule="auto"/>
        <w:rPr>
          <w:sz w:val="20"/>
          <w:szCs w:val="20"/>
          <w:color w:val="auto"/>
        </w:rPr>
      </w:pPr>
      <w:r>
        <w:rPr>
          <w:rFonts w:ascii="Arial" w:cs="Arial" w:eastAsia="Arial" w:hAnsi="Arial"/>
          <w:sz w:val="17"/>
          <w:szCs w:val="17"/>
          <w:color w:val="auto"/>
        </w:rPr>
        <w:t>Other legislative changes have also been proposed and adopted in the United States since the Affordable Care Act was enacted. On August 2, 2011, the Budget Control Act of 2011, among other things, included aggregate reductions to Medicare payments to providers of 2% per fiscal year, which went into effect on April 1, 2013 and, due to subsequent legislative amendments to the statute, will remain in effect until 2031, unless additional Congressional action is taken. Under current legislation, the actual reduction in Medicare payments will vary from 1% in 2022 to up to 4% in the final fiscal year of this sequester. In addition, in January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69"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auto"/>
        </w:rPr>
        <w:t>There has also been heightened governmental scrutiny recently over the manner in which pharmaceutical companies set prices for their marketed products, which has resulted in several Presidential executive orders, Congressional inquiries and proposed federal legislation, as well as state efforts, designed to, among other things, bring more transparency to product pricing, reduce the cost of prescription drugs under Medicare, review the relationship between pricing and manufacturer patient programs, and reform government program reimbursement methodologies for drug products.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w:t>
      </w:r>
    </w:p>
    <w:p>
      <w:pPr>
        <w:spacing w:after="0" w:line="1" w:lineRule="exact"/>
        <w:rPr>
          <w:sz w:val="20"/>
          <w:szCs w:val="20"/>
          <w:color w:val="auto"/>
        </w:rPr>
      </w:pPr>
    </w:p>
    <w:p>
      <w:pPr>
        <w:ind w:right="60" w:firstLine="8"/>
        <w:spacing w:after="0" w:line="288" w:lineRule="auto"/>
        <w:tabs>
          <w:tab w:leader="none" w:pos="215"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directs HHS to negotiate the price of certain high-expenditure, single-source drugs and biologics covered under Medicare and (ii) imposes rebates under Medicare Part B and Medicare Part D to penalize price increases that outpace inflation. These provisions will take effect progressively starting in fiscal year 2023, although they may be subject to legal challenges. Further, the Biden administration released an additional executive order on October 14, 2022, directing HHS to report on how the Center for Medicare and Medicaid Innovation can be further leveraged to test new models for lowering drug costs for Medicare and Medicaid beneficiaries.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6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anticipate that these new laws and executive orders will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In addition, it is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1600"/>
        <w:spacing w:after="0" w:line="375" w:lineRule="auto"/>
        <w:rPr>
          <w:sz w:val="20"/>
          <w:szCs w:val="20"/>
          <w:color w:val="auto"/>
        </w:rPr>
      </w:pPr>
      <w:r>
        <w:rPr>
          <w:rFonts w:ascii="Arial" w:cs="Arial" w:eastAsia="Arial" w:hAnsi="Arial"/>
          <w:sz w:val="18"/>
          <w:szCs w:val="18"/>
          <w:color w:val="auto"/>
        </w:rPr>
        <w:t xml:space="preserve">possible that there will be further legislation or regulation that could harm our business, financial condition, and results of operations. </w:t>
      </w:r>
      <w:r>
        <w:rPr>
          <w:rFonts w:ascii="Arial" w:cs="Arial" w:eastAsia="Arial" w:hAnsi="Arial"/>
          <w:sz w:val="18"/>
          <w:szCs w:val="18"/>
          <w:b w:val="1"/>
          <w:bCs w:val="1"/>
          <w:i w:val="1"/>
          <w:iCs w:val="1"/>
          <w:color w:val="auto"/>
        </w:rPr>
        <w:t>Data Privacy and Security</w:t>
      </w:r>
    </w:p>
    <w:p>
      <w:pPr>
        <w:spacing w:after="0" w:line="1"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We may also be subject to federal, state, local, and foreign data privacy and security laws, regulations, guidance, and industry standards. Such obligations may include U.S. state data breach notification laws, U.S. state health information privacy laws, federal and state consumer protection laws and regulations (e.g., Section 5 of the FTC Act), HIPAA, as amended by HITECH, and its implementing regulations, the California Consumer Privacy Act (CCPA), as amended by the California Privacy Rights Act, the European Union’s General Data Protection Regulation (EU GDPR), and the United Kingdom’s “UK GDPR” (the EU GDPR and the UK GDPR together, GDPR).</w:t>
      </w:r>
    </w:p>
    <w:p>
      <w:pPr>
        <w:spacing w:after="0" w:line="80" w:lineRule="exact"/>
        <w:rPr>
          <w:sz w:val="20"/>
          <w:szCs w:val="20"/>
          <w:color w:val="auto"/>
        </w:rPr>
      </w:pPr>
    </w:p>
    <w:p>
      <w:pPr>
        <w:ind w:right="80" w:firstLine="509"/>
        <w:spacing w:after="0" w:line="286" w:lineRule="auto"/>
        <w:rPr>
          <w:sz w:val="20"/>
          <w:szCs w:val="20"/>
          <w:color w:val="auto"/>
        </w:rPr>
      </w:pPr>
      <w:r>
        <w:rPr>
          <w:rFonts w:ascii="Arial" w:cs="Arial" w:eastAsia="Arial" w:hAnsi="Arial"/>
          <w:sz w:val="16"/>
          <w:szCs w:val="16"/>
          <w:color w:val="auto"/>
        </w:rPr>
        <w:t>These laws impose increasingly stringent and evolving regulatory frameworks related to the processing of personal data that may increase our compliance obligations and exposure for any noncompliance. For example, where it applies, the GDPR requires stringent standards of data privacy and security concerning personal data, including limitations which could limit our ability to collect, use and share personal data (including health and medical information collected and processed in connection our relevant clinical trials and studies). In particular, the EU GDPR and UK GDPR significantly restrict the transfer of personal data to the United States and other countries whose privacy laws are considered ‘inadequate’ for the purposes of either or both of those regulations. If there is no lawful manner for us to effect cross-border transfers of personal data in compliance with the EU GDPR and/or UK GDPR, as applicable, or if the requirements for a compliant transfer are too onerous, we could face significant adverse consequences, including the interruption or degradation of our operations, the need to relocate certain parts of our operations, increased exposure to regulatory actions, substantial fines and penalties, the inability to work with certain collaborators, partners, vendors and other third parties, and injunctions against our processing or transferring of personal data necessary to operate our business. In addition, sanctions for breaches of the EU GDPR and/or UK GDPR are significant: companies may face temporary or definitive bans on processing of personal data and other corrective actions; fines of up to 17.5 million pounds sterling under the UK GDPR / 20 million Euros under the EU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66"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For more information on the potential impact of these laws, including the GDPR, see the section titled “Risk Factors—We are subject to stringent and evolving U.S. and foreign laws, regulations, rules, contractual obligations, policies and other obligations related to data privacy and security. Our actual or perceived failure to comply with such obligations could lead to government enforcement actions (which could include civil or criminal penalties), private litigation, adverse publicity, and other adverse consequences, and could negatively affect our operating results and business.”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 Foreign Corrupt Practices Act</w:t>
      </w:r>
    </w:p>
    <w:p>
      <w:pPr>
        <w:spacing w:after="0" w:line="117"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The U.S. Foreign Corrupt Practices Act of 1977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 / Rest of World Government Regulation</w:t>
      </w:r>
    </w:p>
    <w:p>
      <w:pPr>
        <w:spacing w:after="0" w:line="117"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trials and any commercial sales and distribution of our products. Whether or not we or our potential collaborators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 for example, a CTA must be submitted to each country’s national health authority and an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independent ethics committee, much like the FDA and IRB, respectively. Once the CTA is approved in accordance with a country’s requirements, clinical trial development may proceed.</w:t>
      </w:r>
    </w:p>
    <w:p>
      <w:pPr>
        <w:spacing w:after="0" w:line="62"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76" w:lineRule="exact"/>
        <w:rPr>
          <w:sz w:val="20"/>
          <w:szCs w:val="20"/>
          <w:color w:val="auto"/>
        </w:rPr>
      </w:pPr>
    </w:p>
    <w:p>
      <w:pPr>
        <w:ind w:right="580" w:firstLine="509"/>
        <w:spacing w:after="0" w:line="277" w:lineRule="auto"/>
        <w:rPr>
          <w:sz w:val="20"/>
          <w:szCs w:val="20"/>
          <w:color w:val="auto"/>
        </w:rPr>
      </w:pPr>
      <w:r>
        <w:rPr>
          <w:rFonts w:ascii="Arial" w:cs="Arial" w:eastAsia="Arial" w:hAnsi="Arial"/>
          <w:sz w:val="18"/>
          <w:szCs w:val="18"/>
          <w:color w:val="auto"/>
        </w:rPr>
        <w:t>To obtain regulatory approval of an investigational drug or biological product under the EU regulatory systems, we must submit a marketing authorization application either under the so-called centralized or national authorization procedures.</w:t>
      </w:r>
    </w:p>
    <w:p>
      <w:pPr>
        <w:spacing w:after="0" w:line="62" w:lineRule="exact"/>
        <w:rPr>
          <w:sz w:val="20"/>
          <w:szCs w:val="20"/>
          <w:color w:val="auto"/>
        </w:rPr>
      </w:pPr>
    </w:p>
    <w:p>
      <w:pPr>
        <w:ind w:right="120" w:firstLine="509"/>
        <w:spacing w:after="0" w:line="283" w:lineRule="auto"/>
        <w:rPr>
          <w:sz w:val="20"/>
          <w:szCs w:val="20"/>
          <w:color w:val="auto"/>
        </w:rPr>
      </w:pPr>
      <w:r>
        <w:rPr>
          <w:rFonts w:ascii="Arial" w:cs="Arial" w:eastAsia="Arial" w:hAnsi="Arial"/>
          <w:sz w:val="16"/>
          <w:szCs w:val="16"/>
          <w:i w:val="1"/>
          <w:iCs w:val="1"/>
          <w:color w:val="auto"/>
        </w:rPr>
        <w:t xml:space="preserve">Centralized procedure. </w:t>
      </w:r>
      <w:r>
        <w:rPr>
          <w:rFonts w:ascii="Arial" w:cs="Arial" w:eastAsia="Arial" w:hAnsi="Arial"/>
          <w:sz w:val="16"/>
          <w:szCs w:val="16"/>
          <w:color w:val="auto"/>
        </w:rPr>
        <w:t>The centralized procedure provides for the grant of a single marketing authorization, which is issued by the European</w:t>
      </w:r>
      <w:r>
        <w:rPr>
          <w:rFonts w:ascii="Arial" w:cs="Arial" w:eastAsia="Arial" w:hAnsi="Arial"/>
          <w:sz w:val="16"/>
          <w:szCs w:val="16"/>
          <w:i w:val="1"/>
          <w:iCs w:val="1"/>
          <w:color w:val="auto"/>
        </w:rPr>
        <w:t xml:space="preserve"> </w:t>
      </w:r>
      <w:r>
        <w:rPr>
          <w:rFonts w:ascii="Arial" w:cs="Arial" w:eastAsia="Arial" w:hAnsi="Arial"/>
          <w:sz w:val="16"/>
          <w:szCs w:val="16"/>
          <w:color w:val="auto"/>
        </w:rPr>
        <w:t>Commission based on the opinion of the Committee for Medicinal Products for Human Use (the CHMP) of the EMA and that is valid in all EU Member States, as well as Iceland, Liechtenstein and Norway. The Centralized Procedure is mandatory for certain types of products, such as biotechnology medicinal products, orphan medicinal products, and medicines that contain a new active substance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Under the Centralized Procedure the maximum timeframe for the evaluation of an MAA is 210 days (excluding clock stops, when additional written or oral information is to be provided by the applicant in response to questions asked by the CHMP). Accelerated evaluation might be granted by the CHMP in exceptional cases, when the authorization of a medicinal product is of major interest from the point of view of public health and in particular from the viewpoint of therapeutic innovation. Under the accelerated procedure the standard 210-day review period is reduced to</w:t>
      </w:r>
    </w:p>
    <w:p>
      <w:pPr>
        <w:spacing w:after="0" w:line="5"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days.</w:t>
      </w:r>
    </w:p>
    <w:p>
      <w:pPr>
        <w:spacing w:after="0" w:line="102" w:lineRule="exact"/>
        <w:rPr>
          <w:rFonts w:ascii="Arial" w:cs="Arial" w:eastAsia="Arial" w:hAnsi="Arial"/>
          <w:sz w:val="18"/>
          <w:szCs w:val="18"/>
          <w:color w:val="auto"/>
        </w:rPr>
      </w:pPr>
    </w:p>
    <w:p>
      <w:pPr>
        <w:ind w:left="1020" w:right="40" w:hanging="503"/>
        <w:spacing w:after="0" w:line="277"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National authorization procedures</w:t>
      </w:r>
      <w:r>
        <w:rPr>
          <w:rFonts w:ascii="Arial" w:cs="Arial" w:eastAsia="Arial" w:hAnsi="Arial"/>
          <w:sz w:val="18"/>
          <w:szCs w:val="18"/>
          <w:color w:val="auto"/>
        </w:rPr>
        <w:t>. There are also two other possible routes to authorize medicinal products in several EU countries,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are available for investigational medicinal products that fall outside the scope of the centralized procedure:</w:t>
      </w:r>
    </w:p>
    <w:p>
      <w:pPr>
        <w:spacing w:after="0" w:line="62" w:lineRule="exact"/>
        <w:rPr>
          <w:rFonts w:ascii="Arial" w:cs="Arial" w:eastAsia="Arial" w:hAnsi="Arial"/>
          <w:sz w:val="18"/>
          <w:szCs w:val="18"/>
          <w:color w:val="auto"/>
        </w:rPr>
      </w:pPr>
    </w:p>
    <w:p>
      <w:pPr>
        <w:jc w:val="both"/>
        <w:ind w:left="1020" w:right="100" w:hanging="503"/>
        <w:spacing w:after="0" w:line="26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Decentralized procedure</w:t>
      </w:r>
      <w:r>
        <w:rPr>
          <w:rFonts w:ascii="Arial" w:cs="Arial" w:eastAsia="Arial" w:hAnsi="Arial"/>
          <w:sz w:val="18"/>
          <w:szCs w:val="18"/>
          <w:color w:val="auto"/>
        </w:rPr>
        <w:t>. Using the decentralized procedure, an applicant may apply for simultaneous authorizations in more than one EU</w:t>
      </w:r>
      <w:r>
        <w:rPr>
          <w:rFonts w:ascii="Arial" w:cs="Arial" w:eastAsia="Arial" w:hAnsi="Arial"/>
          <w:sz w:val="18"/>
          <w:szCs w:val="18"/>
          <w:i w:val="1"/>
          <w:iCs w:val="1"/>
          <w:color w:val="auto"/>
        </w:rPr>
        <w:t xml:space="preserve"> </w:t>
      </w:r>
      <w:r>
        <w:rPr>
          <w:rFonts w:ascii="Arial" w:cs="Arial" w:eastAsia="Arial" w:hAnsi="Arial"/>
          <w:sz w:val="18"/>
          <w:szCs w:val="18"/>
          <w:color w:val="auto"/>
        </w:rPr>
        <w:t>country of medicinal products that have not yet been authorized in any EU Member State and that do not fall within the mandatory scope of the centralized procedure.</w:t>
      </w:r>
    </w:p>
    <w:p>
      <w:pPr>
        <w:spacing w:after="0" w:line="75" w:lineRule="exact"/>
        <w:rPr>
          <w:rFonts w:ascii="Arial" w:cs="Arial" w:eastAsia="Arial" w:hAnsi="Arial"/>
          <w:sz w:val="18"/>
          <w:szCs w:val="18"/>
          <w:color w:val="auto"/>
        </w:rPr>
      </w:pPr>
    </w:p>
    <w:p>
      <w:pPr>
        <w:ind w:left="1020" w:right="120" w:hanging="503"/>
        <w:spacing w:after="0" w:line="311" w:lineRule="auto"/>
        <w:tabs>
          <w:tab w:leader="none" w:pos="1020" w:val="left"/>
        </w:tabs>
        <w:numPr>
          <w:ilvl w:val="1"/>
          <w:numId w:val="15"/>
        </w:numPr>
        <w:rPr>
          <w:rFonts w:ascii="Arial" w:cs="Arial" w:eastAsia="Arial" w:hAnsi="Arial"/>
          <w:sz w:val="16"/>
          <w:szCs w:val="16"/>
          <w:color w:val="auto"/>
        </w:rPr>
      </w:pPr>
      <w:r>
        <w:rPr>
          <w:rFonts w:ascii="Arial" w:cs="Arial" w:eastAsia="Arial" w:hAnsi="Arial"/>
          <w:sz w:val="16"/>
          <w:szCs w:val="16"/>
          <w:i w:val="1"/>
          <w:iCs w:val="1"/>
          <w:color w:val="auto"/>
        </w:rPr>
        <w:t>Mutual recognition procedure</w:t>
      </w:r>
      <w:r>
        <w:rPr>
          <w:rFonts w:ascii="Arial" w:cs="Arial" w:eastAsia="Arial" w:hAnsi="Arial"/>
          <w:sz w:val="16"/>
          <w:szCs w:val="16"/>
          <w:color w:val="auto"/>
        </w:rPr>
        <w:t>. In the mutual recognition procedure, a medicine is first authorized in one EU Member State, in accordance</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national procedures of that country. Following this, further marketing authorizations can be sought from other EU countries in a procedure whereby the countries concerned agree to recognize the validity of the original, national marketing authorization.</w:t>
      </w:r>
    </w:p>
    <w:p>
      <w:pPr>
        <w:spacing w:after="0" w:line="41"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In the EEA, upon receiving marketing authorization, new chemical entities generally receive eight years of data exclusivity and an additional two years of market exclusivity. If granted, data exclusivity prevents regulatory authorities in the EU from referencing the innovator’s data to assess a generic application. During the additional two-year period of market exclusivity, a generic marketing authorization can be submitted, and the innovator’s data may be referenced, but no generic product can be marketed until the expiration of the market exclusivity. However, there is no guarantee that a product will be considered by the EU’s regulatory authorities to be a new chemical entity and qualify for data exclusivity.</w:t>
      </w:r>
    </w:p>
    <w:p>
      <w:pPr>
        <w:spacing w:after="0" w:line="68" w:lineRule="exact"/>
        <w:rPr>
          <w:sz w:val="20"/>
          <w:szCs w:val="20"/>
          <w:color w:val="auto"/>
        </w:rPr>
      </w:pPr>
    </w:p>
    <w:p>
      <w:pPr>
        <w:ind w:right="100" w:firstLine="509"/>
        <w:spacing w:after="0" w:line="267" w:lineRule="auto"/>
        <w:rPr>
          <w:sz w:val="20"/>
          <w:szCs w:val="20"/>
          <w:color w:val="auto"/>
        </w:rPr>
      </w:pPr>
      <w:r>
        <w:rPr>
          <w:rFonts w:ascii="Arial" w:cs="Arial" w:eastAsia="Arial" w:hAnsi="Arial"/>
          <w:sz w:val="17"/>
          <w:szCs w:val="17"/>
          <w:color w:val="auto"/>
        </w:rPr>
        <w:t>The European Commission, on the basis of the opinion of the Committee for Orphan Medicinal Products of the EMA, grants orphan drug designation to promote the development of products that may offer therapeutic benefits for life-threatening or chronically debilitating conditions affecting not more than five in 10,000 people in the EU. In addition, orphan drug designation can be granted if the drug is intended for a life threatening, seriously debilitating or serious and chronic condition in the EU and without incentives it is unlikely that sales of the drug in the EU would be sufficient to justify developing the drug. Orphan drug designation is only available if there is no other satisfactory method approved in the EU of diagnosing, preventing or treating the condition, or if such a method exists, the proposed orphan drug will be of significant benefit to patients. Orphan drug designation provides opportunities for free protocol assistance, fee reductions for access to the centralized regulatory procedures and ten years of market exclusivity following drug approval, which can be extended to 12 years if trials are conducted in accordance with an agreed-upon PIP. The exclusivity period may be reduced to six years if the designation criteria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are no longer met, including where it is shown that the product is sufficiently profitable not to justify maintenance of market exclusivity.</w:t>
      </w:r>
    </w:p>
    <w:p>
      <w:pPr>
        <w:spacing w:after="0" w:line="117" w:lineRule="exact"/>
        <w:rPr>
          <w:sz w:val="20"/>
          <w:szCs w:val="20"/>
          <w:color w:val="auto"/>
        </w:rPr>
      </w:pPr>
    </w:p>
    <w:p>
      <w:pPr>
        <w:ind w:right="60" w:firstLine="509"/>
        <w:spacing w:after="0" w:line="286" w:lineRule="auto"/>
        <w:rPr>
          <w:sz w:val="20"/>
          <w:szCs w:val="20"/>
          <w:color w:val="auto"/>
        </w:rPr>
      </w:pPr>
      <w:r>
        <w:rPr>
          <w:rFonts w:ascii="Arial" w:cs="Arial" w:eastAsia="Arial" w:hAnsi="Arial"/>
          <w:sz w:val="17"/>
          <w:szCs w:val="17"/>
          <w:color w:val="auto"/>
        </w:rPr>
        <w:t>For other countries outside of the EU,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57" w:lineRule="exact"/>
        <w:rPr>
          <w:sz w:val="20"/>
          <w:szCs w:val="20"/>
          <w:color w:val="auto"/>
        </w:rPr>
      </w:pPr>
    </w:p>
    <w:p>
      <w:pPr>
        <w:ind w:right="100" w:firstLine="509"/>
        <w:spacing w:after="0" w:line="308" w:lineRule="auto"/>
        <w:rPr>
          <w:sz w:val="20"/>
          <w:szCs w:val="20"/>
          <w:color w:val="auto"/>
        </w:rPr>
      </w:pPr>
      <w:r>
        <w:rPr>
          <w:rFonts w:ascii="Arial" w:cs="Arial" w:eastAsia="Arial" w:hAnsi="Arial"/>
          <w:sz w:val="17"/>
          <w:szCs w:val="17"/>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21"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In order to achieve the goals and expectations of our company, it is crucial that we continue to attract and retain top talent. To facilitate talent attraction and retention, we strive to make our company a safe and rewarding workplace, with opportunities for our employees to grow and develop in their careers, supported by strong compensation, benefits and health and wellness programs, and by programs that build connections between our employees.</w:t>
      </w:r>
    </w:p>
    <w:p>
      <w:pPr>
        <w:spacing w:after="0" w:line="41" w:lineRule="exact"/>
        <w:rPr>
          <w:sz w:val="20"/>
          <w:szCs w:val="20"/>
          <w:color w:val="auto"/>
        </w:rPr>
      </w:pPr>
    </w:p>
    <w:p>
      <w:pPr>
        <w:ind w:right="500" w:firstLine="509"/>
        <w:spacing w:after="0" w:line="277" w:lineRule="auto"/>
        <w:rPr>
          <w:sz w:val="20"/>
          <w:szCs w:val="20"/>
          <w:color w:val="auto"/>
        </w:rPr>
      </w:pPr>
      <w:r>
        <w:rPr>
          <w:rFonts w:ascii="Arial" w:cs="Arial" w:eastAsia="Arial" w:hAnsi="Arial"/>
          <w:sz w:val="18"/>
          <w:szCs w:val="18"/>
          <w:color w:val="auto"/>
        </w:rPr>
        <w:t>As of December 31, 2022, we had 27 employees, including 21 in research and development and 6 in general and administrative functions. We believe our employee relations are good.</w:t>
      </w:r>
    </w:p>
    <w:p>
      <w:pPr>
        <w:spacing w:after="0" w:line="62"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success of our business is fundamentally connected to the well-being of our employees. Accordingly, we are committed to their health, safety and wellness. We provide our employees and their families with access to a variety of innovative, flexible and convenient health and wellness programs, including benefits that provide protection and security so they can have peace of mind concerning events that may require time away from work or that impact their financial well-being; that support their physical and mental health by providing tools and resources to help them improve or maintain their health status and encourage engagement in healthy behaviors; and that offer choice where possible so they can customize their benefits to meet their needs and the needs of their families. In response to the COVID-19 pandemic, we implemented significant changes that we determined were in the best interest of our employees, as well as the communities in which we operate, and which comply with government regulations. This includes allowing our employees to work from home.</w:t>
      </w:r>
    </w:p>
    <w:p>
      <w:pPr>
        <w:spacing w:after="0" w:line="84"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We provide compensation and benefits programs to help meet the needs of our employees. In addition to salaries, these programs include potential annual discretionary bonuses, stock awards, a 401(k) Plan, healthcare and insurance benefits, paid time off, family leave, and flexible work schedules, among others.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We were initially formed as a limited liability company in Delaware in November 2014 under the name Spruce Biosciences LLC. In April 2016, Spruce Biosciences LLC converted into a Delaware corporation under the name Spruce Biosciences, Inc. Our principal executive offices are located at 611 Gateway Boulevard, Suite 740, South San Francisco, CA 94080. Our telephone number at that location is (415) 655-4168. Our corporate website address is www.sprucebiosciences.com. Information contained on, or that may be accessed through, our website is not incorporated by reference into this Annual Report and should not be considered a part of this Annual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320" w:firstLine="509"/>
        <w:spacing w:after="0" w:line="286" w:lineRule="auto"/>
        <w:rPr>
          <w:sz w:val="20"/>
          <w:szCs w:val="20"/>
          <w:color w:val="auto"/>
        </w:rPr>
      </w:pPr>
      <w:r>
        <w:rPr>
          <w:rFonts w:ascii="Arial" w:cs="Arial" w:eastAsia="Arial" w:hAnsi="Arial"/>
          <w:sz w:val="17"/>
          <w:szCs w:val="17"/>
          <w:color w:val="auto"/>
        </w:rPr>
        <w:t>We make available, free of charge through our website, our annual reports on Form 10-K, quarterly reports on Form 10-Q and current reports on Form 8-K, and amendments to those reports, filed or furnished pursuant to Sections 13(a) or Section 15(d) of the Securities Exchange Act of 1934, as amended, as soon as reasonably practicable after they have been electronically filed with, or furnished to, the SEC.</w:t>
      </w:r>
    </w:p>
    <w:p>
      <w:pPr>
        <w:spacing w:after="0" w:line="57" w:lineRule="exact"/>
        <w:rPr>
          <w:sz w:val="20"/>
          <w:szCs w:val="20"/>
          <w:color w:val="auto"/>
        </w:rPr>
      </w:pPr>
    </w:p>
    <w:p>
      <w:pPr>
        <w:ind w:right="240" w:firstLine="509"/>
        <w:spacing w:after="0" w:line="258" w:lineRule="auto"/>
        <w:rPr>
          <w:sz w:val="20"/>
          <w:szCs w:val="20"/>
          <w:color w:val="auto"/>
        </w:rPr>
      </w:pPr>
      <w:r>
        <w:rPr>
          <w:rFonts w:ascii="Arial" w:cs="Arial" w:eastAsia="Arial" w:hAnsi="Arial"/>
          <w:sz w:val="18"/>
          <w:szCs w:val="18"/>
          <w:color w:val="auto"/>
        </w:rPr>
        <w:t>The SEC maintains an internet site (http://www.sec.gov) that contains reports, proxy and information statements, and other information regarding issuers that file electronically with the SEC.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i w:val="1"/>
          <w:iCs w:val="1"/>
          <w:color w:val="auto"/>
        </w:rPr>
        <w:t>An investment in shares of our common stock involves a high degree of risk. You should carefully consider the risks described below, as well as the other information in this Annual Report on Form 10-K, including our financial statements and the related notes and “Management’s Discussion and Analysis of Financial Condition and Results of Operations” before deciding whether to purchase, hold or sell shares of our common stock. The occurrence of any of the risks described below could harm our business, financial condition, results of operations, growth prospects, and/or stock price or cause our actual results to differ materially from those contained in forward-looking statements we have made in this Annual Report on Form 10-K and those we may make from time to time. You should consider all of the risk factors described when evaluating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net losses since our inception, and anticipate that we will continue to incur significant net losses for the foreseeable future.</w:t>
      </w:r>
    </w:p>
    <w:p>
      <w:pPr>
        <w:spacing w:after="0" w:line="62"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We are a late-stage biopharmaceutical company founded in 2014, and our operations to date have focused primarily on raising capital, establishing and protecting our intellectual property portfolio, organizing and staffing our company, business planning, and conducting preclinical and clinical development of, and manufacturing development for, our only product candidate, tildacerfont. Additionally, as an organization, we have not yet demonstrated an ability to successfully complete clinical development, obtain regulatory approvals, manufacture a commercial-scale product, or conduct sales and marketing activities necessary for successful commercialization. As we build our capabilities and expand our organization,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w:t>
      </w:r>
    </w:p>
    <w:p>
      <w:pPr>
        <w:spacing w:after="0" w:line="70"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Investment in biopharmaceutical product development is highly speculative because it entails substantial upfront capital expenditures and significant risk that any potential product candidate will fail to demonstrate adequate effectiveness in the targeted indication or an acceptable safety profile, gain regulatory approval and become commercially viable. We have no products approved for commercial sale and have not generated any revenue to date, and we continue to incur significant research and development and other expenses related to our ongoing operations. As a result, we are not profitable and have incurred significant net losses since our inception. If tildacerfont is not successfully developed and approved in the United States, Europe, or Japan, we may never generate any revenue. For the years ended December 31, 2022 and 2021, we reported net losses of $46.2 million and $42.3 million, respectively. As of December 31, 2022, we had an accumulated deficit of $149.3 million.</w:t>
      </w:r>
    </w:p>
    <w:p>
      <w:pPr>
        <w:spacing w:after="0" w:line="69"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We expect to continue to incur significant losses for the foreseeable future, and we expect these losses to increase as we continue our clinical development of, seek regulatory approvals for, and commercially launch tildacerfont and any future product candidates, if approved.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net losses and expected future net losses have had and will continue to have an adverse effect on our stockholders’ equity and working capital. Because of the numerous risks and uncertainties associated with drug development, we are unable to accurately predict the timing or amount of increased expenses, or when, if at all, we will be able to achieve profitability.</w:t>
      </w:r>
    </w:p>
    <w:p>
      <w:pPr>
        <w:spacing w:after="0" w:line="8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will need substantial additional financing to develop tildacerfont and any future product candidates and implement our operating plan. If we fail to obtain additional financing, we may be forced to delay, reduce or eliminate our product development programs or commercialization efforts.</w:t>
      </w:r>
    </w:p>
    <w:p>
      <w:pPr>
        <w:spacing w:after="0" w:line="16"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color w:val="auto"/>
        </w:rPr>
        <w:t>Our operations have consumed substantial amounts of cash since our inception. We expect to continue to spend substantial amounts to continue the clinical development of, and seek regulatory approval for, tildacerfont and any future product candidates. We will require significant additional amounts in order to prepare for commercialization, and, if approved, to launch and commercialize tildacerfont.</w:t>
      </w:r>
    </w:p>
    <w:p>
      <w:pPr>
        <w:spacing w:after="0" w:line="76" w:lineRule="exact"/>
        <w:rPr>
          <w:sz w:val="20"/>
          <w:szCs w:val="20"/>
          <w:color w:val="auto"/>
        </w:rPr>
      </w:pPr>
    </w:p>
    <w:p>
      <w:pPr>
        <w:jc w:val="both"/>
        <w:ind w:right="180" w:firstLine="509"/>
        <w:spacing w:after="0" w:line="287" w:lineRule="auto"/>
        <w:rPr>
          <w:sz w:val="20"/>
          <w:szCs w:val="20"/>
          <w:color w:val="auto"/>
        </w:rPr>
      </w:pPr>
      <w:r>
        <w:rPr>
          <w:rFonts w:ascii="Arial" w:cs="Arial" w:eastAsia="Arial" w:hAnsi="Arial"/>
          <w:sz w:val="16"/>
          <w:szCs w:val="16"/>
          <w:color w:val="auto"/>
        </w:rPr>
        <w:t>As of December 31, 2022, we had cash, cash equivalents and investments of $79.1 million. In October 2020, we consummated our IPO and issued 6,900,000 shares of common stock for net proceeds of $93.4 million, after deducting underwriting discounts and commissions and offering expenses. We believe, based on our current operating plan, that our cash, cash equivalents and investments as of December 31, 2022, along with proceeds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received from the February 2023 private placement and the $15.0 million upfront payment due to us under the Kaken License Agreement, will be sufficient to fund our operations and debt obligations for at least 12 months following the issuance date of our financial statements included elsewhere in this Annual Report.</w:t>
      </w:r>
    </w:p>
    <w:p>
      <w:pPr>
        <w:spacing w:after="0" w:line="76"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However, changing circumstances may cause us to consume capital significantly faster than we currently anticipate, and we may need to spend more money than currently expected because of circumstances beyond our control. For example, primarily as a result of the COVID-19 pandemic, enrollment in our Phase 2b clinical trials evaluating tildacerfont for the treatment of adult classic congenital adrenal hyperplasia (CAH) has been delayed, extending the overall duration of the trials. We have expanded the number of trial sites worldwide to provide more recruitment capabilities in an effort to accelerate enrollment. Additionally, we have amended our clinical trial protocols to enable remote visits to mitigate any potential impacts. As a result of the extended duration of the trials, increased number of trial sites, and this home health component, the overall costs of our Phase 2b clinical trials have increased and may continue to increase in the future.</w:t>
      </w:r>
    </w:p>
    <w:p>
      <w:pPr>
        <w:spacing w:after="0" w:line="8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We will require additional capital for the further development and commercialization of tildacerfont and any future product candidates and may need to raise additional funds sooner if we choose to expand more rapidly than we presently anticipate.</w:t>
      </w:r>
    </w:p>
    <w:p>
      <w:pPr>
        <w:spacing w:after="0" w:line="62" w:lineRule="exact"/>
        <w:rPr>
          <w:sz w:val="20"/>
          <w:szCs w:val="20"/>
          <w:color w:val="auto"/>
        </w:rPr>
      </w:pPr>
    </w:p>
    <w:p>
      <w:pPr>
        <w:ind w:right="60" w:firstLine="509"/>
        <w:spacing w:after="0" w:line="268" w:lineRule="auto"/>
        <w:rPr>
          <w:sz w:val="20"/>
          <w:szCs w:val="20"/>
          <w:color w:val="auto"/>
        </w:rPr>
      </w:pPr>
      <w:r>
        <w:rPr>
          <w:rFonts w:ascii="Arial" w:cs="Arial" w:eastAsia="Arial" w:hAnsi="Arial"/>
          <w:sz w:val="17"/>
          <w:szCs w:val="17"/>
          <w:color w:val="auto"/>
        </w:rPr>
        <w:t xml:space="preserve">Additional funding may not be available on acceptable terms, or at all. In addition, we may not be able to access a portion of our existing cash, cash equivalents and investments due to market conditions. For example, on March 10, 2023, the Federal Deposit Insurance Corporation (FDIC) took control and was appointed receiver of Silicon Valley Bank (SVB).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Further, as a result of </w:t>
      </w:r>
      <w:r>
        <w:rPr>
          <w:rFonts w:ascii="Arial" w:cs="Arial" w:eastAsia="Arial" w:hAnsi="Arial"/>
          <w:sz w:val="17"/>
          <w:szCs w:val="17"/>
          <w:u w:val="single" w:color="auto"/>
          <w:color w:val="auto"/>
        </w:rPr>
        <w:t>g</w:t>
      </w:r>
      <w:r>
        <w:rPr>
          <w:rFonts w:ascii="Arial" w:cs="Arial" w:eastAsia="Arial" w:hAnsi="Arial"/>
          <w:sz w:val="17"/>
          <w:szCs w:val="17"/>
          <w:color w:val="auto"/>
        </w:rPr>
        <w:t>eopolitical and macroeconomic events, including the COVID-19 pandemic and the ongoing military conflict between Ukraine and Russia and related sanctions, the global credit and financial markets have experienced volatility and disruptions,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or more dilutive. If we are unable to raise additional capital in sufficient amounts or on terms acceptable to us, we may have to significantly delay, scale back, or discontinue the development or commercialization of tildacerfont or other research and development initiatives. We also could be required to seek collaborators for tildacerfont and any future product candidates at an earlier stage than otherwise would be desirable or on terms that are less favorable than might otherwise be available or relinquish or license on unfavorable terms our rights to tildacerfont and any future product candidates in markets where we otherwise would seek to pursue development or commercialization ourselves.</w:t>
      </w:r>
    </w:p>
    <w:p>
      <w:pPr>
        <w:spacing w:after="0" w:line="76"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Any of the above events could significantly harm our business, prospects, financial condition, and results of operations and cause the price of our common stock to decline.</w:t>
      </w:r>
    </w:p>
    <w:p>
      <w:pPr>
        <w:spacing w:after="0" w:line="6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We currently depend entirely on the success of tildacerfont, which is our only product candidate. If we are unable to advance tildacerfont in clinical development, obtain regulatory approval, and ultimately commercialize tildacerfont, or experience significant delays in doing so, our business will be materially harmed.</w:t>
      </w:r>
    </w:p>
    <w:p>
      <w:pPr>
        <w:spacing w:after="0" w:line="76"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We currently only have one product candidate, tildacerfont, and our business and future success depends entirely on our ability to develop, obtain regulatory approval for, and then successfully commercialize, tildacerfont, which is currently in clinical development for adult patients with classic CAH. This may make an investment in our company riskier than similar companies that have multiple product candidates in active development that may be able to better sustain failure of a lead product candidate. We have initiated CAHmelia-203, a placebo-controlled, double-blind Phase 2b clinical trial in adult patients with classic CAH with highly elevated levels of A4 at baseline and anticipate topline results in the second half of 2023. We have also initiated CAHmelia-204, a second Phase 2b clinical trial in adult patients with classic CAH on supraphysiologic doses of glucocorticoids with normal or near normal levels of A4 at baseline focused on glucocorticoid reduction and anticipate topline results in the second half of 2024.</w:t>
      </w:r>
    </w:p>
    <w:p>
      <w:pPr>
        <w:spacing w:after="0" w:line="58" w:lineRule="exact"/>
        <w:rPr>
          <w:sz w:val="20"/>
          <w:szCs w:val="20"/>
          <w:color w:val="auto"/>
        </w:rPr>
      </w:pPr>
    </w:p>
    <w:p>
      <w:pPr>
        <w:ind w:right="180" w:firstLine="509"/>
        <w:spacing w:after="0" w:line="287" w:lineRule="auto"/>
        <w:rPr>
          <w:sz w:val="20"/>
          <w:szCs w:val="20"/>
          <w:color w:val="auto"/>
        </w:rPr>
      </w:pPr>
      <w:r>
        <w:rPr>
          <w:rFonts w:ascii="Arial" w:cs="Arial" w:eastAsia="Arial" w:hAnsi="Arial"/>
          <w:sz w:val="16"/>
          <w:szCs w:val="16"/>
          <w:color w:val="auto"/>
        </w:rPr>
        <w:t>Assuming positive results, we plan to meet with the U.S. Food and Drug Administration (FDA) and certain comparable foreign regulatory authorities to discuss potential registration. While we believe these two clinical trials will provide sufficient patient exposures for our registrational safety database, the FDA and comparable foreign regulatory authorities may not agree and may require us to enroll additional patients or initiate one or more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additional clinical trials, including a Phase 3 clinical trial or trials. If the FDA or comparable foreign regulatory authorities require us to conduct one or more clinical trials, including a Phase 3 clinical trial or trials, the design, duration, and scope of such clinical trials will be decided upon after further discussions with the FDA or comparable foreign regulatory authorities, and at this time are not ascertainable. As a result, we are unable to predict with certainty the estimated timing or scope of any future clinical trials of tildacerfont we may be required to conduct.</w:t>
      </w:r>
    </w:p>
    <w:p>
      <w:pPr>
        <w:spacing w:after="0" w:line="63" w:lineRule="exact"/>
        <w:rPr>
          <w:sz w:val="20"/>
          <w:szCs w:val="20"/>
          <w:color w:val="auto"/>
        </w:rPr>
      </w:pPr>
    </w:p>
    <w:p>
      <w:pPr>
        <w:jc w:val="both"/>
        <w:ind w:right="20" w:firstLine="509"/>
        <w:spacing w:after="0" w:line="287" w:lineRule="auto"/>
        <w:rPr>
          <w:sz w:val="20"/>
          <w:szCs w:val="20"/>
          <w:color w:val="auto"/>
        </w:rPr>
      </w:pPr>
      <w:r>
        <w:rPr>
          <w:rFonts w:ascii="Arial" w:cs="Arial" w:eastAsia="Arial" w:hAnsi="Arial"/>
          <w:sz w:val="16"/>
          <w:szCs w:val="16"/>
          <w:color w:val="auto"/>
        </w:rPr>
        <w:t>In addition, we are investigating tildacerfont for the treatment of classic CAH in children. We have initiated CAHptain, a Phase 2 open-label clinical trial, which will utilize a sequential three cohort design, to evaluate the safety, efficacy, and pharmacokinetics of tildacerfont in children two to 17 years of age with classic CAH. We anticipate topline data from adolescents (cohorts 1 and 2) of the Phase 2 open-label clinical trial in the second half of 2023.</w:t>
      </w:r>
    </w:p>
    <w:p>
      <w:pPr>
        <w:spacing w:after="0" w:line="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Additionally, by leveraging our existing Phase 1 program, which includes safety, tolerability, and pharmacokinetics of tildacerfont, we have initiated P.O.W.E.R., a Phase 2 proof-of-concept clinical trial in polycystic ovary syndrome (PCOS). The Phase 2 proof-of-concept clinical trial is a randomized, placebo-controlled, dose escalation trial which will evaluate the safety and efficacy of tildacerfont titrated to 200 mg QD compared to placebo at 12 weeks of treatment in subjects with PCOS and elevated adrenal androgens as measured by dehydroepiandrosterone sulfate (DHEAS) levels at baseline. We anticipate topline results from the Phase 2 proof-of-concept clinical trial in the first half of 2023.</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success of tildacerfont will depend on several factors, including the following:</w:t>
      </w:r>
    </w:p>
    <w:p>
      <w:pPr>
        <w:spacing w:after="0" w:line="117"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enrollment, site expansion and activation and patient engagement in our ongoing and planned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completion of our ongoing and planned clinical trials with favorable results;</w:t>
      </w:r>
    </w:p>
    <w:p>
      <w:pPr>
        <w:spacing w:after="0" w:line="117" w:lineRule="exact"/>
        <w:rPr>
          <w:rFonts w:ascii="Arial" w:cs="Arial" w:eastAsia="Arial" w:hAnsi="Arial"/>
          <w:sz w:val="18"/>
          <w:szCs w:val="18"/>
          <w:color w:val="auto"/>
        </w:rPr>
      </w:pPr>
    </w:p>
    <w:p>
      <w:pPr>
        <w:ind w:left="1020" w:right="4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by the FDA and European Medicines Agency (EMA) of the clinical trial design of our planned and ongoing clinical trials of tildacerfont;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demonstrating safety and efficacy to the satisfaction of applicable regulatory authorities;</w:t>
      </w:r>
    </w:p>
    <w:p>
      <w:pPr>
        <w:spacing w:after="0" w:line="117"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EMA, and other comparable foreign regulatory authorities;</w:t>
      </w:r>
    </w:p>
    <w:p>
      <w:pPr>
        <w:spacing w:after="0" w:line="62" w:lineRule="exact"/>
        <w:rPr>
          <w:rFonts w:ascii="Arial" w:cs="Arial" w:eastAsia="Arial" w:hAnsi="Arial"/>
          <w:sz w:val="18"/>
          <w:szCs w:val="18"/>
          <w:color w:val="auto"/>
        </w:rPr>
      </w:pPr>
    </w:p>
    <w:p>
      <w:pPr>
        <w:ind w:left="1020" w:right="28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 including one or more non-disclosure agreements (NDAs) from the FDA, and maintaining such approvals;</w:t>
      </w:r>
    </w:p>
    <w:p>
      <w:pPr>
        <w:spacing w:after="0" w:line="62"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and receiving/importing commercial supplies approved by the FDA and other regulatory authorities from any future third-party manufacturer;</w:t>
      </w:r>
    </w:p>
    <w:p>
      <w:pPr>
        <w:spacing w:after="0" w:line="62"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commercializing tildacerfont, if approved, whether alone or in collaboration with others;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and maintaining patent and trade secret protection and regulatory exclusivity for tildacerfont;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an acceptable safety profile of tildacerfont following approval; and</w:t>
      </w:r>
    </w:p>
    <w:p>
      <w:pPr>
        <w:spacing w:after="0" w:line="117" w:lineRule="exact"/>
        <w:rPr>
          <w:rFonts w:ascii="Arial" w:cs="Arial" w:eastAsia="Arial" w:hAnsi="Arial"/>
          <w:sz w:val="18"/>
          <w:szCs w:val="18"/>
          <w:color w:val="auto"/>
        </w:rPr>
      </w:pPr>
    </w:p>
    <w:p>
      <w:pPr>
        <w:ind w:left="1020" w:right="58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and growing an organization of people who can develop and, if approved, commercialize, market, and sell tildacerfont to physicians, patients, healthcare payors, and others in the medical community.</w:t>
      </w:r>
    </w:p>
    <w:p>
      <w:pPr>
        <w:spacing w:after="0" w:line="62" w:lineRule="exact"/>
        <w:rPr>
          <w:sz w:val="20"/>
          <w:szCs w:val="20"/>
          <w:color w:val="auto"/>
        </w:rPr>
      </w:pPr>
    </w:p>
    <w:p>
      <w:pPr>
        <w:ind w:right="720" w:firstLine="509"/>
        <w:spacing w:after="0" w:line="277" w:lineRule="auto"/>
        <w:rPr>
          <w:sz w:val="20"/>
          <w:szCs w:val="20"/>
          <w:color w:val="auto"/>
        </w:rPr>
      </w:pPr>
      <w:r>
        <w:rPr>
          <w:rFonts w:ascii="Arial" w:cs="Arial" w:eastAsia="Arial" w:hAnsi="Arial"/>
          <w:sz w:val="18"/>
          <w:szCs w:val="18"/>
          <w:color w:val="auto"/>
        </w:rPr>
        <w:t>If we do not achieve one or more of these factors, many of which are beyond our control, in a timely manner or at all, we could experience significant delays or an inability to obtain regulatory approvals or commercialize tildacerfont.</w:t>
      </w:r>
    </w:p>
    <w:p>
      <w:pPr>
        <w:spacing w:after="0" w:line="62"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Even if regulatory approvals are obtained, we may never be able to successfully commercialize tildacerfont. In addition, we will need to transition at some point from a company with a development focus to a company capable of supporting commercial activities. We may not be successful in such a transition. Accordingly, we may not be able to generate sufficient revenue through the sale of tildacerfont to continue our business.</w:t>
      </w:r>
    </w:p>
    <w:p>
      <w:pPr>
        <w:spacing w:after="0" w:line="41" w:lineRule="exact"/>
        <w:rPr>
          <w:sz w:val="20"/>
          <w:szCs w:val="20"/>
          <w:color w:val="auto"/>
        </w:rPr>
      </w:pPr>
    </w:p>
    <w:p>
      <w:pPr>
        <w:jc w:val="center"/>
        <w:ind w:right="80"/>
        <w:spacing w:after="0" w:line="277" w:lineRule="auto"/>
        <w:rPr>
          <w:sz w:val="20"/>
          <w:szCs w:val="20"/>
          <w:color w:val="auto"/>
        </w:rPr>
      </w:pPr>
      <w:r>
        <w:rPr>
          <w:rFonts w:ascii="Arial" w:cs="Arial" w:eastAsia="Arial" w:hAnsi="Arial"/>
          <w:sz w:val="18"/>
          <w:szCs w:val="18"/>
          <w:b w:val="1"/>
          <w:bCs w:val="1"/>
          <w:i w:val="1"/>
          <w:iCs w:val="1"/>
          <w:color w:val="auto"/>
        </w:rPr>
        <w:t xml:space="preserve">If we encounter difficulties enrolling patients in our clinical trials, our clinical development activities could be delayed or otherwise adversely affected. </w:t>
      </w: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We may not be able to initiate or continue our clinical trials for tildacerfont and any future product candidates if we are unable to identify and enroll a sufficient number of eligible patients to participate in these trials as required by the FDA and comparable foreign regulatory authorities. Patient enrollment, a significant factor in the timing of clinical trials, is affected by many factors including the size and nature of the patient population, the proximity of patients to clinical sites, the eligibility criteria for the clinical trial, the design of the clinical trial, competing clinical trials, patient engagement, and clinicians’ and patients’ perceptions as to the potential advantages of the product candidate being studied in relation to other available therapies, including any new drugs that may be approved for the indications we are investigating.</w:t>
      </w:r>
    </w:p>
    <w:p>
      <w:pPr>
        <w:spacing w:after="0" w:line="70"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In particular, each indication for which we are evaluating tildacerfont is a rare endocrine disorder with limited patient populations from which to draw participants in clinical trials. For example, we estimate the total classic CAH populations are approximately 20,000 to 30,000 people in the United States, approximately 50,000 people in the European Union (EU), and approximately 145,000 people in China. We are and will be required to identify and enroll a sufficient number of patients with the disorder under investigation for our clinical trials of tildacerfont. Potential patients may not be adequately diagnosed or identified with the disorders which we are targeting or may not meet the entry criteria for our clinical trials. Additionally, other pharmaceutical companies with more resources and greater experience in drug development and commercialization are targeting these same endocrine disorders and are recruiting clinical trial patients from these patient populations, which may delay or make it more difficult to fully enroll our clinical trials. In addition, we have encountered difficulties in opening clinical trial sites and enrolling patients in our two ongoing Phase 2b clinical trials. Our inability to enroll a sufficient number of patients for any of our current or future clinical trials would result in significant delays or may require us to abandon one or more clinical trials altogether.</w:t>
      </w:r>
    </w:p>
    <w:p>
      <w:pPr>
        <w:spacing w:after="0" w:line="86" w:lineRule="exact"/>
        <w:rPr>
          <w:sz w:val="20"/>
          <w:szCs w:val="20"/>
          <w:color w:val="auto"/>
        </w:rPr>
      </w:pPr>
    </w:p>
    <w:p>
      <w:pPr>
        <w:ind w:right="100" w:firstLine="509"/>
        <w:spacing w:after="0" w:line="271" w:lineRule="auto"/>
        <w:rPr>
          <w:sz w:val="20"/>
          <w:szCs w:val="20"/>
          <w:color w:val="auto"/>
        </w:rPr>
      </w:pPr>
      <w:r>
        <w:rPr>
          <w:rFonts w:ascii="Arial" w:cs="Arial" w:eastAsia="Arial" w:hAnsi="Arial"/>
          <w:sz w:val="17"/>
          <w:szCs w:val="17"/>
          <w:color w:val="auto"/>
        </w:rPr>
        <w:t>Our clinical trials have been, and may in the future be, affected by the COVID-19 pandemic. For example, the COVID-19 pandemic has impacted patient enrollment in our two ongoing Phase 2b clinical trials. In particular, some sites have paused or delayed enrollment to focus on, and direct resources to, COVID-19, while at other sites, patients have chosen not to enroll or continue participating in the clinical trial as a result of the pandemic. In addition, patient visits to endocrinologists in the United States have slowed as a result of the COVID-19 pandemic. Further, according to the Centers for Disease Control and Prevention, people who have serious chronic medical conditions, including those such as classic CAH, are at higher risk of getting very sick from COVID-19. As a result, current or potential patients in our ongoing and planned clinical trials may choose to not enroll, not participate in follow-up clinical visits, or drop out of the trial as a precaution against contracting COVID-19. Further, some patients may not be able or willing to comply with clinical trial protocols if quarantines impede patient movement or interrupt healthcare services.</w:t>
      </w:r>
    </w:p>
    <w:p>
      <w:pPr>
        <w:spacing w:after="0" w:line="70" w:lineRule="exact"/>
        <w:rPr>
          <w:sz w:val="20"/>
          <w:szCs w:val="20"/>
          <w:color w:val="auto"/>
        </w:rPr>
      </w:pPr>
    </w:p>
    <w:p>
      <w:pPr>
        <w:ind w:right="80" w:firstLine="509"/>
        <w:spacing w:after="0" w:line="342" w:lineRule="auto"/>
        <w:rPr>
          <w:sz w:val="20"/>
          <w:szCs w:val="20"/>
          <w:color w:val="auto"/>
        </w:rPr>
      </w:pPr>
      <w:r>
        <w:rPr>
          <w:rFonts w:ascii="Arial" w:cs="Arial" w:eastAsia="Arial" w:hAnsi="Arial"/>
          <w:sz w:val="16"/>
          <w:szCs w:val="16"/>
          <w:color w:val="auto"/>
        </w:rPr>
        <w:t>We are unable to predict with confidence the likelihood or duration of such patient enrollment delays and difficulties, whether related to COVID-19 or otherwise. If patient enrollment is delayed for an extended period of time, our Phase 2b clinical trials could be delayed or otherwise adversely affected.</w:t>
      </w:r>
    </w:p>
    <w:p>
      <w:pPr>
        <w:spacing w:after="0" w:line="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adequately demonstrate the safety and efficacy of tildacerfont, which could prevent or delay regulatory approval and commercialization.</w:t>
      </w:r>
    </w:p>
    <w:p>
      <w:pPr>
        <w:spacing w:after="0" w:line="62"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Before obtaining regulatory approvals for the commercial sale of a product candidate, we must demonstrate through lengthy, complex, and expensive preclinical testing and clinical trials that a product candidate is both safe and effective for use in each target indication. Clinical trials often fail to demonstrate safety and efficacy of the product candidate studied for the target indication. Most product candidates that commence clinical trials are never approved by regulatory authorities for commercialization. We are seeking to develop treatments for rare endocrine disorders for which there is limited clinical experience, and our two ongoing Phase 2b clinical trials use novel endpoints that do not have regulatory precedent in classic CAH due to the lack of clinical trials in classic CAH, which add complexity to the conduct and analysis of data from our clinical trials and may delay or prevent regulatory approval. Additionally, any safety concerns observed in any one of our clinical trials in our targeted indications could limit the prospects for regulatory approval of tildacerfont in other indications.</w:t>
      </w:r>
    </w:p>
    <w:p>
      <w:pPr>
        <w:spacing w:after="0" w:line="8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b w:val="1"/>
          <w:bCs w:val="1"/>
          <w:i w:val="1"/>
          <w:iCs w:val="1"/>
          <w:color w:val="auto"/>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tildacerfont and any future product candidates.</w:t>
      </w: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Preclinical and clinical testing is expensive and can take many years to complete, and its outcome is inherently uncertain. A failure of one or more preclinical or clinical trials can occur at any stage of testing. The results of preclinical studies and early clinical trials of tildacerfont may not be predictive of the results of later-stage clinical trials. Product candidates in later stages of clinical trials may fail to show the desired safety and efficacy traits despite having progressed through preclinical studies and initial clinical trials. For example, tildacerfont has not yet been evaluated in pediatric patients with classic CAH, and the results may not be similar to the results observed in clinical trials of adult patients. In addition, we intend to use doses in our two Phase 2b clinical trials that may not be safe or efficacious doses. As such, our hypotheses of efficacy may not show the desired clinical results. A number of companies in the biopharmaceutical industry have suffered significant setbacks in advanced clinical trials due to lack of efficacy or safety profiles, notwithstanding promising results in earlier trials. Moreover, preclinical and clinical data is often susceptible to varying interpretations and analyses. We may face significant setbacks as we conduct our two Phase 2b clinical trials in adult patients with classic CAH, which may delay or prevent regulatory approval of tildacerfont.</w:t>
      </w:r>
    </w:p>
    <w:p>
      <w:pPr>
        <w:spacing w:after="0" w:line="86"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Further, if patients drop out of our clinical trials, miss scheduled doses or follow-up visits, or otherwise fail to follow clinical trial protocols, whether as a result of the COVID-19 pandemic, actions taken to slow the spread of COVID-19 or otherwise, the integrity of data from our clinical trials may be compromised or not accepted by the FDA or other regulatory authorities, which would represent a significant setback for the applicable program.</w:t>
      </w:r>
    </w:p>
    <w:p>
      <w:pPr>
        <w:spacing w:after="0" w:line="4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Any delays in the commencement or completion, or termination or suspension, of our clinical trials could result in increased costs to us, delay or limit our ability to generate revenue, and adversely affect our commercial prospects.</w:t>
      </w:r>
    </w:p>
    <w:p>
      <w:pPr>
        <w:spacing w:after="0" w:line="62"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Before we can initiate clinical trials for tildacerfont or any future product candidates, we must submit the results of preclinical studies to the FDA, or comparable foreign regulatory authorities, along with other information, including information about chemistry, manufacturing and controls, and our proposed clinical trial protocol, as part of an IND or similar regulatory filing under which we must receive authorization to proceed with clinical development.</w:t>
      </w:r>
    </w:p>
    <w:p>
      <w:pPr>
        <w:spacing w:after="0" w:line="79"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Before obtaining marketing approval from regulatory authorities for the sale of tildacerfont or any future product candidates, we must conduct extensive clinical trials to demonstrate the safety and efficacy of tildacerfont and any future product candidates in humans. Clinical testing is expensive, time-consuming, and uncertain as to outcome. In addition, we may rely in part on preclinical, clinical and quality data generated by clinical research organizations (CROs) and other third parties for regulatory submissions for tildacerfont and any future product candidates. While we have or will have agreements governing these third parties’ services, we have limited influence over their actual performance. If these third parties do not make data available to us, or, if applicable, do not make regulatory submissions in a timely manner, in each case pursuant to our agreements with them, our development programs may be significantly delayed, and we may need to conduct additional clinical trials or collect additional data independently. In either case, our development costs would increase.</w:t>
      </w:r>
    </w:p>
    <w:p>
      <w:pPr>
        <w:spacing w:after="0" w:line="84"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We do not know whether our current or any future clinical trials will begin on time or be completed on schedule, if at all. The commencement and completion of clinical trials can be delayed for a number of reasons, including delays related to:</w:t>
      </w:r>
    </w:p>
    <w:p>
      <w:pPr>
        <w:spacing w:after="0" w:line="62" w:lineRule="exact"/>
        <w:rPr>
          <w:sz w:val="20"/>
          <w:szCs w:val="20"/>
          <w:color w:val="auto"/>
        </w:rPr>
      </w:pPr>
    </w:p>
    <w:p>
      <w:pPr>
        <w:ind w:left="1020" w:right="760" w:hanging="503"/>
        <w:spacing w:after="0" w:line="342"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failure to accept our proposed manufacturing processes and suppliers and/or requirement to provide additional information regarding our manufacturing processes before providing marketing authorization;</w:t>
      </w:r>
    </w:p>
    <w:p>
      <w:pPr>
        <w:spacing w:after="0" w:line="15" w:lineRule="exact"/>
        <w:rPr>
          <w:rFonts w:ascii="Arial" w:cs="Arial" w:eastAsia="Arial" w:hAnsi="Arial"/>
          <w:sz w:val="16"/>
          <w:szCs w:val="16"/>
          <w:color w:val="auto"/>
        </w:rPr>
      </w:pPr>
    </w:p>
    <w:p>
      <w:pPr>
        <w:ind w:left="1020" w:right="8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regulatory authorizations to commence a clinical trial or reaching a consensus with regulatory authorities on clinical trial design or implementation;</w:t>
      </w:r>
    </w:p>
    <w:p>
      <w:pPr>
        <w:spacing w:after="0" w:line="62"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failure or delay in reaching an agreement with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approval from one or more institutional review boards (IRBs) or Ethics Committees (ECs);</w:t>
      </w:r>
    </w:p>
    <w:p>
      <w:pPr>
        <w:spacing w:after="0" w:line="117" w:lineRule="exact"/>
        <w:rPr>
          <w:rFonts w:ascii="Arial" w:cs="Arial" w:eastAsia="Arial" w:hAnsi="Arial"/>
          <w:sz w:val="18"/>
          <w:szCs w:val="18"/>
          <w:color w:val="auto"/>
        </w:rPr>
      </w:pPr>
    </w:p>
    <w:p>
      <w:pPr>
        <w:ind w:left="1020" w:right="28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IRBs or ECs refusing to approve, suspending or terminating the clinical trial at an investigational site, precluding enrollment of additional subjects, or withdrawing their approval of the clinical trial;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to clinical trial protocols and related operationalization of such changes at clinical trial sites;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by the FDA and EMA of the clinical trial design of our planned and ongoing clinical trials of tildacerfont;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sites not timely activating, delaying screening activities, or deviating from clinical trial protocols;</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manufacturing sufficient quantities of tildacerfont or any future product candidates or obtaining sufficient quantities of combination therapies for use in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subjects failing to enroll or remain in our trials at the rate we expect, or failing to return for post-treatment follow-up;</w:t>
      </w:r>
    </w:p>
    <w:p>
      <w:pPr>
        <w:spacing w:after="0" w:line="117"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indications for which we are developing tildacerfont and any future product candidates, or participating in competing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subject engagement in the clinical trials or subjects dropping out of a clinical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subjects experiencing severe or unexpected drug-related adverse effects;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occurrence of SAEs in clinical trials of the same class of agents conducted by other companies;</w:t>
      </w:r>
    </w:p>
    <w:p>
      <w:pPr>
        <w:spacing w:after="0" w:line="117" w:lineRule="exact"/>
        <w:rPr>
          <w:rFonts w:ascii="Arial" w:cs="Arial" w:eastAsia="Arial" w:hAnsi="Arial"/>
          <w:sz w:val="18"/>
          <w:szCs w:val="18"/>
          <w:color w:val="auto"/>
        </w:rPr>
      </w:pPr>
    </w:p>
    <w:p>
      <w:pPr>
        <w:jc w:val="both"/>
        <w:ind w:left="1020" w:right="400" w:hanging="503"/>
        <w:spacing w:after="0" w:line="286"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facility manufacturing tildacerfont or any of its components being ordered by the FDA or comparable foreign regulatory authorities to temporarily or permanently shut down due to violations of current good manufacturing practice (cGMP), regulations or other applicable requirements, or infections or cross-contaminations of tildacerfont in the manufacturing process;</w:t>
      </w:r>
    </w:p>
    <w:p>
      <w:pPr>
        <w:spacing w:after="0" w:line="57" w:lineRule="exact"/>
        <w:rPr>
          <w:rFonts w:ascii="Arial" w:cs="Arial" w:eastAsia="Arial" w:hAnsi="Arial"/>
          <w:sz w:val="17"/>
          <w:szCs w:val="17"/>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changes to our manufacturing process, suppliers or formulation that may be necessary or desired;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vendors not performing manufacturing and distribution services in a timely manner or to sufficient quality standards;</w:t>
      </w:r>
    </w:p>
    <w:p>
      <w:pPr>
        <w:spacing w:after="0" w:line="117" w:lineRule="exact"/>
        <w:rPr>
          <w:rFonts w:ascii="Arial" w:cs="Arial" w:eastAsia="Arial" w:hAnsi="Arial"/>
          <w:sz w:val="18"/>
          <w:szCs w:val="18"/>
          <w:color w:val="auto"/>
        </w:rPr>
      </w:pPr>
    </w:p>
    <w:p>
      <w:pPr>
        <w:ind w:left="1020" w:right="260" w:hanging="503"/>
        <w:spacing w:after="0" w:line="342" w:lineRule="auto"/>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third-party clinical investigators losing the licenses or permits necessary to perform our clinical trials, not performing our clinical trials on our anticipated schedule or consistent with the clinical trial protocol, good clinical practice (GCP), or other regulatory requirements;</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contractors not performing data collection or analysis in a timely or accurate manner;</w:t>
      </w:r>
    </w:p>
    <w:p>
      <w:pPr>
        <w:spacing w:after="0" w:line="117"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 or</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impacts of the COVID-19 pandemic on our ongoing and planned clinical trials.</w:t>
      </w:r>
    </w:p>
    <w:p>
      <w:pPr>
        <w:spacing w:after="0" w:line="117"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clinical trials. We could also encounter delays if a clinical trial is suspended or terminated by us, by the IRBs or ECs of the institutions in which such trials are being conducted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have amended, and may need to further amend, clinical trial protocols to comply with these changes. Amendments may require us to resubmit our clinical trial protocols to IRBs for reexamination, which may impact the costs, timing, or successful completion of a clinical trial.</w:t>
      </w:r>
    </w:p>
    <w:p>
      <w:pPr>
        <w:spacing w:after="0" w:line="86" w:lineRule="exact"/>
        <w:rPr>
          <w:sz w:val="20"/>
          <w:szCs w:val="20"/>
          <w:color w:val="auto"/>
        </w:rPr>
      </w:pPr>
    </w:p>
    <w:p>
      <w:pPr>
        <w:ind w:right="220" w:firstLine="509"/>
        <w:spacing w:after="0" w:line="258" w:lineRule="auto"/>
        <w:rPr>
          <w:sz w:val="20"/>
          <w:szCs w:val="20"/>
          <w:color w:val="auto"/>
        </w:rPr>
      </w:pPr>
      <w:r>
        <w:rPr>
          <w:rFonts w:ascii="Arial" w:cs="Arial" w:eastAsia="Arial" w:hAnsi="Arial"/>
          <w:sz w:val="18"/>
          <w:szCs w:val="18"/>
          <w:color w:val="auto"/>
        </w:rPr>
        <w:t>Further, conducting clinical trials in foreign countries, which we are doing for tildacerfont and may do for any future product candidates, presents additional risks that may delay completion of our clinical trials. These risks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76"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Moreover, principal investigators for our clinical trials may serve and have served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tildacerfont.</w:t>
      </w:r>
    </w:p>
    <w:p>
      <w:pPr>
        <w:spacing w:after="0" w:line="69"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If we experience delays in the completion of, or termination of, any clinical trial of tildacerfont or any future product candidates, the commercial prospect of tildacerfont or any future product candidates will be harmed, and our ability to generate product revenue will be delayed. Moreover, any delays in completing our clinical trials will increase our costs, slow down our product candidate development and approval process and jeopardize our ability to commence product sales and generate revenue. In addition, many of the factors that cause, or lead to, termination or suspension of, or a delay in the commencement or completion of, clinical trials may also ultimately lead to the denial of regulatory approval of tildacerfont or any future product candidates. Further, delays to our clinical trials that occur as a result could shorten any period during which we may have the exclusive right to commercialize tildacerfont and our competitors may be able to bring products to market before we do, and the commercial viability of tildacerfont could be significantly reduced. Any of these occurrences may harm our business, financial condition, and prospects significantly.</w:t>
      </w:r>
    </w:p>
    <w:p>
      <w:pPr>
        <w:spacing w:after="0" w:line="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Tildacerfont is, and any future product candidates will be, subject to extensive regulation and compliance obligations, which are costly and time-consuming, and such regulation may cause unanticipated delays or prevent the receipt of the required approvals to commercialize tildacerfont and any future product candidates.</w:t>
      </w:r>
    </w:p>
    <w:p>
      <w:pPr>
        <w:spacing w:after="0" w:line="76"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The clinical development, manufacturing, labeling, storage, record-keeping, advertising, promotion, import, export, marketing, and distribution of tildacerfont is subject to extensive regulation by the FDA in the United States and by comparable foreign regulatory authorities in foreign markets. In the United States, we are not permitted to market tildacerfont and any future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has substantial discretion in the drug approval process, including the ability to delay, limit, or deny approval of a product candidate for many reasons. Despite the time and expense invested in clinical development of product candidates, regulatory approval is never guaranteed. Neither we nor any future collaborator is permitted to market tildacerfont and any future product candidates in the United States until we receive approval of an NDA from the FDA. We have not previously submitted an NDA to the FDA, or similar drug approval filings to comparable foreign authorities.</w:t>
      </w:r>
    </w:p>
    <w:p>
      <w:pPr>
        <w:spacing w:after="0" w:line="86"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color w:val="auto"/>
        </w:rPr>
        <w:t>Prior to obtaining approval to commercialize a product candidate in the United States or in foreign markets,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tildacerfont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tildacerfont and any future product candidates either prior to or post-approval, or may object to elements of our clinical development program.</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Tildacerfont and any future product candidates could fail to receive regulatory approval for many reasons, including the following:</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left="1020" w:right="14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serious and unexpected drug-related side effects may be experienced by participants in our clinical trials or by people using drugs similar to tildacerfont and any future product candidates;</w:t>
      </w:r>
    </w:p>
    <w:p>
      <w:pPr>
        <w:spacing w:after="0" w:line="62"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safety in the full population for which we seek approval;</w:t>
      </w:r>
    </w:p>
    <w:p>
      <w:pPr>
        <w:spacing w:after="0" w:line="62"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clinical data from trials which are conducted at clinical facilities or in countries where the standard of care is potentially different from that of the United States;</w:t>
      </w:r>
    </w:p>
    <w:p>
      <w:pPr>
        <w:spacing w:after="0" w:line="62"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any of its proposed indications;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140" w:lineRule="exact"/>
        <w:rPr>
          <w:rFonts w:ascii="Arial" w:cs="Arial" w:eastAsia="Arial" w:hAnsi="Arial"/>
          <w:sz w:val="16"/>
          <w:szCs w:val="16"/>
          <w:color w:val="auto"/>
        </w:rPr>
      </w:pPr>
    </w:p>
    <w:p>
      <w:pPr>
        <w:ind w:left="1020" w:hanging="503"/>
        <w:spacing w:after="0" w:line="259"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data collected from clinical trials of tildacerfont and any future product candidates may not be sufficient to satisfy the FDA or comparable foreign regulatory authorities to support the submission of an NDA or other comparable submissions in foreign jurisdictions or to obtain regulatory approval in the United States or elsewhere, requiring, in the case of adult patients with classic CAH, additional clinical trials beyond our two ongoing Phase 2b clinical trials prior to any such approval;</w:t>
      </w:r>
    </w:p>
    <w:p>
      <w:pPr>
        <w:spacing w:after="0" w:line="78" w:lineRule="exact"/>
        <w:rPr>
          <w:rFonts w:ascii="Arial" w:cs="Arial" w:eastAsia="Arial" w:hAnsi="Arial"/>
          <w:sz w:val="18"/>
          <w:szCs w:val="18"/>
          <w:color w:val="auto"/>
        </w:rPr>
      </w:pPr>
    </w:p>
    <w:p>
      <w:pPr>
        <w:ind w:left="1020" w:right="92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62"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62"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Any of the above events could prevent us from achieving market approval of tildacerfont or any future product candidates and could substantially increase the costs of commercializing tildacerfont or any future product candidates. The demand for tildacerfont or any future product candidates could also be negatively impacted by any adverse effects of a competitor’s product or treatment.</w:t>
      </w:r>
    </w:p>
    <w:p>
      <w:pPr>
        <w:spacing w:after="0" w:line="76" w:lineRule="exact"/>
        <w:rPr>
          <w:sz w:val="20"/>
          <w:szCs w:val="20"/>
          <w:color w:val="auto"/>
        </w:rPr>
      </w:pPr>
    </w:p>
    <w:p>
      <w:pPr>
        <w:jc w:val="both"/>
        <w:ind w:right="60" w:firstLine="509"/>
        <w:spacing w:after="0" w:line="259"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tildacerfont and any future product candidates, which would significantly harm our business, financial condition, results of operations, and prospects.</w:t>
      </w:r>
    </w:p>
    <w:p>
      <w:pPr>
        <w:spacing w:after="0" w:line="79"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Even if we eventually complete clinical trials and receive approval of an NDA or foreign marketing application for tildacerfont and any future product candidates, the FDA or comparable foreign regulatory authority may grant approval contingent on the performance of costly additional clinical trials, including Phase 4 clinical trials, and/or the implementation of a risk evaluation and mitigation strategy (REMS), which may be required to ensure safe use of the drug after approval. The FDA or the comparable foreign regulatory authority also may approve a product candidate for a more limited indication or patient population than we originally requested, and the FDA or comparable foreign regulatory authority may not approve the labeling that we believe is necessary or desirable for the successful commercialization of a product. Any delay in obtaining, or inability to obtain, applicable regulatory approval would delay or prevent commercialization of that product candidate and would materially adversely impact our business and prospects.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U.S. and global economic conditions could adversely affect our business, financial condition or results of operations.</w:t>
      </w:r>
    </w:p>
    <w:p>
      <w:pPr>
        <w:spacing w:after="0" w:line="117"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Our results of operations could be adversely affected by general conditions in the U.S. and global economies, the U.S. and global financial markets and adverse geopolitical and macroeconomic developments. U.S. and global market and economic conditions have been, and may continue to be, disrupted and volatile due to many factors,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including component shortages and related supply chain challenges, the COVID-19 pandemic, the conflict between Ukraine and Russia and related sanctions, recent and potential future disruptions in access to bank deposits or lending commitments due to bank failures, and increasing inflation rates and the responses by central banking authorities to control such inflation, among others. General business and economic conditions that could affect our business, financial condition or results of operations include fluctuations in economic growth, debt and equity capital markets, liquidity of the global financial markets, access to our liquidity within the U.S. banking system, the availability and cost of credit, investor and consumer confidence, and the strength of the economies in which we, our manufacturers and our suppliers operate.</w:t>
      </w:r>
    </w:p>
    <w:p>
      <w:pPr>
        <w:spacing w:after="0" w:line="70" w:lineRule="exact"/>
        <w:rPr>
          <w:sz w:val="20"/>
          <w:szCs w:val="20"/>
          <w:color w:val="auto"/>
        </w:rPr>
      </w:pPr>
    </w:p>
    <w:p>
      <w:pPr>
        <w:ind w:right="60" w:firstLine="509"/>
        <w:spacing w:after="0" w:line="290" w:lineRule="auto"/>
        <w:rPr>
          <w:sz w:val="20"/>
          <w:szCs w:val="20"/>
          <w:color w:val="auto"/>
        </w:rPr>
      </w:pPr>
      <w:r>
        <w:rPr>
          <w:rFonts w:ascii="Arial" w:cs="Arial" w:eastAsia="Arial" w:hAnsi="Arial"/>
          <w:sz w:val="16"/>
          <w:szCs w:val="16"/>
          <w:color w:val="auto"/>
        </w:rPr>
        <w:t>A severe or prolonged global economic downturn could result in a variety of risks to our business. For example, inflation rates, particularly in the United States, have increased recently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Risks of a prolonged global economic downturn are particularly true in Europe, which is undergoing a continued severe economic crisis. A weak or declining economy could also strain our suppliers and manufacturers, possibly resulting in supply disruption. Any of the foregoing could harm our business and we cannot anticipate all of the ways in which the current economic climate and financial market conditions could adversely impact our business.</w:t>
      </w:r>
    </w:p>
    <w:p>
      <w:pPr>
        <w:spacing w:after="0" w:line="5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have a banking relationship with SVB. SVB was closed on March 10, 2023 by the California Department of Financial Protection and Innovation, which appointed the FDIC as receiver. On March 12, 2023, the U.S. Treasury, Federal Reserve, and FDIC announced that SVB depositors will have access to all of their money starting March 13, 2023. While we have not experienced any losses in such accounts, the recent failure of SVB potentially exposed us to significant credit risk prior to the completion by the FDIC of the resolution of SVB in a manner that fully protected all depositors. We are assessing how to prevent this exposure in the future, however, any potential future disruptions in access to bank deposits or lending commitments due to bank failures may expose us to significant credit risk.</w:t>
      </w:r>
    </w:p>
    <w:p>
      <w:pPr>
        <w:spacing w:after="0" w:line="84"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In addition,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69"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Additionally, financial markets around the world experienced volatility following the recent invasion of Ukraine by Russia. In response to the invasion, the United States, United Kingdom and EU, along with others, imposed significant new sanctions and export controls against Russia, Russian banks and certain Russian individuals and may implement additional sanctions or take further punitive actions in the future. The full economic and social impact of the sanctions imposed on Russia (as well as possible future punitive measures that may be implemented), as well as the counter measures imposed by Russia, in addition to the ongoing military conflict between Ukraine and Russia and related sanctions, which could conceivably expand into the surrounding region, remains uncertain; however, both the conflict and related sanctions have resulted and could continue to result in disruptions to trade, commerce, pricing stability, credit availability, supply chain continuity and reduced access to liquidity in both Europe and globally, and has introduced significant uncertainty into global markets. In particular, the ongoing Russia-Ukraine conflict and related sanctions has contributed to rapidly rising costs of living (driven largely by higher energy prices) in Europe and other advanced economies. Further, a weak or declining economy could strain our suppliers and manufacturers. As a result, our business and results of operations may be adversely affected by the ongoing conflict between Ukraine and Russia and related sanctions, particularly to the extent it escalates to involve additional countries, further economic sanctions or wider military conflict.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Interim, topline, and preliminary data also remain subject to audit and verification procedures that may result in the final data being materially different from the preliminary data we previously published. As a result, such data should be viewed with caution until the final data are available. Adverse differences between preliminary, interim, or topline data and final data could significantly harm our business prospects.</w:t>
      </w:r>
    </w:p>
    <w:p>
      <w:pPr>
        <w:spacing w:after="0" w:line="5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interim, topline, or preliminary data that we report differ from actual results, or if others, including regulatory authorities, disagree with the conclusions reached, our ability to obtain approval for, and commercialize, tildacerfont and any future product candidates may be harmed, which could harm our business, operating results, prospects, or financial condition.</w:t>
      </w:r>
    </w:p>
    <w:p>
      <w:pPr>
        <w:spacing w:after="0" w:line="7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tildacerfont and any future product candidates are smaller than we believe they are, our future revenue may be adversely affected, and our business may suffer.</w:t>
      </w:r>
    </w:p>
    <w:p>
      <w:pPr>
        <w:spacing w:after="0" w:line="62" w:lineRule="exact"/>
        <w:rPr>
          <w:sz w:val="20"/>
          <w:szCs w:val="20"/>
          <w:color w:val="auto"/>
        </w:rPr>
      </w:pPr>
    </w:p>
    <w:p>
      <w:pPr>
        <w:ind w:right="40" w:firstLine="509"/>
        <w:spacing w:after="0" w:line="285" w:lineRule="auto"/>
        <w:rPr>
          <w:sz w:val="20"/>
          <w:szCs w:val="20"/>
          <w:color w:val="auto"/>
        </w:rPr>
      </w:pPr>
      <w:r>
        <w:rPr>
          <w:rFonts w:ascii="Arial" w:cs="Arial" w:eastAsia="Arial" w:hAnsi="Arial"/>
          <w:sz w:val="16"/>
          <w:szCs w:val="16"/>
          <w:color w:val="auto"/>
        </w:rPr>
        <w:t>If the size of the market opportunities in each of our target indications for tildacerfont and any future product candidates is smaller than we anticipate, we may not be able to achieve profitability and growth. We focus our clinical development of tildacerfont on treatments for rare endocrine disorders with relatively small patient populations. For example, we believe that tildacerfont has the potential to bring therapeutic benefit to patients suffering from endocrine disorders where the underlying pathophysiology supports a need to reduce excess secretion of or hyperresponsiveness to adrenocorticotropic hormone (ACTH), including, but not limited to, non-classic CAH and a subpopulation of females with PCOS due to adrenal hyperandrogenism. Given the relatively small number of patients who have the disorders that we are targeting and intend to target with tildacerfont, it is critical to our ability to grow and become profitable that we continue to successfully identify patients with these rare endocrine disorders. In addition, our estimates of the patient populations for our target indications have been derived from a variety of sources, including scientific literature, surveys of clinics, patient foundations, and market research, and may prove to be incorrect. Further, new studies may change the estimated incidence or prevalence of these disorders. The number of patients may turn out to be lower than expected. The effort to identify patients with diseases we seek to treat is in early stages, and we cannot accurately predict the number of patients for whom treatment might be possible. For example, while classic CAH is usually detected at birth through required newborn screening programs in most developed countries, new patients may become increasingly difficult to identify or gain access to, which would adversely affect our results of operations and our business. In addition, the potentially addressable patient population for classic CAH may be limited or may not be amenable to treatment with tildacerfont, if approved. Further, even if we obtain significant market share for tildacerfont in classic CAH, we may never achieve profitability despite obtaining such significant market share, as other pharmaceutical companies with more resources and greater experience in drug development and commercialization are targeting this same endocrine disorder.</w:t>
      </w:r>
    </w:p>
    <w:p>
      <w:pPr>
        <w:spacing w:after="0" w:line="68"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b w:val="1"/>
          <w:bCs w:val="1"/>
          <w:i w:val="1"/>
          <w:iCs w:val="1"/>
          <w:color w:val="auto"/>
        </w:rPr>
        <w:t>We may not be successful in our efforts to expand our pipeline by identifying additional indications and formulations for which to investigate tildacerfont in the future. We may expend our limited resources to pursue a particular indication or formulation for tildacerfont and fail to capitalize on product candidates, indications, or formulations that may be more profitable or for which there is a greater likelihood of success.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Because we have limited financial and managerial resources, we are focused on specific indications and formulations for tildacerfont. As a result, we may fail to generate additional clinical development opportunities for tildacerfont for a number of reasons, including, tildacerfont may in certain indications, on further study, be shown to have harmful side effects, limited to no efficacy, or other characteristics that suggest it is unlikely to receive marketing approval and achieve market acceptance in such additional indications.</w:t>
      </w:r>
    </w:p>
    <w:p>
      <w:pPr>
        <w:spacing w:after="0" w:line="79" w:lineRule="exact"/>
        <w:rPr>
          <w:sz w:val="20"/>
          <w:szCs w:val="20"/>
          <w:color w:val="auto"/>
        </w:rPr>
      </w:pPr>
    </w:p>
    <w:p>
      <w:pPr>
        <w:ind w:right="60" w:firstLine="509"/>
        <w:spacing w:after="0" w:line="289" w:lineRule="auto"/>
        <w:rPr>
          <w:sz w:val="20"/>
          <w:szCs w:val="20"/>
          <w:color w:val="auto"/>
        </w:rPr>
      </w:pPr>
      <w:r>
        <w:rPr>
          <w:rFonts w:ascii="Arial" w:cs="Arial" w:eastAsia="Arial" w:hAnsi="Arial"/>
          <w:sz w:val="16"/>
          <w:szCs w:val="16"/>
          <w:color w:val="auto"/>
        </w:rPr>
        <w:t>We are conducting and plan to conduct several clinical trials for tildacerfont in parallel over the next several years, including multiple clinical trials in adult and pediatric patients with classic CAH and in a subpopulation of females with PCOS. As a result, we may forgo or delay pursuit of opportunities with other indications that could have had greater commercial potential or likelihood of success. However, we may focus on or pursue one or more of our target indications over other potential indications and such development efforts may not be successful, which would cause us to delay the clinical development and approval of tildacerfont. Furthermore, research programs to identify additional indications for tildacerfont require substantial technical, financial, and human resources. We may also pursue additional formulations for tildacerfont, including transitioning from a tablet formulation to a granulate formulation or oral suspension. However, we may not successfully develop these additional formulations for chemistry-related, stability-related, or other reasons. Our resource allocation decisions may cause us to fail to capitalize on viable commercial products or profitable market opportunities. Our spending on current and future research and development programs for specific indications may not yield any commercially viable products.</w:t>
      </w:r>
    </w:p>
    <w:p>
      <w:pPr>
        <w:spacing w:after="0" w:line="58"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w:t>
      </w:r>
    </w:p>
    <w:p>
      <w:pPr>
        <w:spacing w:after="0" w:line="79"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6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for a product candidate in one jurisdiction does not mean that we will be successful in obtaining regulatory approval for that product candidate in other jurisdictions.</w:t>
      </w:r>
    </w:p>
    <w:p>
      <w:pPr>
        <w:spacing w:after="0" w:line="62"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Obtaining and maintaining regulatory approval for a product candidate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for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including a number of countries in the EU, a product candidate must be approved for reimbursement before it can be approved for sale in that jurisdiction. In some cases, the price that we intend to charge for tildacerfont is also subject to approval.</w:t>
      </w:r>
    </w:p>
    <w:p>
      <w:pPr>
        <w:spacing w:after="0" w:line="88"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We expect to submit a Marketing Authorization Application (MAA) to the EMA for approval of tildacerfont in the EU for the treatment of classic CAH. As with the FDA, obtaining approval of an MAA from the European Commission, which acts on the recommendation of the Committee for Medicinal Products for Human Use, is a similarly lengthy and expensive process and the EMA has its own procedures for assessing product candidates. Regulatory authorities in jurisdictions outside of the United States and the EU also have requirements for approval for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tildacerfont in certain countries. If we fail to comply with the regulatory requirements in international markets and/or receive applicable marketing approvals, our target market will be reduced and our ability to realize the full market potential of tildacerfont will be harmed, which would adversely affect our business, prospects, financial condition, and results of operations.</w:t>
      </w:r>
    </w:p>
    <w:p>
      <w:pPr>
        <w:spacing w:after="0" w:line="88"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yet to commercialize a product. If we are unable to establish marketing and sales capabilities or enter into agreements with third parties to market and sell tildacerfont and any future product candidates, we may not be able to generate product revenues.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260" w:firstLine="509"/>
        <w:spacing w:after="0" w:line="259" w:lineRule="auto"/>
        <w:rPr>
          <w:sz w:val="20"/>
          <w:szCs w:val="20"/>
          <w:color w:val="auto"/>
        </w:rPr>
      </w:pPr>
      <w:r>
        <w:rPr>
          <w:rFonts w:ascii="Arial" w:cs="Arial" w:eastAsia="Arial" w:hAnsi="Arial"/>
          <w:sz w:val="18"/>
          <w:szCs w:val="18"/>
          <w:color w:val="auto"/>
        </w:rPr>
        <w:t>We currently do not have a commercial organization for the marketing, sales, and distribution of pharmaceutical products. To commercialize tildacerfont and any future product candidates, we must build our marketing, sales, distribution, managerial and other non-technical capabilities or make arrangements with third parties to perform these services. We intend to build a highly specialized commercial organization to support the commercialization of tildacerfont, if approved, in the United States.</w:t>
      </w:r>
    </w:p>
    <w:p>
      <w:pPr>
        <w:spacing w:after="0" w:line="79" w:lineRule="exact"/>
        <w:rPr>
          <w:sz w:val="20"/>
          <w:szCs w:val="20"/>
          <w:color w:val="auto"/>
        </w:rPr>
      </w:pPr>
    </w:p>
    <w:p>
      <w:pPr>
        <w:ind w:right="140" w:firstLine="509"/>
        <w:spacing w:after="0" w:line="271" w:lineRule="auto"/>
        <w:rPr>
          <w:sz w:val="20"/>
          <w:szCs w:val="20"/>
          <w:color w:val="auto"/>
        </w:rPr>
      </w:pPr>
      <w:r>
        <w:rPr>
          <w:rFonts w:ascii="Arial" w:cs="Arial" w:eastAsia="Arial" w:hAnsi="Arial"/>
          <w:sz w:val="17"/>
          <w:szCs w:val="17"/>
          <w:color w:val="auto"/>
        </w:rPr>
        <w:t>The establishment and development of our own sales force or the establishment of a contract sales force to market tildacerfont and any future product candidates will be expensive and time-consuming and could delay any commercial launch. Moreover, we may not be able to successfully develop this capability. We will have to compete with other pharmaceutical and biotechnology companies to recruit, hire, train, and retain marketing and sales personnel. We also face competition in our search for third parties to assist us with the sales and marketing efforts of tildacerfont. To the extent we rely on third parties to commercialize tildacerfont, if approved, we may have little or no control over the marketing and sales efforts of such third parties and our revenues from product sales may be lower than if we had commercialized tildacerfont and any future product candidates ourselves. In the event we are unable to develop our own marketing and sales force or collaborate with a third-party marketing and sales organization, we would not be able to commercialize tildacerfont or any future product candidates.</w:t>
      </w:r>
    </w:p>
    <w:p>
      <w:pPr>
        <w:spacing w:after="0" w:line="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and retaining highly qualified personnel, we may not be able to successfully implement our business strategy.</w:t>
      </w:r>
    </w:p>
    <w:p>
      <w:pPr>
        <w:spacing w:after="0" w:line="62"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Our ability to compete in the highly competitive biotechnology and pharmaceuticals industries depends upon our ability to attract and retain highly qualified managerial, scientific, and medical personnel. We are highly dependent on our management, scientific, and medical personnel. The loss of the services of any of our executive officers or other key employees and our inability to find suitable replacements could potentially harm our business, prospects, financial condition or results of operations.</w:t>
      </w:r>
    </w:p>
    <w:p>
      <w:pPr>
        <w:spacing w:after="0" w:line="79"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We conduct our operations in South San Francisco, California. This region serves as the headquarters to many other biopharmaceutical companies and many academic and research institutions. Competition for skilled personnel in our market is intense and may limit our ability to hire and retain highly qualified personnel on acceptable terms or at all.</w:t>
      </w:r>
    </w:p>
    <w:p>
      <w:pPr>
        <w:spacing w:after="0" w:line="76"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and/or offer letters with our key employees, these arrangements provide for at-will employment, which means that any of our employees could leave our employment at any time, with or without notice. We do not maintain “key man”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w:t>
      </w:r>
    </w:p>
    <w:p>
      <w:pPr>
        <w:spacing w:after="0" w:line="70" w:lineRule="exact"/>
        <w:rPr>
          <w:sz w:val="20"/>
          <w:szCs w:val="20"/>
          <w:color w:val="auto"/>
        </w:rPr>
      </w:pPr>
    </w:p>
    <w:p>
      <w:pPr>
        <w:ind w:right="140" w:firstLine="509"/>
        <w:spacing w:after="0" w:line="301" w:lineRule="auto"/>
        <w:rPr>
          <w:sz w:val="20"/>
          <w:szCs w:val="20"/>
          <w:color w:val="auto"/>
        </w:rPr>
      </w:pPr>
      <w:r>
        <w:rPr>
          <w:rFonts w:ascii="Arial" w:cs="Arial" w:eastAsia="Arial" w:hAnsi="Arial"/>
          <w:sz w:val="16"/>
          <w:szCs w:val="16"/>
          <w:color w:val="auto"/>
        </w:rPr>
        <w:t>Many of the other biotechnology and pharmaceutical companies that we compete against for qualified personnel have greater financial and other resources, different risk profiles, and a longer history in the industry than we do. They may also provide more diverse opportunities and better chances for career advancement. Some of these characteristics are more appealing to high quality candidates than what we can offer. If we are unable to continue to attract and retain high quality personnel, the rate and success at which we can discover, develop and commercialize product candidates will be limited.</w:t>
      </w:r>
    </w:p>
    <w:p>
      <w:pPr>
        <w:spacing w:after="0" w:line="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Use of tildacerfont or any future product candidates could be associated with side effects, adverse events or other properties that could delay or prevent regulatory approval or result in significant negative consequences following marketing approval, if any.</w:t>
      </w:r>
    </w:p>
    <w:p>
      <w:pPr>
        <w:spacing w:after="0" w:line="62"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As is the case with biopharmaceuticals generally, it is likely that there may be side effects and adverse events associated with the use of tildacerfont and any future product candidates. Results of our clinical trials could reveal a high and unacceptable severity and prevalence of side effects or unexpected characteristics. Undesirable side effects caused by tildacerfont and any future product candidates could cause us or regulatory authorities to interrupt, delay or halt clinical trials and could result in a more restrictive label or the delay or denial of regulatory approval by the FDA or other comparable foreign authorities. For example, although tildacerfont has been assessed in over 200</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subjects across eight completed clinical trials in which it has been well tolerated with no drug-related SAEs, in our proof-of-concept, dose-escalating Phase 2a clinical trial in adults with classic CAH, one patient experienced a grade one liver-related adverse event after 14 days of treatment at 1,000mg once daily. This patient had elevated levels of alanine transaminase (ALT) between five and nine times the upper limit of normal (ULN), elevations in aspartate aminotransferase (AST) less than five times the ULN, and no increases in bilirubin. The event resolved on its own without additional medical intervention. No cases of liver enzyme elevations above three times the ULN were observed in any patient receiving total daily doses of 600mg, which is approximately three times the proposed therapeutic dose for adults with classic CAH, and below. If drug-related SAEs are observed, our trials could be suspended or terminated and the FDA or comparable foreign regulatory authorities could order us to cease further development of or deny approval for tildacerfont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58" w:lineRule="exact"/>
        <w:rPr>
          <w:sz w:val="20"/>
          <w:szCs w:val="20"/>
          <w:color w:val="auto"/>
        </w:rPr>
      </w:pPr>
    </w:p>
    <w:p>
      <w:pPr>
        <w:ind w:right="240" w:firstLine="509"/>
        <w:spacing w:after="0" w:line="308" w:lineRule="auto"/>
        <w:rPr>
          <w:sz w:val="20"/>
          <w:szCs w:val="20"/>
          <w:color w:val="auto"/>
        </w:rPr>
      </w:pPr>
      <w:r>
        <w:rPr>
          <w:rFonts w:ascii="Arial" w:cs="Arial" w:eastAsia="Arial" w:hAnsi="Arial"/>
          <w:sz w:val="17"/>
          <w:szCs w:val="17"/>
          <w:color w:val="auto"/>
        </w:rPr>
        <w:t>Furthermore, only adults have been treated with tildacerfont, and the safety profile in pediatric patients is unknown and may be different than that observed in previous clinical trials. Results of our trials could reveal a high and unacceptable severity and prevalence of side effects.</w:t>
      </w:r>
    </w:p>
    <w:p>
      <w:pPr>
        <w:spacing w:after="0" w:line="38" w:lineRule="exact"/>
        <w:rPr>
          <w:sz w:val="20"/>
          <w:szCs w:val="20"/>
          <w:color w:val="auto"/>
        </w:rPr>
      </w:pPr>
    </w:p>
    <w:p>
      <w:pPr>
        <w:ind w:right="280" w:firstLine="509"/>
        <w:spacing w:after="0" w:line="308" w:lineRule="auto"/>
        <w:rPr>
          <w:sz w:val="20"/>
          <w:szCs w:val="20"/>
          <w:color w:val="auto"/>
        </w:rPr>
      </w:pPr>
      <w:r>
        <w:rPr>
          <w:rFonts w:ascii="Arial" w:cs="Arial" w:eastAsia="Arial" w:hAnsi="Arial"/>
          <w:sz w:val="17"/>
          <w:szCs w:val="17"/>
          <w:color w:val="auto"/>
        </w:rPr>
        <w:t>Additionally, if tildacerfont and any future product candidates receive marketing approval, and we or others later identify undesirable side effects caused by such product candidate, a number of potentially significant negative consequences could result, including:</w:t>
      </w:r>
    </w:p>
    <w:p>
      <w:pPr>
        <w:spacing w:after="0" w:line="38"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forced to suspend marketing of that product, or decide to remove the product form the marketplace;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withdraw approvals or change their approvals of such product;</w:t>
      </w:r>
    </w:p>
    <w:p>
      <w:pPr>
        <w:spacing w:after="0" w:line="117" w:lineRule="exact"/>
        <w:rPr>
          <w:rFonts w:ascii="Arial" w:cs="Arial" w:eastAsia="Arial" w:hAnsi="Arial"/>
          <w:sz w:val="18"/>
          <w:szCs w:val="18"/>
          <w:color w:val="auto"/>
        </w:rPr>
      </w:pPr>
    </w:p>
    <w:p>
      <w:pPr>
        <w:ind w:left="1020" w:right="500" w:hanging="503"/>
        <w:spacing w:after="0" w:line="342"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subject to fines, injunctions, or the imposition of criminal or civil penalties, or to sued and held liable for harm caused to subjects or patients;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product may become less competitive, and our reputation may suffer.</w:t>
      </w:r>
    </w:p>
    <w:p>
      <w:pPr>
        <w:spacing w:after="0" w:line="117" w:lineRule="exact"/>
        <w:rPr>
          <w:sz w:val="20"/>
          <w:szCs w:val="20"/>
          <w:color w:val="auto"/>
        </w:rPr>
      </w:pPr>
    </w:p>
    <w:p>
      <w:pPr>
        <w:ind w:right="700" w:firstLine="509"/>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tildacerfont and any future product candidates, if approved, and could significantly harm our business, results of operations, and prospects.</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we receive regulatory approval for tildacerfont and any future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any product.</w:t>
      </w:r>
    </w:p>
    <w:p>
      <w:pPr>
        <w:spacing w:after="0" w:line="76" w:lineRule="exact"/>
        <w:rPr>
          <w:sz w:val="20"/>
          <w:szCs w:val="20"/>
          <w:color w:val="auto"/>
        </w:rPr>
      </w:pPr>
    </w:p>
    <w:p>
      <w:pPr>
        <w:ind w:right="40" w:firstLine="509"/>
        <w:spacing w:after="0" w:line="252" w:lineRule="auto"/>
        <w:rPr>
          <w:sz w:val="20"/>
          <w:szCs w:val="20"/>
          <w:color w:val="auto"/>
        </w:rPr>
      </w:pPr>
      <w:r>
        <w:rPr>
          <w:rFonts w:ascii="Arial" w:cs="Arial" w:eastAsia="Arial" w:hAnsi="Arial"/>
          <w:sz w:val="18"/>
          <w:szCs w:val="18"/>
          <w:color w:val="auto"/>
        </w:rPr>
        <w:t>Any regulatory approvals that we receive may be subject to limitations on the approved indicated uses for which the product may be marketed or to the conditions of approval, or contain requirements for potentially costly post-marketing testing, including post-market studies or clinical trials, and surveillance to monitor safety and effectiveness. The FDA may also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color w:val="auto"/>
        </w:rPr>
        <w:t>In addition, if the FDA or a comparable foreign regulatory authority approves a product candidate, the manufacturing, quality control, labeling, packaging, distribution, adverse event reporting, storage, advertising, promotion, import, export, and recordkeeping for the approved product will be subject to extensive and ongoing regulatory requirements. The FDA also requires submissions of safety and other post-marketing information and reports, registration, as well as continued compliance with cGMP requirements and GCP for any clinical trials that we conduct post-approval. Later discovery of previously unknown problems with a product candidate, including adverse events of unanticipated severity or frequency, or with our third-party manufacturers or manufacturing processes, or failure to comply with regulatory requirements, may result in, among other things:</w:t>
      </w:r>
    </w:p>
    <w:p>
      <w:pPr>
        <w:spacing w:after="0" w:line="56"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17"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 or require other restrictions on the labeling or marketing of such products;</w:t>
      </w:r>
    </w:p>
    <w:p>
      <w:pPr>
        <w:spacing w:after="0" w:line="62"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suspend, withdraw or modify regulatory approval;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suspend or modify any ongoing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w:t>
      </w:r>
    </w:p>
    <w:p>
      <w:pPr>
        <w:spacing w:after="0" w:line="117" w:lineRule="exact"/>
        <w:rPr>
          <w:sz w:val="20"/>
          <w:szCs w:val="20"/>
          <w:color w:val="auto"/>
        </w:rPr>
      </w:pPr>
    </w:p>
    <w:p>
      <w:pPr>
        <w:ind w:right="20" w:firstLine="509"/>
        <w:spacing w:after="0" w:line="308" w:lineRule="auto"/>
        <w:rPr>
          <w:sz w:val="20"/>
          <w:szCs w:val="20"/>
          <w:color w:val="auto"/>
        </w:rPr>
      </w:pPr>
      <w:r>
        <w:rPr>
          <w:rFonts w:ascii="Arial" w:cs="Arial" w:eastAsia="Arial" w:hAnsi="Arial"/>
          <w:sz w:val="17"/>
          <w:szCs w:val="17"/>
          <w:color w:val="auto"/>
        </w:rPr>
        <w:t>The occurrence of any event or penalty described above may inhibit our ability to commercialize tildacerfont and any future product candidates and generate revenue and could require us to expend significant time and resources in response and could generate negative publicity.</w:t>
      </w:r>
    </w:p>
    <w:p>
      <w:pPr>
        <w:spacing w:after="0" w:line="38"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Advertising and promotion of any product candidate that obtains approval in the United States will be heavily scrutinized by the FDA, the U.S. Federal Trade Commission, the Department of Justice (DOJ), the Office of Inspector General of the U.S. Department of Health and Human Services (HHS), state attorneys general, members of the U.S. Congress, and the public. Additionally, advertising and promotion of any product candidate that obtains approval outside of the United States will be heavily scrutinized by comparable foreign entities and stakeholders. Violations, including actual or alleged promotion of our products for unapproved or off-label uses, are subject to enforcement letters, inquiries, and investigations, and civil and criminal sanctions by the FDA, DOJ, or comparable foreign bodies. Any actual or alleged failure to comply with labeling and promotion requirements may result in fines, warning letters, mandates to corrective information to healthcare practitioners, injunctions, or civil or criminal penalties.</w:t>
      </w:r>
    </w:p>
    <w:p>
      <w:pPr>
        <w:spacing w:after="0" w:line="69"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for tildacerfont and any future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Our business has been and could continue to be adversely affected by the evolving COVID-19 global pandemic in regions where we or third parties on which we rely have significant manufacturing facilities, concentrations of clinical trial sites or other business operations. The COVID-19 pandemic could adversely affect our operations, as well as the business or operations of our manufacturers, CROs, or other third parties with whom we conduct business.</w:t>
      </w:r>
    </w:p>
    <w:p>
      <w:pPr>
        <w:spacing w:after="0" w:line="79"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Our business has been and could continue to be adversely affected by the evolving COVID-19 pandemic, which was declared by the World Health Organization as a global pandemic. As COVID-19 and its variants continue to spread, we have experienced and may continue to experience ongoing disruptions that could severely impact our business and clinical trials, including:</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 including interruption in global shipping that may affect the transport of clinical trial materials;</w:t>
      </w:r>
    </w:p>
    <w:p>
      <w:pPr>
        <w:spacing w:after="0" w:line="62"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outbreak which may require us to change the ways in which our clinical trials are conducted, which may result in unexpected costs, or to discontinue the clinical trials altogether;</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jc w:val="both"/>
        <w:ind w:left="1020" w:right="420" w:hanging="503"/>
        <w:spacing w:after="0" w:line="263"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interruptions or delays in the operations of the FDA or other regulatory authorities, which may impact review and approval timelines;</w:t>
      </w:r>
    </w:p>
    <w:p>
      <w:pPr>
        <w:spacing w:after="0" w:line="128"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costs relating to mitigating the impact of COVID-19 on any of the foregoing factors.</w:t>
      </w:r>
    </w:p>
    <w:p>
      <w:pPr>
        <w:spacing w:after="0" w:line="117" w:lineRule="exact"/>
        <w:rPr>
          <w:sz w:val="20"/>
          <w:szCs w:val="20"/>
          <w:color w:val="auto"/>
        </w:rPr>
      </w:pPr>
    </w:p>
    <w:p>
      <w:pPr>
        <w:ind w:right="720" w:firstLine="509"/>
        <w:spacing w:after="0" w:line="277" w:lineRule="auto"/>
        <w:rPr>
          <w:sz w:val="20"/>
          <w:szCs w:val="20"/>
          <w:color w:val="auto"/>
        </w:rPr>
      </w:pPr>
      <w:r>
        <w:rPr>
          <w:rFonts w:ascii="Arial" w:cs="Arial" w:eastAsia="Arial" w:hAnsi="Arial"/>
          <w:sz w:val="18"/>
          <w:szCs w:val="18"/>
          <w:color w:val="auto"/>
        </w:rPr>
        <w:t>These and other disruptions in our operations and the global economy could negatively impact our business, operating results and financial condition.</w:t>
      </w:r>
    </w:p>
    <w:p>
      <w:pPr>
        <w:spacing w:after="0" w:line="62" w:lineRule="exact"/>
        <w:rPr>
          <w:sz w:val="20"/>
          <w:szCs w:val="20"/>
          <w:color w:val="auto"/>
        </w:rPr>
      </w:pPr>
    </w:p>
    <w:p>
      <w:pPr>
        <w:ind w:right="60" w:firstLine="515"/>
        <w:spacing w:after="0" w:line="284" w:lineRule="auto"/>
        <w:rPr>
          <w:sz w:val="20"/>
          <w:szCs w:val="20"/>
          <w:color w:val="auto"/>
        </w:rPr>
      </w:pPr>
      <w:r>
        <w:rPr>
          <w:rFonts w:ascii="Arial" w:cs="Arial" w:eastAsia="Arial" w:hAnsi="Arial"/>
          <w:sz w:val="16"/>
          <w:szCs w:val="16"/>
          <w:color w:val="auto"/>
        </w:rPr>
        <w:t>Our clinical trials have been, and may in the future be, affected by the COVID-19 pandemic. For example, the COVID-19 pandemic has impacted patient enrollment in our two ongoing Phase 2b clinical trials. In particular, some sites have paused enrollment to focus on, and direct resources to, COVID-19, while at other sites, patients have chosen not to enroll or continue participating in the clinical trial as a result of the pandemic. Further, we are aware of delays in site activations for our CAHmelia-203 and -204 trials due to COVID-19-related closures and delays. In addition, patient visits to endocrinologists in the United States have slowed as a result of the COVID-19 pandemic. Further, according to the Centers for Disease Control and Prevention, people who have serious chronic medical conditions, including those such as classic CAH, are at higher risk of getting very sick from COVID-</w:t>
      </w:r>
    </w:p>
    <w:p>
      <w:pPr>
        <w:spacing w:after="0" w:line="4" w:lineRule="exact"/>
        <w:rPr>
          <w:sz w:val="20"/>
          <w:szCs w:val="20"/>
          <w:color w:val="auto"/>
        </w:rPr>
      </w:pPr>
    </w:p>
    <w:p>
      <w:pPr>
        <w:ind w:right="380" w:firstLine="8"/>
        <w:spacing w:after="0" w:line="255" w:lineRule="auto"/>
        <w:tabs>
          <w:tab w:leader="none" w:pos="27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a result, current or potential patients in our ongoing and planned clinical trials may continue to choose to not enroll, not participate in follow-up clinical visits, or drop out of the trial as a precaution against contracting COVID-19. Further, some patients may continue to not be able or willing to comply with clinical trial protocols if quarantines impede patient movement or interrupts healthcare services.</w:t>
      </w:r>
    </w:p>
    <w:p>
      <w:pPr>
        <w:spacing w:after="0" w:line="82" w:lineRule="exact"/>
        <w:rPr>
          <w:sz w:val="20"/>
          <w:szCs w:val="20"/>
          <w:color w:val="auto"/>
        </w:rPr>
      </w:pPr>
    </w:p>
    <w:p>
      <w:pPr>
        <w:ind w:right="220" w:firstLine="515"/>
        <w:spacing w:after="0" w:line="263" w:lineRule="auto"/>
        <w:rPr>
          <w:sz w:val="20"/>
          <w:szCs w:val="20"/>
          <w:color w:val="auto"/>
        </w:rPr>
      </w:pPr>
      <w:r>
        <w:rPr>
          <w:rFonts w:ascii="Arial" w:cs="Arial" w:eastAsia="Arial" w:hAnsi="Arial"/>
          <w:sz w:val="18"/>
          <w:szCs w:val="18"/>
          <w:color w:val="auto"/>
        </w:rPr>
        <w:t>If patient enrollment is delayed for an extended period of time, our ongoing and planned clinical trials could be significantly delayed or otherwise adversely affected. Similarly, our ability to recruit and retain principal investigators and site staff who, as healthcare providers, may have heightened exposure to COVID-19, may be adversely impacted.</w:t>
      </w:r>
    </w:p>
    <w:p>
      <w:pPr>
        <w:spacing w:after="0" w:line="76" w:lineRule="exact"/>
        <w:rPr>
          <w:sz w:val="20"/>
          <w:szCs w:val="20"/>
          <w:color w:val="auto"/>
        </w:rPr>
      </w:pPr>
    </w:p>
    <w:p>
      <w:pPr>
        <w:ind w:right="20" w:firstLine="515"/>
        <w:spacing w:after="0" w:line="284" w:lineRule="auto"/>
        <w:rPr>
          <w:sz w:val="20"/>
          <w:szCs w:val="20"/>
          <w:color w:val="auto"/>
        </w:rPr>
      </w:pPr>
      <w:r>
        <w:rPr>
          <w:rFonts w:ascii="Arial" w:cs="Arial" w:eastAsia="Arial" w:hAnsi="Arial"/>
          <w:sz w:val="16"/>
          <w:szCs w:val="16"/>
          <w:color w:val="auto"/>
        </w:rPr>
        <w:t>In addition, ongoing or planned clinical trials may also be impacted by interruptions or delays in the operations of the FDA and comparable foreign regulatory agencies. For example, we and our CROs have also made certain adjustments to the operation of our trials in an effort to ensure the monitoring and safety of patients and minimize risks to trial integrity during the pandemic in accordance with the guidance issued by the FDA and may need to make further adjustments in the future. For example, we have amended our clinical trial protocols to enable remote visits to mitigate any potential impacts as a result of the COVID-19 pandemic. As a result of this home health component, the overall costs of our Phase 2b clinical trials have increased and may continue to increase in the future. Many of these adjustments are new and untested, may not be effective, may affect the integrity of data collected, and may have unforeseen effects on the progress and completion of our clinical trials and the findings from such clinical trials.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60" w:firstLine="515"/>
        <w:spacing w:after="0" w:line="254" w:lineRule="auto"/>
        <w:rPr>
          <w:sz w:val="20"/>
          <w:szCs w:val="20"/>
          <w:color w:val="auto"/>
        </w:rPr>
      </w:pPr>
      <w:r>
        <w:rPr>
          <w:rFonts w:ascii="Arial" w:cs="Arial" w:eastAsia="Arial" w:hAnsi="Arial"/>
          <w:sz w:val="18"/>
          <w:szCs w:val="18"/>
          <w:color w:val="auto"/>
        </w:rPr>
        <w:t>In addition, we may encounter a shortage in supplies of, or in delays in shipping, our study drug or other components of the clinical trial vital for successful conduct of the trial. For example, in our two ongoing Phase 2b clinical trials, patients will continue to use their steroid regimen for the duration of the clinical trial. In particular, we have experienced a shortage of supply of hydrocortisone as a result of the COVID-19 pandemic, which if continued indefinitely, could adversely affect the timing and ultimately success of our clinical trials. Further, the successful conduct of our clinical trials depends on retrieving laboratory data from patients. Any failure by the laboratories with which we work to send us such data could impair the progress of such clinical trials. These events could delay our clinical trials, increase the cost of completing our clinical trials, and negatively impact the integrity, reliability, or robustness of the data from our clinical trials.</w:t>
      </w:r>
    </w:p>
    <w:p>
      <w:pPr>
        <w:spacing w:after="0" w:line="87" w:lineRule="exact"/>
        <w:rPr>
          <w:sz w:val="20"/>
          <w:szCs w:val="20"/>
          <w:color w:val="auto"/>
        </w:rPr>
      </w:pPr>
    </w:p>
    <w:p>
      <w:pPr>
        <w:ind w:right="60" w:firstLine="515"/>
        <w:spacing w:after="0" w:line="255" w:lineRule="auto"/>
        <w:rPr>
          <w:sz w:val="20"/>
          <w:szCs w:val="20"/>
          <w:color w:val="auto"/>
        </w:rPr>
      </w:pPr>
      <w:r>
        <w:rPr>
          <w:rFonts w:ascii="Arial" w:cs="Arial" w:eastAsia="Arial" w:hAnsi="Arial"/>
          <w:sz w:val="18"/>
          <w:szCs w:val="18"/>
          <w:color w:val="auto"/>
        </w:rPr>
        <w:t>In addition, quarantines, shelter-in-place, and similar government orders, or the perception that such orders, shutdowns, or other restrictions on the conduct of business operations could occur, related to COVID-19 or other infectious diseases could impact personnel at our CROs or third-party manufacturing facilities upon which we rely, or the availability or cost of materials, which could disrupt the supply chain for tildacerfont. To the extent our suppliers and service providers are unable to comply with their obligations under our agreements with them or they are otherwise unable to deliver or are delayed in delivering goods and services to us due to the COVID-19 pandemic, our ability to continue meeting clinical supply demand for tildacerfont or otherwise advancing development of tildacerfont may become impaired.</w:t>
      </w:r>
    </w:p>
    <w:p>
      <w:pPr>
        <w:spacing w:after="0" w:line="84"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The spread of COVID-19 and actions taken to reduce its spread may also materially affect us economically. While the potential economic impact brought by, and the duration of, the COVID-19 pandemic may be difficult to assess or predict, there could be a significant disruption of global financial markets, reducing our ability to access capital, which could in the future negatively affect our liquidity and financial position. In addition, the trading prices for other companies have been highly volatile as a result of the COVID-19 pandemic. As a result, we may face difficulties raising capital through sales of our common stock or such sales may be on unfavorable terms.</w:t>
      </w:r>
    </w:p>
    <w:p>
      <w:pPr>
        <w:spacing w:after="0" w:line="80" w:lineRule="exact"/>
        <w:rPr>
          <w:sz w:val="20"/>
          <w:szCs w:val="20"/>
          <w:color w:val="auto"/>
        </w:rPr>
      </w:pPr>
    </w:p>
    <w:p>
      <w:pPr>
        <w:ind w:right="40" w:firstLine="515"/>
        <w:spacing w:after="0" w:line="273" w:lineRule="auto"/>
        <w:rPr>
          <w:sz w:val="20"/>
          <w:szCs w:val="20"/>
          <w:color w:val="auto"/>
        </w:rPr>
      </w:pPr>
      <w:r>
        <w:rPr>
          <w:rFonts w:ascii="Arial" w:cs="Arial" w:eastAsia="Arial" w:hAnsi="Arial"/>
          <w:sz w:val="17"/>
          <w:szCs w:val="17"/>
          <w:color w:val="auto"/>
        </w:rPr>
        <w:t>COVID-19 and actions taken to reduce its spread continue to evolve. While vaccines have become widely available in certain countries, and businesses and economies have reopened, the status of global economic recovery remains uncertain and unpredictable and will continue to be impacted by developments in the pandemic including any subsequent waves of outbreak or new variant strains of the COVID-19 virus which may require re-closures or other preventative measures. The extent to which COVID-19 may impede the development of tildacerfont, reduce the productivity of our employees, disrupt our supply chains, delay our clinical trials, reduce our access to capital or limit our business development activities, will depend on future developments, which are highly uncertain and cannot be predicted with confidence.</w:t>
      </w:r>
    </w:p>
    <w:p>
      <w:pPr>
        <w:spacing w:after="0" w:line="70" w:lineRule="exact"/>
        <w:rPr>
          <w:sz w:val="20"/>
          <w:szCs w:val="20"/>
          <w:color w:val="auto"/>
        </w:rPr>
      </w:pPr>
    </w:p>
    <w:p>
      <w:pPr>
        <w:ind w:firstLine="515"/>
        <w:spacing w:after="0" w:line="277" w:lineRule="auto"/>
        <w:rPr>
          <w:sz w:val="20"/>
          <w:szCs w:val="20"/>
          <w:color w:val="auto"/>
        </w:rPr>
      </w:pPr>
      <w:r>
        <w:rPr>
          <w:rFonts w:ascii="Arial" w:cs="Arial" w:eastAsia="Arial" w:hAnsi="Arial"/>
          <w:sz w:val="18"/>
          <w:szCs w:val="18"/>
          <w:color w:val="auto"/>
        </w:rPr>
        <w:t>In addition, to the extent the COVID-19 pandemic adversely affects our business and results of operations, it may also have the effect of heightening many of the other risks and uncertainties described in this “Risk Factors” section.</w:t>
      </w:r>
    </w:p>
    <w:p>
      <w:pPr>
        <w:spacing w:after="0" w:line="62"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1"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79"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68"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Separately, in response to the global COVID-19 pandemic, in March 2020 the FDA announced its intention to postpone most foreign inspections of manufacturing facilities. In July 2020, the FDA restarted inspections of domestic and international manufacturing facilities on a risk-based basis. Regulatory authorities outside the United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States have adopted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for tildacerfont and any future product candidates, tildacerfont and any future product candidates may not gain market acceptance among physicians, patients, healthcare payors and others in the medical community.</w:t>
      </w:r>
    </w:p>
    <w:p>
      <w:pPr>
        <w:spacing w:after="0" w:line="62" w:lineRule="exact"/>
        <w:rPr>
          <w:sz w:val="20"/>
          <w:szCs w:val="20"/>
          <w:color w:val="auto"/>
        </w:rPr>
      </w:pPr>
    </w:p>
    <w:p>
      <w:pPr>
        <w:jc w:val="both"/>
        <w:ind w:right="200" w:firstLine="509"/>
        <w:spacing w:after="0" w:line="286" w:lineRule="auto"/>
        <w:rPr>
          <w:sz w:val="20"/>
          <w:szCs w:val="20"/>
          <w:color w:val="auto"/>
        </w:rPr>
      </w:pPr>
      <w:r>
        <w:rPr>
          <w:rFonts w:ascii="Arial" w:cs="Arial" w:eastAsia="Arial" w:hAnsi="Arial"/>
          <w:sz w:val="17"/>
          <w:szCs w:val="17"/>
          <w:color w:val="auto"/>
        </w:rPr>
        <w:t>Tildacerfont and any future product candidates may not be commercially successful. The commercial success of tildacerfont or any future product candidates, if approved, will depend significantly on the broad adoption and use of such product by physicians and patients for approved indications. The degree of market acceptance of tildacerfont or any future products, if approved, will depend on a number of factors, including:</w:t>
      </w:r>
    </w:p>
    <w:p>
      <w:pPr>
        <w:spacing w:after="0" w:line="57"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clinical indications for which such product candidate is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physicians and patients considering the product as a safe and effective treatment;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over alternative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by the FDA or other regulatory authorities;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market introduction of the product as well as competitive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and government authorities;</w:t>
      </w:r>
    </w:p>
    <w:p>
      <w:pPr>
        <w:spacing w:after="0" w:line="117" w:lineRule="exact"/>
        <w:rPr>
          <w:rFonts w:ascii="Arial" w:cs="Arial" w:eastAsia="Arial" w:hAnsi="Arial"/>
          <w:sz w:val="18"/>
          <w:szCs w:val="18"/>
          <w:color w:val="auto"/>
        </w:rPr>
      </w:pPr>
    </w:p>
    <w:p>
      <w:pPr>
        <w:ind w:left="1020" w:right="88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coverage and adequate reimbursement by third-party payors and government authorities;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including as compared to alternative treatments and competitive therapies; and</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 those of any collaboration or distribution partner on whom we rely for sales in foreign jurisdictions.</w:t>
      </w:r>
    </w:p>
    <w:p>
      <w:pPr>
        <w:spacing w:after="0" w:line="62"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If tildacerfont and any future product candidate is approved but fails to achieve market acceptance among physicians, patients, healthcare payors or others in the medical community, we will not be able to generate significant revenues, which would have a material adverse effect on our business, prospects, financial condition, and results of operations. In addition, even if tildacerfont and any future product candidate gains acceptance, the markets for the treatment of patients with our target indications may not be as significant as we estimate.</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If tildacerfont and any future product candidate is approved for marketing, and we are found to have improperly promoted off-label uses, or if physicians prescribe or use tildacerfont and any future product candidates off-label, we may become subject to prohibitions on the sale or marketing of tildacerfont and any future product candidates, significant fines, penalties, sanctions, or product liability claims, and our image and reputation within the industry and marketplace could be harmed.</w:t>
      </w:r>
    </w:p>
    <w:p>
      <w:pPr>
        <w:spacing w:after="0" w:line="79" w:lineRule="exact"/>
        <w:rPr>
          <w:sz w:val="20"/>
          <w:szCs w:val="20"/>
          <w:color w:val="auto"/>
        </w:rPr>
      </w:pPr>
    </w:p>
    <w:p>
      <w:pPr>
        <w:ind w:right="40" w:firstLine="509"/>
        <w:spacing w:after="0" w:line="267" w:lineRule="auto"/>
        <w:rPr>
          <w:sz w:val="20"/>
          <w:szCs w:val="20"/>
          <w:color w:val="auto"/>
        </w:rPr>
      </w:pPr>
      <w:r>
        <w:rPr>
          <w:rFonts w:ascii="Arial" w:cs="Arial" w:eastAsia="Arial" w:hAnsi="Arial"/>
          <w:sz w:val="17"/>
          <w:szCs w:val="17"/>
          <w:color w:val="auto"/>
        </w:rPr>
        <w:t>The FDA, DOJ, and comparable foreign authorities strictly regulate the marketing and promotional claims that are made about pharmaceutical products, such as tildacerfont, if approved. In particular, a product may not be promoted for uses or indications that are not approved by the FDA or comparable foreign authorities as reflected in the product’s approved labeling. However, if we receive marketing approval for tildacerfont and any future product candidates, physicians can prescribe such product to their patients in a manner that is inconsistent with the approved label based on the physician’s independent medical judgement. If we are found to have promoted such off-label uses, we may receive warning letters from the FDA and comparable foreign authorities and become subject to significant liability, which would materially harm our business. The federal government has levied large civil and criminal fines against companies for alleged improper promotion and has enjoined several companies from engaging</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1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 The FDA and other governmental authorities have also required that companies enter into consent decrees or permanent injunctions under which specified promotional conduct is changed or curtailed in order to resolve enforcement actions. If we are deemed by the FDA, DOJ, or other governmental authorities to have engaged in the promotion of tildacerfont or any future product candidate for off-label use, we could be subject to certain prohibitions or other restrictions on the sale or marketing and other operations or significant fines and penalties, and the imposition of these sanctions could also affect our reputation and position within the industry.</w:t>
      </w:r>
    </w:p>
    <w:p>
      <w:pPr>
        <w:spacing w:after="0" w:line="5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tildacerfont and any future product candidates, which could make it difficult for us to sell tildacerfont and any future product candidates profitably.</w:t>
      </w:r>
    </w:p>
    <w:p>
      <w:pPr>
        <w:spacing w:after="0" w:line="62"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Successful sales of tildacerfont and any future product candidates, if approved, depend on the availability of coverage and adequate reimbursement from third-party payors. Patients who are prescribed medicine for the treatment of their conditions generally rely on third-party payors to reimburse all or part of the costs associated with their prescription drugs. Coverage and adequate reimbursement from governmental healthcare programs, such as Medicare and Medicaid, and commercial payors is critical to new product acceptance, and we may not obtain such coverage or adequate reimbursement. Moreover, we focus our clinical development of tildacerfont on treatments for rare endocrine disorders with relatively small patient populations. As a result, we must rely on obtaining appropriate coverage and reimbursement for these populations.</w:t>
      </w:r>
    </w:p>
    <w:p>
      <w:pPr>
        <w:spacing w:after="0" w:line="70"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drugs they will cover and the amount of reimbursement they will provide. Reimbursement by a third-party payor may depend upon a number of factors, including, but not limited to, the third-party payor’s determination that use of a product is:</w:t>
      </w:r>
    </w:p>
    <w:p>
      <w:pPr>
        <w:spacing w:after="0" w:line="76"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Obtaining coverage and reimbursement approval for a product from a government or other third-party payor is a time-consuming and costly process that could require us to provide to the payor supporting scientific, clinical and cost-effectiveness data for the use of our products. We may not be able to provide data sufficient to obtain coverage and adequate reimbursement. Assuming we obtain coverage for a given product, the resulting reimbursement payment rates might not be adequate or may require co-payments that patients find unacceptably high. Patients are unlikely to use tildacerfont or any future product candidate unless coverage is provided and reimbursement is adequate to cover a significant portion of the cost. Additionally, the reimbursement rates and coverage amounts may be affected by the approved label for tildacerfont or any future product candidate. If coverage and reimbursement of our future products are unavailable or limited in scope or amount, or if pricing is set at unsatisfactory levels, we may be unable to achieve or sustain profitability.</w:t>
      </w:r>
    </w:p>
    <w:p>
      <w:pPr>
        <w:spacing w:after="0" w:line="84"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In addition, the market for tildacerfont and any future product candidates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through formulary controls or otherwise to a branded drug when a less costly generic equivalent or other alternative is available.</w:t>
      </w:r>
    </w:p>
    <w:p>
      <w:pPr>
        <w:spacing w:after="0" w:line="80" w:lineRule="exact"/>
        <w:rPr>
          <w:sz w:val="20"/>
          <w:szCs w:val="20"/>
          <w:color w:val="auto"/>
        </w:rPr>
      </w:pPr>
    </w:p>
    <w:p>
      <w:pPr>
        <w:ind w:right="80" w:firstLine="509"/>
        <w:spacing w:after="0" w:line="287" w:lineRule="auto"/>
        <w:rPr>
          <w:sz w:val="20"/>
          <w:szCs w:val="20"/>
          <w:color w:val="auto"/>
        </w:rPr>
      </w:pPr>
      <w:r>
        <w:rPr>
          <w:rFonts w:ascii="Arial" w:cs="Arial" w:eastAsia="Arial" w:hAnsi="Arial"/>
          <w:sz w:val="16"/>
          <w:szCs w:val="16"/>
          <w:color w:val="auto"/>
        </w:rPr>
        <w:t>In the United States, no uniform policy of coverage and reimbursement for drug products exists among third-party payors. Third-party payors often rely upon Medicare coverage policy and payment limitations in setting their own reimbursement rates, but also have their own methods and approval process apart from Medicare determinations. Therefore, coverage and reimbursement for drug products can differ significantly from payor to</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13"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payor. As a result, the coverage determination process is often a time-consuming and costly process that will require us to provide scientific and clinical support for the use of tildacerfont and any future product candidates to each payor separately, with no assurance that coverage and adequate reimbursement will be obtained. Further, coverage policies and third-party reimbursement rates may change at any time. Therefore, even if favorable coverage and reimbursement status is attained, less favorable coverage policies and reimbursement rates may be implemented in the future.</w:t>
      </w:r>
    </w:p>
    <w:p>
      <w:pPr>
        <w:spacing w:after="0" w:line="49"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We intend to seek approval to market tildacerfont in the United States and in selected foreign jurisdictions. If we obtain approval in one or more foreign jurisdictions for tildacerfont, we will be subject to rules and regulations in those jurisdictions. In some foreign countries, particularly those in the EU, the pricing of prescription pharmaceuticals and biologics is subject to governmental control. In these countries, pricing negotiations with governmental authorities can take considerable time after obtaining marketing approval for a drug candidate. In addition, market acceptance and sales of a product will depend significantly on the availability of coverage and adequate reimbursement from third-party payors for a product and may be affected by existing and future health care reform measures.</w:t>
      </w:r>
    </w:p>
    <w:p>
      <w:pPr>
        <w:spacing w:after="0" w:line="84"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b w:val="1"/>
          <w:bCs w:val="1"/>
          <w:i w:val="1"/>
          <w:iCs w:val="1"/>
          <w:color w:val="auto"/>
        </w:rPr>
        <w:t>Recently enacted legislation, future legislation and healthcare reform measures may increase the difficulty and cost for us to obtain marketing approval for and commercialize tildacerfont and any future product candidates and may affect the prices we may set.</w:t>
      </w:r>
    </w:p>
    <w:p>
      <w:pPr>
        <w:spacing w:after="0" w:line="16"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49" w:lineRule="exact"/>
        <w:rPr>
          <w:sz w:val="20"/>
          <w:szCs w:val="20"/>
          <w:color w:val="auto"/>
        </w:rPr>
      </w:pPr>
    </w:p>
    <w:p>
      <w:pPr>
        <w:ind w:right="120" w:firstLine="509"/>
        <w:spacing w:after="0" w:line="271" w:lineRule="auto"/>
        <w:rPr>
          <w:sz w:val="20"/>
          <w:szCs w:val="20"/>
          <w:color w:val="auto"/>
        </w:rPr>
      </w:pPr>
      <w:r>
        <w:rPr>
          <w:rFonts w:ascii="Arial" w:cs="Arial" w:eastAsia="Arial" w:hAnsi="Arial"/>
          <w:sz w:val="17"/>
          <w:szCs w:val="17"/>
          <w:color w:val="auto"/>
        </w:rPr>
        <w:t>For example, in March 2010, the Patient Protection and Affordable Care Act, as amended by the Health Care and Education Reconciliation Act (collectively the Affordable Care Act), was enacted in the United States. Among the provisions of the Affordable Care Act of importance to our potential product candidates are that it established an annual, nondeductible fee on any entity that manufactures or imports specified branded prescription drugs and biologic agents; expands eligibility criteria for Medicaid programs; increased the statutory minimum rebates a manufacturer must pay under the Medicaid Drug Rebate Program; created a new Medicare Part D coverage gap discount program; established a new Patient-Centered Outcomes Research Institute to oversee, identify priorities in and conduct comparative clinical effectiveness research, along with funding for such research; and established a Center for Medicare and Medicaid Innovation at the Centers for Medicare &amp; Medicaid Services (CMS) to test innovative payment and service delivery models to lower Medicare and Medicaid spending.</w:t>
      </w:r>
    </w:p>
    <w:p>
      <w:pPr>
        <w:spacing w:after="0" w:line="70"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There have been executive, judicial and Congressional challenges to certain aspects of the Affordable Care Act. By way of example, legislation enacted in 2017, informally titled the Tax Cuts and Jobs Act (the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For example, on June 17, 2021, the United States Supreme Court dismissed a challenge on procedural grounds that argued the Affordable Care Act is unconstitutional in its entirety because the "individual mandate" was repealed by Congress. Thus, the Affordable Care Act will remain in effect in its current form. Moreover, prior to the United Supreme Court ruling, on January 28, 2021, President Biden issued an executive order that initiated a special enrollment period for purposes of obtaining health insurance coverage through the Affordable Care Act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It is possible that the Affordable Care Act will be subject to judicial or Congressional challenges in the future. It is unclear how any such challenges and the healthcare reform measures of the Biden administration will impact the Affordable Care Act and our business.</w:t>
      </w:r>
    </w:p>
    <w:p>
      <w:pPr>
        <w:spacing w:after="0" w:line="78" w:lineRule="exact"/>
        <w:rPr>
          <w:sz w:val="20"/>
          <w:szCs w:val="20"/>
          <w:color w:val="auto"/>
        </w:rPr>
      </w:pPr>
    </w:p>
    <w:p>
      <w:pPr>
        <w:jc w:val="both"/>
        <w:ind w:right="200" w:firstLine="515"/>
        <w:spacing w:after="0" w:line="255" w:lineRule="auto"/>
        <w:rPr>
          <w:sz w:val="20"/>
          <w:szCs w:val="20"/>
          <w:color w:val="auto"/>
        </w:rPr>
      </w:pPr>
      <w:r>
        <w:rPr>
          <w:rFonts w:ascii="Arial" w:cs="Arial" w:eastAsia="Arial" w:hAnsi="Arial"/>
          <w:sz w:val="18"/>
          <w:szCs w:val="18"/>
          <w:color w:val="auto"/>
        </w:rPr>
        <w:t>In addition, other legislative changes have been proposed and adopted since the Affordable Care Act was enacted. On August 2, 2011, the Budget Control Act of 2011 was signed into law, which, among other things, included reductions to Medicare payments to providers of 2% per fiscal year, which went into effect on April 1,</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1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2013 and, due to subsequent legislative amendments to the statute, will remain in effect through 2031, with the exception of a temporary suspension from May 1, 2020 through March 31, 2022 due to COVID-19 relief legislation, unless additional Congressional action is taken. Under current legislation, the actual reduction in Medicare payments will vary from 1% in 2022 to up to 4% in the final fiscal year of this sequester. In addition,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Further, Congress is considering additional health reform measures.</w:t>
      </w:r>
    </w:p>
    <w:p>
      <w:pPr>
        <w:spacing w:after="0" w:line="84" w:lineRule="exact"/>
        <w:rPr>
          <w:sz w:val="20"/>
          <w:szCs w:val="20"/>
          <w:color w:val="auto"/>
        </w:rPr>
      </w:pPr>
    </w:p>
    <w:p>
      <w:pPr>
        <w:ind w:right="60" w:firstLine="515"/>
        <w:spacing w:after="0" w:line="279" w:lineRule="auto"/>
        <w:rPr>
          <w:sz w:val="20"/>
          <w:szCs w:val="20"/>
          <w:color w:val="auto"/>
        </w:rPr>
      </w:pPr>
      <w:r>
        <w:rPr>
          <w:rFonts w:ascii="Arial" w:cs="Arial" w:eastAsia="Arial" w:hAnsi="Arial"/>
          <w:sz w:val="17"/>
          <w:szCs w:val="17"/>
          <w:color w:val="auto"/>
        </w:rPr>
        <w:t>Further, there has been heightened governmental scrutiny in the United States of pharmaceutical pricing practices in light of the rising cost of prescription drugs. Such scrutiny has resulted in several recent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63" w:lineRule="exact"/>
        <w:rPr>
          <w:sz w:val="20"/>
          <w:szCs w:val="20"/>
          <w:color w:val="auto"/>
        </w:rPr>
      </w:pPr>
    </w:p>
    <w:p>
      <w:pPr>
        <w:ind w:right="60" w:firstLine="515"/>
        <w:spacing w:after="0" w:line="269" w:lineRule="auto"/>
        <w:rPr>
          <w:sz w:val="20"/>
          <w:szCs w:val="20"/>
          <w:color w:val="auto"/>
        </w:rPr>
      </w:pPr>
      <w:r>
        <w:rPr>
          <w:rFonts w:ascii="Arial" w:cs="Arial" w:eastAsia="Arial" w:hAnsi="Arial"/>
          <w:sz w:val="17"/>
          <w:szCs w:val="17"/>
          <w:color w:val="auto"/>
        </w:rPr>
        <w:t>At the federal level,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(ii)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it is likely to have a significant impact on the pharmaceutical industry. In addition, the Biden administration released an additional executive order on October 14, 2022, directing HHS to report on how the Center for Medicare and Medicaid Innovation can be further leveraged to test new models for lowering drug costs for Medicare and Medicaid beneficiaries.</w:t>
      </w:r>
    </w:p>
    <w:p>
      <w:pPr>
        <w:spacing w:after="0" w:line="77" w:lineRule="exact"/>
        <w:rPr>
          <w:sz w:val="20"/>
          <w:szCs w:val="20"/>
          <w:color w:val="auto"/>
        </w:rPr>
      </w:pPr>
    </w:p>
    <w:p>
      <w:pPr>
        <w:jc w:val="both"/>
        <w:ind w:right="200" w:firstLine="515"/>
        <w:spacing w:after="0" w:line="287" w:lineRule="auto"/>
        <w:rPr>
          <w:sz w:val="20"/>
          <w:szCs w:val="20"/>
          <w:color w:val="auto"/>
        </w:rPr>
      </w:pPr>
      <w:r>
        <w:rPr>
          <w:rFonts w:ascii="Arial" w:cs="Arial" w:eastAsia="Arial" w:hAnsi="Arial"/>
          <w:sz w:val="16"/>
          <w:szCs w:val="16"/>
          <w:color w:val="auto"/>
        </w:rPr>
        <w:t>At the state level, 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tildacerfont, if approved, or put pressure on our product pricing, which could negatively affect our business, results of operations, financial condition, and prospects.</w:t>
      </w:r>
    </w:p>
    <w:p>
      <w:pPr>
        <w:spacing w:after="0" w:line="83" w:lineRule="exact"/>
        <w:rPr>
          <w:sz w:val="20"/>
          <w:szCs w:val="20"/>
          <w:color w:val="auto"/>
        </w:rPr>
      </w:pPr>
    </w:p>
    <w:p>
      <w:pPr>
        <w:ind w:firstLine="515"/>
        <w:spacing w:after="0" w:line="257" w:lineRule="auto"/>
        <w:rPr>
          <w:sz w:val="20"/>
          <w:szCs w:val="20"/>
          <w:color w:val="auto"/>
        </w:rPr>
      </w:pPr>
      <w:r>
        <w:rPr>
          <w:rFonts w:ascii="Arial" w:cs="Arial" w:eastAsia="Arial" w:hAnsi="Arial"/>
          <w:sz w:val="18"/>
          <w:szCs w:val="18"/>
          <w:color w:val="auto"/>
        </w:rPr>
        <w:t>We expect that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third-party payors. The implementation of cost containment measures or other healthcare reforms may prevent us from being able to generate revenue, attain profitability or commercialize tildacerfont, if approved.</w:t>
      </w:r>
    </w:p>
    <w:p>
      <w:pPr>
        <w:spacing w:after="0" w:line="8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A variety of risks associated with marketing tildacerfont and any future product candidates internationally could materially adversely affect our business.</w:t>
      </w:r>
    </w:p>
    <w:p>
      <w:pPr>
        <w:spacing w:after="0" w:line="62"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We plan to seek regulatory approval for tildacerfont and any future product candidates internationally and, accordingly, we expect that we will be subject to additional risks related to operating in foreign countries if we obtain the necessary approvals, including:</w:t>
      </w:r>
    </w:p>
    <w:p>
      <w:pPr>
        <w:spacing w:after="0" w:line="62"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 including differing reimbursement, pricing and insurance regimes;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potential for so-called parallel importing, which is what happens when a local seller, faced with high or higher local prices, opts to import</w:t>
      </w:r>
    </w:p>
    <w:p>
      <w:pPr>
        <w:spacing w:after="0" w:line="46" w:lineRule="exact"/>
        <w:rPr>
          <w:sz w:val="20"/>
          <w:szCs w:val="20"/>
          <w:color w:val="auto"/>
        </w:rPr>
      </w:pPr>
    </w:p>
    <w:p>
      <w:pPr>
        <w:ind w:left="5540" w:right="3840" w:hanging="4506"/>
        <w:spacing w:after="0" w:line="260" w:lineRule="auto"/>
        <w:rPr>
          <w:sz w:val="20"/>
          <w:szCs w:val="20"/>
          <w:color w:val="auto"/>
        </w:rPr>
      </w:pPr>
      <w:r>
        <w:rPr>
          <w:rFonts w:ascii="Arial" w:cs="Arial" w:eastAsia="Arial" w:hAnsi="Arial"/>
          <w:sz w:val="18"/>
          <w:szCs w:val="18"/>
          <w:color w:val="auto"/>
        </w:rPr>
        <w:t>goods from a foreign market (with low or lower prices) rather than buying them locally;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13"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internationally;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liability under the U.S. Foreign Corrupt Practices Act of 1977 (FCPA) or comparable foreign regulations;</w:t>
      </w:r>
    </w:p>
    <w:p>
      <w:pPr>
        <w:spacing w:after="0" w:line="117" w:lineRule="exact"/>
        <w:rPr>
          <w:rFonts w:ascii="Arial" w:cs="Arial" w:eastAsia="Arial" w:hAnsi="Arial"/>
          <w:sz w:val="18"/>
          <w:szCs w:val="18"/>
          <w:color w:val="auto"/>
        </w:rPr>
      </w:pPr>
    </w:p>
    <w:p>
      <w:pPr>
        <w:ind w:left="1020" w:right="36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internationally;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117"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ability to attain or maintain profitable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commercialize additional product candidates, we may be unable to grow our business.</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may seek to in-license or acquire development-stage product candidates in endocrine disorders that have the potential to complement our existing portfolio. If we decide to pursue the development and commercialization of any additional product candidates, we may be required to invest significant resources to acquire or in-license the rights to such product candidates or to conduct drug discovery activities. We do not currently have the necessary drug discovery personnel or expertise adequate to discover and develop an additional product candidate on our own. Any other product candidates will require additional, time-consuming development efforts, and significant financial resources, prior to commercial sale, including preclinical studies, extensive clinical trials, and approval by the FDA and applicable foreign regulatory authorities. All product candidates are prone to the risks of failure that are inherent in pharmaceutical product development, including the possibility that the product candidate will not be shown to be sufficiently safe and/or effective for approval by regulatory authorities. In addition, we may not be able to acquire, discover, or develop any additional product candidates, and any additional product candidates we may develop may not be approved, manufactured, or produced economically, successfully commercialized or widely accepted in the marketplace, or be more effective than other commercially available alternatives. Research programs to identify new product candidates require substantial technical, financial, and human resources whether or not we ultimately identify any candidates. If we are unable to develop or commercialize any other product candidates, our business and prospects will suffer.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tildacerfont for additional indications, our commercial opportunity may be limited.</w:t>
      </w:r>
    </w:p>
    <w:p>
      <w:pPr>
        <w:spacing w:after="0" w:line="117" w:lineRule="exact"/>
        <w:rPr>
          <w:sz w:val="20"/>
          <w:szCs w:val="20"/>
          <w:color w:val="auto"/>
        </w:rPr>
      </w:pPr>
    </w:p>
    <w:p>
      <w:pPr>
        <w:ind w:right="20" w:firstLine="509"/>
        <w:spacing w:after="0" w:line="267" w:lineRule="auto"/>
        <w:rPr>
          <w:sz w:val="20"/>
          <w:szCs w:val="20"/>
          <w:color w:val="auto"/>
        </w:rPr>
      </w:pPr>
      <w:r>
        <w:rPr>
          <w:rFonts w:ascii="Arial" w:cs="Arial" w:eastAsia="Arial" w:hAnsi="Arial"/>
          <w:sz w:val="17"/>
          <w:szCs w:val="17"/>
          <w:color w:val="auto"/>
        </w:rPr>
        <w:t>One of our strategies is to pursue clinical development of tildacerfont in additional endocrine disorders, including, but not limited to, pediatric classic CAH and a subpopulation of females with PCOS. The endocrine disorders we are targeting are all rare disorders and, as a result, the market size for the treatment of patients with such disorders is limited. In addition, CRF1 receptor antagonism may not be an appropriate or effective mechanism in indications where disease biology supports a need to reduce ACTH. Due to these factors, our ability to grow revenue may be dependent on our ability to successfully develop and commercialize tildacerfont for the treatment of additional indications. Developing, obtaining regulatory approval and commercializing tildacerfont for additional indications will require substantial additional funding and is prone to the risks of failure inherent in drug development. We may not be able to successfully advance any of these indications through the development</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13"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process. Even if we receive regulatory approval to market tildacerfont for the treatment of any of these additional indications, any such additional indications may not be successfully commercialized, widely accepted in the marketplace, or more effective than other commercially available alternatives. If we are unable to successfully develop and commercialize tildacerfont for these additional indications, our commercial opportunity may be limited.</w:t>
      </w:r>
    </w:p>
    <w:p>
      <w:pPr>
        <w:spacing w:after="0" w:line="4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62"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The biopharmaceutical industry is characterized by intense competition and rapid innovation. Although we believe that we hold a leading position in our focus on rare endocrine disorders,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or less costly than tildacerfont. We believe the key competitive factors that will affect the development and commercial success of tildacerfont are efficacy, safety and tolerability profile, reliability, convenience of dosing, price and reimbursement.</w:t>
      </w:r>
    </w:p>
    <w:p>
      <w:pPr>
        <w:spacing w:after="0" w:line="64"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Although classic CAH is part of the newborn screening program in most developed countries, there are no known novel therapies that have been approved in approximately 70 years. We are aware of other companies actively developing treatments for patients with classic CAH. Neurocrine Biosciences, Inc. is developing a CRF1 receptor antagonist and has initiated Phase 3 registrational trials in adult and pediatric classic CAH and plans to report topline results from both studies in 2023. Crinetics Pharmaceuticals, Inc. plans to initiate a Phase 2 clinical trial in 2023 to evaluate the safety and efficacy of an oral ACTH antagonist in adults with CAH. BridgeBio Pharma, Inc. is evaluating an AAV5 gene therapy product candidate to treat classic CAH in a Phase 1/2 proof-of-concept clinical trial. In addition, while tildacerfont ultimately seeks to significantly reduce steroid use for patients with classic CAH, patients will continue to use their steroid regimen. As high doses of corticosteroids are the current standard of care for the treatment of classic CAH, in the United States alone, there are more than two dozen companies manufacturing steroid-based products.</w:t>
      </w:r>
    </w:p>
    <w:p>
      <w:pPr>
        <w:spacing w:after="0" w:line="5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Our commercial potential could be reduced or eliminated if our competitors develop and commercialize products that are safer, more effective, have fewer or less severe side effects, are more convenient, or are less expensive than products that we may develop.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We believe the key competitive factors affecting the success of tildacerfont are likely to be efficacy, safety, and convenience.</w:t>
      </w:r>
    </w:p>
    <w:p>
      <w:pPr>
        <w:spacing w:after="0" w:line="8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Even though we have obtained orphan drug designation for tildacerfont for the treatment of CAH, we may not be able to obtain or maintain the benefits associated with orphan drug status, including market exclusivity.</w:t>
      </w:r>
    </w:p>
    <w:p>
      <w:pPr>
        <w:spacing w:after="0" w:line="62" w:lineRule="exact"/>
        <w:rPr>
          <w:sz w:val="20"/>
          <w:szCs w:val="20"/>
          <w:color w:val="auto"/>
        </w:rPr>
      </w:pPr>
    </w:p>
    <w:p>
      <w:pPr>
        <w:ind w:right="60" w:firstLine="509"/>
        <w:spacing w:after="0" w:line="267" w:lineRule="auto"/>
        <w:rPr>
          <w:sz w:val="20"/>
          <w:szCs w:val="20"/>
          <w:color w:val="auto"/>
        </w:rPr>
      </w:pPr>
      <w:r>
        <w:rPr>
          <w:rFonts w:ascii="Arial" w:cs="Arial" w:eastAsia="Arial" w:hAnsi="Arial"/>
          <w:sz w:val="17"/>
          <w:szCs w:val="17"/>
          <w:color w:val="auto"/>
        </w:rPr>
        <w:t>Regulatory authorities in some jurisdictions, including the United States and the EU, may designate drugs for relatively small patient populations as orphan drugs. Under the Orphan Drug Act, the FDA may designate a drug as an orphan drug if it is intended to treat a rare disease or condition, which is generally defined as a patient population of fewer than 200,000 people in the United States, or a patient population of greater than 200,000 people in the United States, but for which there is no reasonable expectation that the cost of developing the drug will be recovered from sales in the United States. In the EU, the European Commission, on the basis of the opinion of the EMA Committee for Orphan Medicinal Products, grants orphan drug designation for medicines to be developed for the diagnosis, prevention or treatment of diseases that are life-threatening or chronically debilitating, for which either no satisfactory method of diagnosis, prevention, or treatment exists, or if such method exists, the medicine is of significant benefit to those affected by such condition. To benefit from such designation, either the prevalence of such condition must not be more than five in 10,000 people across the EU or, if more prevalent, it must be unlikely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that the marketing of the medicine would generate sufficient returns to justify the investment needed for its development.</w:t>
      </w:r>
    </w:p>
    <w:p>
      <w:pPr>
        <w:spacing w:after="0" w:line="117" w:lineRule="exact"/>
        <w:rPr>
          <w:sz w:val="20"/>
          <w:szCs w:val="20"/>
          <w:color w:val="auto"/>
        </w:rPr>
      </w:pPr>
    </w:p>
    <w:p>
      <w:pPr>
        <w:ind w:right="20" w:firstLine="509"/>
        <w:spacing w:after="0" w:line="267" w:lineRule="auto"/>
        <w:rPr>
          <w:sz w:val="20"/>
          <w:szCs w:val="20"/>
          <w:color w:val="auto"/>
        </w:rPr>
      </w:pPr>
      <w:r>
        <w:rPr>
          <w:rFonts w:ascii="Arial" w:cs="Arial" w:eastAsia="Arial" w:hAnsi="Arial"/>
          <w:sz w:val="17"/>
          <w:szCs w:val="17"/>
          <w:color w:val="auto"/>
        </w:rPr>
        <w:t>We have received orphan drug designation for tildacerfont for the treatment of patients with CAH in both the US and EU. Generally, if a drug with an orphan drug designation subsequently receives the first marketing approval for the indication for which it has such designation, the drug may be entitled to a period of marketing exclusivity, which precludes the FDA or the European Commission from approving another marketing application for the same drug (or, in the case of the European Commission, a similar drug) and same indication for that time period. The applicable period is seven years in the United States and ten years in the EU, which may be extended by six months and two years, respectively, in the case of product candidates that have complied with the respective regulatory agency’s agreed upon pediatric investigation plan. The exclusivity period in the EU can be reduced to six years if, at the end of the fifth year, it is established that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even after a drug is granted orphan exclusivity and approved, the FDA and the European Commission can subsequently approve a different drug for the same condition or the same drug for a different condition, which may subject the orphan-exclusive product to off-label competition. As well, before the expiration of the orphan exclusivity period, the FDA or European Commission may grant approval to a competitor if it concludes that a subsequent application for the same drug for the same indication is clinically superior in that it is shown to be safer, more effective or makes a major contribution to patient care. In the EU, the EMA may deny marketing approval for a product candidate if it determines such product candidate is structurally similar to an approved product for the same indication. In addition, if an orphan designated product receives marketing approval for an indication broader than or different from what is designated, such product may not be entitled to orphan exclusivity. Even though the FDA has granted orphan drug designation to tildacerfont for the treatment of classic CAH, if we receive approval for tildacerfont for a modified or different indication, our current orphan designations may not provide us with exclusivity.</w:t>
      </w:r>
    </w:p>
    <w:p>
      <w:pPr>
        <w:spacing w:after="0" w:line="82" w:lineRule="exact"/>
        <w:rPr>
          <w:sz w:val="20"/>
          <w:szCs w:val="20"/>
          <w:color w:val="auto"/>
        </w:rPr>
      </w:pPr>
    </w:p>
    <w:p>
      <w:pPr>
        <w:jc w:val="both"/>
        <w:ind w:right="200" w:firstLine="509"/>
        <w:spacing w:after="0" w:line="263" w:lineRule="auto"/>
        <w:rPr>
          <w:sz w:val="20"/>
          <w:szCs w:val="20"/>
          <w:color w:val="auto"/>
        </w:rPr>
      </w:pPr>
      <w:r>
        <w:rPr>
          <w:rFonts w:ascii="Arial" w:cs="Arial" w:eastAsia="Arial" w:hAnsi="Arial"/>
          <w:sz w:val="18"/>
          <w:szCs w:val="18"/>
          <w:color w:val="auto"/>
        </w:rPr>
        <w:t>Orphan drug designation does not convey any advantage in, or shorten the duration of, the regulatory review or approval process. Also, regulatory approval for any product candidate may be withdrawn, and other product candidates may obtain approval before us and receive orphan drug exclusivity, which could block us from entering the market.</w:t>
      </w:r>
    </w:p>
    <w:p>
      <w:pPr>
        <w:spacing w:after="0" w:line="76"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Even if we obtain orphan drug exclusivity for tildacerfont, that exclusivity may not effectively protect us from competition because different drugs can be approved for the same condition before the expiration of the orphan drug exclusivity period.</w:t>
      </w:r>
    </w:p>
    <w:p>
      <w:pPr>
        <w:spacing w:after="0" w:line="6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We may pursue orphan drug designation for tildacerfont for the treatment of a subpopulation of females with PCOS. The incidence and prevalence of this target patient population is based on our estimates and third-party data. If the market opportunity for this target population is larger than we estimate, we may be unable to receive orphan drug designation. Additionally, if orphan drug designation is granted, we may be unable to maintain any benefits associated with orphan drug designation, including market exclusivity.</w:t>
      </w:r>
    </w:p>
    <w:p>
      <w:pPr>
        <w:spacing w:after="0" w:line="63" w:lineRule="exact"/>
        <w:rPr>
          <w:sz w:val="20"/>
          <w:szCs w:val="20"/>
          <w:color w:val="auto"/>
        </w:rPr>
      </w:pPr>
    </w:p>
    <w:p>
      <w:pPr>
        <w:ind w:right="140" w:firstLine="509"/>
        <w:spacing w:after="0" w:line="273" w:lineRule="auto"/>
        <w:rPr>
          <w:sz w:val="20"/>
          <w:szCs w:val="20"/>
          <w:color w:val="auto"/>
        </w:rPr>
      </w:pPr>
      <w:r>
        <w:rPr>
          <w:rFonts w:ascii="Arial" w:cs="Arial" w:eastAsia="Arial" w:hAnsi="Arial"/>
          <w:sz w:val="17"/>
          <w:szCs w:val="17"/>
          <w:color w:val="auto"/>
        </w:rPr>
        <w:t>Periodically, we make estimates regarding the incidence and prevalence of target patient populations based on various third-party sources and internally generated analysis. Our estimates may be inaccurate or based on imprecise data. As described above, under the Orphan Drug Act, the FDA may designate a drug as an orphan drug if it is intended to treat a rare disease or condition, which is generally defined as a patient population of fewer than 200,000 people in the United States, or a patient population of greater than 200,000 people in the United States, but for which there is no reasonable expectation that the cost of developing the drug will be recovered from sales in the United States. If our incidence or prevalence estimates for the subpopulation of females with PCOS are incorrect, we may be unable to receive orphan drug designation.</w:t>
      </w:r>
    </w:p>
    <w:p>
      <w:pPr>
        <w:spacing w:after="0" w:line="70"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Even if the FDA grants orphan drug designation for tildacerfont for the treatment of a subpopulation of females with PCOS, exclusive marketing rights in the United States may be limited if we seek FDA marketing approval for an indication broader than the orphan designated indication. Additionally, any product candidate that initially receives orphan drug status designation, may lose such designation if the FDA later determines that the request for designation was materially defective or if the manufacturer is unable to assure sufficient quantities of the product to meet the needs of patients with the rare disease or condition. In addition, others may obtain orphan drug status for products addressing the same diseases or conditions as products we are developing, thus limiting our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ability to compete in the markets addressing such diseases or conditions for a significant period of time. As a result, our business and prospects could suffer.</w:t>
      </w:r>
    </w:p>
    <w:p>
      <w:pPr>
        <w:spacing w:after="0" w:line="6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form or seek strategic alliances or enter into additional licensing arrangements in the future, and we may not realize the benefits of such alliances or licensing arrangements.</w:t>
      </w:r>
    </w:p>
    <w:p>
      <w:pPr>
        <w:spacing w:after="0" w:line="62"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may form or seek strategic alliances, create joint ventures or collaborations or enter into additional licensing arrangements with third parties that we believe will complement or augment our development and commercialization efforts with respect to tildacerfont and any future product candidates that we may develop. We intend to establish commercial partnerships outside of the United States in selected foreign markets. Any of these relationships may require us to incur non-recurring and other charges, increase our near-and long-term expenditures, issue securities that dilute our existing stockholders, or disrupt our management and business. In addition, we face significant competition in seeking appropriate strategic partners and the negotiation process is time-consuming and complex. If we license products or businesses, we may not be able to realize the benefit of such transactions if we are unable to successfully integrate them with our existing operations and company culture. Following a strategic transaction or license, we may not achieve the revenues or cash flows that justifies such transaction. Any delays in entering into new strategic partnership agreements related to tildacerfont could delay the development and commercialization of tildacerfont in certain geographies for certain indications, which would harm our business prospects, financial condition, and results of operations.</w:t>
      </w:r>
    </w:p>
    <w:p>
      <w:pPr>
        <w:spacing w:after="0" w:line="7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failure to successfully in-license, acquire, develop, and market additional product candidates or approved products would impair our ability to grow our business.</w:t>
      </w:r>
    </w:p>
    <w:p>
      <w:pPr>
        <w:spacing w:after="0" w:line="62"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Although a substantial amount of our efforts are focused on the clinical development, potential regulatory approval and commercialization of tildacerfont, a key element of our long-term strategy is to in-license, acquire, develop, market, and commercialize a portfolio of products to treat patients with endocrine disorders. Because we do not have the necessary internal research and development capabilities, unless we build such capabilities internally, we will be dependent upon pharmaceutical companies, academic scientists, and other researchers to sell or license products or technology to us. The success of this strategy depends partly upon our ability to identify and select promising biopharmaceutical product candidates and products, negotiate licensing or acquisition agreements with their current owners, and finance these arrangements. The process of proposing, negotiating, and implementing a license or acquisition of a product candidate or approved product is lengthy and complex. Other companies, including some with substantially greater financial, marketing, sales, and other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licensing opportunities that are never completed, or we may fail to realize the anticipated benefits of such efforts. We may not be able to acquire the rights to additional product candidates on terms that we find acceptable, or at all. Further, any product candidate that we acquire may require additional development efforts prior to commercial sale, including preclinical or clinical testing and approval by the FDA, the EMA and other similar regulatory authorities. All product candidates are prone to risks of failure during biopharmaceutical product development, including the possibility that a product candidate will not be shown to be sufficiently safe and effective for approval by regulatory authorities. In addition, any approved products that we acquire may not be manufactured or sold profitably or achieve market acceptance.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117" w:lineRule="exact"/>
        <w:rPr>
          <w:sz w:val="20"/>
          <w:szCs w:val="20"/>
          <w:color w:val="auto"/>
        </w:rPr>
      </w:pPr>
    </w:p>
    <w:p>
      <w:pPr>
        <w:ind w:right="460" w:firstLine="509"/>
        <w:spacing w:after="0" w:line="311" w:lineRule="auto"/>
        <w:rPr>
          <w:sz w:val="20"/>
          <w:szCs w:val="20"/>
          <w:color w:val="auto"/>
        </w:rPr>
      </w:pPr>
      <w:r>
        <w:rPr>
          <w:rFonts w:ascii="Arial" w:cs="Arial" w:eastAsia="Arial" w:hAnsi="Arial"/>
          <w:sz w:val="16"/>
          <w:szCs w:val="16"/>
          <w:color w:val="auto"/>
        </w:rPr>
        <w:t>As of December 31, 2022, we had 27 employees, all of whom are full-time. As our development and commercialization plans and strategies develop, and as we transition into operating as a public company, we expect to need additional development, managerial, operational, financial, sales, marketing, and other personnel. Future growth would impose significant added responsibilities on members of management, including:</w:t>
      </w:r>
    </w:p>
    <w:p>
      <w:pPr>
        <w:spacing w:after="0" w:line="41"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regulatory review process for tildacerfont and any future product candidates, while complying with our contractual obligations to contractors and other third parties;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40" w:firstLine="509"/>
        <w:spacing w:after="0" w:line="285" w:lineRule="auto"/>
        <w:rPr>
          <w:sz w:val="20"/>
          <w:szCs w:val="20"/>
          <w:color w:val="auto"/>
        </w:rPr>
      </w:pPr>
      <w:r>
        <w:rPr>
          <w:rFonts w:ascii="Arial" w:cs="Arial" w:eastAsia="Arial" w:hAnsi="Arial"/>
          <w:sz w:val="16"/>
          <w:szCs w:val="16"/>
          <w:color w:val="auto"/>
        </w:rPr>
        <w:t>In addition, we initiated enrollment in CAHmelia-203, our ongoing placebo-controlled, double-blind Phase 2b clinical trial in adult patients with classic CAH with highly elevated levels of A4 at baseline, and in CAHmelia-204, our second Phase 2b clinical trial in adult patients with classic CAH on supraphysiologic doses of glucocorticoids with normal or near normal levels of A4 at baseline focused on glucocorticoid reduction. We also initiated a Phase 2 open-label clinical trial in pediatric patients between two and 17 years of age with classic CAH and a Phase 2 proof-of-concept clinical trial in females with PCOS. Our future financial performance and our ability to commercialize tildacerfont will depend, in part, on our ability to effectively manage any future growth, and our management may also have to divert a disproportionate amount of its attention away from day-to-day activities in order to devote a substantial amount of time to managing these growth activities. To date, we have used the services of outside vendors to perform tasks including clinical trial management, manufacturing, statistics and analysis, regulatory affairs, formulation development, and other drug development functions. Our growth strategy may also entail expanding our group of contractors or consultants to implement these tasks going forward. Because we rely on numerous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tildacerfont and any future product candidates or otherwise advance our business. We may not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tildacerfont and any future product candidates and, accordingly, may not achieve our research, development and commercialization goals.</w:t>
      </w:r>
    </w:p>
    <w:p>
      <w:pPr>
        <w:spacing w:after="0" w:line="6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Our indebtedness to Silicon Valley Bank may limit our flexibility in operating our business and adversely affect our financial health and competitive position, and our obligations to Silicon Valley Bank are secured by substantially all of our assets, excluding our intellectual property assets. If we default on these obligations, Silicon Valley Bank could foreclose on our assets.</w:t>
      </w:r>
    </w:p>
    <w:p>
      <w:pPr>
        <w:spacing w:after="0" w:line="76"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In September 2019, we entered into a Loan and Security Agreement (the Loan Agreement) providing for a term loan (the Term Loan) with Silicon Valley Bank. In April 2020, we entered into a deferral agreement with Silicon Valley Bank (the Deferral Agreement), whereby we and Silicon Valley Bank agreed to extend the repayment dates of all monthly payments of principal due and the maturity date with respect to the Term Loan by six months. In March 2021, we entered into the First Amendment with Silicon Valley Bank (the First Amendment), which increased the aggregate principal amount of the Term Loan commitment by Silicon Valley Bank to up to $30.0 million. In May 2022, we entered into the Second Amendment with Silicon Valley Bank (the Second Amendment), which amended the milestone upon which the Second Tranche commitment of $10.0 million would become available. As of December 31, 2022, we had $5.0 million outstanding under the Loan Agreement. Commitments available under the Second Tranche of $10.0 million expired on December 31, 2022.</w:t>
      </w:r>
    </w:p>
    <w:p>
      <w:pPr>
        <w:spacing w:after="0" w:line="84" w:lineRule="exact"/>
        <w:rPr>
          <w:sz w:val="20"/>
          <w:szCs w:val="20"/>
          <w:color w:val="auto"/>
        </w:rPr>
      </w:pPr>
    </w:p>
    <w:p>
      <w:pPr>
        <w:ind w:right="120" w:firstLine="509"/>
        <w:spacing w:after="0" w:line="273" w:lineRule="auto"/>
        <w:rPr>
          <w:sz w:val="20"/>
          <w:szCs w:val="20"/>
          <w:color w:val="auto"/>
        </w:rPr>
      </w:pPr>
      <w:r>
        <w:rPr>
          <w:rFonts w:ascii="Arial" w:cs="Arial" w:eastAsia="Arial" w:hAnsi="Arial"/>
          <w:sz w:val="17"/>
          <w:szCs w:val="17"/>
          <w:color w:val="auto"/>
        </w:rPr>
        <w:t>All obligations under the Term Loan are secured by a first priority lien on substantially all of our assets, excluding intellectual property assets. We have agreed with Silicon Valley Bank not to encumber our intellectual property assets without its prior written consent unless a security interest in the underlying intellectual property is necessary to have a security interest in the accounts and proceeds that are part of the assets securing the Term Loan, in which case our intellectual property shall automatically be included within the assets securing the Term Loan. As a result, if we default on any of our obligations under the Loan Agreement, Silicon Valley Bank could foreclose on its security interest and liquidate some or all of the collateral, which would harm our business, financial condition, and results of operations and could require us to reduce or cease operations.</w:t>
      </w:r>
    </w:p>
    <w:p>
      <w:pPr>
        <w:spacing w:after="0" w:line="70"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color w:val="auto"/>
        </w:rPr>
        <w:t>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Our business may not be able to generate sufficient cash flow from operations, and future borrowings or other financings may not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and in the economy generally. This could place us at a competitive disadvantage compared to our competitors that have less indebtedness.</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Loan Agreement contains certain covenants that limit our ability to engage in certain transactions that may be in our long-term best interest, including entering into a change in control transaction. The Loan Agreement also contains certain covenants that limit our ability to obtain additional debt financing, including incurring debt from third parties not permitted under the Loan Agreement or incurring liens or encumbrances on our property. While we have not previously breached and are currently in compliance with the covenants contained in the Loan Agreement, we may breach these covenants in the future. Our ability to comply with these covenants may be affected by events and factors beyond our control. In the event that we breach one or more covenants, Silicon Valley Bank may choose to declare an event of default and require that we immediately repay all amounts outstanding under the Loan Agreement, terminate any commitment to extend further credit and foreclose on the collateral. In addition, if an event of default occurs under the Loan Agreement, Silicon Valley Bank may, among other things, accelerate the Term Loan or do any acts it considers necessary or reasonable to protect its security interest in the collateral under the Term Loan. Events of default include the occurrence of a material adverse change in our business, operations, or condition (financial or otherwise). The occurrence of any of these events could have a material adverse effect on our business, financial condition, and results of operations.</w:t>
      </w:r>
    </w:p>
    <w:p>
      <w:pPr>
        <w:spacing w:after="0" w:line="74" w:lineRule="exact"/>
        <w:rPr>
          <w:sz w:val="20"/>
          <w:szCs w:val="20"/>
          <w:color w:val="auto"/>
        </w:rPr>
      </w:pPr>
    </w:p>
    <w:p>
      <w:pPr>
        <w:jc w:val="both"/>
        <w:ind w:right="240" w:firstLine="509"/>
        <w:spacing w:after="0" w:line="263" w:lineRule="auto"/>
        <w:rPr>
          <w:sz w:val="20"/>
          <w:szCs w:val="20"/>
          <w:color w:val="auto"/>
        </w:rPr>
      </w:pPr>
      <w:r>
        <w:rPr>
          <w:rFonts w:ascii="Arial" w:cs="Arial" w:eastAsia="Arial" w:hAnsi="Arial"/>
          <w:sz w:val="18"/>
          <w:szCs w:val="18"/>
          <w:color w:val="auto"/>
        </w:rPr>
        <w:t>For a more detailed description of the terms of the Loan Agreement, see the section titled “Management’s Discussion and Analysis of Financial Condition and Results of Operations—Material Agreements—Loan Agreement” and Note 6 to our financial statements, each included elsewhere in this Annual Report on Form 10-K.</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62"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We may seek additional capital through a combination of equity offerings, debt financings, strategic partnerships and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current or future product candidates, or grant licenses on terms unfavorable to us.</w:t>
      </w:r>
    </w:p>
    <w:p>
      <w:pPr>
        <w:spacing w:after="0" w:line="5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strategic partners, and vendors may engage in misconduct or other improper activities, including noncompliance with regulatory standards and requirements.</w:t>
      </w:r>
    </w:p>
    <w:p>
      <w:pPr>
        <w:spacing w:after="0" w:line="62"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are exposed to the risk that employees, independent contractors, principal investigators, CROs, consultants, and vendors may engage in fraudulent or other illegal activity. Misconduct by these parties could include intentional, reckless and/or negligent conduct or disclosure of unauthorized activities to us that violates: (i) the rules of the FDA and other similar foreign regulatory bodies, including those rules that require the reporting of true, complete, and accurate information to the FDA and other similar foreign regulatory bodies; (ii) manufacturing standards; (iii) healthcare fraud and abuse laws in the United States and similar foreign fraudulent misconduct laws or (iv) laws that require the true, complete, and accurate reporting of our financial information or data. These laws may impact, among other things, our current activities with principal investigators and research subjects,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74" w:lineRule="exact"/>
        <w:rPr>
          <w:sz w:val="20"/>
          <w:szCs w:val="20"/>
          <w:color w:val="auto"/>
        </w:rPr>
      </w:pPr>
    </w:p>
    <w:p>
      <w:pPr>
        <w:ind w:right="480" w:firstLine="509"/>
        <w:spacing w:after="0" w:line="255" w:lineRule="auto"/>
        <w:rPr>
          <w:sz w:val="20"/>
          <w:szCs w:val="20"/>
          <w:color w:val="auto"/>
        </w:rPr>
      </w:pPr>
      <w:r>
        <w:rPr>
          <w:rFonts w:ascii="Arial" w:cs="Arial" w:eastAsia="Arial" w:hAnsi="Arial"/>
          <w:sz w:val="18"/>
          <w:szCs w:val="18"/>
          <w:color w:val="auto"/>
        </w:rPr>
        <w:t>If we obtain regulatory approval for tildacerfont and begin commercializing those products in the United States and in Europe, our potential exposure under such laws will increase significantly, and our costs associated with compliance with such laws are also likely to increase. If any such actions are instituted against us, and we are</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additional reporting requirements and/or oversight if we become subject to a corporate integrity agreement or similar agreement to resolve allegations of non-compliance with these laws, contractual damages, reputational harm, diminished profits and future earnings, and curtailment of our operations.</w:t>
      </w:r>
    </w:p>
    <w:p>
      <w:pPr>
        <w:spacing w:after="0" w:line="80" w:lineRule="exact"/>
        <w:rPr>
          <w:sz w:val="20"/>
          <w:szCs w:val="20"/>
          <w:color w:val="auto"/>
        </w:rPr>
      </w:pPr>
    </w:p>
    <w:p>
      <w:pPr>
        <w:ind w:right="360"/>
        <w:spacing w:after="0" w:line="340" w:lineRule="auto"/>
        <w:rPr>
          <w:sz w:val="20"/>
          <w:szCs w:val="20"/>
          <w:color w:val="auto"/>
        </w:rPr>
      </w:pPr>
      <w:r>
        <w:rPr>
          <w:rFonts w:ascii="Arial" w:cs="Arial" w:eastAsia="Arial" w:hAnsi="Arial"/>
          <w:sz w:val="15"/>
          <w:szCs w:val="15"/>
          <w:b w:val="1"/>
          <w:bCs w:val="1"/>
          <w:i w:val="1"/>
          <w:iCs w:val="1"/>
          <w:color w:val="auto"/>
        </w:rPr>
        <w:t>Our relationships with customers, healthcare providers and third-party payors may be subject, directly or indirectly, to federal and state healthcare fraud and abuse laws, false claims laws, health information privacy and security laws, and other healthcare laws and regulations. If we or our employees, independent contractors, consultants, commercial partners, or vendors violate these laws, we could face substantial penalties.</w:t>
      </w:r>
    </w:p>
    <w:p>
      <w:pPr>
        <w:spacing w:after="0" w:line="23"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color w:val="auto"/>
        </w:rPr>
        <w:t>Our relationships with customers, healthcare providers, and third-party payors may be subject, directly or indirectly, to federal and state healthcare fraud and abuse laws, false claims laws, health information privacy and security laws, and other healthcare laws and regulations. These laws may impact, among other things, our clinical research program, as well as our proposed and future sales, marketing, and education programs. In particular, the promotion, sales and marketing of healthcare items and services is subject to extensive laws and regulations designed to prevent fraud, kickbacks, self-dealing, and other abusive practices. These laws and regulations may restrict or prohibit a wide range of pricing, discounting, marketing and promotion, sales commission, customer incentive, and other business arrangements. We may also be subject to federal, state and foreign laws governing the privacy and security of identifiable patient information. The U.S. healthcare laws and regulations that may affect our ability to operate include, but are not limited to:</w:t>
      </w:r>
    </w:p>
    <w:p>
      <w:pPr>
        <w:spacing w:after="0" w:line="84" w:lineRule="exact"/>
        <w:rPr>
          <w:sz w:val="20"/>
          <w:szCs w:val="20"/>
          <w:color w:val="auto"/>
        </w:rPr>
      </w:pPr>
    </w:p>
    <w:p>
      <w:pPr>
        <w:ind w:left="1020" w:right="80" w:hanging="503"/>
        <w:spacing w:after="0" w:line="290"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any person or entity from knowingly and willfully, offering, paying, soliciting or receiving any remuneration, directly or indirectly, overtly or covertly, in cash or in kind, to induce, or in return for, the purchasing, leasing, ordering or arranging for the purchase, lease, or order of any item or service reimbursable under Medicare, Medicaid or other federal healthcare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may be alleged to be intended to induce prescribing, purchases or recommendations, include any payments of more than fair market value, and may be subject to scrutiny if they do not qualify for an exception or safe harbor. In addition, a person or entity does not need to have actual knowledge of this statute or specific intent to violate it in order to have committed a violation.</w:t>
      </w:r>
    </w:p>
    <w:p>
      <w:pPr>
        <w:spacing w:after="0" w:line="57" w:lineRule="exact"/>
        <w:rPr>
          <w:rFonts w:ascii="Arial" w:cs="Arial" w:eastAsia="Arial" w:hAnsi="Arial"/>
          <w:sz w:val="16"/>
          <w:szCs w:val="16"/>
          <w:color w:val="auto"/>
        </w:rPr>
      </w:pPr>
    </w:p>
    <w:p>
      <w:pPr>
        <w:ind w:left="1020" w:right="80" w:hanging="503"/>
        <w:spacing w:after="0" w:line="293"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federal civil and criminal false claims laws, including the federal civil False Claims Act, and civil monetary penalty laws, which prohibit, among other things, individuals or entities from knowingly presenting, or causing to be presented, claims for payment or approval from Medicare, Medicaid, or other federal government programs that are false or fraudulent or knowingly making a false statement to improperly avoid, decrease or conceal an obligation to pay money to the federal government, including federal healthcare programs. In addition, the government may assert that a claim including items or services resulting from a violation of the federal Anti-Kickback Statute constitutes a false or fraudulent claim for purposes of the federal civil False Claims Act and the civil monetary penalties statute;</w:t>
      </w:r>
    </w:p>
    <w:p>
      <w:pPr>
        <w:spacing w:after="0" w:line="56" w:lineRule="exact"/>
        <w:rPr>
          <w:rFonts w:ascii="Arial" w:cs="Arial" w:eastAsia="Arial" w:hAnsi="Arial"/>
          <w:sz w:val="16"/>
          <w:szCs w:val="16"/>
          <w:color w:val="auto"/>
        </w:rPr>
      </w:pPr>
    </w:p>
    <w:p>
      <w:pPr>
        <w:ind w:left="1020" w:right="20" w:hanging="503"/>
        <w:spacing w:after="0" w:line="291"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(HIPAA), which created new federal civil and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including private third-party payors and knowingly and willfully falsifying, concealing or covering up by any trick, scheme or device, a material fact or making any materially false, fictitious or fraudulent statements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58" w:lineRule="exact"/>
        <w:rPr>
          <w:rFonts w:ascii="Arial" w:cs="Arial" w:eastAsia="Arial" w:hAnsi="Arial"/>
          <w:sz w:val="16"/>
          <w:szCs w:val="16"/>
          <w:color w:val="auto"/>
        </w:rPr>
      </w:pPr>
    </w:p>
    <w:p>
      <w:pPr>
        <w:ind w:left="1020" w:hanging="503"/>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and their respective implementing</w:t>
      </w:r>
    </w:p>
    <w:p>
      <w:pPr>
        <w:spacing w:after="0" w:line="35" w:lineRule="exact"/>
        <w:rPr>
          <w:sz w:val="20"/>
          <w:szCs w:val="20"/>
          <w:color w:val="auto"/>
        </w:rPr>
      </w:pPr>
    </w:p>
    <w:p>
      <w:pPr>
        <w:ind w:left="1020" w:right="440"/>
        <w:spacing w:after="0" w:line="250" w:lineRule="auto"/>
        <w:rPr>
          <w:sz w:val="20"/>
          <w:szCs w:val="20"/>
          <w:color w:val="auto"/>
        </w:rPr>
      </w:pPr>
      <w:r>
        <w:rPr>
          <w:rFonts w:ascii="Arial" w:cs="Arial" w:eastAsia="Arial" w:hAnsi="Arial"/>
          <w:sz w:val="18"/>
          <w:szCs w:val="18"/>
          <w:color w:val="auto"/>
        </w:rPr>
        <w:t>regulations, which impose requirements on certain healthcare providers, health plans, and healthcare clearinghouses, known as covered entities, and their respective business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left="1020" w:right="220"/>
        <w:spacing w:after="0" w:line="277" w:lineRule="auto"/>
        <w:rPr>
          <w:sz w:val="20"/>
          <w:szCs w:val="20"/>
          <w:color w:val="auto"/>
        </w:rPr>
      </w:pPr>
      <w:r>
        <w:rPr>
          <w:rFonts w:ascii="Arial" w:cs="Arial" w:eastAsia="Arial" w:hAnsi="Arial"/>
          <w:sz w:val="18"/>
          <w:szCs w:val="18"/>
          <w:color w:val="auto"/>
        </w:rPr>
        <w:t>associates that perform services for them that involve the use, or disclosure of, individually identifiable health information as well as their covered subcontractors; and</w:t>
      </w:r>
    </w:p>
    <w:p>
      <w:pPr>
        <w:spacing w:after="0" w:line="62" w:lineRule="exact"/>
        <w:rPr>
          <w:sz w:val="20"/>
          <w:szCs w:val="20"/>
          <w:color w:val="auto"/>
        </w:rPr>
      </w:pPr>
    </w:p>
    <w:p>
      <w:pPr>
        <w:ind w:left="1020" w:right="100" w:hanging="503"/>
        <w:spacing w:after="0" w:line="296" w:lineRule="auto"/>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certain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(such as physician assistants and nurse practitioners), and teaching hospitals, as well as ownership and investment interests held by physicians and their immediate family members.</w:t>
      </w:r>
    </w:p>
    <w:p>
      <w:pPr>
        <w:spacing w:after="0" w:line="53"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We may also be subject to state and foreign equivalents of each of the healthcare laws described above, among others, some of which may be broader in scope. For example, we may be subject to the following: state anti-kickback and false claims laws that may apply to sales or marketing arrangements and claims involving healthcare items or services reimbursed by non-governmental third party payors, including private insurers, or that apply regardless of payor;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marketing expenditures, or drug pricing; state and local laws requiring the registration of pharmaceutical sales and medical representatives; and state and foreign laws, such as the European Union General Data Protection Regulation (GDPR) governing the privacy and security of health information in some circumstances, many of which differ from each other in significant ways and often are not preempted by HIPAA, thus complicating compliance efforts.</w:t>
      </w:r>
    </w:p>
    <w:p>
      <w:pPr>
        <w:spacing w:after="0" w:line="73"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Additionally, we may be subject to federal consumer protection and unfair competition laws, which broadly regulate marketplace activities and activities that potentially harm consumers.</w:t>
      </w:r>
    </w:p>
    <w:p>
      <w:pPr>
        <w:spacing w:after="0" w:line="62"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Because of the breadth of these laws and the narrowness of the statutory exceptions and regulatory safe harbors available, it is possible that some of our business activities, or our arrangements with physicians, could be subject to challenge under one or more of such laws. It is not always possible to identify and deter employee misconduct or business noncompliance,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we or our employees, independent contractors, consultants, commercial partners and vendors violate these laws, we may be subject to investigations, enforcement actions and/or significant penalties,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additional reporting requirements and/or oversight if we become subject to a corporate integrity agreement or similar agreement to resolve allegations of non-compliance with these laws, and curtailment of our operations, any of which could adversely affect our ability to operate our business and our results of operations. In addition, the approval and commercialization of tildacerfont outside the United States will also likely subject us to foreign equivalents of the healthcare laws mentioned above, among other foreign laws.</w:t>
      </w:r>
    </w:p>
    <w:p>
      <w:pPr>
        <w:spacing w:after="0" w:line="63"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41"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In the ordinary course of our business, we and the third parties upon which we rely collect, receive, store, process, generate, use, transfer, disclose, make accessible, protect, secure, dispose of, transmit, and share (collectively, process) proprietary, confidential, and sensitive data, including personal data (such as health-related data), intellectual property, and trade secrets (collectively, sensitive data).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sensitive data and information technology</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76"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w:t>
      </w:r>
    </w:p>
    <w:p>
      <w:pPr>
        <w:spacing w:after="0" w:line="79"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We and our third-party collaborators, consultants, contractors, suppliers, and service providers are subject to a variety of evolving threats, including but not limited to physical or electronic break-ins, social engineering attempts (including through phishing and spam emails), malicious code (such as computer viruses and worms), malware (including as a result of advanced persistent intrusions), ransomware attacks, natural disasters, terrorism, war, server malfunctions, telecommunication and electrical failure, denial of service attacks (such as credential stuffing), credential harvesting, personnel misconduct or error, supply-chain attacks, software bugs, and other similar threats.</w:t>
      </w:r>
    </w:p>
    <w:p>
      <w:pPr>
        <w:spacing w:after="0" w:line="68"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231F20"/>
        </w:rPr>
        <w:t>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57"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84"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 xml:space="preserve">In addition, our reliance on third-party service providers could introduce new cybersecurity risks and vulnerabilities, including supply-chain attacks, and other threats to our business operations. We rely on third-party service providers and technologies to operate critical business systems to process sensitive data in a variety of contexts, including, without limitation, cloud-based infrastructure, third-party research institution collaborators and other third parties to conduct clinical trials, data center facilities, encryption and authentication technology, employee email, and other functions. Our ability to monitor these third parties’ information security practices is limited, and these third parties may not have adequate information security measures in place. </w:t>
      </w:r>
      <w:r>
        <w:rPr>
          <w:rFonts w:ascii="Arial" w:cs="Arial" w:eastAsia="Arial" w:hAnsi="Arial"/>
          <w:sz w:val="16"/>
          <w:szCs w:val="16"/>
          <w:color w:val="231F20"/>
        </w:rPr>
        <w:t>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5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Any of the previously identified or similar threats could cause a security incident or other interruption that could result in unauthorized, unlawful, or accidental acquisition, modification, destruction, alteration, encryption, access to, use or disclosure of, corruption of, or loss of sensitive data or our information technology systems, or those of the third parties upon whom we rely. A security incident or other interruption could disrupt our ability (and that of third parties upon whom we rely) to provide our services.</w:t>
      </w:r>
    </w:p>
    <w:p>
      <w:pPr>
        <w:spacing w:after="0" w:line="7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may expend significant resources or modify our business activities (including our clinical trial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spacing w:after="0" w:line="76" w:lineRule="exact"/>
        <w:rPr>
          <w:sz w:val="20"/>
          <w:szCs w:val="20"/>
          <w:color w:val="auto"/>
        </w:rPr>
      </w:pPr>
    </w:p>
    <w:p>
      <w:pPr>
        <w:ind w:right="140" w:firstLine="509"/>
        <w:spacing w:after="0" w:line="269" w:lineRule="auto"/>
        <w:rPr>
          <w:sz w:val="20"/>
          <w:szCs w:val="20"/>
          <w:color w:val="auto"/>
        </w:rPr>
      </w:pPr>
      <w:r>
        <w:rPr>
          <w:rFonts w:ascii="Arial" w:cs="Arial" w:eastAsia="Arial" w:hAnsi="Arial"/>
          <w:sz w:val="17"/>
          <w:szCs w:val="17"/>
          <w:color w:val="auto"/>
        </w:rPr>
        <w:t>While we have implemented security measures designed to protect against security incidents, there can be no assurance that these measures will be effective.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risks to our business. Further, we may experience delays in developing and deploying remedial measures designed to address any such identified vulnerabilities.</w:t>
      </w:r>
    </w:p>
    <w:p>
      <w:pPr>
        <w:spacing w:after="0" w:line="62"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If we or the third parties upon whom we rely experience a security incident, applicable data privacy and security obligations may require us to notify relevant stakeholders, such as consumers, partners, collaborators, government authorities, and the media. Such disclosures are costly, and the disclosure or the failure to comply with such requirements could lead to adverse consequences.</w:t>
      </w:r>
    </w:p>
    <w:p>
      <w:pPr>
        <w:spacing w:after="0" w:line="76"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color w:val="auto"/>
        </w:rPr>
        <w:t>If we (or a third party upon whom we rely) experience a security incident or are perceived to have experienced a security incident, we may experience adverse consequences, such as significant liabilities, regulatory and enforcement actions (including investigations, fines, penalties, audits and inspections), reputational damage, additional reporting requirements and/or oversight, restrictions on processing sensitive data (including personal data), litigation, indemnification obligations, negative publicity, monetary fund diversions, interruptions in our operations (including availability of data), financial loss, and other harms. For example, the loss of clinical trial data from completed or ongoing clinical trials could result in delays in any regulatory approval or clearance efforts and significantly increase our costs to recover or reproduce the data, and subsequently commercialize the product. Additionally, theft of our intellectual property or proprietary business information could require substantial expenditures to remedy. Additionally, the development and commercialization of tildacerfont could be delayed.</w:t>
      </w:r>
    </w:p>
    <w:p>
      <w:pPr>
        <w:spacing w:after="0" w:line="70"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Furthermore, our contracts may not contain limitations of liability, and even where they do, there can be no assurance that limitations of liability in our contracts are sufficient to protect us from liabilities, damages, or claims related to our data privacy and security obligations.</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are subject to stringent and evolving U.S. and foreign laws, regulations, rules, contractual obligations, policies and other obligations related to data privacy and security. Our actual or perceived failure to comply with such obligations could lead to government enforcement actions (which could include civil or criminal penalties), private litigation, adverse publicity, and other adverse consequences, and could negatively affect our operating results and business.</w:t>
      </w:r>
    </w:p>
    <w:p>
      <w:pPr>
        <w:spacing w:after="0" w:line="79"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We and the third parties upon which we rely may be subject to federal, state, local, and foreign data privacy and security laws and regulations, as well as other rules, standards, policies and contractual or other obligations, relating to the processing of personal data. If we or the third parties upon which we rely fail, or are perceived to have failed, to address or comply with any such obligations, this could result in enforcement actions that could include investigations, fines, penalties, audits and inspections, litigation (including class-action claims), additional reporting requirements and/or oversight, temporary or permanent bans on all or some processing of personal data, or orders to destroy or not use personal data.</w:t>
      </w:r>
    </w:p>
    <w:p>
      <w:pPr>
        <w:spacing w:after="0" w:line="53"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In the United States, numerous federal, state, and local laws and regulations, including state data breach notification laws, state health information privacy laws, and federal and state consumer protection laws (e.g., Section 5 of the Federal Trade Commission Act) and regulations, and other laws (e.g., wiretapping laws) that govern the processing of personal data could apply to our operations or the operations of the third parties upon which we rely. In addition, we may obtain health information from third parties (including research institutions from which we obtain clinical trial data) that is subject to privacy and security requirements under HIPAA. If we violate HIPAA, we may be subject to significant administrative and civil penalties. Additionally,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69"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In addition, the California Consumer Privacy Act of 2018, as amended by the California Privacy Rights Act of 2020 (CPRA)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administrative fines of up to $7,500 per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 In addition, the CPRA expanded the CCPA’s requirements, including by adding a new right for individuals to correct their personal data and establishing a new regulatory agency to implement and enforce the law.</w:t>
      </w:r>
    </w:p>
    <w:p>
      <w:pPr>
        <w:spacing w:after="0" w:line="58" w:lineRule="exact"/>
        <w:rPr>
          <w:sz w:val="20"/>
          <w:szCs w:val="20"/>
          <w:color w:val="auto"/>
        </w:rPr>
      </w:pPr>
    </w:p>
    <w:p>
      <w:pPr>
        <w:ind w:right="240" w:firstLine="509"/>
        <w:spacing w:after="0" w:line="258" w:lineRule="auto"/>
        <w:rPr>
          <w:sz w:val="20"/>
          <w:szCs w:val="20"/>
          <w:color w:val="auto"/>
        </w:rPr>
      </w:pPr>
      <w:r>
        <w:rPr>
          <w:rFonts w:ascii="Arial" w:cs="Arial" w:eastAsia="Arial" w:hAnsi="Arial"/>
          <w:sz w:val="18"/>
          <w:szCs w:val="18"/>
          <w:color w:val="auto"/>
        </w:rPr>
        <w:t>Other states, such as Virginia and Colorado, have also passed comprehensive privacy laws, and similar laws are being considered in several other states, as well as at the federal and local levels. While these states, like the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CCPA, also exempt some data processed in the context of clinical trials, these developments may further complicate compliance efforts, and increase legal risk and compliance costs for us and the third parties upon whom we rely.</w:t>
      </w:r>
    </w:p>
    <w:p>
      <w:pPr>
        <w:spacing w:after="0" w:line="62" w:lineRule="exact"/>
        <w:rPr>
          <w:sz w:val="20"/>
          <w:szCs w:val="20"/>
          <w:color w:val="auto"/>
        </w:rPr>
      </w:pPr>
    </w:p>
    <w:p>
      <w:pPr>
        <w:ind w:right="140" w:firstLine="509"/>
        <w:spacing w:after="0" w:line="254" w:lineRule="auto"/>
        <w:rPr>
          <w:sz w:val="20"/>
          <w:szCs w:val="20"/>
          <w:color w:val="auto"/>
        </w:rPr>
      </w:pPr>
      <w:r>
        <w:rPr>
          <w:rFonts w:ascii="Arial" w:cs="Arial" w:eastAsia="Arial" w:hAnsi="Arial"/>
          <w:sz w:val="18"/>
          <w:szCs w:val="18"/>
          <w:color w:val="auto"/>
        </w:rPr>
        <w:t>Outside the United States, an increasing number of laws, regulations, and industry standards may govern data privacy and security, including our processing of personal data. For example, our processing of personal data is or may become subject in certain circumstances to the EU GDPR and/or the UK GDPR. Each of these regulations requires stringent standards of data privacy and security concerning personal data and potentially significant sanctions. For example, companies may face temporary or definitive bans on processing of personal data and other corrective actions; fines of up to 20 million Euros under the EU GDPR /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87"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 xml:space="preserve">In addition, we may be unable to receive and/or further transfer onwards personal data that is processed subject to the EU GDPR and/or UK GDPR, or certain other data privacy and security regimes, due to limitations on cross-border data flows and/or actual or </w:t>
      </w:r>
      <w:r>
        <w:rPr>
          <w:rFonts w:ascii="Arial" w:cs="Arial" w:eastAsia="Arial" w:hAnsi="Arial"/>
          <w:sz w:val="16"/>
          <w:szCs w:val="16"/>
          <w:i w:val="1"/>
          <w:iCs w:val="1"/>
          <w:color w:val="auto"/>
        </w:rPr>
        <w:t>de facto</w:t>
      </w:r>
      <w:r>
        <w:rPr>
          <w:rFonts w:ascii="Arial" w:cs="Arial" w:eastAsia="Arial" w:hAnsi="Arial"/>
          <w:sz w:val="16"/>
          <w:szCs w:val="16"/>
          <w:color w:val="auto"/>
        </w:rPr>
        <w:t xml:space="preserve"> data localization requirements. In particular, the EU GDPR and UK GDPR significantly restrict the transfer of personal data to the United States and other countries whose privacy laws are considered ‘inadequate’ for the purposes of either or both of those regulations. Although there are currently various mechanisms that may be used to effect such cross-border transfers of personal data in compliance with the EU GDPR and UK GDPR, such as the European Commission’s ‘Standard Contractual Clauses’ and the United Kingdom’s ‘International Data Transfer Agreement / Addendum’, all such transfers mechanisms are open to legal challenges, and there is no assurance that we can always satisfy or rely on these mechanisms to lawfully effect cross-border transfers of personal data where required. Other jurisdictions relevant to our operations may implement, or adopt stringent interpretations of, their own data localization and cross-border data transfer laws. If there is no lawful manner for us to effect or be the recipient of cross-border transfers of personal data in compliance with the EU GDPR and/or UK GDPR, and/or other applicable data privacy and security obligations, or if the requirements for a 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ordered certain companies to suspend or permanently cease certain transfers of personal data to recipients outside the EEA for allegedly violating the EU GDPR’s cross-border data transfer limitations. Additionally, companies that transfer personal data to recipients outside of the EEA and/or UK to other jurisdictions, particularly to the United States, are subject to increased scrutiny from regulators individual litigants and activist groups.</w:t>
      </w:r>
    </w:p>
    <w:p>
      <w:pPr>
        <w:spacing w:after="0" w:line="284"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In addition to data privacy and security laws, we are bound by other contractual obligations related to data privacy and security, and our efforts to comply with such obligations may not be successful. For example, patients about whom we or the third parties upon whom we rely to obtain information, as well as the providers who share this information with us, may contractually limit our ability to use and disclose the information. We also publish privacy policies and other statements regarding data privacy and security. If these policies or statements are found to be deficient, lacking in transparency, deceptive, unfair, or misrepresentative of our practices, we may be subject to investigation, enforcement actions by regulators, or other adverse consequences.</w:t>
      </w:r>
    </w:p>
    <w:p>
      <w:pPr>
        <w:spacing w:after="0" w:line="84"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Obligations related to data privacy and security are quickly changing, becoming increasingly stringent, and creating regulatory uncertainty. Compliance with data privacy and security obligations could require us to take on more onerous requirements in our contracts, require us to engage in costly compliance exercises, restrict our ability to collect, use and disclose data, or in some cases, impact our or the third parties upon whom we rely ability to operate in certain jurisdictions. Each of these constantly evolving laws can be subject to varying interpretations.</w:t>
      </w:r>
    </w:p>
    <w:p>
      <w:pPr>
        <w:spacing w:after="0" w:line="63"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Failure to comply with data privacy and security obligations could result in government investigations and enforcement actions (which could include civil or criminal penalties), fines, private litigation, and/or adverse publicity and could negatively affect our operating results and business. Claims that we have violated individuals’ privacy rights, failed to comply with data privacy laws, or breached our contractual obligations, even if we are not found liable, could be expensive and time-consuming to defend and could result in adverse publicity that could harm our business.</w:t>
      </w:r>
    </w:p>
    <w:p>
      <w:pPr>
        <w:spacing w:after="0" w:line="63"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tildacerfont and any future product candidates.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We face an inherent risk of product liability as a result of the clinical testing of tildacerfont and any future product candidates and will face an even greater risk if we commercialize any products. For example, we may be sued if tildacerfont or any future product candidates causes or is perceived to cause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tildacerfont. Even successful defense would require significant financial and management resources. Regardless of the merits or eventual outcome, liability claims may result in:</w:t>
      </w:r>
    </w:p>
    <w:p>
      <w:pPr>
        <w:spacing w:after="0" w:line="69"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decreased demand for tildacerfont and any future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initiation of investigations by regulatory authorities;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commercialize tildacerfont and any future product candidates;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commercialization of products we develop. We currently carry an aggregate of up to $10.0 million of product liability insurance covering our clinical trials. Although we maintain such insurance, any claim that may be brought against us could result in a court judgment or settlement in an amount that is not covered, in whole or in part, by our insurance or that is in excess of the limits of our insurance coverage. If we determine that it is prudent to increase our product liability coverage due to the commercial launch of any approved product, we may be unable to obtain such increased coverage on acceptable terms, or at all.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76" w:lineRule="exact"/>
        <w:rPr>
          <w:sz w:val="20"/>
          <w:szCs w:val="20"/>
          <w:color w:val="auto"/>
        </w:rPr>
      </w:pPr>
    </w:p>
    <w:p>
      <w:pPr>
        <w:ind w:right="40" w:firstLine="509"/>
        <w:spacing w:after="0" w:line="267" w:lineRule="auto"/>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clinical research organizations,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internationally once we enter a commercialization phase, and/or to obtain necessary permits, licenses, patent registrations and other regulatory approvals. We have direct or indirect</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interactions with officials and employees of government agencies or government-affiliated hospitals, universities and other organizations. We can be held liable for the corrupt or other illegal activities of our employees, agents, clinical research organizations, contractors and other collaborators and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17" w:lineRule="exact"/>
        <w:rPr>
          <w:sz w:val="20"/>
          <w:szCs w:val="20"/>
          <w:color w:val="auto"/>
        </w:rPr>
      </w:pPr>
    </w:p>
    <w:p>
      <w:pPr>
        <w:ind w:right="160" w:firstLine="509"/>
        <w:spacing w:after="0" w:line="273" w:lineRule="auto"/>
        <w:rPr>
          <w:sz w:val="20"/>
          <w:szCs w:val="20"/>
          <w:color w:val="auto"/>
        </w:rPr>
      </w:pPr>
      <w:r>
        <w:rPr>
          <w:rFonts w:ascii="Arial" w:cs="Arial" w:eastAsia="Arial" w:hAnsi="Arial"/>
          <w:sz w:val="17"/>
          <w:szCs w:val="17"/>
          <w:color w:val="auto"/>
        </w:rPr>
        <w:t>We have incurred substantial losses during our history and do not expect to become profitable in the near future, and we may never achieve profitability. As of December 31, 2022, after reducing net operating losses (NOLs) and tax credits for amounts not expected to be utilized, we had federal NOL carryforwards of approximately $114.8 million and state NOL carryforwards of approximately $141.1 million. The federal NOL carryforwards arising in taxable years beginning prior to 2018 will begin to expire in 2036 and state NOL carryforwards will begin to expire in 2036, unless previously utilized. We also have federal and state tax credit carryforwards totaling $10.9 million and $1.2 million, respectively. The federal tax credit carryforwards will begin to expire in 2036, unless previously utilized. The state tax credits will not expire.</w:t>
      </w:r>
    </w:p>
    <w:p>
      <w:pPr>
        <w:spacing w:after="0" w:line="7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Under the Tax Act, as modified by the Coronavirus Aid, Relief, and Economic Security Act (CARES Act), federal NOL carryforwards generated in tax years beginning after December 31, 2017 may be carried forward indefinitely but may only be used to offset 80% of our taxable income annually. Similar rules may apply under state tax laws. Such limitations could result in the expiration of our carryforwards before they can be utilized and, if we are profitable, our future cash flows could be adversely affected due to our increased taxable income or tax liability. Our NOLs and tax credit carryforwards are subject to review and possible adjustment by the Internal Revenue Service and state tax authorities and may become subject to an annual limitations under Section 382 and 383 of the Internal Revenue Code of 1986, as amended. Under Section 382, certain cumulative changes in the ownership interest of significant stockholders over a rolling three-year period in excess of 50 percentage points (by value), could result in an ownership change that may limit our ability to utilize our NOL carryforwards and other tax attributes to offset future taxable income or tax liabilities. An ownership change analysis covering periods through December 31, 2021 concluded that an ownership change occurred in May 2016 and in August 2020. As a result of the ownership changes, we derecognized NOL-related deferred tax assets down to the amount expected to be realized. Our ability to use our remaining NOL carryforwards may be further limited if we experience a Section 382 ownership change as a result of future changes in our stock ownership. As of December 31, 2022, we recorded a full valuation allowance on our net deferred tax assets.</w:t>
      </w:r>
    </w:p>
    <w:p>
      <w:pPr>
        <w:spacing w:after="0" w:line="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62" w:lineRule="exact"/>
        <w:rPr>
          <w:sz w:val="20"/>
          <w:szCs w:val="20"/>
          <w:color w:val="auto"/>
        </w:rPr>
      </w:pPr>
    </w:p>
    <w:p>
      <w:pPr>
        <w:ind w:right="60" w:firstLine="509"/>
        <w:spacing w:after="0" w:line="283"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and the recently enacted Inflation Reduction Act of 2022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In addition, it is uncertain if and to what extent various states will conform to the Tax Act, the CARES Act, the Inflation Reduction Act, or any other newly enacted federal tax legislation. Changes in corporate tax rates, the realization of net deferred tax assets relating to our operations, and the deductibility of expenses under the Tax Act, the CARES Act, the Inflation Reduction Act or future reform legislation could have a material impact on the value of our net deferred tax assets, could result in significant one-time charges, and could increase our future tax expense.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depend on intellectual property licensed from Lilly, the termination of which could result in the loss of significant rights, which would harm our business.</w:t>
      </w:r>
    </w:p>
    <w:p>
      <w:pPr>
        <w:spacing w:after="0" w:line="62" w:lineRule="exact"/>
        <w:rPr>
          <w:sz w:val="20"/>
          <w:szCs w:val="20"/>
          <w:color w:val="auto"/>
        </w:rPr>
      </w:pPr>
    </w:p>
    <w:p>
      <w:pPr>
        <w:ind w:right="260" w:firstLine="509"/>
        <w:spacing w:after="0" w:line="279" w:lineRule="auto"/>
        <w:rPr>
          <w:sz w:val="20"/>
          <w:szCs w:val="20"/>
          <w:color w:val="auto"/>
        </w:rPr>
      </w:pPr>
      <w:r>
        <w:rPr>
          <w:rFonts w:ascii="Arial" w:cs="Arial" w:eastAsia="Arial" w:hAnsi="Arial"/>
          <w:sz w:val="17"/>
          <w:szCs w:val="17"/>
          <w:color w:val="auto"/>
        </w:rPr>
        <w:t>We are dependent on technology, patents, know-how, and proprietary materials, both our own and licensed from others. We entered into a license agreement with Lilly in May 2016 pursuant to which we were granted an exclusive, worldwide, royalty bearing, sublicensable license under certain technology, patent rights, know-how, and proprietary materials relating to certain CRF1 receptor antagonist compounds. Any termination of this license will result in the loss of significant rights and will restrict our ability to develop and commercialize tildacerfont.</w:t>
      </w:r>
    </w:p>
    <w:p>
      <w:pPr>
        <w:spacing w:after="0" w:line="63"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below under “Risks Related to Our Intellectual Property.” If we or our licensors fail to adequately protect this intellectual property, our ability to commercialize products could suffer.</w:t>
      </w:r>
    </w:p>
    <w:p>
      <w:pPr>
        <w:spacing w:after="0" w:line="7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If these third parties do not successfully carry out their contractual duties or meet expected deadlines, we may not be able to obtain regulatory approval for or commercialize tildacerfont.</w:t>
      </w:r>
    </w:p>
    <w:p>
      <w:pPr>
        <w:spacing w:after="0" w:line="62"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currently rely on, and intend to continue relying on, third-party CROs in connection with our clinical trials for tildacerfont. We control or will control only certain aspects of their activities. Nevertheless, we are responsible for ensuring that each of our clinical trials is conducted in accordance with applicable protocol, legal, regulatory, and scientific standards, and our reliance on our CROs does not relieve us of our regulatory responsibilities. We and our CROs are required to comply with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CROs fail to comply with applicable GCP regulations, the clinical data generated in our clinical trials may be deemed unreliable and the FDA or comparable foreign regulatory authorities may require us to perform additional clinical trials before approving our marketing applications. Upon inspection, such regulatory authorities may determine that our clinical trials do not comply with the GCP regulations. In addition, our clinical trials must be conducted with drug product produced under cGMP regulations and will require a large number of test subjects. Our failure or any failure by our CROs to comply with these regulations or to recruit a sufficient number of patients may require us to repeat clinical trials, which would delay the regulatory approval process. Moreover, our business may be implicated if any of our CROs violates federal or state fraud and abuse or false claims laws and regulations or healthcare privacy and security laws.</w:t>
      </w:r>
    </w:p>
    <w:p>
      <w:pPr>
        <w:spacing w:after="0" w:line="71"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Our CROs are not our employees and, except for remedies available to us under our agreements with such CROs, we cannot control whether or not they devote sufficient time and resources to our ongoing preclinical, clinical and non-clinical programs. These CROs may also have relationships with other commercial entities, including our competitors, for whom they may also be conducting clinical trials or other drug development activities, which could affect their performance on our behalf. If our CROs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for or successfully commercialize tildacerfont and any future product candidates. As a result, our financial results and the commercial prospects for tildacerfont and any future product candidates would be harmed, our costs could increase and our ability to generate revenues could be delayed.</w:t>
      </w:r>
    </w:p>
    <w:p>
      <w:pPr>
        <w:spacing w:after="0" w:line="88" w:lineRule="exact"/>
        <w:rPr>
          <w:sz w:val="20"/>
          <w:szCs w:val="20"/>
          <w:color w:val="auto"/>
        </w:rPr>
      </w:pPr>
    </w:p>
    <w:p>
      <w:pPr>
        <w:ind w:right="340" w:firstLine="509"/>
        <w:spacing w:after="0" w:line="301" w:lineRule="auto"/>
        <w:rPr>
          <w:sz w:val="20"/>
          <w:szCs w:val="20"/>
          <w:color w:val="auto"/>
        </w:rPr>
      </w:pPr>
      <w:r>
        <w:rPr>
          <w:rFonts w:ascii="Arial" w:cs="Arial" w:eastAsia="Arial" w:hAnsi="Arial"/>
          <w:sz w:val="16"/>
          <w:szCs w:val="16"/>
          <w:color w:val="auto"/>
        </w:rPr>
        <w:t>Switching or adding CROs involves substantial cost and requires extensive management time and focus. In addition, there is a natural transition period when a new CRO commences work. As a result, delays occur, which can materially impact our ability to meet our desired clinical development timelines. Although we carefully manage our relationships with our CROs, we may encounter challenges or delays in the future and these delays or challenges may have a material adverse impact on our business, prospects, financial condition, and results of operations.</w:t>
      </w:r>
    </w:p>
    <w:p>
      <w:pPr>
        <w:spacing w:after="0" w:line="49"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In addition, quarantines, shelter-in-place, and similar government orders, or the perception that such orders, shutdowns or other restrictions on the conduct of business operations could occur, related to COVID-19 or other infectious diseases could impact personnel at our CROs, which could disrupt our clinical timelines, which could have a material adverse impact on our business, prospects, financial condition, and results of operations.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160"/>
        <w:spacing w:after="0" w:line="340" w:lineRule="auto"/>
        <w:rPr>
          <w:sz w:val="20"/>
          <w:szCs w:val="20"/>
          <w:color w:val="auto"/>
        </w:rPr>
      </w:pPr>
      <w:r>
        <w:rPr>
          <w:rFonts w:ascii="Arial" w:cs="Arial" w:eastAsia="Arial" w:hAnsi="Arial"/>
          <w:sz w:val="15"/>
          <w:szCs w:val="15"/>
          <w:b w:val="1"/>
          <w:bCs w:val="1"/>
          <w:i w:val="1"/>
          <w:iCs w:val="1"/>
          <w:color w:val="auto"/>
        </w:rPr>
        <w:t>We rely completely on third parties to manufacture our preclinical and clinical drug supplies and we intend to rely on third parties to produce commercial supplies of tildacerfont and any future product candidates, if approved, and these third parties may fail to obtain and maintain regulatory approval for their facilities, fail to provide us with sufficient quantities of drug product or fail to do so at acceptable quality levels or prices.</w:t>
      </w:r>
    </w:p>
    <w:p>
      <w:pPr>
        <w:spacing w:after="0" w:line="23"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We do not currently have nor do we plan to acquire the infrastructure or capability internally to manufacture our clinical drug supplies for use in the conduct of our clinical trials, and we lack the resources and the capability to manufacture tildacerfont and any future product candidates on a clinical or commercial scale. Instead, we rely on contract manufacturers for such production. In particular, we currently rely on a single-source manufacturer for drug product, and a single-source manufacturer for drug substance.</w:t>
      </w:r>
    </w:p>
    <w:p>
      <w:pPr>
        <w:spacing w:after="0" w:line="79"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We do not currently have any long-term agreement with a manufacturer to produce raw materials, active pharmaceutical ingredients (APIs), and the finished products of tildacerfont or the associated packaging used in our current product format and we may rely on single source suppliers for clinical supply of API and drug product of tildacerfont. We will need to identify and qualify a third-party manufacturer prior to commercialization of tildacerfont, and we intend to enter into agreements for commercial production with third-party suppliers. As tildacerfont is intended to treat rare endocrine disorders, we will only require a low-volume of raw materials and APIs, and in some cases with single-source suppliers and manufacturers. Our reliance on third-party suppliers and manufacturers, including single-source suppliers, could harm our ability to develop tildacerfont and any future product candidates or to commercialize any product candidates that are approved. Further, any delay in identifying and qualifying a manufacturer for commercial production could delay the potential commercialization of tildacerfont and any future product candidates, and, in the event that we do not have sufficient product to complete our clinical trials, it could delay such trials.</w:t>
      </w:r>
    </w:p>
    <w:p>
      <w:pPr>
        <w:spacing w:after="0" w:line="73"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The facilities used by our contract manufacturers to manufacture tildacerfont and any future product candidates must be approved by the applicable regulatory authorities, including the FDA, pursuant to inspections that will be conducted after an NDA or comparable foreign regulatory marketing application is submitted. We currently do not control the manufacturing process of tildacerfont and are completely dependent on our contract manufacturing partners for compliance with the FDA’s cGMP requirements for manufacture of both the active drug substances and finished drug product. If our contract manufacturers cannot successfully manufacture material that conforms to our specifications and the FDA’s strict regulatory requirements, they will not be able to secure or maintain FDA approval for the manufacturing facilities. In addition, we have no control over the ability of our contract manufacturers to maintain adequate quality control, quality assurance and qualified personnel. If the FDA or any other applicable regulatory authority does not approve these facilities for the manufacture of tildacerfont or any future product candidates or if it withdraws any such approval in the future,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which would significantly impact our ability to develop, obtain regulatory approval for, or market tildacerfont and any future product candidates.</w:t>
      </w:r>
    </w:p>
    <w:p>
      <w:pPr>
        <w:spacing w:after="0" w:line="64" w:lineRule="exact"/>
        <w:rPr>
          <w:sz w:val="20"/>
          <w:szCs w:val="20"/>
          <w:color w:val="auto"/>
        </w:rPr>
      </w:pPr>
    </w:p>
    <w:p>
      <w:pPr>
        <w:ind w:right="60" w:firstLine="509"/>
        <w:spacing w:after="0" w:line="266" w:lineRule="auto"/>
        <w:rPr>
          <w:sz w:val="20"/>
          <w:szCs w:val="20"/>
          <w:color w:val="auto"/>
        </w:rPr>
      </w:pPr>
      <w:r>
        <w:rPr>
          <w:rFonts w:ascii="Arial" w:cs="Arial" w:eastAsia="Arial" w:hAnsi="Arial"/>
          <w:sz w:val="17"/>
          <w:szCs w:val="17"/>
          <w:color w:val="auto"/>
        </w:rPr>
        <w:t>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tildacerfont or any future product candidates or in the manufacturing facilities, such manufacturing facilities may need to be closed for an extended period of time to investigate and remedy the contamination. Any stability or other issues relating to the manufacture of tildacerfont may occur in the future. In addition, quarantines, shelter-in-place, and similar government orders, or the perception that such orders, shutdowns, or other restrictions on the conduct of business operations could occur, related to COVID-19 or other infectious diseases could impact personnel at our third-party manufacturing facilities upon which we rely, or the availability or cost of materials, which could disrupt the supply chain for our product candidates.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 to patients in clinical trials would be jeopardized. Any delay or interruption in the supply of clinical trial supplies could delay the completion of clinical trials, increase the costs associated with maintaining clinical trial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programs and, depending upon the period of delay, require us to commence new clinical trials at additional expense or terminate clinical trials completely.</w:t>
      </w:r>
    </w:p>
    <w:p>
      <w:pPr>
        <w:spacing w:after="0" w:line="14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or our third-party manufacturers use hazardous and biological materials in a manner that causes injury or violates applicable law, we may be liable for damages.</w:t>
      </w:r>
    </w:p>
    <w:p>
      <w:pPr>
        <w:spacing w:after="0" w:line="62"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If we are unable to obtain and maintain sufficient intellectual property protection for tildacerfont,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tildacerfont, if approved, any future product candidates, and other proprietary technologies if approved, may be adversely affected.</w:t>
      </w:r>
    </w:p>
    <w:p>
      <w:pPr>
        <w:spacing w:after="0" w:line="63" w:lineRule="exact"/>
        <w:rPr>
          <w:sz w:val="20"/>
          <w:szCs w:val="20"/>
          <w:color w:val="auto"/>
        </w:rPr>
      </w:pPr>
    </w:p>
    <w:p>
      <w:pPr>
        <w:ind w:right="160" w:firstLine="509"/>
        <w:spacing w:after="0" w:line="279" w:lineRule="auto"/>
        <w:rPr>
          <w:sz w:val="20"/>
          <w:szCs w:val="20"/>
          <w:color w:val="auto"/>
        </w:rPr>
      </w:pPr>
      <w:r>
        <w:rPr>
          <w:rFonts w:ascii="Arial" w:cs="Arial" w:eastAsia="Arial" w:hAnsi="Arial"/>
          <w:sz w:val="17"/>
          <w:szCs w:val="17"/>
          <w:color w:val="auto"/>
        </w:rPr>
        <w:t>Our commercial success will depend in part on our ability to obtain and maintain a combination of patents, trade secret protection and confidentiality agreements to protect the intellectual property related to tildacerfont, any future product candidates, and other proprietary technologies we develop. If we are unable to obtain or maintain patent protection with respect to tildacerfont, any future product candidates, and other proprietary technologies we may develop, our business, financial condition, results of operations, and prospects could be materially harmed.</w:t>
      </w:r>
    </w:p>
    <w:p>
      <w:pPr>
        <w:spacing w:after="0" w:line="63" w:lineRule="exact"/>
        <w:rPr>
          <w:sz w:val="20"/>
          <w:szCs w:val="20"/>
          <w:color w:val="auto"/>
        </w:rPr>
      </w:pPr>
    </w:p>
    <w:p>
      <w:pPr>
        <w:ind w:firstLine="515"/>
        <w:spacing w:after="0" w:line="289" w:lineRule="auto"/>
        <w:rPr>
          <w:sz w:val="20"/>
          <w:szCs w:val="20"/>
          <w:color w:val="auto"/>
        </w:rPr>
      </w:pPr>
      <w:r>
        <w:rPr>
          <w:rFonts w:ascii="Arial" w:cs="Arial" w:eastAsia="Arial" w:hAnsi="Arial"/>
          <w:sz w:val="16"/>
          <w:szCs w:val="16"/>
          <w:color w:val="auto"/>
        </w:rPr>
        <w:t>The patent position of biotechnology and pharmaceutical companies is highly uncertain and involves complex legal, scientific, and factual questions and has been the subject of frequent litigation in recent years. As a result, the issuance, scope, validity, enforceability, and commercial value of our patent rights are highly uncertain. Our patent applications may not result in patents being issued which protect tildacerfont, any future product candidates, and other proprietary technologies we may develop or which effectively prevent others from commercializing competitive technologies and products. Further, no consistent policy regarding the breadth of claims allowed in pharmaceutical patents has emerged to date in the United States or in many jurisdictions outside of the United States. Changes in either the patent laws or interpretations of patent laws in the United States and other countries may diminish the value of our intellectual property. Accordingly, we cannot predict the breadth of claims that may be enforced in the patents that may be issued from the applications we currently or may in the future own or license from third parties. Further, if any patents we obtain or license are deemed invalid and unenforceable, our ability to commercialize or license our technology could be adversely affected.</w:t>
      </w:r>
    </w:p>
    <w:p>
      <w:pPr>
        <w:spacing w:after="0" w:line="58"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actual or potential future collaborators will be successful in protecting tildacerfont, any future product candidates, and other proprietary technologies and their uses by obtaining, defending and enforcing patents. These risks and uncertainties include the following:</w:t>
      </w:r>
    </w:p>
    <w:p>
      <w:pPr>
        <w:spacing w:after="0" w:line="76" w:lineRule="exact"/>
        <w:rPr>
          <w:sz w:val="20"/>
          <w:szCs w:val="20"/>
          <w:color w:val="auto"/>
        </w:rPr>
      </w:pPr>
    </w:p>
    <w:p>
      <w:pPr>
        <w:ind w:left="1020" w:right="40" w:hanging="503"/>
        <w:spacing w:after="0" w:line="286"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United States Patent and Trademark Office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57" w:lineRule="exact"/>
        <w:rPr>
          <w:rFonts w:ascii="Arial" w:cs="Arial" w:eastAsia="Arial" w:hAnsi="Arial"/>
          <w:sz w:val="17"/>
          <w:szCs w:val="17"/>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left="1020" w:right="22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circumvented, found to be unenforceable, or may otherwise not provide any competitive advantage;</w:t>
      </w:r>
    </w:p>
    <w:p>
      <w:pPr>
        <w:spacing w:after="0" w:line="62" w:lineRule="exact"/>
        <w:rPr>
          <w:rFonts w:ascii="Arial" w:cs="Arial" w:eastAsia="Arial" w:hAnsi="Arial"/>
          <w:sz w:val="18"/>
          <w:szCs w:val="18"/>
          <w:color w:val="auto"/>
        </w:rPr>
      </w:pPr>
    </w:p>
    <w:p>
      <w:pPr>
        <w:ind w:left="1020" w:right="120" w:hanging="503"/>
        <w:spacing w:after="0" w:line="263"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75" w:lineRule="exact"/>
        <w:rPr>
          <w:rFonts w:ascii="Arial" w:cs="Arial" w:eastAsia="Arial" w:hAnsi="Arial"/>
          <w:sz w:val="18"/>
          <w:szCs w:val="18"/>
          <w:color w:val="auto"/>
        </w:rPr>
      </w:pPr>
    </w:p>
    <w:p>
      <w:pPr>
        <w:ind w:left="1020" w:right="60" w:hanging="503"/>
        <w:spacing w:after="0" w:line="259"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parties may have or may seek to design around our claims or develop technologies that may be related or competitive to our platform, may have filed or may file patent applications and may have received or may receive patents that overlap or conflict with our patent applications, either by claiming the same composition of matter, methods or formulations or by claiming subject matter that could dominate our patent position;</w:t>
      </w:r>
    </w:p>
    <w:p>
      <w:pPr>
        <w:spacing w:after="0" w:line="78"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successful opposition to any patents owned by or licensed to us could deprive us of rights necessary for the practice of our technologies or the successful commercialization of any products or product candidates that we may develop;</w:t>
      </w:r>
    </w:p>
    <w:p>
      <w:pPr>
        <w:spacing w:after="0" w:line="62" w:lineRule="exact"/>
        <w:rPr>
          <w:rFonts w:ascii="Arial" w:cs="Arial" w:eastAsia="Arial" w:hAnsi="Arial"/>
          <w:sz w:val="18"/>
          <w:szCs w:val="18"/>
          <w:color w:val="auto"/>
        </w:rPr>
      </w:pPr>
    </w:p>
    <w:p>
      <w:pPr>
        <w:ind w:left="1020" w:right="220" w:hanging="503"/>
        <w:spacing w:after="0" w:line="263"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because patent applications in the United States and most other countries are confidential for a period of time after filing, we cannot be certain that we or our licensors were the first to file any patent application related to tildacerfont, any future product candidates, and other proprietary technologies and their uses;</w:t>
      </w:r>
    </w:p>
    <w:p>
      <w:pPr>
        <w:spacing w:after="0" w:line="75" w:lineRule="exact"/>
        <w:rPr>
          <w:rFonts w:ascii="Arial" w:cs="Arial" w:eastAsia="Arial" w:hAnsi="Arial"/>
          <w:sz w:val="18"/>
          <w:szCs w:val="18"/>
          <w:color w:val="auto"/>
        </w:rPr>
      </w:pPr>
    </w:p>
    <w:p>
      <w:pPr>
        <w:ind w:left="1020" w:right="120" w:hanging="503"/>
        <w:spacing w:after="0" w:line="342" w:lineRule="auto"/>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15" w:lineRule="exact"/>
        <w:rPr>
          <w:rFonts w:ascii="Arial" w:cs="Arial" w:eastAsia="Arial" w:hAnsi="Arial"/>
          <w:sz w:val="16"/>
          <w:szCs w:val="16"/>
          <w:color w:val="auto"/>
        </w:rPr>
      </w:pPr>
    </w:p>
    <w:p>
      <w:pPr>
        <w:ind w:left="1020" w:right="60" w:hanging="503"/>
        <w:spacing w:after="0" w:line="263"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75" w:lineRule="exact"/>
        <w:rPr>
          <w:rFonts w:ascii="Arial" w:cs="Arial" w:eastAsia="Arial" w:hAnsi="Arial"/>
          <w:sz w:val="18"/>
          <w:szCs w:val="18"/>
          <w:color w:val="auto"/>
        </w:rPr>
      </w:pPr>
    </w:p>
    <w:p>
      <w:pPr>
        <w:ind w:left="1020" w:right="200" w:hanging="503"/>
        <w:spacing w:after="0" w:line="308"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countries other than the United States may have patent laws less favorable to patentees than those upheld by U.S. courts, allowing foreign competitors a better opportunity to create, develop, and market competing product candidates in those countries.</w:t>
      </w:r>
    </w:p>
    <w:p>
      <w:pPr>
        <w:spacing w:after="0" w:line="38"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patent prosecution process is expensive, time-consuming, and complex, and we may not be able to file, prosecute, or maintain all necessary or desirable patent applications at a reasonable cost or in a timely manner, including delays as a result of the COVID-19 pandemic impacting our or our licensor's operations.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 for such output.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w:t>
      </w:r>
    </w:p>
    <w:p>
      <w:pPr>
        <w:spacing w:after="0" w:line="71" w:lineRule="exact"/>
        <w:rPr>
          <w:sz w:val="20"/>
          <w:szCs w:val="20"/>
          <w:color w:val="auto"/>
        </w:rPr>
      </w:pPr>
    </w:p>
    <w:p>
      <w:pPr>
        <w:ind w:right="200" w:firstLine="509"/>
        <w:spacing w:after="0" w:line="301"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or permit us to gain or keep our competitive advantage. If we do not adequately protect our intellectual property and proprietary technology, competitors may be able to use tildacerfont, any future product candidates, and other proprietary technologies and erode or negate any competitive advantage we may have, which could have a material adverse effect on our financial condition and results of operations. For example:</w:t>
      </w:r>
    </w:p>
    <w:p>
      <w:pPr>
        <w:spacing w:after="0" w:line="49" w:lineRule="exact"/>
        <w:rPr>
          <w:sz w:val="20"/>
          <w:szCs w:val="20"/>
          <w:color w:val="auto"/>
        </w:rPr>
      </w:pPr>
    </w:p>
    <w:p>
      <w:pPr>
        <w:ind w:left="1020" w:right="36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tildacerfont and any future product candidates but that are not covered by the claims of our patents;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our pending patent applications;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patents that we obtain may not provide us with any competitive advantages;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1020" w:right="740" w:hanging="503"/>
        <w:spacing w:after="0" w:line="263"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or where patent protection is weak and then use the information learned from such activities to develop competitive products for sale in our major commercial markets;</w:t>
      </w:r>
    </w:p>
    <w:p>
      <w:pPr>
        <w:spacing w:after="0" w:line="75"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cannot ensure that any of our patents, or any of our pending patent applications, if issued, or those of our licensors, will include claims having a scope sufficient to protect our products;</w:t>
      </w:r>
    </w:p>
    <w:p>
      <w:pPr>
        <w:spacing w:after="0" w:line="62" w:lineRule="exact"/>
        <w:rPr>
          <w:rFonts w:ascii="Arial" w:cs="Arial" w:eastAsia="Arial" w:hAnsi="Arial"/>
          <w:sz w:val="18"/>
          <w:szCs w:val="18"/>
          <w:color w:val="auto"/>
        </w:rPr>
      </w:pPr>
    </w:p>
    <w:p>
      <w:pPr>
        <w:ind w:left="1020" w:right="40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cannot ensure that we will be able to successfully commercialize our products on a substantial scale, if approved, before the relevant patents that we own or license expire; or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1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or invalidity proceedings before U.S. or non-U.S. patent offices.</w:t>
      </w:r>
    </w:p>
    <w:p>
      <w:pPr>
        <w:spacing w:after="0" w:line="79"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cannot be certain that the claims in our issued patents and pending patent applications covering tildacerfont or any future product candidates will be considered patentable by the USPTO, courts in the United States, or by patent offices or courts in foreign countries. Furthermore, the laws of some foreign countries do not protect proprietary rights to the same extent or in the same manner as the laws of the United States. As a result, we may encounter significant problems in protecting and defending our intellectual property internationally.</w:t>
      </w:r>
    </w:p>
    <w:p>
      <w:pPr>
        <w:spacing w:after="0" w:line="79"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strength of patents in the biotechnology and pharmaceutical fields involves complex legal and scientific questions and can be uncertain. The patent applications that we own or in-license may fail to result in issued patents with claims that cover tildacerfont and any future product candidates in the United States or in foreign countries. Even if such patents do successfully issue, third parties may challenge the ownership, validity, enforceability, or scope thereof, which may result in such patents being narrowed, invalidated, or held unenforceable. Any successful opposition to our patents could deprive us of exclusive rights necessary for the successful commercialization of tildacerfont and any future product candidates. Furthermore, even if they are unchallenged, our patents may not adequately protect our intellectual property, provide exclusivity for tildacerfont or any future product candidates or prevent others from designing around our claims. If the breadth or strength of protection provided by the patents we hold with respect to tildacerfont or any future product candidates is threatened, it could dissuade companies from collaborating with us to develop, or threaten our ability to commercialize, tildacerfont or any future product candidates.</w:t>
      </w:r>
    </w:p>
    <w:p>
      <w:pPr>
        <w:spacing w:after="0" w:line="73"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For U.S. patent applications in which claims are entitled to a priority date before March 16, 2013, an interference proceeding can be provoked by a third party or instituted by the USPTO to determine who was the first to invent any of the subject matter covered by the patent claims of our patents or patent applications. An unfavorable outcome could require us to cease using the related technology or to attempt to license rights from the prevailing party. Our business could be harmed if the prevailing party does not offer us a license on commercially reasonable terms. Our participation in an interference proceeding may fail and, even if successful, may result in substantial costs and distract our management and other employees.</w:t>
      </w:r>
    </w:p>
    <w:p>
      <w:pPr>
        <w:spacing w:after="0" w:line="53"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For U.S. patent applications containing a claim not entitled to priority before March 16, 2013, there is greater level of uncertainty in the patent law. In September 2011, the Leahy-Smith America Invents Act (America Invents Act) was signed into law. The America Invents Act includes a number of significant changes to U.S. patent law, including provisions that affect the way patent applications will be prosecuted and may also affect patent litigation. The USPTO is developing regulations and procedures to govern the administration of the America Invents Act, and many of the substantive changes to patent law associated with the America Invents Act, and in particular, the “first to file” provisions, were enacted on March 16, 2013. This will require us to be cognizant going forward of the time from invention to filing of a patent application and be diligent in filing patent applications, but circumstances could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prevent us from promptly filing patent applications on our inventions. It remains unclear what impact the America Invents Act will have on the operation of our business. As such,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7"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but the life of a patent and, correspondingly, the protection it affords is limited. Even if we or our licensors obtain patents covering our product candidates, when the terms of all patents covering a product expire, our business may become subject to competition from competitive products, including generic products. Given the amount of time required for the development, testing, and regulatory review and approval of new product candidates, patents protecting such candidates may expire before or shortly after such candidates are commercialized. As a result, our owned and licensed patent portfolio may not provide us with sufficient rights to exclude others from commercializing products similar or identical to ours.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tildacerfont, our business may be materially harmed.</w:t>
      </w:r>
    </w:p>
    <w:p>
      <w:pPr>
        <w:spacing w:after="0" w:line="117"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Depending upon the timing, duration, and specifics of any FDA marketing approval of tildacerfont, or any future product candidate we may develop, one or more of patents issuing from our U.S. patent applications may be eligible for limited patent term extension under the Drug Price Competition and Patent Term Restoration Action of 1984 (Hatch-Waxman Amendments). The Hatch-Waxman Amendments permit a patent extension term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(SPC). If we encounter delays in our development efforts, including our clinical trials, the period of time during which we could market tildacerfont and any future product candidates under patent protection would be reduced. Additionally, we may not receive an extension if we fail to apply within applicable deadlines, fail to apply prior to expiration of relevant patents, or otherwise fail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w:t>
      </w:r>
    </w:p>
    <w:p>
      <w:pPr>
        <w:spacing w:after="0" w:line="6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such as our license agreement with Lilly, or otherwise experience disruptions to our business relationships with our licensors, we could lose license rights that are important to our business.</w:t>
      </w:r>
    </w:p>
    <w:p>
      <w:pPr>
        <w:spacing w:after="0" w:line="76" w:lineRule="exact"/>
        <w:rPr>
          <w:sz w:val="20"/>
          <w:szCs w:val="20"/>
          <w:color w:val="auto"/>
        </w:rPr>
      </w:pPr>
    </w:p>
    <w:p>
      <w:pPr>
        <w:jc w:val="both"/>
        <w:ind w:right="240" w:firstLine="509"/>
        <w:spacing w:after="0" w:line="286" w:lineRule="auto"/>
        <w:rPr>
          <w:sz w:val="20"/>
          <w:szCs w:val="20"/>
          <w:color w:val="auto"/>
        </w:rPr>
      </w:pPr>
      <w:r>
        <w:rPr>
          <w:rFonts w:ascii="Arial" w:cs="Arial" w:eastAsia="Arial" w:hAnsi="Arial"/>
          <w:sz w:val="17"/>
          <w:szCs w:val="17"/>
          <w:color w:val="auto"/>
        </w:rPr>
        <w:t>We are a party to a license agreement with Lilly under which we are granted intellectual property rights that are important to our business and our only product candidate, tildacerfont. If we fail to comply with our obligations under the license agreement, or we are subject to a bankruptcy, the license agreement may be terminated, in which event we would not be able to develop, commercialize or market tildacerfont.</w:t>
      </w:r>
    </w:p>
    <w:p>
      <w:pPr>
        <w:spacing w:after="0" w:line="57"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Licensing of intellectual property rights is of critical importance to our business and involves complex legal, business and scientific issues. Disputes may arise between us and our licensors regarding intellectual property rights subject to a license agreement, including:</w:t>
      </w:r>
    </w:p>
    <w:p>
      <w:pPr>
        <w:spacing w:after="0" w:line="62"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rights of the licensor that are not subject to the license agreement;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right to sublicense intellectual property rights to third parties under collaborative development relationships;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left="1020" w:right="68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tildacerfont, and what activities satisfy those diligence obligations; and</w:t>
      </w:r>
    </w:p>
    <w:p>
      <w:pPr>
        <w:spacing w:after="0" w:line="62"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62"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Further, our current licensor or any future licensor may not always act in our best interest. If disputes over intellectual property rights that we have licensed prevent or impair our ability to maintain our current licensing arrangements on acceptable terms, our business, results of operations, financial condition, and prospects may be adversely affected. We may enter into additional licenses in the future and if we fail to comply with obligations under those agreements, we could suffer adverse consequences.</w:t>
      </w:r>
    </w:p>
    <w:p>
      <w:pPr>
        <w:spacing w:after="0" w:line="79"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below. If we, our current licensor, or any future licensor fail to adequately protect this intellectual property, our ability to commercialize tildacerfont and any future product could be impeded.</w:t>
      </w:r>
    </w:p>
    <w:p>
      <w:pPr>
        <w:spacing w:after="0" w:line="76"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We have systems in place to remind us to pay these fees, and we employ an outside firm and rely on our outside counsel to pay these fees due to foreign patent agencies. These systems and processes may be negatively impacted by the COVID-19 pandemic in various aspects. While an 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with similar or identical products or technology earlier than should otherwise have been the case, which would have a material adverse effect on our business, financial condition, results of operations, and prospects.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tildacerfont.</w:t>
      </w:r>
    </w:p>
    <w:p>
      <w:pPr>
        <w:spacing w:after="0" w:line="117"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As is the case with other biotechnology and pharmaceutical companies, our success is heavily dependent on intellectual property, particularly on obtaining and enforcing patents. Our patent rights may be affected by developments or uncertainty in U.S. or foreign patent statutes, patent case law, USPTO rules and regulations or the rules and regulations of foreign patent offices. Obtaining and enforcing patents in the biotechnology and pharmaceutical industry involve both technological and legal complexity, and is therefore costly, time-consuming and inherently uncertain. In addition, the United States may, at any time, enact changes to U.S. patent law and regulations, including by legislation, by regulatory rule-making, or by judicial precedent, that adversely affect the scope of patent protection available and weaken the rights of patent owners to obtain patents, enforce patent infringement and obtain injunctions and/or damages. For example, the scope of patentable subject matter under 35 U.S.C. 101 has evolved significantly over the past several years as the Court of Appeals for the Federal Circuit and the Supreme Court issued various opinions, and the USPTO modified its guidance for practitioners on multiple occasions. Other countries may likewise enact changes to their patent laws in ways that adversely diminish the scope of patent protection and weaken the rights of patent owners to obtain patents, enforce patent infringement, and obtain injunctions and/or damages.</w:t>
      </w:r>
    </w:p>
    <w:p>
      <w:pPr>
        <w:spacing w:after="0" w:line="60"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 xml:space="preserve">Further, the United States and other governments may, at any time, enact changes to law and regulation that create new avenues for challenging the validity of issued patents. For example, the America Invents Act created new administrative post-grant proceedings, including post-grant review, </w:t>
      </w:r>
      <w:r>
        <w:rPr>
          <w:rFonts w:ascii="Arial" w:cs="Arial" w:eastAsia="Arial" w:hAnsi="Arial"/>
          <w:sz w:val="18"/>
          <w:szCs w:val="18"/>
          <w:i w:val="1"/>
          <w:iCs w:val="1"/>
          <w:color w:val="auto"/>
        </w:rPr>
        <w:t>inter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partes </w:t>
      </w:r>
      <w:r>
        <w:rPr>
          <w:rFonts w:ascii="Arial" w:cs="Arial" w:eastAsia="Arial" w:hAnsi="Arial"/>
          <w:sz w:val="18"/>
          <w:szCs w:val="18"/>
          <w:color w:val="auto"/>
        </w:rPr>
        <w:t>review, and derivation proceedings that allow third parties to challenge the validity of issued patents. This applies to all of our U.S. patents, even</w:t>
      </w:r>
      <w:r>
        <w:rPr>
          <w:rFonts w:ascii="Arial" w:cs="Arial" w:eastAsia="Arial" w:hAnsi="Arial"/>
          <w:sz w:val="18"/>
          <w:szCs w:val="18"/>
          <w:i w:val="1"/>
          <w:iCs w:val="1"/>
          <w:color w:val="auto"/>
        </w:rPr>
        <w:t xml:space="preserve"> </w:t>
      </w:r>
      <w:r>
        <w:rPr>
          <w:rFonts w:ascii="Arial" w:cs="Arial" w:eastAsia="Arial" w:hAnsi="Arial"/>
          <w:sz w:val="18"/>
          <w:szCs w:val="18"/>
          <w:color w:val="auto"/>
        </w:rPr>
        <w:t>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evidence would be insufficient to invalidate the claim if first presented in a district court action.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could weaken our ability to obtain new patents or to enforce our existing patents and patents that we might obtain in the future.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Patents are of national or regional effect. Filing, prosecuting, and defending patents on tildacerfont, any future product candidates, and other proprietary technologies we develop in all countries throughout the world would be prohibitively expensive. In addition, the laws of some foreign countries do not protect intellectual property rights in the same manner and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products and our patents or other intellectual property rights may not be effective or sufficient to prevent them from competing.</w:t>
      </w:r>
    </w:p>
    <w:p>
      <w:pPr>
        <w:spacing w:after="0" w:line="69"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The requirements for patentability may differ in certain countries. For example, unlike other countries, China has a heightened requirement for patentability, and specifically requires a detailed description of medical uses of a claimed drug. In India, unlike the United States, there is no link between regulatory approval for a drug and its patent status. In addition to India, certain countries in Europe and developing countries, including China, have compulsory licensing laws under which a patent owner may be compelled to grant licenses to third parties. In addition, some countries limit the enforceability of patents against government agencies or government contractors.</w:t>
      </w:r>
    </w:p>
    <w:p>
      <w:pPr>
        <w:spacing w:after="0" w:line="80"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In those countries, we may have limited remedies if patents are infringed or if we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41"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or pharmaceutical products, which could make it difficult for us to stop the infringement of our patents or marketing of competing products in violation of our proprietary rights generally. </w:t>
      </w:r>
      <w:r>
        <w:rPr>
          <w:rFonts w:ascii="Arial" w:cs="Arial" w:eastAsia="Arial" w:hAnsi="Arial"/>
          <w:sz w:val="17"/>
          <w:szCs w:val="17"/>
          <w:color w:val="231F20"/>
        </w:rPr>
        <w:t>In Europe, no earlier than October 1, 2022, European</w:t>
      </w:r>
      <w:r>
        <w:rPr>
          <w:rFonts w:ascii="Arial" w:cs="Arial" w:eastAsia="Arial" w:hAnsi="Arial"/>
          <w:sz w:val="17"/>
          <w:szCs w:val="17"/>
          <w:color w:val="auto"/>
        </w:rPr>
        <w:t xml:space="preserve"> </w:t>
      </w:r>
      <w:r>
        <w:rPr>
          <w:rFonts w:ascii="Arial" w:cs="Arial" w:eastAsia="Arial" w:hAnsi="Arial"/>
          <w:sz w:val="17"/>
          <w:szCs w:val="17"/>
          <w:color w:val="231F20"/>
        </w:rPr>
        <w:t xml:space="preserve">applications will soon have the option, upon grant of a patent, of becoming a Unitary Patent which will be subject to the jurisdiction of the Unitary Patent Court (UPC). This will be a significant change in European patent practice. As the UPC is a new court system, there is no precedent for the court, increasing the uncertainty of any litigation. </w:t>
      </w:r>
      <w:r>
        <w:rPr>
          <w:rFonts w:ascii="Arial" w:cs="Arial" w:eastAsia="Arial" w:hAnsi="Arial"/>
          <w:sz w:val="17"/>
          <w:szCs w:val="17"/>
          <w:color w:val="000000"/>
        </w:rPr>
        <w:t>Proceedings to enforce our patent rights in foreign jurisdictions could result in substantial costs and divert our</w:t>
      </w:r>
      <w:r>
        <w:rPr>
          <w:rFonts w:ascii="Arial" w:cs="Arial" w:eastAsia="Arial" w:hAnsi="Arial"/>
          <w:sz w:val="17"/>
          <w:szCs w:val="17"/>
          <w:color w:val="231F20"/>
        </w:rPr>
        <w:t xml:space="preserve"> </w:t>
      </w:r>
      <w:r>
        <w:rPr>
          <w:rFonts w:ascii="Arial" w:cs="Arial" w:eastAsia="Arial" w:hAnsi="Arial"/>
          <w:sz w:val="17"/>
          <w:szCs w:val="17"/>
          <w:color w:val="000000"/>
        </w:rPr>
        <w:t>efforts and attention from other aspects of our business, could put our patents at risk of being invalidated or interpreted narrowly,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4"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or from selling or importing products made using our inventions in and into Russia. Accordingly, our competitive position may be impaired, and our business, financial condition, results of operations and prospects may be adversely affected.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subject to claims challenging the inventorship or ownership of our patents and other intellectual property.</w:t>
      </w:r>
    </w:p>
    <w:p>
      <w:pPr>
        <w:spacing w:after="0" w:line="117"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We may be subject to claims that former employees (including former employees of our licensors), collaborators or other third parties have an interest in our patents rights, trade secrets, or other intellectual property as an inventor or co-inventor. The failure to name the proper inventors on a patent application can result in the patents issuing thereon being unenforceable. For example, we may have inventorship disputes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tildacerfont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w:t>
      </w:r>
    </w:p>
    <w:p>
      <w:pPr>
        <w:spacing w:after="0" w:line="6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62"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Presently we have intellectual property rights, through licenses from third parties including Lilly, related to tildacerfont. Because our program may require the use of additional proprietary rights held by third parties, the growth of our business will likely depend in part on our ability to acquire, in-license or use these proprietary rights. In addition, tildacerfont may require specific formulations to work effectively and efficiently and these rights may be held by others. We may be unable to acquire or in-license, on reasonable terms, proprietary rights related to any compositions, formulations, methods of use, processes or other intellectual property rights from third parties that we identify as being necessary for tildacerfont.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spacing w:after="0" w:line="69" w:lineRule="exact"/>
        <w:rPr>
          <w:sz w:val="20"/>
          <w:szCs w:val="20"/>
          <w:color w:val="auto"/>
        </w:rPr>
      </w:pPr>
    </w:p>
    <w:p>
      <w:pPr>
        <w:ind w:right="100" w:firstLine="509"/>
        <w:spacing w:after="0" w:line="291" w:lineRule="auto"/>
        <w:rPr>
          <w:sz w:val="20"/>
          <w:szCs w:val="20"/>
          <w:color w:val="auto"/>
        </w:rPr>
      </w:pPr>
      <w:r>
        <w:rPr>
          <w:rFonts w:ascii="Arial" w:cs="Arial" w:eastAsia="Arial" w:hAnsi="Arial"/>
          <w:sz w:val="16"/>
          <w:szCs w:val="16"/>
          <w:color w:val="auto"/>
        </w:rPr>
        <w:t>Where we obtain licenses from, grant licenses to, or collaborate with third parties, we may not have the right to control the preparation, filing, and prosecution of patent applications, or to maintain the patents, covering technology that we license to or from third parties in certain countries or regions. Such activities, if controlled by us, may require the input of such third parties. Such activities, if controlled by such third parties, may require the input of us. However, in either case, such third parties may not cooperate with us even where such third parties are obligated to do so. We may not align on strategies for prosecuting the relevant patent applications or maintaining the relevant patents. For example, such third-party may not cooperate with us and may decide to prosecute the patent application in a manner that is inconsistent with the best interests of our business, or fails to comply with applicable laws and regulations. The validity and enforceability of such patents or any patents that may issue from such patent applications may be affected.</w:t>
      </w:r>
    </w:p>
    <w:p>
      <w:pPr>
        <w:spacing w:after="0" w:line="58" w:lineRule="exact"/>
        <w:rPr>
          <w:sz w:val="20"/>
          <w:szCs w:val="20"/>
          <w:color w:val="auto"/>
        </w:rPr>
      </w:pPr>
    </w:p>
    <w:p>
      <w:pPr>
        <w:ind w:right="100" w:firstLine="509"/>
        <w:spacing w:after="0" w:line="283" w:lineRule="auto"/>
        <w:rPr>
          <w:sz w:val="20"/>
          <w:szCs w:val="20"/>
          <w:color w:val="auto"/>
        </w:rPr>
      </w:pPr>
      <w:r>
        <w:rPr>
          <w:rFonts w:ascii="Arial" w:cs="Arial" w:eastAsia="Arial" w:hAnsi="Arial"/>
          <w:sz w:val="16"/>
          <w:szCs w:val="16"/>
          <w:color w:val="auto"/>
        </w:rPr>
        <w:t>We may also require the cooperation of our licensors, licensees, and collaborators to enforce any licensed patent rights, and such cooperation may not be provided. Therefore, these patents and patent applications may not be prosecuted, maintained, and/or enforced in a manner consistent with the best interests of our business, or in compliance with applicable laws and regulations, which may affect the validity and enforceability of such patents or any patents that may issue from such patent applications. Moreover, if we do obtain necessary licenses, we will likely have obligations under those licenses, including making royalty and milestone payments, and any failure to satisfy those obligations could give our licensor the right to terminate the license. Termination of a necessary license, or expiration of licensed patents or patent applications, could have a material adverse impact on our business. Our business would suffer if any such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licenses terminate, or if the underlying patents fail to provide the intended exclusivity, competitors or other third parties may gain the freedom to seek regulatory approval of, and to market, products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identical or similar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53"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commercialize tildacerfont. More established companies may have a competitive advantage over us due to their size, cash resources and greater clinical development and commercialization capabilities.</w:t>
      </w:r>
    </w:p>
    <w:p>
      <w:pPr>
        <w:spacing w:after="0" w:line="79"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For example, we may collaborate with U.S. and foreign academic institutions to accelerate our preclinical research or development under written agreements with these institutions. Typically, these institutions provide us with an option to negotiate an exclusive license to any of the institution’s proprietary rights in technology resulting from the collaboration. Regardless of such option to negotiate a license, we may be unable to negotiate a license within the specified time frame or under terms that are acceptable to us. If we are unable to do so, the institution may offer, on an exclusive basis, their proprietary rights to other parties, potentially blocking our ability to pursue our program.</w:t>
      </w:r>
    </w:p>
    <w:p>
      <w:pPr>
        <w:spacing w:after="0" w:line="80"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commercialize our products, and our business, financial condition, and prospects for growth, could suffer.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alleging intellectual property infringement may prevent or delay our drug discovery and development efforts.</w:t>
      </w:r>
    </w:p>
    <w:p>
      <w:pPr>
        <w:spacing w:after="0" w:line="117"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 xml:space="preserve">Our success depends in part on our avoiding infringement of the patents and proprietary rights of third parties. There is a substantial amount of litigation, both within and outside the United States, involving patents and other intellectual property rights in the biotechnology and pharmaceutical industries, as well as administrative proceedings for challenging patents, including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and reexamination proceedings before the USPTO, or oppositions and other comparable proceedings in foreign jurisdictions. The America Invents Act introduced new procedures including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partes </w:t>
      </w:r>
      <w:r>
        <w:rPr>
          <w:rFonts w:ascii="Arial" w:cs="Arial" w:eastAsia="Arial" w:hAnsi="Arial"/>
          <w:sz w:val="16"/>
          <w:szCs w:val="16"/>
          <w:color w:val="auto"/>
        </w:rPr>
        <w:t>review and post grant review. The implementation of these procedures brings uncertainty to the possibility of challenges to our patents in the future</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outcome of such challenges. Numerous U.S. and foreign issued patents and pending patent applications, which are owned by third parties, exist in the fields in which we are developing tildacerfont. As the biotechnology and pharmaceutical industries expand and more patents are issued, the risk increases that our activities related to tildacerfont may give rise to claims of infringement of the patent rights of others.</w:t>
      </w:r>
    </w:p>
    <w:p>
      <w:pPr>
        <w:spacing w:after="0" w:line="57" w:lineRule="exact"/>
        <w:rPr>
          <w:sz w:val="20"/>
          <w:szCs w:val="20"/>
          <w:color w:val="auto"/>
        </w:rPr>
      </w:pPr>
    </w:p>
    <w:p>
      <w:pPr>
        <w:ind w:right="140" w:firstLine="509"/>
        <w:spacing w:after="0" w:line="275" w:lineRule="auto"/>
        <w:rPr>
          <w:sz w:val="20"/>
          <w:szCs w:val="20"/>
          <w:color w:val="auto"/>
        </w:rPr>
      </w:pPr>
      <w:r>
        <w:rPr>
          <w:rFonts w:ascii="Arial" w:cs="Arial" w:eastAsia="Arial" w:hAnsi="Arial"/>
          <w:sz w:val="17"/>
          <w:szCs w:val="17"/>
          <w:color w:val="auto"/>
        </w:rPr>
        <w:t>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We cannot assure you that any of our current or future product candidates will not infringe existing or future patents. We may not be aware of patents that have already issued that a third party might assert are infringed by one of our current or future product candidates. Nevertheless, we are not aware of any issued patents that will prevent us from marketing tildacerfont.</w:t>
      </w:r>
    </w:p>
    <w:p>
      <w:pPr>
        <w:spacing w:after="0" w:line="68"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Third parties may assert that we are employing their proprietary technology without authorization. There may be third-party patents of which we are currently unaware with claims to materials, formulations, methods of manufacture or methods for treatment related to the use or manufacture of tildacerfont. Because patent applications can take many years to issue and may be confidential for 18 months or more after filing, there may be currently pending third-party patent applications which may later result in issued patents that tildacerfont, any future product candidates, and other proprietary technologies may infringe, or which such third parties claim are infringed by the use of our technologies. Parties making claims against us for infringement or misappropriation of their intellectual property rights may seek and obtain injunctive or other equitable relief, which could effectively block our ability to</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further develop and commercialize tildacerfont or future product candidates. Defense of these claims, regardless of their merit, could involve substantial expenses and could be a substantial diversion of management and other employee resources from our business.</w:t>
      </w:r>
    </w:p>
    <w:p>
      <w:pPr>
        <w:spacing w:after="0" w:line="62" w:lineRule="exact"/>
        <w:rPr>
          <w:sz w:val="20"/>
          <w:szCs w:val="20"/>
          <w:color w:val="auto"/>
        </w:rPr>
      </w:pPr>
    </w:p>
    <w:p>
      <w:pPr>
        <w:ind w:right="260" w:firstLine="509"/>
        <w:spacing w:after="0" w:line="257" w:lineRule="auto"/>
        <w:rPr>
          <w:sz w:val="20"/>
          <w:szCs w:val="20"/>
          <w:color w:val="auto"/>
        </w:rPr>
      </w:pPr>
      <w:r>
        <w:rPr>
          <w:rFonts w:ascii="Arial" w:cs="Arial" w:eastAsia="Arial" w:hAnsi="Arial"/>
          <w:sz w:val="18"/>
          <w:szCs w:val="18"/>
          <w:color w:val="auto"/>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claims of patent infringement asserted by third parties would be time-consuming and could:</w:t>
      </w:r>
    </w:p>
    <w:p>
      <w:pPr>
        <w:spacing w:after="0" w:line="117"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 in costly litigation;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17" w:lineRule="exact"/>
        <w:rPr>
          <w:rFonts w:ascii="Arial" w:cs="Arial" w:eastAsia="Arial" w:hAnsi="Arial"/>
          <w:sz w:val="18"/>
          <w:szCs w:val="18"/>
          <w:color w:val="auto"/>
        </w:rPr>
      </w:pPr>
    </w:p>
    <w:p>
      <w:pPr>
        <w:ind w:left="1020" w:right="42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prevent us from commercializing tildacerfont or any future product candidates until the asserted patent expires or is finally held invalid, unenforceable, or not infringed in a court of law;</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17" w:lineRule="exact"/>
        <w:rPr>
          <w:rFonts w:ascii="Arial" w:cs="Arial" w:eastAsia="Arial" w:hAnsi="Arial"/>
          <w:sz w:val="18"/>
          <w:szCs w:val="18"/>
          <w:color w:val="auto"/>
        </w:rPr>
      </w:pPr>
    </w:p>
    <w:p>
      <w:pPr>
        <w:ind w:left="1020" w:right="62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us to pay damages to the party whose intellectual property rights we may be found to be infringing, which may include treble damages if we are found to have been willfully infringing such intellectual property;</w:t>
      </w:r>
    </w:p>
    <w:p>
      <w:pPr>
        <w:spacing w:after="0" w:line="62" w:lineRule="exact"/>
        <w:rPr>
          <w:rFonts w:ascii="Arial" w:cs="Arial" w:eastAsia="Arial" w:hAnsi="Arial"/>
          <w:sz w:val="18"/>
          <w:szCs w:val="18"/>
          <w:color w:val="auto"/>
        </w:rPr>
      </w:pPr>
    </w:p>
    <w:p>
      <w:pPr>
        <w:ind w:left="1020" w:right="36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us to pay the attorney’s fees and costs of litigation to the party whose intellectual property rights we may be found to be willfully infringing; and/or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us to enter into royalty or license agreements, which may not be available on commercially reasonable terms, or at all.</w:t>
      </w:r>
    </w:p>
    <w:p>
      <w:pPr>
        <w:spacing w:after="0" w:line="117"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If we are sued for patent infringement, we would need to demonstrate that our products or methods either do not infringe the patent claims of the relevant patent or that the patent claims are invalid or unenforceable, and we may not be able to do either. Proving invalidity or unenforceability is difficult. For example, in the United States, proving invalidity before federal courts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or enforceability of the patents in court. Patent litigation is costly and time-consuming. We may not have sufficient resources to bring these actions to a successful conclusion. In addition, if we do not obtain a license, develop or obtain non-infringing technology, fail to defend an infringement action successfully or have infringed patents declared invalid or unenforceable, we may incur substantial monetary damages, encounter significant delays in bringing tildacerfont to market and be precluded from developing, manufacturing or selling tildacerfont.</w:t>
      </w:r>
    </w:p>
    <w:p>
      <w:pPr>
        <w:spacing w:after="0" w:line="7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do not always conduct independent reviews of pending patent applications of and patents issued to third parties. We cannot be certain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Europe and elsewhere that is relevant to or necessary for the commercialization of our product candidates in any jurisdiction, because:</w:t>
      </w:r>
    </w:p>
    <w:p>
      <w:pPr>
        <w:spacing w:after="0" w:line="80"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some patent applications in the United States may be maintained in secrecy until the patents are issued;</w:t>
      </w:r>
    </w:p>
    <w:p>
      <w:pPr>
        <w:spacing w:after="0" w:line="117"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patent applications in the United States and elsewhere can be pending for many years before issuance, or unintentionally abandoned patents or applications can be revived;</w:t>
      </w:r>
    </w:p>
    <w:p>
      <w:pPr>
        <w:spacing w:after="0" w:line="62" w:lineRule="exact"/>
        <w:rPr>
          <w:rFonts w:ascii="Arial" w:cs="Arial" w:eastAsia="Arial" w:hAnsi="Arial"/>
          <w:sz w:val="18"/>
          <w:szCs w:val="18"/>
          <w:color w:val="auto"/>
        </w:rPr>
      </w:pPr>
    </w:p>
    <w:p>
      <w:pPr>
        <w:ind w:left="1020" w:right="260" w:hanging="503"/>
        <w:spacing w:after="0" w:line="274" w:lineRule="auto"/>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pending patent applications that have been published can, subject to certain limitations, be later amended in a manner that could cover our technologies, tildacerfont, and any future product candidates or the use of tildacerfont and any future product candidates;</w:t>
      </w: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left="1020" w:right="460" w:hanging="503"/>
        <w:spacing w:after="0" w:line="342" w:lineRule="auto"/>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identification of third-party patent rights that may be relevant to our technology is difficult because patent searching is imperfect due to differences in terminology among patents, incomplete databases, and the difficulty in assessing the meaning of patent claims;</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patent applications in the United States are typically not published until 18 months after the priority date;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publications in the scientific literature often lag behind actual discoveries.</w:t>
      </w:r>
    </w:p>
    <w:p>
      <w:pPr>
        <w:spacing w:after="0" w:line="117"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color w:val="auto"/>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products, or product candidates are not covered by a third-party patent or may incorrectly predict whether a third party’s pending patent application will issue with claims of relevant scope. Our determination of the expiration date of any patent in the United States or internationally that we consider relevant may be incorrect, which may negatively impact our ability to develop and market our products or product candidates.</w:t>
      </w:r>
    </w:p>
    <w:p>
      <w:pPr>
        <w:spacing w:after="0" w:line="56"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auto"/>
        </w:rPr>
        <w:t>Our competitors may have filed, and may in the future file, patent applications covering technology similar to ours, and others may have or obtain patents or proprietary rights that could limit our ability to make, use, sell, offer for sale or import tildacerfont and future approved products or impair our competitive position.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tildacerfont. Any such patent application may have priority over our patent applications, which could further require us to obtain rights to issued patents covering such technologies. If another party has filed a U.S. patent application on inventions similar to ours,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Other countries have similar laws that permit secrecy of patent applications and may be entitled to priority over our applications in such jurisdictions.</w:t>
      </w:r>
    </w:p>
    <w:p>
      <w:pPr>
        <w:spacing w:after="0" w:line="60" w:lineRule="exact"/>
        <w:rPr>
          <w:sz w:val="20"/>
          <w:szCs w:val="20"/>
          <w:color w:val="auto"/>
        </w:rPr>
      </w:pPr>
    </w:p>
    <w:p>
      <w:pPr>
        <w:jc w:val="both"/>
        <w:ind w:right="120" w:firstLine="509"/>
        <w:spacing w:after="0" w:line="263"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76" w:lineRule="exact"/>
        <w:rPr>
          <w:sz w:val="20"/>
          <w:szCs w:val="20"/>
          <w:color w:val="auto"/>
        </w:rPr>
      </w:pPr>
    </w:p>
    <w:p>
      <w:pPr>
        <w:jc w:val="both"/>
        <w:ind w:right="180" w:firstLine="509"/>
        <w:spacing w:after="0" w:line="311" w:lineRule="auto"/>
        <w:rPr>
          <w:sz w:val="20"/>
          <w:szCs w:val="20"/>
          <w:color w:val="auto"/>
        </w:rPr>
      </w:pPr>
      <w:r>
        <w:rPr>
          <w:rFonts w:ascii="Arial" w:cs="Arial" w:eastAsia="Arial" w:hAnsi="Arial"/>
          <w:sz w:val="16"/>
          <w:szCs w:val="16"/>
          <w:color w:val="auto"/>
        </w:rPr>
        <w:t>If a third party prevails in a patent infringement lawsuit against us, we may have to stop making and selling the infringing product, pay substantial damages, including treble damages and attorneys’ fees if we are found to be willfully infringing a third party’s patents, obtain one or more licenses from third parties, pay royalties or redesign our infringing products, which may be impossible or require substantial time and monetary expenditure.</w:t>
      </w:r>
    </w:p>
    <w:p>
      <w:pPr>
        <w:spacing w:after="0" w:line="41" w:lineRule="exact"/>
        <w:rPr>
          <w:sz w:val="20"/>
          <w:szCs w:val="20"/>
          <w:color w:val="auto"/>
        </w:rPr>
      </w:pPr>
    </w:p>
    <w:p>
      <w:pPr>
        <w:ind w:right="240" w:firstLine="509"/>
        <w:spacing w:after="0" w:line="257" w:lineRule="auto"/>
        <w:rPr>
          <w:sz w:val="20"/>
          <w:szCs w:val="20"/>
          <w:color w:val="auto"/>
        </w:rPr>
      </w:pPr>
      <w:r>
        <w:rPr>
          <w:rFonts w:ascii="Arial" w:cs="Arial" w:eastAsia="Arial" w:hAnsi="Arial"/>
          <w:sz w:val="18"/>
          <w:szCs w:val="18"/>
          <w:color w:val="auto"/>
        </w:rPr>
        <w:t>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tildacerfont. We may fail to obtain any of these licenses at a reasonable cost or on reasonable terms, if at all. In that event, we would be unable to further develop and commercialize tildacerfont, which could harm our business significantly. Even if we were able to obtain a license, the rights may be nonexclusive, which may give our competitors access to the same intellectual property.</w:t>
      </w:r>
    </w:p>
    <w:p>
      <w:pPr>
        <w:spacing w:after="0" w:line="8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62"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As is common in the biotechnology and pharmaceutical industries, in addition to our employees, we engage the services of consultants to assist us in the development of tildacerfont, any future product candidates, and other proprietary technologies.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41"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 Further, our issued patents could be found invalid or unenforceable if challenged in court, and we may incur substantial costs as a result of litigation or other proceedings relating to patent and other intellectual property rights.</w:t>
      </w:r>
    </w:p>
    <w:p>
      <w:pPr>
        <w:spacing w:after="0" w:line="76"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Third parties including competitors may infringe, misappropriate or otherwise violate our patents, patents that may issue to us in the future, or the patents of our licensors that are licensed to us. To counter infringement or unauthorized use, we may need to or choose to file infringement claims, which can be expensive and time-consuming. We may not be able to prevent, alone or with our licensors, infringement, misappropriation, or other violation of our intellectual property, particularly in countries where the laws may not protect those rights as fully as in the United States.</w:t>
      </w:r>
    </w:p>
    <w:p>
      <w:pPr>
        <w:spacing w:after="0" w:line="63"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If we choose to go to court to stop another party from using the inventions claimed in our patents, that individual or company has the right to ask the court to rule that such patents are invalid, unenforceable, or should not be enforced against that third party for any number of reasons. In patent litigation in the United States, defendant counterclaims alleging invalidity and/or unenforceability are commonplace. Grounds for a validity challenge include an alleged failure to meet any of several statutory requirements for patentability, including lack of novelty, obviousness, lack of written description, indefiniteness, or non-enablement. Grounds for an unenforceability assertion could include an allegation that someone connected with prosecution of the patent withheld relevant information from the USPTO or made a misleading statement during prosecution, i.e., committed inequitable conduct. Third parties may also raise similar claims before the USPTO, even outside the context of litigation. For example, in May 2021, Neurocrine filed a petition requesting the USPTO to institute an administrative proceeding involving the post-grant review of the patentability of United States Patent 10,849,908. In December 2021, the USPTO denied Neurocrine's request for post-grant review. In January 2022, Neurocrine requested a rehearing of the USPTO's decision to deny the post-grant review and also filed a request that the Procedural Opinion Panel (POP) review the case. Additionally, in February 2022, Neurocrine filed a petition requesting the USPTO to institute an administrative proceeding involving the post-grant review of the patentability of United States Patent 11,007,201. In September 2022, the USPTO denied Neurocrine's request for post-grant review. In October 2022, Neurocrine requested a rehearing of the USPTO's decision to deny the post-grant review and also filed a request that the POP review the case. Similar mechanisms for challenging the validity and enforceability of a patent exist in foreign patent offices and courts and may result in the revocation, cancellation, or amendment of any foreign patents we or our licensors hold now or in the future. The outcome following legal assertions of invalidity and unenforceability is unpredictable, and prior art could render our patents or those of our licensors invalid. If a defendant were to prevail on a legal assertion of invalidity and/or unenforceability, we would lose at least part, and perhaps all, of the patent protection on such product candidate. Such a loss of patent protection would have a material adverse impact on our business.</w:t>
      </w:r>
    </w:p>
    <w:p>
      <w:pPr>
        <w:spacing w:after="0" w:line="82"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tildacerfont and any future product candidates to market.</w:t>
      </w:r>
    </w:p>
    <w:p>
      <w:pPr>
        <w:spacing w:after="0" w:line="7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1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70"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of the expense and uncertainty of litigation, we may not be in a position to enforce our intellectual property rights against third parties.</w:t>
      </w:r>
    </w:p>
    <w:p>
      <w:pPr>
        <w:spacing w:after="0" w:line="140"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spacing w:after="0" w:line="63"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 Our reliance on third parties requires us to share our trade secrets, which increases the possibility that a competitor will discover them or that our trade secrets will be misappropriated or disclosed.</w:t>
      </w:r>
    </w:p>
    <w:p>
      <w:pPr>
        <w:spacing w:after="0" w:line="7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and inventions agreements with employees, consultants, and advisors, to protect our trade secrets and other proprietary information. In addition to contractual measures, we try to protect the confidential nature of our proprietary information using commonly accepted physical and technological security measures. Despite these efforts, we cannot provide any assurances that all such agreements have been duly executed, and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71"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w:t>
      </w:r>
    </w:p>
    <w:p>
      <w:pPr>
        <w:spacing w:after="0" w:line="70" w:lineRule="exact"/>
        <w:rPr>
          <w:sz w:val="20"/>
          <w:szCs w:val="20"/>
          <w:color w:val="auto"/>
        </w:rPr>
      </w:pPr>
    </w:p>
    <w:p>
      <w:pPr>
        <w:jc w:val="center"/>
        <w:ind w:right="120"/>
        <w:spacing w:after="0" w:line="259" w:lineRule="auto"/>
        <w:rPr>
          <w:sz w:val="20"/>
          <w:szCs w:val="20"/>
          <w:color w:val="auto"/>
        </w:rPr>
      </w:pPr>
      <w:r>
        <w:rPr>
          <w:rFonts w:ascii="Arial" w:cs="Arial" w:eastAsia="Arial" w:hAnsi="Arial"/>
          <w:sz w:val="18"/>
          <w:szCs w:val="18"/>
          <w:color w:val="auto"/>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1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technology or information to compete with us. Trade secrets will over time be disseminated within the industry through independent development, the publication of journal articles, and the movement of personnel skilled in the art from company to company or academic to industry scientific positions. Though our agreements with third parties typically restrict the ability of our advisors, employees, collaborators, licensors, suppliers,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Our future trademarks or trade names may be unable to be obtained,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64"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Moreover, any name we have proposed to use with tildacerfont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Similar requirements exist in Europe.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71"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products.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13"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62" w:lineRule="exact"/>
        <w:rPr>
          <w:sz w:val="20"/>
          <w:szCs w:val="20"/>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17" w:lineRule="exact"/>
        <w:rPr>
          <w:rFonts w:ascii="Arial" w:cs="Arial" w:eastAsia="Arial" w:hAnsi="Arial"/>
          <w:sz w:val="18"/>
          <w:szCs w:val="18"/>
          <w:color w:val="auto"/>
        </w:rPr>
      </w:pPr>
    </w:p>
    <w:p>
      <w:pPr>
        <w:jc w:val="both"/>
        <w:ind w:left="1020" w:right="400" w:hanging="503"/>
        <w:spacing w:after="0" w:line="311" w:lineRule="auto"/>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40" w:lineRule="exact"/>
        <w:rPr>
          <w:rFonts w:ascii="Arial" w:cs="Arial" w:eastAsia="Arial" w:hAnsi="Arial"/>
          <w:sz w:val="16"/>
          <w:szCs w:val="16"/>
          <w:color w:val="auto"/>
        </w:rPr>
      </w:pPr>
    </w:p>
    <w:p>
      <w:pPr>
        <w:ind w:left="1020" w:right="28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tildacerfont and any future product candidates;</w:t>
      </w:r>
    </w:p>
    <w:p>
      <w:pPr>
        <w:spacing w:after="0" w:line="62" w:lineRule="exact"/>
        <w:rPr>
          <w:rFonts w:ascii="Arial" w:cs="Arial" w:eastAsia="Arial" w:hAnsi="Arial"/>
          <w:sz w:val="18"/>
          <w:szCs w:val="18"/>
          <w:color w:val="auto"/>
        </w:rPr>
      </w:pPr>
    </w:p>
    <w:p>
      <w:pPr>
        <w:ind w:left="1020" w:right="44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17" w:lineRule="exact"/>
        <w:rPr>
          <w:rFonts w:ascii="Arial" w:cs="Arial" w:eastAsia="Arial" w:hAnsi="Arial"/>
          <w:sz w:val="18"/>
          <w:szCs w:val="18"/>
          <w:color w:val="auto"/>
        </w:rPr>
      </w:pPr>
    </w:p>
    <w:p>
      <w:pPr>
        <w:ind w:left="1020" w:right="680" w:hanging="503"/>
        <w:spacing w:after="0" w:line="263"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5" w:lineRule="exact"/>
        <w:rPr>
          <w:rFonts w:ascii="Arial" w:cs="Arial" w:eastAsia="Arial" w:hAnsi="Arial"/>
          <w:sz w:val="18"/>
          <w:szCs w:val="18"/>
          <w:color w:val="auto"/>
        </w:rPr>
      </w:pPr>
    </w:p>
    <w:p>
      <w:pPr>
        <w:ind w:left="1020" w:right="160" w:hanging="503"/>
        <w:spacing w:after="0" w:line="342" w:lineRule="auto"/>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15" w:lineRule="exact"/>
        <w:rPr>
          <w:rFonts w:ascii="Arial" w:cs="Arial" w:eastAsia="Arial" w:hAnsi="Arial"/>
          <w:sz w:val="16"/>
          <w:szCs w:val="16"/>
          <w:color w:val="auto"/>
        </w:rPr>
      </w:pPr>
    </w:p>
    <w:p>
      <w:pPr>
        <w:ind w:left="1020" w:right="94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current or future products;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w:t>
      </w:r>
    </w:p>
    <w:p>
      <w:pPr>
        <w:spacing w:after="0" w:line="62" w:lineRule="exact"/>
        <w:rPr>
          <w:rFonts w:ascii="Arial" w:cs="Arial" w:eastAsia="Arial" w:hAnsi="Arial"/>
          <w:sz w:val="18"/>
          <w:szCs w:val="18"/>
          <w:color w:val="auto"/>
        </w:rPr>
      </w:pPr>
    </w:p>
    <w:p>
      <w:pPr>
        <w:ind w:left="1020" w:right="40" w:hanging="503"/>
        <w:spacing w:after="0" w:line="263"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not be able to obtain intellectual property rights in technologies or products resulting from the collaboration; under certain situations, the collaborators may provide us with an option to negotiate a license to such developed technologies or products, however, we may not be able to negotiate such license; and</w:t>
      </w:r>
    </w:p>
    <w:p>
      <w:pPr>
        <w:spacing w:after="0" w:line="75"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liquid and orderly trading market for our common stock may not be sustained.</w:t>
      </w:r>
    </w:p>
    <w:p>
      <w:pPr>
        <w:spacing w:after="0" w:line="117" w:lineRule="exact"/>
        <w:rPr>
          <w:sz w:val="20"/>
          <w:szCs w:val="20"/>
          <w:color w:val="auto"/>
        </w:rPr>
      </w:pPr>
    </w:p>
    <w:p>
      <w:pPr>
        <w:ind w:right="160" w:firstLine="509"/>
        <w:spacing w:after="0" w:line="275" w:lineRule="auto"/>
        <w:rPr>
          <w:sz w:val="20"/>
          <w:szCs w:val="20"/>
          <w:color w:val="auto"/>
        </w:rPr>
      </w:pPr>
      <w:r>
        <w:rPr>
          <w:rFonts w:ascii="Arial" w:cs="Arial" w:eastAsia="Arial" w:hAnsi="Arial"/>
          <w:sz w:val="17"/>
          <w:szCs w:val="17"/>
          <w:color w:val="auto"/>
        </w:rPr>
        <w:t>Prior to the closing of our initial public offering (IPO) in October 2020, there was no public market for shares of our common stock. An active trading market for our shares may not be sustained. You may not be able to sell your shares quickly or at the market price if trading in shares of our common stock is not active. As a result of these and other factors, you may be unable to resell your shares of our common stock. Further, an inactive market may also impair our ability to raise capital by selling shares of our common stock and may impair our ability to enter into strategic partnerships or acquire companies or products by using our shares of common stock as consideration.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be volatile, and you could lose all or part of your investment.</w:t>
      </w:r>
    </w:p>
    <w:p>
      <w:pPr>
        <w:spacing w:after="0" w:line="117"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The trading price of our common stock is likely to be highly volatile and could be subject to wide fluctuations in response to various factors, some of which are beyond our control, including limited trading volume. For example, the closing price of our common stock from January 1, 2022 to March 10, 2023 has ranged from a low of $0.99 to a high of $4.59. In addition to the factors discussed in this “Risk Factors” section and elsewhere in this Annual Report on Form 10-K, these factors include: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13" w:lineRule="exact"/>
        <w:rPr>
          <w:sz w:val="20"/>
          <w:szCs w:val="20"/>
          <w:color w:val="auto"/>
        </w:rPr>
      </w:pPr>
    </w:p>
    <w:p>
      <w:pPr>
        <w:jc w:val="both"/>
        <w:ind w:left="1020" w:right="560" w:hanging="503"/>
        <w:spacing w:after="0" w:line="263"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commencement, enrollment or results of our ongoing and planned clinical trials of tildacerfont or any future clinical trials we may conduct of tildacerfont and any future product candidates, or changes in the development status of tildacerfont and any future product candidates;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acceptance by the FDA and EMA of the clinical trial design of our planned and ongoing clinical trials of tildacerfont;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acceptance by the FDA and EMA of data from our two Phase 2b clinical trials or any future clinical trials we conduct;</w:t>
      </w:r>
    </w:p>
    <w:p>
      <w:pPr>
        <w:spacing w:after="0" w:line="117" w:lineRule="exact"/>
        <w:rPr>
          <w:rFonts w:ascii="Arial" w:cs="Arial" w:eastAsia="Arial" w:hAnsi="Arial"/>
          <w:sz w:val="18"/>
          <w:szCs w:val="18"/>
          <w:color w:val="auto"/>
        </w:rPr>
      </w:pPr>
    </w:p>
    <w:p>
      <w:pPr>
        <w:ind w:left="1020" w:right="40" w:hanging="503"/>
        <w:spacing w:after="0" w:line="263"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delay in our regulatory filings for tildacerfont and any future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adverse results or delays in clinical trials as a result of the COVID-19 pandemic, patient engagement, protocol amendments or otherwise;</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decision to initiate a clinical trial, not to initiate a clinical trial, or to terminate an existing clinical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for tildacerfont and any future product candidates;</w:t>
      </w:r>
    </w:p>
    <w:p>
      <w:pPr>
        <w:spacing w:after="0" w:line="117" w:lineRule="exact"/>
        <w:rPr>
          <w:rFonts w:ascii="Arial" w:cs="Arial" w:eastAsia="Arial" w:hAnsi="Arial"/>
          <w:sz w:val="18"/>
          <w:szCs w:val="18"/>
          <w:color w:val="auto"/>
        </w:rPr>
      </w:pPr>
    </w:p>
    <w:p>
      <w:pPr>
        <w:ind w:left="1020" w:right="720" w:hanging="503"/>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laws or regulations applicable to tildacerfont and any future product candidates, including but not limited to clinical trial requirements for approvals;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failure to obtain coverage and adequate reimbursement of tildacerfont and any future product candidates, if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on the structure of healthcare payment systems;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adverse developments concerning our manufacturers;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approved drug product or inability to do so at acceptable prices;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failure to commercialize tildacerfont and any future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additions or departures of key scientific or executive management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tildacerfont and any future product candidates;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introduction of new products or services offered by us or our competitors, or the release or publication of clinical trial results from competing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announcements of significant acquisitions, strategic partnerships, joint ventures, or capital commitments by us or our competitors;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17"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size and growth, if any, of the markets for classic CAH in adult and pediatric patients and a subpopulation of females with PCOS, and other rare endocrine disorders that we may target;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variations in quarterly or annual operating results;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publication of research reports about us or our industry or positive or negative recommendations or withdrawal of research coverage by</w:t>
      </w:r>
    </w:p>
    <w:p>
      <w:pPr>
        <w:spacing w:after="0" w:line="3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securities analysts;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13" w:lineRule="exact"/>
        <w:rPr>
          <w:sz w:val="20"/>
          <w:szCs w:val="20"/>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issuances of debt or equity securities;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17"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17"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geopolitical and macroeconomic conditions, including the COVID-19 pandemic, the military conflict in Ukraine and Russia, and recent and potential future disruptions in access to bank deposits or lending commitments due to bank failures;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117"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In addition, the stock market in general,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pursuant to the Loan Agreement, we are prohibited from paying cash dividends without the prior written consent of Silicon Valley Bank, and future debt instruments may materially restrict our ability to pay dividends on our common stock. Any return to stockholders would therefore be limited to the appreciation, if any, of their stock.</w:t>
      </w:r>
    </w:p>
    <w:p>
      <w:pPr>
        <w:spacing w:after="0" w:line="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62"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auto"/>
        </w:rPr>
        <w:t>Our executive officers and directors, combined with our stockholders who own more than 5% of our outstanding capital stock, beneficially own shares representing a significant percentage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8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reporting requirements applicable to emerging growth companies and smaller reporting companies may make our common stock less attractive to investors.</w:t>
      </w:r>
    </w:p>
    <w:p>
      <w:pPr>
        <w:spacing w:after="0" w:line="62"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certain exemptions from various public company reporting requirements, including being permitted to provide only two years of audited financial statements, in addition to any required financial statements with correspondingly reduced “Management’s Discussion and Analysis of Financial Condition and Results of Operations” disclosure in this Annual Report on Form 10-K, reduced disclosure obligations regarding executive compensation in our periodic reports and proxy statements, and exemptions from the requirements of holding a nonbinding advisory vote on executive compensation and stockholder approval of any</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golden parachute payments not previously approved. We may take advantage of these exemptions until December 31, 2025, or until we are no longer an emerging growth company, whichever is earlier. We will cease to be an emerging growth company prior to the end of such five-year period if certain earlier events occur, including if we become a “large accelerated filer” as defined in Rule 12b-2 under the Exchange Act, our annual gross revenues exceed $1.235 billion or we issue more than $1.0 billion of non-convertible debt in any three-year period.</w:t>
      </w:r>
    </w:p>
    <w:p>
      <w:pPr>
        <w:spacing w:after="0" w:line="79" w:lineRule="exact"/>
        <w:rPr>
          <w:sz w:val="20"/>
          <w:szCs w:val="20"/>
          <w:color w:val="auto"/>
        </w:rPr>
      </w:pPr>
    </w:p>
    <w:p>
      <w:pPr>
        <w:jc w:val="both"/>
        <w:ind w:right="200" w:firstLine="509"/>
        <w:spacing w:after="0" w:line="286"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w:t>
      </w:r>
    </w:p>
    <w:p>
      <w:pPr>
        <w:spacing w:after="0" w:line="5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We are also a “smaller reporting company” as defined in the Exchange Act. We may continue to be a smaller reporting company even after we are no longer an emerging growth company, which would allow us to take advantage of many of the same exemptions available to emerging growth companies, including not being required to comply with the auditor attestation requirements of Section 404 of the Sarbanes-Oxley Act of 2002 (Sarbanes-Oxley Act), and reduced disclosure obligations regarding executive compensation.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Investors may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7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previously identified and remediated a material weakness in our internal control over financial reporting and may identify material weaknesses in the future or otherwise fail to maintain proper and effective internal controls, which may impair our ability to produce accurate financial statements on a timely basis.</w:t>
      </w:r>
    </w:p>
    <w:p>
      <w:pPr>
        <w:spacing w:after="0" w:line="76"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auto"/>
        </w:rPr>
        <w:t>During the preparation of our financial statements for the years ended December 31, 2018 and 2019, we identified a material weakness in internal control over financial reporting primarily related to a lack of timely review over the financial statement close process. During these periods, we did not have a sufficient complement of qualified personnel within the accounting function and had a lack of segregation of duties to adequately conduct review and analysis of certain routine transactions.</w:t>
      </w:r>
    </w:p>
    <w:p>
      <w:pPr>
        <w:spacing w:after="0" w:line="79"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This material weakness could result in a misstatement of account balances or disclosures that would result in a material misstatement to the annual or interim financial statements that would not be prevented or detected. To address our material weakness, we added a chief financial officer and controller, and we implemented new processes and controls, formalized documentation of policies and procedures, and recruited additional accounting personnel. We have fully remediated the material weakness as of the filing date of our Annual Report for the fiscal year ending December 31, 2020. Completion of remediation does not provide assurance that our remediation or other controls will continue operating effectively. Remediation costs consisted primarily of additional personnel expenses, which did not have a material impact to our financial statements.</w:t>
      </w:r>
    </w:p>
    <w:p>
      <w:pPr>
        <w:spacing w:after="0" w:line="70"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We are subject to the reporting requirements of the Exchange Act, the Sarbanes-Oxley Act, and the rules and regulations of Nasdaq. The Sarbanes-Oxley Act requires, among other things, that we maintain effective disclosure controls and procedures and internal controls over financial reporting. We must perform system and process evaluation and testing of our internal controls over financial reporting to allow management to report on the effectiveness of our internal controls over financial reporting in this Annual Report on Form 10-K, as required by Section 404 of the Sarbanes-Oxley Act. This will require that we incur substantial additional professional fees and internal costs to expand our accounting and finance functions and that we expend significant management efforts. Prior to our IPO, we have never been required to test our internal controls within a specified period, and, as a result, we may experience difficulty in meeting these reporting requirements in a timely manner.</w:t>
      </w:r>
    </w:p>
    <w:p>
      <w:pPr>
        <w:spacing w:after="0" w:line="69" w:lineRule="exact"/>
        <w:rPr>
          <w:sz w:val="20"/>
          <w:szCs w:val="20"/>
          <w:color w:val="auto"/>
        </w:rPr>
      </w:pPr>
    </w:p>
    <w:p>
      <w:pPr>
        <w:jc w:val="both"/>
        <w:ind w:right="60" w:firstLine="509"/>
        <w:spacing w:after="0" w:line="255" w:lineRule="auto"/>
        <w:rPr>
          <w:sz w:val="20"/>
          <w:szCs w:val="20"/>
          <w:color w:val="auto"/>
        </w:rPr>
      </w:pPr>
      <w:r>
        <w:rPr>
          <w:rFonts w:ascii="Arial" w:cs="Arial" w:eastAsia="Arial" w:hAnsi="Arial"/>
          <w:sz w:val="18"/>
          <w:szCs w:val="18"/>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76" w:lineRule="exact"/>
        <w:rPr>
          <w:sz w:val="20"/>
          <w:szCs w:val="20"/>
          <w:color w:val="auto"/>
        </w:rPr>
      </w:pPr>
    </w:p>
    <w:p>
      <w:pPr>
        <w:ind w:right="200" w:firstLine="509"/>
        <w:spacing w:after="0" w:line="286" w:lineRule="auto"/>
        <w:rPr>
          <w:sz w:val="20"/>
          <w:szCs w:val="20"/>
          <w:color w:val="auto"/>
        </w:rPr>
      </w:pPr>
      <w:r>
        <w:rPr>
          <w:rFonts w:ascii="Arial" w:cs="Arial" w:eastAsia="Arial" w:hAnsi="Arial"/>
          <w:sz w:val="17"/>
          <w:szCs w:val="17"/>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Nasdaq, the SEC or other regulatory authorities.</w:t>
      </w:r>
    </w:p>
    <w:p>
      <w:pPr>
        <w:spacing w:after="0" w:line="5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The measures we have taken to date, and actions we may take in the future, may not be sufficient to remediate the control deficiencies that led to our material weakness in our internal control over financial reporting or to prevent or avoid potential future material weaknesses. We may not have identified all material weaknesses. Moreover, 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w:t>
      </w:r>
    </w:p>
    <w:p>
      <w:pPr>
        <w:spacing w:after="0" w:line="5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increased costs as a result of operating as a public company, and our management will be required to devote substantial time to new compliance initiatives.</w:t>
      </w:r>
    </w:p>
    <w:p>
      <w:pPr>
        <w:spacing w:after="0" w:line="62"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As a public company, we have incurred and will continue to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(Dodd-Frank Act) was enacted. There are significant corporate governance and executive compensation related provisions in the Dodd-Frank Act that require the SEC to adopt additional rules and regulations in these areas such as “say on pay” and proxy access. Emerging growth companies and smaller reporting companies are exempted from certain of these requirements, but we may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71"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expect the rules and regulations applicable to public companies to continue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December 31, 2022, there were 23,601,004 shares of our common stock outstanding.</w:t>
      </w:r>
    </w:p>
    <w:p>
      <w:pPr>
        <w:spacing w:after="0" w:line="76" w:lineRule="exact"/>
        <w:rPr>
          <w:sz w:val="20"/>
          <w:szCs w:val="20"/>
          <w:color w:val="auto"/>
        </w:rPr>
      </w:pPr>
    </w:p>
    <w:p>
      <w:pPr>
        <w:ind w:right="160" w:firstLine="509"/>
        <w:spacing w:after="0" w:line="258" w:lineRule="auto"/>
        <w:rPr>
          <w:sz w:val="20"/>
          <w:szCs w:val="20"/>
          <w:color w:val="auto"/>
        </w:rPr>
      </w:pPr>
      <w:r>
        <w:rPr>
          <w:rFonts w:ascii="Arial" w:cs="Arial" w:eastAsia="Arial" w:hAnsi="Arial"/>
          <w:sz w:val="18"/>
          <w:szCs w:val="18"/>
          <w:color w:val="auto"/>
        </w:rPr>
        <w:t>In addition, shares of common stock that are either subject to outstanding options or reserved for future issuance under our employee benefit plans will become eligible for sale in the public market to the extent permitted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by the provisions of various vesting schedules, Rule 144 and Rule 701 under the Securities Act of 1933, as amended (Securities Act). If these additional shares of common stock are sold, or if it is perceived that they will be sold, in the public market, the trading price of our common stock could decline.</w:t>
      </w:r>
    </w:p>
    <w:p>
      <w:pPr>
        <w:spacing w:after="0" w:line="16"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In February 2023, we entered into a securities purchase agreement with several institutional and accredited investors, including holders of more than 5% of our total common stock outstanding on the date of the securities purchase agreement, pursuant to which we issued and sold 16,116,000 shares of common stock, pre-funded warrants to purchase 800,000 shares of common stock, and warrants to purchase 12,687,000 shares of common stock. Pursuant to the securities purchase agreement, we are obligated to register for resale such securities. If these additional shares of common stock, and the shares of common stock issuable pursuant to such pre-funded warrants and warrants, are resold, or if it is perceived that they will be resold, in the public market, the trading price of our common stock could decline.</w:t>
      </w:r>
    </w:p>
    <w:p>
      <w:pPr>
        <w:spacing w:after="0" w:line="84"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Further, certain holders of shares of our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79"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including pursuant to the Shelf Registration, Sales Agreement and our equity incentive plans, could result in additional dilution of the percentage ownership of our stockholders and could cause our stock price to fall.</w:t>
      </w:r>
    </w:p>
    <w:p>
      <w:pPr>
        <w:spacing w:after="0" w:line="76" w:lineRule="exact"/>
        <w:rPr>
          <w:sz w:val="20"/>
          <w:szCs w:val="20"/>
          <w:color w:val="auto"/>
        </w:rPr>
      </w:pPr>
    </w:p>
    <w:p>
      <w:pPr>
        <w:ind w:firstLine="509"/>
        <w:spacing w:after="0" w:line="281" w:lineRule="auto"/>
        <w:rPr>
          <w:sz w:val="20"/>
          <w:szCs w:val="20"/>
          <w:color w:val="auto"/>
        </w:rPr>
      </w:pPr>
      <w:r>
        <w:rPr>
          <w:rFonts w:ascii="Arial" w:cs="Arial" w:eastAsia="Arial" w:hAnsi="Arial"/>
          <w:sz w:val="16"/>
          <w:szCs w:val="16"/>
          <w:color w:val="auto"/>
        </w:rPr>
        <w:t>We expect that we will need significant additional capital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including through the registration statement on Form S-3, as amended, declared effective in February 2022, covering the sale of up to $200.0 million of our securities (the Shelf Registration). For example, in February 2022, we entered into an Open Market Sales Agreement</w:t>
      </w:r>
      <w:r>
        <w:rPr>
          <w:rFonts w:ascii="Arial" w:cs="Arial" w:eastAsia="Arial" w:hAnsi="Arial"/>
          <w:sz w:val="21"/>
          <w:szCs w:val="21"/>
          <w:color w:val="auto"/>
          <w:vertAlign w:val="superscript"/>
        </w:rPr>
        <w:t>SM</w:t>
      </w:r>
      <w:r>
        <w:rPr>
          <w:rFonts w:ascii="Arial" w:cs="Arial" w:eastAsia="Arial" w:hAnsi="Arial"/>
          <w:sz w:val="16"/>
          <w:szCs w:val="16"/>
          <w:color w:val="auto"/>
        </w:rPr>
        <w:t xml:space="preserve"> (the Sales Agreement) with Jefferies, LLC (Jefferies), pursuant to which we may elect to issue and sell, from time to time, shares of common stock having an aggregate offering price of up to $21.0 million under the Shelf Registration through Jefferies acting as the sales agent and/or principal. As of December 31, 2022, we have not issued any shares of common stock pursuant to the Sales Agreement. In addition, in February 2023, we entered into a securities purchase agreement with several institutional and accredited investors, including holders of more than 5% of our total common stock outstanding on the date of the securities purchase agreement, pursuant to which we issued and sold 16,116,000 shares of common stock, pre-funded warrants to purchase 800,000 shares of common stock, and warrants to purchase 12,687,000 shares of common stock. If these additional shares of common stock, and the shares of common stock issuable pursuant to such pre-funded warrants and warrants, are resold, or if it is perceived that they will be resold, in the public market, the trading price of our common stock could decline. If we sell additional shares of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w:t>
      </w:r>
    </w:p>
    <w:p>
      <w:pPr>
        <w:spacing w:after="0" w:line="63"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auto"/>
        </w:rPr>
        <w:t>Pursuant to our 2020 Plan, our management is authorized to grant stock options and other stock awards to our employees, directors and consultants. Additionally, the number of shares of our common stock reserved for issuance under our 2020 Plan will automatically increase on January 1 of each year continuing through and including January 1, 2030, by 5% of the total number of shares of our capital stock outstanding on December 31 of the preceding calendar year, or a lesser number of shares determined by our board of directors. In addition, pursuant to our 2020 Employee Stock Purchase Plan (ESPP), the number of shares of our common stock reserved for issuance will automatically increase on January 1 of each calendar year continuing through January 1, 2030, by the lesser of (i) 1% of the total number of shares of our common stock outstanding on the last day of the calendar month before the date of the automatic increase, and (ii) 441,280 shares; provided that before the date of any such increase, our board of directors may determine that such increase will be less than the amount set forth in clauses (i) and (ii). Unless our board of directors elects not to increase the number of shares available for future grant each year, our stockholders may experience additional dilution, which could cause our stock price to fall.</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6" w:lineRule="exact"/>
        <w:rPr>
          <w:sz w:val="20"/>
          <w:szCs w:val="20"/>
          <w:color w:val="auto"/>
        </w:rPr>
      </w:pPr>
    </w:p>
    <w:p>
      <w:pPr>
        <w:ind w:right="180" w:firstLine="509"/>
        <w:spacing w:after="0" w:line="342"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16" w:lineRule="exact"/>
        <w:rPr>
          <w:sz w:val="20"/>
          <w:szCs w:val="20"/>
          <w:color w:val="auto"/>
        </w:rPr>
      </w:pPr>
    </w:p>
    <w:p>
      <w:pPr>
        <w:ind w:left="1020" w:right="300" w:hanging="503"/>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62" w:lineRule="exact"/>
        <w:rPr>
          <w:rFonts w:ascii="Arial" w:cs="Arial" w:eastAsia="Arial" w:hAnsi="Arial"/>
          <w:sz w:val="18"/>
          <w:szCs w:val="18"/>
          <w:color w:val="auto"/>
        </w:rPr>
      </w:pPr>
    </w:p>
    <w:p>
      <w:pPr>
        <w:ind w:left="1020" w:right="760" w:hanging="503"/>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62"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chairman of the board of directors, the chief executive officer, the president, or by a majority of the total number of authorized directors;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17" w:lineRule="exact"/>
        <w:rPr>
          <w:rFonts w:ascii="Arial" w:cs="Arial" w:eastAsia="Arial" w:hAnsi="Arial"/>
          <w:sz w:val="18"/>
          <w:szCs w:val="18"/>
          <w:color w:val="auto"/>
        </w:rPr>
      </w:pPr>
    </w:p>
    <w:p>
      <w:pPr>
        <w:ind w:left="1020" w:right="20" w:hanging="503"/>
        <w:spacing w:after="0" w:line="263"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75"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62"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5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right="60" w:firstLine="509"/>
        <w:spacing w:after="0" w:line="267"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Court of Chancery of the State of Delaware (and any appellate court therefrom) is the sole and exclusive forum for the following types of actions or proceedings under Delaware statutory or common law: (i) any derivative claim or cause of action brought on our behalf; (ii) any claim or cause of action for breach of a fiduciary duty owed by any of our current or former directors, officers, or other employees to us or our stockholders; (iii) any claim or cause of action against us or any of our current or former directors, officers, or other employees, arising out of or pursuant to any provision of the Delaware General Corporation Law, our amended and restated certificate of incorporation or our amended and restated bylaws; (iv) any claim or cause of action seeking to interpret, apply, enforce, or determine the validity of our amended and restated certificate of incorporation or our amended and restated bylaws (in each case as may be amended from time to time); (v) any claim or cause of action as to which the Delaware General Corporation Law confers jurisdiction to the Court of Chancery of the State of Delaware; and (vi) any claim or cause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of action against us or any of our current or former directors, officers, or other employees governed by the internal affairs doctrine, in all cases to the fullest extent permitted by law and subject to the court’s having personal jurisdiction over the indispensable parties named as defendants. These provisions would not apply to claims or causes of action brought to enforce a duty or liability created by the Securities Act and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further provide that, to the fullest extent permitted by law, the federal district courts of the United States of America is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spacing w:after="0" w:line="60"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meet Nasdaq’s continued listing requirements could result in a delisting of our common stock.</w:t>
      </w:r>
    </w:p>
    <w:p>
      <w:pPr>
        <w:spacing w:after="0" w:line="117"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revenues and financial condition and increase our costs and expenses.</w:t>
      </w:r>
    </w:p>
    <w:p>
      <w:pPr>
        <w:spacing w:after="0" w:line="117"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Our operations, and those of our CROs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tildacerfont. Our ability to obtain clinical supplies of tildacerfont and any future product candidates could be disrupted if the operations of these suppliers are affected by a man-made or natural disaster or other business interruption. Our corporate headquarters is located in California near major earthquake faults and fire zones. The ultimate impact on us, our suppliers and our general infrastructure of being located near major earthquake faults and</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fire zones and being consolidated in certain geographical areas is unknown, but our operations and financial condition could suffer in the event of a major earthquake, fire or other natural disaster.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jc w:val="both"/>
        <w:ind w:right="20" w:firstLine="509"/>
        <w:spacing w:after="0" w:line="287"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Our new corporate headquarters are located at 611 Gateway Boulevard, Suite 740, South San Francisco, California 94080, where we occupy approximately 6,500 square feet of office space pursuant to a lease entered in December 2022, which began in December 2022 and expires in February 2028.</w:t>
      </w:r>
    </w:p>
    <w:p>
      <w:pPr>
        <w:spacing w:after="0" w:line="76"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color w:val="auto"/>
        </w:rPr>
        <w:t>Our previous corporate headquarters were located at 2001 Junipero Serra Boulevard, Suite 640, Daly City, California 94014, where we occupied approximately 8,000 square feet of office space pursuant to a lease entered into in February 2020, which began in September 2020 and was terminated effective December 31, 2022.</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our existing facility meets our current needs.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From time to time, we may become involved in legal proceedings relating to claims arising from the ordinary course of business. Our management believes that there are currently no claims or actions pending against us, the ultimate disposition of which could have a material adverse effect on our results of operations, financial condition or cash flows.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right="1880"/>
        <w:spacing w:after="0" w:line="440"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“SPRB” since October 9, 2020. Prior to that date, there was no public market for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21" w:lineRule="exact"/>
        <w:rPr>
          <w:sz w:val="20"/>
          <w:szCs w:val="20"/>
          <w:color w:val="auto"/>
        </w:rPr>
      </w:pPr>
    </w:p>
    <w:p>
      <w:pPr>
        <w:ind w:right="220" w:firstLine="509"/>
        <w:spacing w:after="0" w:line="255" w:lineRule="auto"/>
        <w:rPr>
          <w:sz w:val="20"/>
          <w:szCs w:val="20"/>
          <w:color w:val="auto"/>
        </w:rPr>
      </w:pPr>
      <w:r>
        <w:rPr>
          <w:rFonts w:ascii="Arial" w:cs="Arial" w:eastAsia="Arial" w:hAnsi="Arial"/>
          <w:sz w:val="18"/>
          <w:szCs w:val="18"/>
          <w:color w:val="auto"/>
        </w:rPr>
        <w:t>As of March 10, 2023, we had 39,746,116 shares of common stock outstanding held by 44 holders of record, one of which was Cede &amp; Co., a nominee for Depository Trust Company (DTC). All of the shares of our common stock held by brokerage firms, banks and other financial institutions as nominees for beneficial owners are deposited into participant accounts at DTC and are therefore considered to be held of record by Cede &amp; Co. as one stockholder.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See Item 12 of Part III of this Annual Report for information about our equity compensation plans which is incorporated by reference herein.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100" w:firstLine="509"/>
        <w:spacing w:after="0" w:line="273" w:lineRule="auto"/>
        <w:rPr>
          <w:sz w:val="20"/>
          <w:szCs w:val="20"/>
          <w:color w:val="auto"/>
        </w:rPr>
      </w:pPr>
      <w:r>
        <w:rPr>
          <w:rFonts w:ascii="Arial" w:cs="Arial" w:eastAsia="Arial" w:hAnsi="Arial"/>
          <w:sz w:val="17"/>
          <w:szCs w:val="17"/>
          <w:color w:val="auto"/>
        </w:rPr>
        <w:t>We have never declared or paid any cash dividends on our capital stock. We intend to retain future earnings, if any, to finance the operation of our business and do not anticipate paying any cash dividends in the foreseeable future. In addition, pursuant to the Loan Agreement with Silicon Valley Bank, as amended, we are prohibited from paying cash dividends without the prior written consent of Silicon Valley Bank and future debt instruments may materially restrict our ability to pay dividends on our common stock. Any future determination related to dividend policy will be made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firstLine="509"/>
        <w:spacing w:after="0" w:line="266" w:lineRule="auto"/>
        <w:rPr>
          <w:sz w:val="20"/>
          <w:szCs w:val="20"/>
          <w:color w:val="auto"/>
        </w:rPr>
      </w:pPr>
      <w:r>
        <w:rPr>
          <w:rFonts w:ascii="Arial" w:cs="Arial" w:eastAsia="Arial" w:hAnsi="Arial"/>
          <w:sz w:val="17"/>
          <w:szCs w:val="17"/>
          <w:color w:val="auto"/>
        </w:rPr>
        <w:t>In February 2023, we entered into a securities purchase agreement with several institutional and accredited investors, including holders of more than 5% of our total common stock outstanding on the date of the securities purchase agreement, pursuant to which we issued and sold 16,116,000 shares of common stock, pre-funded warrants to purchase 800,000 shares of common stock, and warrants to purchase 12,687,000 shares of common stock for gross proceeds of $53.6 million, before deducting offering expenses payable by us. The purchase price per share of common stock and warrant was $3.17 per share (the “Purchase Price”) and the purchase price for the pre-funded warrants was the Purchase Price minus $0.01 per pre-funded warrant. The pre-funded warrants have a per share exercise price of $0.01 and the warrants have an exercise price of $3.96 per share, in each case subject to proportional adjustments in the event of stock splits or combinations or similar events. The pre-funded warrants and the warrants will be exercisable for a period of five years following the date of issuance. For each of the securities issued and sold, we relied on the exemption from the registration requirements of the Securities Act by virtue of Section 4(a)(2) thereof and Rule 506 of Regulation D thereunder. Each of the investors represented that it was an “accredited investor” as defined in Regulation D of the Securities Act and that it was acquiring the securities for investment only and not with a view towards, or for resale in connection with, the public sale or distribution thereof.</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We commenced our IPO pursuant to the registration statement on Form S-1, as amended (File No. 333-48924), that was declared effective on October 8, 2020 and a registration statement on Form S-1 MEF (File No. 333-249397), which was effective on filing on October 8, 2020, and registered an aggregate of 6,900,000 shares of our common stock. We sold 6,900,000 shares of our common stock at a public offering price of $15.00 per share for aggregate gross proceeds of $103.5 million. On October 14, 2020, we completed our IPO. Cowen and Company, LLC, SVB Leerink LLC, Credit Suisse Securities (USA) LLC and RBC Capital Markets, LLC acted as joint book-running managers for the IPO.</w:t>
      </w:r>
    </w:p>
    <w:p>
      <w:pPr>
        <w:spacing w:after="0" w:line="68"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The underwriting discounts and commissions for our IPO totaled approximately $7.2 million. We incurred additional costs of approximately $2.9 million in offering expenses, which when added to the underwriting discounts and commissions paid by us, amounts to total fees and costs of approximately $10.1 million. Thus, net offering proceeds to us, after deducting underwriting discounts, commissions and offering expenses, were $93.4 million. No offering expenses were paid directly or indirectly to any of our directors or officers (or their associates) or persons owning ten percent or more of any class of our equity securities or to any other affiliates.</w:t>
      </w:r>
    </w:p>
    <w:p>
      <w:pPr>
        <w:spacing w:after="0" w:line="80"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There has been no material change in the use of proceeds from our IPO as described in our final prospectus filed with the SEC pursuant to Rule 424(b)(4) on October 9,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Parties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our financial statements and the related notes to those statements included later in this Annual Report.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these forward-looking statements. Factors that could cause or contribute to these differences include those discussed below and elsewhere in this Annual Report, particularly in Item 1A. “Risk Factors” and “Special Note Regarding Forward-Looking Statements.” Unless otherwise indicated, all references in this Annual Report to “Spruce,” the “company,” “we,” “our,” “us” or similar terms refer to Spruce Biosciences, Inc.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We are a late-stage biopharmaceutical company focused on developing and commercializing novel therapies for rare endocrine disorders with significant unmet medical need. We are initially developing our wholly-owned product candidate, tildacerfont, as the potential first non-steroidal therapy to offer markedly improved disease control and reduce steroid burden for patients suffering from classic congenital adrenal hyperplasia (CAH). Classic CAH is a serious and life-threatening disease with no known novel therapies approved in approximately 70 years. In a 12-week Phase 2a proof-of-concept clinical trial, tildacerfont-treated adult patients suffering from classic CAH who had elevated adrenal hormones at baseline despite being on standard of care therapy achieved approximately 80% reductions in hormones that are key indicators of elevated adrenal hormones at baseline. Furthermore, over 200 subjects across eight completed clinical trials to date have been administered tildacerfont with no drug-related serious adverse events (SAEs) reported.</w:t>
      </w:r>
    </w:p>
    <w:p>
      <w:pPr>
        <w:spacing w:after="0" w:line="58"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 xml:space="preserve">We have initiated CAHmelia-203, a placebo-controlled, double-blind Phase 2b clinical trial in adult patients with classic CAH with highly elevated levels of androstenedione (A4), at baseline and anticipate topline results in the second half of 2023. We have also initiated CAHmelia-204, a second Phase 2b clinical trial in adult patients with classic CAH on supraphysiologic doses of glucocorticoids with normal or near normal levels of A4 at baseline focused on glucocorticoid reduction and anticipate topline results in the second half of 2024. Based on post-hoc analyses of our clinical data to date, we have chosen to target two distinct groups of classic CAH patients with either supraphysiologic doses of glucocorticoids </w:t>
      </w:r>
      <w:r>
        <w:rPr>
          <w:rFonts w:ascii="Arial" w:cs="Arial" w:eastAsia="Arial" w:hAnsi="Arial"/>
          <w:sz w:val="16"/>
          <w:szCs w:val="16"/>
          <w:color w:val="363E3B"/>
        </w:rPr>
        <w:t>with normal or near normal levels</w:t>
      </w:r>
      <w:r>
        <w:rPr>
          <w:rFonts w:ascii="Arial" w:cs="Arial" w:eastAsia="Arial" w:hAnsi="Arial"/>
          <w:sz w:val="16"/>
          <w:szCs w:val="16"/>
          <w:color w:val="auto"/>
        </w:rPr>
        <w:t xml:space="preserve"> </w:t>
      </w:r>
      <w:r>
        <w:rPr>
          <w:rFonts w:ascii="Arial" w:cs="Arial" w:eastAsia="Arial" w:hAnsi="Arial"/>
          <w:sz w:val="16"/>
          <w:szCs w:val="16"/>
          <w:color w:val="363E3B"/>
        </w:rPr>
        <w:t xml:space="preserve">of A4 at baseline </w:t>
      </w:r>
      <w:r>
        <w:rPr>
          <w:rFonts w:ascii="Arial" w:cs="Arial" w:eastAsia="Arial" w:hAnsi="Arial"/>
          <w:sz w:val="16"/>
          <w:szCs w:val="16"/>
          <w:color w:val="000000"/>
        </w:rPr>
        <w:t>or highly elevated levels of A4 at baseline. These two groups, which together make up the entire classic CAH patient population, have</w:t>
      </w:r>
      <w:r>
        <w:rPr>
          <w:rFonts w:ascii="Arial" w:cs="Arial" w:eastAsia="Arial" w:hAnsi="Arial"/>
          <w:sz w:val="16"/>
          <w:szCs w:val="16"/>
          <w:color w:val="363E3B"/>
        </w:rPr>
        <w:t xml:space="preserve"> </w:t>
      </w:r>
      <w:r>
        <w:rPr>
          <w:rFonts w:ascii="Arial" w:cs="Arial" w:eastAsia="Arial" w:hAnsi="Arial"/>
          <w:sz w:val="16"/>
          <w:szCs w:val="16"/>
          <w:color w:val="000000"/>
        </w:rPr>
        <w:t>differing disease challenges centered on excessive adrenal androgen levels or excessive glucocorticoid usage, both of which have the potential to be addressed by treatment with tildacerfont, if approved. We believe our strategy to study CAH patients in these two enriched sub-populations may enable us to observe clinically meaningful outcomes. Additionally, we believe these two clinical trials will provide sufficient patient exposures for our registrational safety database, which are designed to potentially support registration in the United States and Europe. Assuming positive results from these clinical trials, we plan to meet with the U.S. Food and Drug Administration (FDA) and certain comparable foreign regulatory authorities to discuss potential registration.</w:t>
      </w:r>
    </w:p>
    <w:p>
      <w:pPr>
        <w:spacing w:after="0" w:line="64"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We are also investigating tildacerfont for the treatment of classic CAH in children. We believe there is a significant medical need to provide androgen-lowering and glucocorticoid-sparing therapies to pediatric classic CAH patients to reduce the risk of premature puberty and the adverse effects of glucocorticoids, including growth inhibition and short-stature as adults. We have initiated CAHptain, a Phase 2 open-label clinical trial, which will utilize a sequential three cohort design, to evaluate the safety, efficacy, and pharmacokinetics of tildacerfont in children two to 17 years of age with classic CAH. We anticipate topline data from adolescents (cohorts 1 and 2) of the Phase 2 open-label clinical trial in the second half of 2023. We have also submitted a pediatric investigational plan (PIP) to the Pediatric Committee (PDCO) of the European Medicines Agency (EMA) regarding a registrational program in children with classic CAH. PDCO issued an opinion on its agreement with the proposed PIP of tildacerfont for the treatment of CAH which endorsed the clinical program to evaluate the safety, tolerability and efficacy of tildacerfont for the treatment of CAH in patients from one year of age to less than 18 years of age. PDCO also granted a waiver for the treatment of CAH in patients less than one year of age.</w:t>
      </w:r>
    </w:p>
    <w:p>
      <w:pPr>
        <w:spacing w:after="0" w:line="58" w:lineRule="exact"/>
        <w:rPr>
          <w:sz w:val="20"/>
          <w:szCs w:val="20"/>
          <w:color w:val="auto"/>
        </w:rPr>
      </w:pPr>
    </w:p>
    <w:p>
      <w:pPr>
        <w:ind w:right="260" w:firstLine="509"/>
        <w:spacing w:after="0" w:line="287" w:lineRule="auto"/>
        <w:rPr>
          <w:sz w:val="20"/>
          <w:szCs w:val="20"/>
          <w:color w:val="auto"/>
        </w:rPr>
      </w:pPr>
      <w:r>
        <w:rPr>
          <w:rFonts w:ascii="Arial" w:cs="Arial" w:eastAsia="Arial" w:hAnsi="Arial"/>
          <w:sz w:val="16"/>
          <w:szCs w:val="16"/>
          <w:color w:val="auto"/>
        </w:rPr>
        <w:t>Beyond classic CAH, we believe tildacerfont has potential utility in polycystic ovary syndrome (PCOS), and in a range of diseases where the underlying biology supports a need to reduce excess secretion of or hyperresponsiveness to adrenocorticotropic hormone (ACTH). PCOS is a hormonal disorder common among females of reproductive age affecting nearly five million females in the United States and approximately 115 million</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females worldwide. PCOS is characterized by elevated levels of androgens, cysts in the ovaries, and irregular periods. We have identified a subpopulation of patients where elevated levels of adrenal androgens are the cause of disease. We believe that tildacerfont may present a novel mechanism to reduce ACTH and provide a therapeutic option for females with PCOS. By leveraging our existing Phase 1 program, which includes safety, tolerability, and pharmacokinetics of tildacerfont, we have initiated P.O.W.E.R., a Phase 2 proof-of-concept, placebo-controlled, dose escalation trial which will evaluate the safety and efficacy of tildacerfont titrated to 200 mg QD compared to placebo at 12 weeks of treatment in subjects with PCOS and elevated adrenal androgens as measured by dehydroepiandrosterone sulfate (DHEAS) levels at baseline. We anticipate topline results from the Phase 2 proof-of-concept clinical trial in the first half of 2023.</w:t>
      </w:r>
    </w:p>
    <w:p>
      <w:pPr>
        <w:spacing w:after="0" w:line="87" w:lineRule="exact"/>
        <w:rPr>
          <w:sz w:val="20"/>
          <w:szCs w:val="20"/>
          <w:color w:val="auto"/>
        </w:rPr>
      </w:pPr>
    </w:p>
    <w:p>
      <w:pPr>
        <w:ind w:right="100" w:firstLine="509"/>
        <w:spacing w:after="0" w:line="296" w:lineRule="auto"/>
        <w:rPr>
          <w:sz w:val="20"/>
          <w:szCs w:val="20"/>
          <w:color w:val="auto"/>
        </w:rPr>
      </w:pPr>
      <w:r>
        <w:rPr>
          <w:rFonts w:ascii="Arial" w:cs="Arial" w:eastAsia="Arial" w:hAnsi="Arial"/>
          <w:sz w:val="16"/>
          <w:szCs w:val="16"/>
          <w:color w:val="auto"/>
        </w:rPr>
        <w:t>Since our inception in November 2014, we have focused primarily on raising capital, establishing and protecting our intellectual property portfolio, organizing and staffing our company, business planning, and conducting preclinical and clinical development of, and manufacturing development for, our product candidate, tildacerfont. We have no products approved for commercial sale and have not generated any revenue to date, and we continue to incur significant research and development and other expenses related to our ongoing operations. Our ability to generate product revenue sufficient to achieve profitability, if ever, will depend on the successful development of tildacerfont and any future product candidates.</w:t>
      </w:r>
    </w:p>
    <w:p>
      <w:pPr>
        <w:spacing w:after="0" w:line="53" w:lineRule="exact"/>
        <w:rPr>
          <w:sz w:val="20"/>
          <w:szCs w:val="20"/>
          <w:color w:val="auto"/>
        </w:rPr>
      </w:pPr>
    </w:p>
    <w:p>
      <w:pPr>
        <w:ind w:right="140" w:firstLine="509"/>
        <w:spacing w:after="0" w:line="287" w:lineRule="auto"/>
        <w:rPr>
          <w:sz w:val="20"/>
          <w:szCs w:val="20"/>
          <w:color w:val="auto"/>
        </w:rPr>
      </w:pPr>
      <w:r>
        <w:rPr>
          <w:rFonts w:ascii="Arial" w:cs="Arial" w:eastAsia="Arial" w:hAnsi="Arial"/>
          <w:sz w:val="16"/>
          <w:szCs w:val="16"/>
          <w:color w:val="auto"/>
        </w:rPr>
        <w:t>We intend to build a highly specialized commercial organization to support the commercialization of tildacerfont, if approved, in the United States. Given a relatively small number of endocrinologists and specialists treat a large proportion of patients with classic CAH, we believe this market can be effectively addressed with a modest-sized targeted commercial sales force, alongside various high-touch patient initiatives. If tildacerfont is approved for additional indications, we plan to leverage our rare disorder commercial infrastructure and expertise to efficiently address those patient populations. We will seek strategic collaborations to benefit from the resources of biopharmaceutical companies specialized in either relevant disease areas or geographies in markets outside the United States. In January 2023, we and Kaken Pharmaceutical Co. Ltd. (Kaken) entered into an exclusive licensing agreement for the development and commercialization of tildacerfont for the treatment of CAH in Japan. Under the terms of the agreement, we will receive an upfront payment of $15.0 million from Kaken and will be eligible to receive additional payments upon the achievement of future development and commercial milestones, as well as tiered double-digit royalties on net sales in Japan. Kaken will be responsible for the clinical development and commercialization of tildacerfont in Japan, and we will retain all rights to tildacerfont in all other geographies. Kaken will also be responsible for securing and maintaining regulatory approvals necessary to market and sell tildacerfont in Japan.</w:t>
      </w:r>
    </w:p>
    <w:p>
      <w:pPr>
        <w:spacing w:after="0" w:line="64" w:lineRule="exact"/>
        <w:rPr>
          <w:sz w:val="20"/>
          <w:szCs w:val="20"/>
          <w:color w:val="auto"/>
        </w:rPr>
      </w:pPr>
    </w:p>
    <w:p>
      <w:pPr>
        <w:ind w:right="280" w:firstLine="509"/>
        <w:spacing w:after="0" w:line="257" w:lineRule="auto"/>
        <w:rPr>
          <w:sz w:val="20"/>
          <w:szCs w:val="20"/>
          <w:color w:val="auto"/>
        </w:rPr>
      </w:pPr>
      <w:r>
        <w:rPr>
          <w:rFonts w:ascii="Arial" w:cs="Arial" w:eastAsia="Arial" w:hAnsi="Arial"/>
          <w:sz w:val="18"/>
          <w:szCs w:val="18"/>
          <w:color w:val="auto"/>
        </w:rPr>
        <w:t>We rely, and expect to continue to rely, on third parties for the manufacture of tildacerfont for preclinical studies and clinical trials, as well as for commercial manufacture if tildacerfont obtains marketing approval. We also rely, and expect to continue to rely, on third parties to package, label, store, and distribute tildacerfont,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development of tildacerfont.</w:t>
      </w:r>
    </w:p>
    <w:p>
      <w:pPr>
        <w:spacing w:after="0" w:line="80"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Since inception, we have incurred significant losses and negative cash flows from operations. During the years ended December 31, 2022 and 2021, we incurred net losses of $46.2 million and $42.3 million, respectively, and used $41.7 million and $35.9 million of cash in operations, respectively. As of December 31, 2022 and 2021, we had an accumulated deficit of $149.3 million and $103.1 million, respectively, and we do not expect positive cash flows from operations for the foreseeable future. We expect to continue to incur significant and increasing losses for the foreseeable future, and our net losses may fluctuate significantly from period to period, depending on the timing of expenditures on our planned research and development activities.</w:t>
      </w:r>
    </w:p>
    <w:p>
      <w:pPr>
        <w:spacing w:after="0" w:line="53"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In October 2020, we consummated our initial public offering (IPO) and issued 6,900,000 shares of common stock for net proceeds of $93.4 million, after deducting underwriting discounts and commissions and offering expenses. Since inception through December 31, 2022, we have raised aggregate gross proceeds of $224.5 million, including $103.5 million from our IPO in October 2020, $116.0 million from the sale of our redeemable convertible preferred stock and $5.0 million from the issuance of debt. In February 2023, we raised aggregated gross proceeds of $53.6 million in a private placement financing. As of December 31, 2022 and 2021, we had cash, cash equivalents and investments of $79.1 million and $121.4 million, respectively.</w:t>
      </w:r>
    </w:p>
    <w:p>
      <w:pPr>
        <w:spacing w:after="0" w:line="53" w:lineRule="exact"/>
        <w:rPr>
          <w:sz w:val="20"/>
          <w:szCs w:val="20"/>
          <w:color w:val="auto"/>
        </w:rPr>
      </w:pPr>
    </w:p>
    <w:p>
      <w:pPr>
        <w:ind w:right="400" w:firstLine="509"/>
        <w:spacing w:after="0" w:line="258" w:lineRule="auto"/>
        <w:rPr>
          <w:sz w:val="20"/>
          <w:szCs w:val="20"/>
          <w:color w:val="auto"/>
        </w:rPr>
      </w:pPr>
      <w:r>
        <w:rPr>
          <w:rFonts w:ascii="Arial" w:cs="Arial" w:eastAsia="Arial" w:hAnsi="Arial"/>
          <w:sz w:val="18"/>
          <w:szCs w:val="18"/>
          <w:color w:val="auto"/>
        </w:rPr>
        <w:t>We believe, based on our current operating plan, that our cash, cash equivalents and investments as of December 31, 2022, along with proceeds received from the February 2023 private placement and the $15.0 million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upfront payment due to us under the Kaken License Agreement, will be sufficient to fund our operations and debt obligations for at least 12 months following the issuance date of our financial statements included elsewhere in this Annual Report. We have based this projection on assumptions that may be inaccurate and as a result, we may utilize our capital resources sooner than we expect. We expect our expenses will increase significantly in connection with our ongoing activities, as we:</w:t>
      </w:r>
    </w:p>
    <w:p>
      <w:pPr>
        <w:spacing w:after="0" w:line="79" w:lineRule="exact"/>
        <w:rPr>
          <w:sz w:val="20"/>
          <w:szCs w:val="20"/>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advance tildacerfont through our ongoing Phase 2b clinical trials in adult patients with classic CAH;</w:t>
      </w:r>
    </w:p>
    <w:p>
      <w:pPr>
        <w:spacing w:after="0" w:line="117"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advance clinical development of tildacerfont in additional indications, including pediatric classic CAH and a subpopulation of females with PCOS;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pursue regulatory approvals of tildacerfont in patients with classic CAH and a subpopulation of females with PCOS;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build a highly specialized commercial organization to support the commercialization of tildacerfont, if approved, in the United States;</w:t>
      </w:r>
    </w:p>
    <w:p>
      <w:pPr>
        <w:spacing w:after="0" w:line="128" w:lineRule="exact"/>
        <w:rPr>
          <w:rFonts w:ascii="Arial" w:cs="Arial" w:eastAsia="Arial" w:hAnsi="Arial"/>
          <w:sz w:val="17"/>
          <w:szCs w:val="17"/>
          <w:color w:val="auto"/>
        </w:rPr>
      </w:pPr>
    </w:p>
    <w:p>
      <w:pPr>
        <w:ind w:left="1020" w:right="400" w:hanging="503"/>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seek strategic collaborations to benefit from the resources of biopharmaceutical companies specialized in either relevant disease areas or geographies in markets outside the United States;</w:t>
      </w:r>
    </w:p>
    <w:p>
      <w:pPr>
        <w:spacing w:after="0" w:line="62" w:lineRule="exact"/>
        <w:rPr>
          <w:rFonts w:ascii="Arial" w:cs="Arial" w:eastAsia="Arial" w:hAnsi="Arial"/>
          <w:sz w:val="18"/>
          <w:szCs w:val="18"/>
          <w:color w:val="auto"/>
        </w:rPr>
      </w:pPr>
    </w:p>
    <w:p>
      <w:pPr>
        <w:ind w:left="1020" w:right="660" w:hanging="503"/>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identify additional indications and formulations for which to investigate tildacerfont in the future and expand our pipeline of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hire additional personnel;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obtain, maintain, expand, and protect our intellectual property portfolio.</w:t>
      </w:r>
    </w:p>
    <w:p>
      <w:pPr>
        <w:spacing w:after="0" w:line="117"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In February 2022, the U.S. Securities and Exchange Commission (SEC) declared effective a registration statement on Form S-3 (the Shelf Registration), covering the sale of up to $200.0 million of our securities. Also, in February 2022, we entered into an Open Market Sales Agreement</w:t>
      </w:r>
      <w:r>
        <w:rPr>
          <w:rFonts w:ascii="Arial" w:cs="Arial" w:eastAsia="Arial" w:hAnsi="Arial"/>
          <w:sz w:val="24"/>
          <w:szCs w:val="24"/>
          <w:color w:val="auto"/>
          <w:vertAlign w:val="superscript"/>
        </w:rPr>
        <w:t>SM</w:t>
      </w:r>
      <w:r>
        <w:rPr>
          <w:rFonts w:ascii="Arial" w:cs="Arial" w:eastAsia="Arial" w:hAnsi="Arial"/>
          <w:sz w:val="18"/>
          <w:szCs w:val="18"/>
          <w:color w:val="auto"/>
        </w:rPr>
        <w:t xml:space="preserve"> (the Sales Agreement) with Jefferies LLC (Jefferies) pursuant to which we may elect to issue and sell, from time to time, shares of common stock having an aggregate offering price of up to $21.0 million under the Shelf Registration through Jefferies acting as the sales agent and/or principal. As of December 31, 2022, we have not issued any shares of common stock under the Sales Agreement.</w:t>
      </w:r>
    </w:p>
    <w:p>
      <w:pPr>
        <w:spacing w:after="0" w:line="93"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 February 2023, we entered into a securities purchase agreement with several institutional and accredited investors, including holders of more than 5% of our total common stock outstanding on the date of the securities purchase agreement, pursuant to which we sold 16,116,000 shares of common stock, pre-funded warrants to purchase 800,000 shares of common stock, and warrants to purchase 12,687,000 shares of common stock for gross proceeds of $53.6 million, before deducting offering expenses payable by us.</w:t>
      </w:r>
    </w:p>
    <w:p>
      <w:pPr>
        <w:spacing w:after="0" w:line="79"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auto"/>
        </w:rPr>
        <w:t xml:space="preserve">Our business has been and could continue to be adversely affected by the evolving COVID-19 pandemic. For example, the COVID-19 pandemic has resulted in and could result in delays to our clinical trials for numerous reasons including additional delays or difficulties in enrolling patients, diversion of healthcare resources away from the conduct of clinical trials, interruption or delays in the operations of the FDA or other regulatory authorities, and delays in clinical sites receiving the supplies and materials to conduct our clinical trials. While vaccines have become widely available in certain countries, and businesses and economies have reopened, the status of global economic recovery remains uncertain and unpredictable and will continue to be impacted by developments in the pandemic including any subsequent waves of outbreak or new variant strains of the COVID-19 virus which may require re-closures or other preventative measures. At this time, the extent to which the COVID-19 pandemic impacts our business will depend on future developments, which are highly uncertain and cannot be predicted. </w:t>
      </w:r>
      <w:r>
        <w:rPr>
          <w:rFonts w:ascii="Arial" w:cs="Arial" w:eastAsia="Arial" w:hAnsi="Arial"/>
          <w:sz w:val="16"/>
          <w:szCs w:val="16"/>
          <w:color w:val="231F20"/>
        </w:rPr>
        <w:t>In addition to the COVID-19 pandemic, global economic and business activities continue to face widespread</w:t>
      </w:r>
      <w:r>
        <w:rPr>
          <w:rFonts w:ascii="Arial" w:cs="Arial" w:eastAsia="Arial" w:hAnsi="Arial"/>
          <w:sz w:val="16"/>
          <w:szCs w:val="16"/>
          <w:color w:val="auto"/>
        </w:rPr>
        <w:t xml:space="preserve"> </w:t>
      </w:r>
      <w:r>
        <w:rPr>
          <w:rFonts w:ascii="Arial" w:cs="Arial" w:eastAsia="Arial" w:hAnsi="Arial"/>
          <w:sz w:val="16"/>
          <w:szCs w:val="16"/>
          <w:color w:val="231F20"/>
        </w:rPr>
        <w:t>macroeconomic uncertaintie</w:t>
      </w:r>
      <w:r>
        <w:rPr>
          <w:rFonts w:ascii="Arial" w:cs="Arial" w:eastAsia="Arial" w:hAnsi="Arial"/>
          <w:sz w:val="16"/>
          <w:szCs w:val="16"/>
          <w:color w:val="000000"/>
        </w:rPr>
        <w:t>s, including recent and potential future disruptions in access to bank deposits or lending commitments due to bank failures,</w:t>
      </w:r>
      <w:r>
        <w:rPr>
          <w:rFonts w:ascii="Arial" w:cs="Arial" w:eastAsia="Arial" w:hAnsi="Arial"/>
          <w:sz w:val="16"/>
          <w:szCs w:val="16"/>
          <w:color w:val="231F20"/>
        </w:rPr>
        <w:t xml:space="preserve"> </w:t>
      </w:r>
      <w:r>
        <w:rPr>
          <w:rFonts w:ascii="Arial" w:cs="Arial" w:eastAsia="Arial" w:hAnsi="Arial"/>
          <w:sz w:val="16"/>
          <w:szCs w:val="16"/>
          <w:color w:val="000000"/>
        </w:rPr>
        <w:t>labor shortages, inflation and monetary supply shifts, recession risks and potential disruptions from the ongoing Russia-Ukraine conflict and related sanctions. For example, on March 10, 2023, the Federal Deposit Insurance Corporation (FDIC) took control and was appointed receiver of Silicon Valley Bank (SVB).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231F20"/>
        </w:rPr>
        <w:t>The extent of the impact of these factors on our operational and financial performance, including our ability to execute our business strategies and initiatives in the expected time frame, will depend on future developments, which are uncertain and cannot be predicted; however, any continued or renewed disruption resulting from these factors could negatively impact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Material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Eli Lilly and Company (Lilly)</w:t>
      </w:r>
    </w:p>
    <w:p>
      <w:pPr>
        <w:spacing w:after="0" w:line="117"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In May 2016, we entered into a license agreement (the Lilly License Agreement) with Lilly. Pursuant to the terms of the Lilly License Agreement, Lilly granted us an exclusive, worldwide, royalty bearing, sublicensable license under certain technology, patent rights, know-how, and proprietary materials, which we refer to collectively as the Lilly IP, and such patents, the Lilly Licensed Patents, relating to the CRF1 receptor antagonist compounds either listed in the Lilly License Agreement or covered by patent rights controlled by Lilly, which we refer to collectively as the Lilly Compounds, to research, develop, commercialize, make, have made, use, sell, offer to sell, and import the Lilly Compounds and any products containing a Lilly Compound, including any products containing a Lilly Compound and one or more additional active pharmaceutical ingredients (APIs) other than a Lilly Compound, which we refer to collectively as the Lilly Licensed Products, for all pharmaceutical uses, including all diagnostic, therapeutic, and prophylactic uses, for human or animal administration. Lilly retained rights under the Lilly IP and the Lilly Licensed Patents for internal research purposes.</w:t>
      </w:r>
    </w:p>
    <w:p>
      <w:pPr>
        <w:spacing w:after="0" w:line="57"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As partial consideration for the rights granted to us under the Lilly License Agreement, we made a one-time upfront payment to Lilly of $0.8 million. We are also required to pay Lilly up to an aggregate of $23.0 million upon the achievement, during the time the Lilly License Agreement remains in effect, of certain milestones relating to the clinical development and commercial sales of the Lilly Licensed Products. Such payments are for predetermined fixed amounts, are paid only upon the first occurrence of each such event and are due shortly after achieving the applicable milestone. In addition, we are required to pay Lilly tiered royalties on annual worldwide net sales of Lilly Licensed Products, with rates ranging from mid-single-digits to sub-teens (the Lilly Royalties). The Lilly Royalties shall commence on a country-by-country basis on the date of the first commercial sale of Lilly Licensed Product in such country, and shall expire on a country-by-country basis on the latest of the following dates: (i) the tenth anniversary of the date of first commercial sale in such country, (ii) the expiration in such country of the last-to-expire Lilly Licensed Patent having a valid claim covering the manufacture, use, or sale of the Lilly Licensed Product as commercialized in such country, and (iii) the expiration of any data or regulatory exclusivity period for the Lilly Licensed Product in such country. Upon such expiration, the license granted to us with respect to such country shall become fully paid-up, royalty-free, perpetual and irrevocable. In addition, the Lilly Royalties may be reduced upon the occurrence of certain events.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Kaken Pharmaceutical Co. Ltd. (Kaken)</w:t>
      </w:r>
    </w:p>
    <w:p>
      <w:pPr>
        <w:spacing w:after="0" w:line="117"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On January 5, 2023, we entered into a Collaboration and License Agreement (the Kaken License Agreement) with Kaken. Under the terms of the Kaken License Agreement, we granted to Kaken the exclusive right to develop, manufacture and commercialize our product candidate, tildacerfont, for the treatment of CAH in Japan. Pursuant to the Kaken License Agreement, Kaken will be responsible for securing and maintaining regulatory approvals necessary to commercialize tildacerfont in Japan. We will retain all rights to tildacerfont in all other geographies.</w:t>
      </w:r>
    </w:p>
    <w:p>
      <w:pPr>
        <w:spacing w:after="0" w:line="63"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We have also granted to Kaken a right of first negotiation with respect to the development, manufacturing and commercialization of tildacerfont for CAH in China (including Hong Kong, Taiwan, and Macau), South Korea and other specified southeastern Asian countries, and for indications other than CAH.</w:t>
      </w:r>
    </w:p>
    <w:p>
      <w:pPr>
        <w:spacing w:after="0" w:line="76" w:lineRule="exact"/>
        <w:rPr>
          <w:sz w:val="20"/>
          <w:szCs w:val="20"/>
          <w:color w:val="auto"/>
        </w:rPr>
      </w:pPr>
    </w:p>
    <w:p>
      <w:pPr>
        <w:ind w:right="20" w:firstLine="509"/>
        <w:spacing w:after="0" w:line="267" w:lineRule="auto"/>
        <w:rPr>
          <w:sz w:val="20"/>
          <w:szCs w:val="20"/>
          <w:color w:val="auto"/>
        </w:rPr>
      </w:pPr>
      <w:r>
        <w:rPr>
          <w:rFonts w:ascii="Arial" w:cs="Arial" w:eastAsia="Arial" w:hAnsi="Arial"/>
          <w:sz w:val="17"/>
          <w:szCs w:val="17"/>
          <w:color w:val="auto"/>
        </w:rPr>
        <w:t>Pursuant to the Kaken License Agreement, Kaken is required to make an upfront payment to us of $15.0 million. In addition to the upfront payment, we are entitled to receive up to an aggregate of approximately $65.0 million (at exchange rates in effect on the date of the Kaken License Agreement) upon the achievement of specified milestones related to the development, regulatory approval and commercialization of tildacerfont in Japan, including the achievement of specified net sales thresholds, if approved. Kaken has agreed to pay us a non-creditable, non-refundable specified purchase price for each unit of Company-manufactured product supplied to Kaken for commercial sale. In addition, we will also be entitled to receive a royalty for each unit of non-Company manufactured product sold equal to a range of double-digit percentages up to the mid-twenties based on annual net sales of tildacerfont in Japan. Both the purchase price for each unit and the royalty rate are subject to reduction in certain circumstances as specified in the Kaken License Agreement. Kaken’s obligation to pay royalties will</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continue for ten years after the first commercial sale in Japan or, if later, until the expiration of regulatory exclusivity of tildacerfont or the expiration of the last valid claim of a Company-licensed patent covering tildacerfont in Japan (the Royalty Term).</w:t>
      </w:r>
    </w:p>
    <w:p>
      <w:pPr>
        <w:spacing w:after="0" w:line="62"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have agreed to supply Kaken’s clinical drug supply requirements of tildacerfont pursuant to a clinical supply agreement that the parties will enter into within ninety days of the effective date of the Kaken License Agreement. During the Royalty Term, we have agreed to supply Kaken’s requirements of tildacerfont pursuant to the Kaken License Agreement and a commercial supply agreement to be entered into by the parties, though Kaken may procure alternate suppliers. Following the Royalty Term, Kaken at its option may continue to purchase Company-manufactured tildacerfont at a purchase price equal to our manufacturing cost plus a low double-digit administrative fee.</w:t>
      </w:r>
    </w:p>
    <w:p>
      <w:pPr>
        <w:spacing w:after="0" w:line="80" w:lineRule="exact"/>
        <w:rPr>
          <w:sz w:val="20"/>
          <w:szCs w:val="20"/>
          <w:color w:val="auto"/>
        </w:rPr>
      </w:pPr>
    </w:p>
    <w:p>
      <w:pPr>
        <w:ind w:right="160" w:firstLine="509"/>
        <w:spacing w:after="0" w:line="273" w:lineRule="auto"/>
        <w:rPr>
          <w:sz w:val="20"/>
          <w:szCs w:val="20"/>
          <w:color w:val="auto"/>
        </w:rPr>
      </w:pPr>
      <w:r>
        <w:rPr>
          <w:rFonts w:ascii="Arial" w:cs="Arial" w:eastAsia="Arial" w:hAnsi="Arial"/>
          <w:sz w:val="17"/>
          <w:szCs w:val="17"/>
          <w:color w:val="auto"/>
        </w:rPr>
        <w:t>Either party may terminate the Kaken License Agreement (i) in the event the other party shall have materially breached its obligations thereunder and such default shall have continued for a specified period after written notice thereof or (ii) upon the bankruptcy or insolvency of the other party. In addition, we may terminate the Kaken License Agreement upon prior written notice if Kaken ceases all development or commercialization activities for a specified period of time, subject to certain exceptions, or (ii) challenges the validity, enforceability or scope of any of the patents licensed by us to Kaken under the Kaken License Agreement, subject to certain conditions. Kaken may terminate the Kaken License Agreement at any time for convenience upon prior written notice provided within a specified period of time to us.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 with Silicon Valley Bank (SVB)</w:t>
      </w:r>
    </w:p>
    <w:p>
      <w:pPr>
        <w:spacing w:after="0" w:line="117"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In September 2019, we entered into a Loan and Security Agreement, as subsequently amended (the Loan Agreement), with SVB providing for a term loan (the Term Loan) for an aggregate principal amount of $4.5 million.</w:t>
      </w:r>
    </w:p>
    <w:p>
      <w:pPr>
        <w:spacing w:after="0" w:line="62"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In March 2021, we entered into a First Amendment to Loan and Security Agreement (the First Amendment) which increased the aggregate principal amount of the Term Loan to $30.0 million, of which $20.0 million was immediately available under the first tranche (the First Tranche) and $10.0 million was available under the second tranche through December 31, 2022 (the Second Tranche) subject to the completion of certain clinical or financial milestones. Pursuant to the First Amendment, the Term Loan will mature on January 1, 2026.</w:t>
      </w:r>
    </w:p>
    <w:p>
      <w:pPr>
        <w:spacing w:after="0" w:line="79"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In May 2022, we entered into a Second Amendment to Loan and Security Agreement (the Second Amendment) which amended the milestones for the Second Tranche, added a liquidity covenant for the Second Tranche and amended the interest and prepayment terms.</w:t>
      </w:r>
    </w:p>
    <w:p>
      <w:pPr>
        <w:spacing w:after="0" w:line="62"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As of December 31, 2022 and 2021, the outstanding principal was comprised of $5.0 million under the First Tranche. Commitments available under the Second Tranche of $10.0 million expired on December 31, 2022.</w:t>
      </w:r>
    </w:p>
    <w:p>
      <w:pPr>
        <w:spacing w:after="0" w:line="62" w:lineRule="exact"/>
        <w:rPr>
          <w:sz w:val="20"/>
          <w:szCs w:val="20"/>
          <w:color w:val="auto"/>
        </w:rPr>
      </w:pPr>
    </w:p>
    <w:p>
      <w:pPr>
        <w:ind w:right="320" w:firstLine="509"/>
        <w:spacing w:after="0" w:line="255" w:lineRule="auto"/>
        <w:rPr>
          <w:sz w:val="20"/>
          <w:szCs w:val="20"/>
          <w:color w:val="auto"/>
        </w:rPr>
      </w:pPr>
      <w:r>
        <w:rPr>
          <w:rFonts w:ascii="Arial" w:cs="Arial" w:eastAsia="Arial" w:hAnsi="Arial"/>
          <w:sz w:val="18"/>
          <w:szCs w:val="18"/>
          <w:color w:val="auto"/>
        </w:rPr>
        <w:t>The Loan Agreement provides for monthly cash interest-only payments following the funding date of each respective tranche and continuing thereafter through December 31, 2022. The Term Loan is subject to a floating per annum interest rate equal to the greater of (a) 0.50% above the Prime Rate (as defined in the Loan Agreement) or (b) 3.75%. Following the interest-only period, the outstanding Term Loan balance will be payable in (i) 37 consecutive monthly payments after the end of the interest-only period and continuing on the same day of each month thereafter, in amounts that would fully amortize such Term Loan balance, as of the first business day of the first month following the amended interest-only period, over the repayment period, plus (ii) monthly payments of accrued but unpaid interest.</w:t>
      </w:r>
    </w:p>
    <w:p>
      <w:pPr>
        <w:spacing w:after="0" w:line="84"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The final payment is due on the maturity date and includes all outstanding principal plus accrued unpaid interest and an end of term payment totaling $0.3 million (the Supplemental Final Payment which is 6.0% of the original funded principal amount of the First Tranche). We may prepay amounts outstanding under the Term Loan at any time provided certain notification conditions are met, in which case, all outstanding principal plus accrued and unpaid interest, the Supplemental Final Payment, a prepayment fee of 1% or 2% of the principal amount of the First Tranche, and any bank expenses become due and payable.</w:t>
      </w:r>
    </w:p>
    <w:p>
      <w:pPr>
        <w:spacing w:after="0" w:line="80" w:lineRule="exact"/>
        <w:rPr>
          <w:sz w:val="20"/>
          <w:szCs w:val="20"/>
          <w:color w:val="auto"/>
        </w:rPr>
      </w:pPr>
    </w:p>
    <w:p>
      <w:pPr>
        <w:jc w:val="both"/>
        <w:ind w:right="580" w:firstLine="509"/>
        <w:spacing w:after="0" w:line="255" w:lineRule="auto"/>
        <w:rPr>
          <w:sz w:val="20"/>
          <w:szCs w:val="20"/>
          <w:color w:val="auto"/>
        </w:rPr>
      </w:pPr>
      <w:r>
        <w:rPr>
          <w:rFonts w:ascii="Arial" w:cs="Arial" w:eastAsia="Arial" w:hAnsi="Arial"/>
          <w:sz w:val="18"/>
          <w:szCs w:val="18"/>
          <w:color w:val="auto"/>
        </w:rPr>
        <w:t>We are subject to customary affirmative and restrictive covenants under the Loan Agreement. Our obligations under the Loan Agreement are secured by a first priority security interest in substantially all of our current and future assets, other than intellectual property. We also agreed not to encumber our intellectual property assets, except as permitted by the Loan Agreement.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300" w:firstLine="509"/>
        <w:spacing w:after="0" w:line="272" w:lineRule="auto"/>
        <w:rPr>
          <w:sz w:val="20"/>
          <w:szCs w:val="20"/>
          <w:color w:val="auto"/>
        </w:rPr>
      </w:pPr>
      <w:r>
        <w:rPr>
          <w:rFonts w:ascii="Arial" w:cs="Arial" w:eastAsia="Arial" w:hAnsi="Arial"/>
          <w:sz w:val="17"/>
          <w:szCs w:val="17"/>
          <w:color w:val="auto"/>
        </w:rPr>
        <w:t>The Loan Agreement also contains customary indemnification obligations and customary events of default, including, among other things, our failure to fulfill certain obligations under the Loan Agreement and the occurrence of a material adverse change in our business, operations, or condition (financial or otherwise), a material impairment of the prospect of repayment of any portion of the loan, or a material impairment in the perfection or priority of lender’s lien in the collateral or in the value of such collateral. In the event of default by us under the Loan Agreement, the lender would be entitled to exercise their remedies thereunder, including the right to accelerate the debt, upon which we may be required to repay all amounts then outstanding under the Loan Agreement. As of December 31, 2022, management believes that we are in compliance with all covenants under the Loan Agreement and there has been no material adverse change.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classify operating expenses into two main categories: (i) research and development expenses and (ii) general and administrative expenses.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880" w:firstLine="509"/>
        <w:spacing w:after="0" w:line="277" w:lineRule="auto"/>
        <w:rPr>
          <w:sz w:val="20"/>
          <w:szCs w:val="20"/>
          <w:color w:val="auto"/>
        </w:rPr>
      </w:pPr>
      <w:r>
        <w:rPr>
          <w:rFonts w:ascii="Arial" w:cs="Arial" w:eastAsia="Arial" w:hAnsi="Arial"/>
          <w:sz w:val="18"/>
          <w:szCs w:val="18"/>
          <w:color w:val="auto"/>
        </w:rPr>
        <w:t>Our research and development expenses consist of external and internal expenses incurred in connection with our research activities and development programs.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expenses include:</w:t>
      </w:r>
    </w:p>
    <w:p>
      <w:pPr>
        <w:spacing w:after="0" w:line="117" w:lineRule="exact"/>
        <w:rPr>
          <w:sz w:val="20"/>
          <w:szCs w:val="20"/>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external expenses, consisting of:</w:t>
      </w:r>
    </w:p>
    <w:p>
      <w:pPr>
        <w:spacing w:after="0" w:line="117" w:lineRule="exact"/>
        <w:rPr>
          <w:rFonts w:ascii="Arial" w:cs="Arial" w:eastAsia="Arial" w:hAnsi="Arial"/>
          <w:sz w:val="18"/>
          <w:szCs w:val="18"/>
          <w:color w:val="auto"/>
        </w:rPr>
      </w:pPr>
    </w:p>
    <w:p>
      <w:pPr>
        <w:ind w:left="1420" w:right="140" w:hanging="374"/>
        <w:spacing w:after="0" w:line="277" w:lineRule="auto"/>
        <w:rPr>
          <w:rFonts w:ascii="Arial" w:cs="Arial" w:eastAsia="Arial" w:hAnsi="Arial"/>
          <w:sz w:val="18"/>
          <w:szCs w:val="18"/>
          <w:color w:val="auto"/>
        </w:rPr>
      </w:pPr>
      <w:r>
        <w:rPr>
          <w:rFonts w:ascii="Arial" w:cs="Arial" w:eastAsia="Arial" w:hAnsi="Arial"/>
          <w:sz w:val="18"/>
          <w:szCs w:val="18"/>
          <w:color w:val="auto"/>
        </w:rPr>
        <w:t>o clinical development—expenses associated with clinical research organizations (CROs) engaged to manage and conduct clinical trials and other outside services;</w:t>
      </w:r>
    </w:p>
    <w:p>
      <w:pPr>
        <w:spacing w:after="0" w:line="62"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o   preclinical studies—expenses associated with preclinical studies and clinical pharmacology;</w:t>
      </w:r>
    </w:p>
    <w:p>
      <w:pPr>
        <w:spacing w:after="0" w:line="117" w:lineRule="exact"/>
        <w:rPr>
          <w:rFonts w:ascii="Arial" w:cs="Arial" w:eastAsia="Arial" w:hAnsi="Arial"/>
          <w:sz w:val="18"/>
          <w:szCs w:val="18"/>
          <w:color w:val="auto"/>
        </w:rPr>
      </w:pPr>
    </w:p>
    <w:p>
      <w:pPr>
        <w:ind w:left="1420" w:right="220" w:hanging="374"/>
        <w:spacing w:after="0" w:line="277" w:lineRule="auto"/>
        <w:rPr>
          <w:rFonts w:ascii="Arial" w:cs="Arial" w:eastAsia="Arial" w:hAnsi="Arial"/>
          <w:sz w:val="18"/>
          <w:szCs w:val="18"/>
          <w:color w:val="auto"/>
        </w:rPr>
      </w:pPr>
      <w:r>
        <w:rPr>
          <w:rFonts w:ascii="Arial" w:cs="Arial" w:eastAsia="Arial" w:hAnsi="Arial"/>
          <w:sz w:val="18"/>
          <w:szCs w:val="18"/>
          <w:color w:val="auto"/>
        </w:rPr>
        <w:t>o manufacturing—expenses associated with contract manufacturing; labeling, packaging, and distribution of clinical trial supplies, and consulting;</w:t>
      </w:r>
    </w:p>
    <w:p>
      <w:pPr>
        <w:spacing w:after="0" w:line="62"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o   other research and development—expenses associated with business operations, quality and regulatory compliance; and</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internal expenses, consisting of personnel, including expenses for salaries, bonuses, benefits, stock-based compensation, as well as allocation of certain expenses.</w:t>
      </w:r>
    </w:p>
    <w:p>
      <w:pPr>
        <w:spacing w:after="0" w:line="62" w:lineRule="exact"/>
        <w:rPr>
          <w:sz w:val="20"/>
          <w:szCs w:val="20"/>
          <w:color w:val="auto"/>
        </w:rPr>
      </w:pPr>
    </w:p>
    <w:p>
      <w:pPr>
        <w:jc w:val="both"/>
        <w:ind w:right="300" w:firstLine="509"/>
        <w:spacing w:after="0" w:line="263" w:lineRule="auto"/>
        <w:rPr>
          <w:sz w:val="20"/>
          <w:szCs w:val="20"/>
          <w:color w:val="auto"/>
        </w:rPr>
      </w:pPr>
      <w:r>
        <w:rPr>
          <w:rFonts w:ascii="Arial" w:cs="Arial" w:eastAsia="Arial" w:hAnsi="Arial"/>
          <w:sz w:val="18"/>
          <w:szCs w:val="18"/>
          <w:color w:val="auto"/>
        </w:rPr>
        <w:t>To date, these expenses have been incurred to advance tildacerfont. These expenses will primarily consist of expenses for the conduct of clinical trials as well as manufacturing costs for clinical material supply. We expect that significant additional spending will be required to progress tildacerfont through clinical development and regulatory approval.</w:t>
      </w:r>
    </w:p>
    <w:p>
      <w:pPr>
        <w:spacing w:after="0" w:line="76"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Research and development expenses are recognized as they are incurred, including licenses of intellectual property that have no alternative future use at the time of the acquisition. If deposits are required by external vendors, a portion of the deposit is included as a prepaid expense until the activity has been performed or when the goods have been received to amortize the deposit to expense in the statements of operations and comprehensive loss.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General and administrative expenses consist primarily of personnel-related costs, including salaries, bonuses, benefits, and stock-based compensation expense, for executive, finance, and other administrative functions. General and administrative expenses also include legal fees, professional fees, insurance costs, facility costs not otherwise included in research and development expenses, and public company expenses such as costs associated with compliance with the rules and regulations of the SEC, and those of the Nasdaq Stock Market, Inc. (Nasdaq) listing rules.</w:t>
      </w:r>
    </w:p>
    <w:p>
      <w:pPr>
        <w:spacing w:after="0" w:line="63"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We expect that our general and administrative expenses will continue to increase in the foreseeable future as additional administrative personnel and services are required to manage these functions of a public company, as we advance tildacerfont through clinical development and regulatory approval.</w:t>
      </w:r>
    </w:p>
    <w:p>
      <w:pPr>
        <w:jc w:val="center"/>
        <w:ind w:right="-5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Interest expense consists of interest incurred and non-cash amortization of debt discount and issuance costs in connection with the Term Loan.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and other income, net primarily consists of interest income earned on our cash, cash equivalents and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Comparisons of the Year Ended December 31, 2022 and 2021</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presented (in thousands):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jc w:val="right"/>
              <w:ind w:right="821"/>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4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441"/>
              <w:spacing w:after="0"/>
              <w:rPr>
                <w:sz w:val="20"/>
                <w:szCs w:val="20"/>
                <w:color w:val="auto"/>
              </w:rPr>
            </w:pPr>
            <w:r>
              <w:rPr>
                <w:rFonts w:ascii="Arial" w:cs="Arial" w:eastAsia="Arial" w:hAnsi="Arial"/>
                <w:sz w:val="14"/>
                <w:szCs w:val="14"/>
                <w:b w:val="1"/>
                <w:bCs w:val="1"/>
                <w:color w:val="auto"/>
              </w:rPr>
              <w:t>Change</w:t>
            </w:r>
          </w:p>
        </w:tc>
      </w:tr>
      <w:tr>
        <w:trPr>
          <w:trHeight w:val="237"/>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7"/>
        </w:trPr>
        <w:tc>
          <w:tcPr>
            <w:tcW w:w="44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35,198</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30,698</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4,500</w:t>
            </w:r>
          </w:p>
        </w:tc>
        <w:tc>
          <w:tcPr>
            <w:tcW w:w="80" w:type="dxa"/>
            <w:vAlign w:val="bottom"/>
          </w:tcPr>
          <w:p>
            <w:pPr>
              <w:spacing w:after="0"/>
              <w:rPr>
                <w:sz w:val="20"/>
                <w:szCs w:val="20"/>
                <w:color w:val="auto"/>
              </w:rPr>
            </w:pPr>
          </w:p>
        </w:tc>
      </w:tr>
      <w:tr>
        <w:trPr>
          <w:trHeight w:val="243"/>
        </w:trPr>
        <w:tc>
          <w:tcPr>
            <w:tcW w:w="44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12,085</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11,368</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442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47,283</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42,066</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5,217</w:t>
            </w:r>
          </w:p>
        </w:tc>
        <w:tc>
          <w:tcPr>
            <w:tcW w:w="80" w:type="dxa"/>
            <w:vAlign w:val="bottom"/>
          </w:tcPr>
          <w:p>
            <w:pPr>
              <w:spacing w:after="0"/>
              <w:rPr>
                <w:sz w:val="20"/>
                <w:szCs w:val="20"/>
                <w:color w:val="auto"/>
              </w:rPr>
            </w:pPr>
          </w:p>
        </w:tc>
      </w:tr>
      <w:tr>
        <w:trPr>
          <w:trHeight w:val="24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(47,283</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(42,066</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(5,217</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44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0"/>
                <w:szCs w:val="20"/>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(420 )</w:t>
            </w:r>
          </w:p>
        </w:tc>
        <w:tc>
          <w:tcPr>
            <w:tcW w:w="32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(345 )</w:t>
            </w:r>
          </w:p>
        </w:tc>
        <w:tc>
          <w:tcPr>
            <w:tcW w:w="2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(75 )</w:t>
            </w:r>
          </w:p>
        </w:tc>
      </w:tr>
      <w:tr>
        <w:trPr>
          <w:trHeight w:val="243"/>
        </w:trPr>
        <w:tc>
          <w:tcPr>
            <w:tcW w:w="44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Interest and other income, net</w:t>
            </w: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1,523</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442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 xml:space="preserve">(46,180 </w:t>
            </w:r>
            <w:r>
              <w:rPr>
                <w:rFonts w:ascii="Arial" w:cs="Arial" w:eastAsia="Arial" w:hAnsi="Arial"/>
                <w:sz w:val="18"/>
                <w:szCs w:val="18"/>
                <w:color w:val="auto"/>
                <w:highlight w:val="white"/>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 xml:space="preserve">(42,292 </w:t>
            </w:r>
            <w:r>
              <w:rPr>
                <w:rFonts w:ascii="Arial" w:cs="Arial" w:eastAsia="Arial" w:hAnsi="Arial"/>
                <w:sz w:val="18"/>
                <w:szCs w:val="18"/>
                <w:color w:val="auto"/>
                <w:highlight w:val="white"/>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xml:space="preserve">(3,888 </w:t>
            </w:r>
            <w:r>
              <w:rPr>
                <w:rFonts w:ascii="Arial" w:cs="Arial" w:eastAsia="Arial" w:hAnsi="Arial"/>
                <w:sz w:val="18"/>
                <w:szCs w:val="18"/>
                <w:color w:val="auto"/>
                <w:highlight w:val="white"/>
              </w:rPr>
              <w:t>)</w:t>
            </w:r>
          </w:p>
        </w:tc>
      </w:tr>
      <w:tr>
        <w:trPr>
          <w:trHeight w:val="20"/>
        </w:trPr>
        <w:tc>
          <w:tcPr>
            <w:tcW w:w="4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-822325</wp:posOffset>
            </wp:positionV>
            <wp:extent cx="59690"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-822325</wp:posOffset>
            </wp:positionV>
            <wp:extent cx="51435" cy="1714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-822325</wp:posOffset>
            </wp:positionV>
            <wp:extent cx="51435" cy="1714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research and development expenses for the periods presented (in thousands):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460" w:type="dxa"/>
            <w:vAlign w:val="bottom"/>
          </w:tcPr>
          <w:p>
            <w:pPr>
              <w:spacing w:after="0"/>
              <w:rPr>
                <w:sz w:val="16"/>
                <w:szCs w:val="16"/>
                <w:color w:val="auto"/>
              </w:rPr>
            </w:pPr>
          </w:p>
        </w:tc>
        <w:tc>
          <w:tcPr>
            <w:tcW w:w="23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4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r>
      <w:tr>
        <w:trPr>
          <w:trHeight w:val="236"/>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External expenses:</w:t>
            </w:r>
          </w:p>
        </w:tc>
        <w:tc>
          <w:tcPr>
            <w:tcW w:w="8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color w:val="auto"/>
              </w:rPr>
              <w:t>Clinical development</w:t>
            </w:r>
          </w:p>
        </w:tc>
        <w:tc>
          <w:tcPr>
            <w:tcW w:w="820" w:type="dxa"/>
            <w:vAlign w:val="bottom"/>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24,085</w:t>
            </w:r>
          </w:p>
        </w:tc>
        <w:tc>
          <w:tcPr>
            <w:tcW w:w="10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18,774</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5,311</w:t>
            </w:r>
          </w:p>
        </w:tc>
        <w:tc>
          <w:tcPr>
            <w:tcW w:w="80" w:type="dxa"/>
            <w:vAlign w:val="bottom"/>
          </w:tcPr>
          <w:p>
            <w:pPr>
              <w:spacing w:after="0"/>
              <w:rPr>
                <w:sz w:val="20"/>
                <w:szCs w:val="20"/>
                <w:color w:val="auto"/>
              </w:rPr>
            </w:pPr>
          </w:p>
        </w:tc>
      </w:tr>
      <w:tr>
        <w:trPr>
          <w:trHeight w:val="249"/>
        </w:trPr>
        <w:tc>
          <w:tcPr>
            <w:tcW w:w="44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Manufacturing</w:t>
            </w: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3,316</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4,036</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(720 )</w:t>
            </w: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color w:val="auto"/>
              </w:rPr>
              <w:t>Preclinical studies</w:t>
            </w: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397</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1,591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(1,194 )</w:t>
            </w:r>
          </w:p>
        </w:tc>
      </w:tr>
      <w:tr>
        <w:trPr>
          <w:trHeight w:val="249"/>
        </w:trPr>
        <w:tc>
          <w:tcPr>
            <w:tcW w:w="44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research and development</w:t>
            </w: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(9 )</w:t>
            </w:r>
          </w:p>
        </w:tc>
      </w:tr>
      <w:tr>
        <w:trPr>
          <w:trHeight w:val="237"/>
        </w:trPr>
        <w:tc>
          <w:tcPr>
            <w:tcW w:w="4460" w:type="dxa"/>
            <w:vAlign w:val="bottom"/>
          </w:tcPr>
          <w:p>
            <w:pPr>
              <w:spacing w:after="0"/>
              <w:rPr>
                <w:sz w:val="20"/>
                <w:szCs w:val="20"/>
                <w:color w:val="auto"/>
              </w:rPr>
            </w:pPr>
            <w:r>
              <w:rPr>
                <w:rFonts w:ascii="Arial" w:cs="Arial" w:eastAsia="Arial" w:hAnsi="Arial"/>
                <w:sz w:val="18"/>
                <w:szCs w:val="18"/>
                <w:color w:val="auto"/>
              </w:rPr>
              <w:t>Internal expenses:</w:t>
            </w: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44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Personnel</w:t>
            </w: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6,610</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5,557</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w:t>
            </w:r>
          </w:p>
        </w:tc>
        <w:tc>
          <w:tcPr>
            <w:tcW w:w="80" w:type="dxa"/>
            <w:vAlign w:val="bottom"/>
            <w:shd w:val="clear" w:color="auto" w:fill="CFF0FC"/>
          </w:tcPr>
          <w:p>
            <w:pPr>
              <w:spacing w:after="0"/>
              <w:rPr>
                <w:sz w:val="21"/>
                <w:szCs w:val="21"/>
                <w:color w:val="auto"/>
              </w:rPr>
            </w:pP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color w:val="auto"/>
              </w:rPr>
              <w:t>Allocated overhead</w:t>
            </w:r>
          </w:p>
        </w:tc>
        <w:tc>
          <w:tcPr>
            <w:tcW w:w="8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2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20"/>
                <w:szCs w:val="20"/>
                <w:color w:val="auto"/>
              </w:rPr>
            </w:pPr>
          </w:p>
        </w:tc>
      </w:tr>
      <w:tr>
        <w:trPr>
          <w:trHeight w:val="277"/>
        </w:trPr>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820" w:type="dxa"/>
            <w:vAlign w:val="bottom"/>
            <w:tcBorders>
              <w:bottom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35,198</w:t>
            </w:r>
          </w:p>
        </w:tc>
        <w:tc>
          <w:tcPr>
            <w:tcW w:w="22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30,698</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-24765</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514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514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Research and development expenses increased by $4.5 million during the year ended December 31, 2022 compared to the year ended December 31, 2021. The overall increase in research and development expenses was primarily related to an increase in clinical development activities associated with the progression of clinical trials of tildacerfont in adult classic CAH, pediatric classic CAH, and PCOS, partially offset by decreases in preclinical studies and manufacturing. Preclinical expenses decreased due to the completion of certain trials, while manufacturing expenses decreased due to the timing of planned manufacturing activities related to clinical drug supply. There was also an increase in personnel expenses attributable to an increase in headcount.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color w:val="auto"/>
        </w:rPr>
        <w:t>General and administrative expenses increased by $0.7 million during the year ended December 31, 2022 compared to the year ended December 31, 2021. The overall increase in general and administrative expenses was primarily driven by an increase in professional services, including legal, finance and accounting.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480" w:firstLine="509"/>
        <w:spacing w:after="0" w:line="258" w:lineRule="auto"/>
        <w:rPr>
          <w:sz w:val="20"/>
          <w:szCs w:val="20"/>
          <w:color w:val="auto"/>
        </w:rPr>
      </w:pPr>
      <w:r>
        <w:rPr>
          <w:rFonts w:ascii="Arial" w:cs="Arial" w:eastAsia="Arial" w:hAnsi="Arial"/>
          <w:sz w:val="18"/>
          <w:szCs w:val="18"/>
          <w:color w:val="auto"/>
        </w:rPr>
        <w:t>Interest expense increased by $0.1 million during the year ended December 31, 2022 compared to the year ended December 31, 2021 and was related to higher interest on the Term Loan in 2022.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 Net</w:t>
      </w:r>
    </w:p>
    <w:p>
      <w:pPr>
        <w:spacing w:after="0" w:line="117"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Interest and other income, net increased by $1.4 million during the year ended December 31, 2022 compared to the year ended December 31, 2021. The increase was primarily due to a $0.8 million gain on the termination of the Daly City lease in December 2022 and higher yield earned on investment balances in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Since our inception, we have not generated any revenue from product sales and have incurred significant operating losses and negative cash flows from operations. We anticipate that we will continue to incur net losses for the foreseeable future. As of December 31, 2022 and 2021, we had an accumulated deficit of $149.3 million and $103.1 million, respectively. As of December 31, 2022 and 2021, we had cash, cash equivalents and investments of $79.1 million and $121.4 million, respectively. Since inception through December 31, 2022, we have raised aggregate gross proceeds of $224.5 million, including $103.5 million from our IPO in October 2020, $116.0 million from the sale of our redeemable convertible preferred stock, and $5.0 million from the issuance of debt. In February 2023, we raised aggregated gross proceeds of $53.6 million in a private placement financing.</w:t>
      </w:r>
    </w:p>
    <w:p>
      <w:pPr>
        <w:spacing w:after="0" w:line="56"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We believe, based on our current operating plan, that our cash, cash equivalents and investments as of December 31, 2022, along with proceeds received from the February 2023 private placement, will be sufficient to fund our operations and debt obligations for at least 12 months following the issuance date of our financial statements included elsewhere in this Annual Report. In addition, we believe based on our current operating plan, that our cash, cash equivalents and investments as of December 31, 2022, along with proceeds received from the February 2023 private placement and the $15.0 million upfront payment due to us under the Kaken License Agreement, is expected to allow us to fund operating and capital expenditures into the first half of 2025.</w:t>
      </w:r>
    </w:p>
    <w:p>
      <w:pPr>
        <w:spacing w:after="0" w:line="84"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have a banking relationship with SVB. SVB was closed on March 10, 2023 by the California Department of Financial Protection and Innovation, which appointed the FDIC as receiver. On March 12, 2023, the U.S. Treasury, Federal Reserve, and FDIC announced that SVB depositors will have access to all of their money starting March 13, 2023. While we have not experienced any losses in such accounts, the recent failure of SVB potentially exposed us to significant credit risk prior to the completion by the FDIC of the resolution of SVB in a manner that fully protected all depositors. We are assessing how to prevent this exposure in the future, however, any potential future disruptions in access to bank deposits or lending commitments due to bank failures may expose us to significant credit risk.</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Shelf Registration and Sales Agreement</w:t>
      </w:r>
    </w:p>
    <w:p>
      <w:pPr>
        <w:spacing w:after="0" w:line="117"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In February 2022, the SEC declared effective the Shelf Registration covering the sale of up to $200.0 million of our securities. Also, in February 2022, we entered into the Sales Agreement with Jefferies, pursuant to which we may elect to issue and sell, from time to time, shares of common stock having an aggregate offering price of up to $21.0 million under the Shelf Registration through Jefferies acting as the sales agent and/or principal (the Offering). We have also filed a prospectus supplement with the SEC in connection with the Offering under the Shelf Registration. Upon delivery of an issuance notice and subject to the terms and conditions of the Sales Agreement, Jefferies may sell the shares at market prices by any method deemed to be an “at the market offering” as defined in Rule 415(a)(4) promulgated under the Securities Act, including sales made directly on or through The Nasdaq Global Select Market (Nasdaq), the existing trading market for our common stock. We or Jefferies may suspend or terminate the offering of the shares upon notice to the other party, subject to certain conditions. Jefferies will act as sales agent on a commercially reasonable efforts basis consistent with its normal trading and sales practices and applicable state and federal law, rules and regulations and the rules of Nasdaq. We may instruct Jefferies to not sell the shares if the sales cannot be transacted at or above the price we designate in any issuance notice. We are not obligated to make any sales of the shares under the Sales Agreement. As of December 31, 2022, we have not issued any shares of common stock pursuant to the Sales Agreement.</w:t>
      </w:r>
    </w:p>
    <w:p>
      <w:pPr>
        <w:spacing w:after="0" w:line="64"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We have agreed to pay Jefferies commissions for its services of acting as agent of 3.0% of the gross proceeds from the sale of the shares pursuant to the Sales Agreement. We have also agreed to provide Jefferies with customary indemnification and contribution rights.</w:t>
      </w:r>
    </w:p>
    <w:p>
      <w:pPr>
        <w:spacing w:after="0" w:line="62" w:lineRule="exact"/>
        <w:rPr>
          <w:sz w:val="20"/>
          <w:szCs w:val="20"/>
          <w:color w:val="auto"/>
        </w:rPr>
      </w:pPr>
    </w:p>
    <w:p>
      <w:pPr>
        <w:ind w:right="320" w:firstLine="509"/>
        <w:spacing w:after="0" w:line="258" w:lineRule="auto"/>
        <w:rPr>
          <w:sz w:val="20"/>
          <w:szCs w:val="20"/>
          <w:color w:val="auto"/>
        </w:rPr>
      </w:pPr>
      <w:r>
        <w:rPr>
          <w:rFonts w:ascii="Arial" w:cs="Arial" w:eastAsia="Arial" w:hAnsi="Arial"/>
          <w:sz w:val="18"/>
          <w:szCs w:val="18"/>
          <w:color w:val="auto"/>
        </w:rPr>
        <w:t>The shares will be sold pursuant to the Shelf Registration, and offerings of the shares will be made only by means of the prospectus supplement. This Annual Report on Form 10-K shall not constitute an offer to sell or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solicitation of an offer to buy the shares, nor shall there be any sale of the shares in any state in which such offer, solicitation or sale would be unlawful prior to registration or qualification under the securities law of such state or jurisdiction.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 February 2023, we entered into a securities purchase agreement with several institutional and accredited investors, including holders of more than 5% of our total common stock outstanding on the date of the securities purchase agreement, pursuant to which we sold 16,116,000 shares of common stock, pre-funded warrants to purchase 800,000 shares of common stock, and warrants to purchase 12,687,000 shares of common stock for gross proceeds of $53.6 million, before deducting offering expenses payable by us.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00" w:firstLine="509"/>
        <w:spacing w:after="0" w:line="301" w:lineRule="auto"/>
        <w:rPr>
          <w:sz w:val="20"/>
          <w:szCs w:val="20"/>
          <w:color w:val="auto"/>
        </w:rPr>
      </w:pPr>
      <w:r>
        <w:rPr>
          <w:rFonts w:ascii="Arial" w:cs="Arial" w:eastAsia="Arial" w:hAnsi="Arial"/>
          <w:sz w:val="16"/>
          <w:szCs w:val="16"/>
          <w:color w:val="auto"/>
        </w:rPr>
        <w:t>To date, we have not generated any revenue. We do not expect to generate any meaningful revenue unless and until we obtain regulatory approval and commercialize tildacerfont or any future product candidates, and we do not know when, or if at all, that will occur. We will continue to require additional capital to develop tildacerfont and fund operations for the foreseeable future. Our primary uses of cash are to fund our operations, which consist primarily of research and development expenses related to our clinical development programs, and to a lesser extent, general and administrative expenses.</w:t>
      </w:r>
    </w:p>
    <w:p>
      <w:pPr>
        <w:spacing w:after="0" w:line="49"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At this time, we cannot reasonably estimate or know the nature, timing, and estimated costs of the efforts that will be necessary to complete the development of, and obtain regulatory approval for, tildacerfont or any of our future product candidates. We expect our research and development expenses to increase significantly in the foreseeable future as we continue to invest in research and development activities related to developing tildacerfont, as tildacerfont continues advancing in late stage studies for the treatment of classic CAH in adult patients, as we conduct clinical trials of tildacerfont in additional indications beyond classic CAH in adult patients, as we seek regulatory approvals for tildacerfont, and incur expenses associated with hiring additional personnel to support our research and development efforts. The process of conducting the necessary clinical research to obtain regulatory approval is costly and time-consuming, the successful development of tildacerfont is highly uncertain, and we may never succeed in achieving regulatory approval for tildacerfont in classic CAH in adult patients or other indications.</w:t>
      </w:r>
    </w:p>
    <w:p>
      <w:pPr>
        <w:spacing w:after="0" w:line="70" w:lineRule="exact"/>
        <w:rPr>
          <w:sz w:val="20"/>
          <w:szCs w:val="20"/>
          <w:color w:val="auto"/>
        </w:rPr>
      </w:pPr>
    </w:p>
    <w:p>
      <w:pPr>
        <w:jc w:val="both"/>
        <w:ind w:right="280" w:firstLine="509"/>
        <w:spacing w:after="0" w:line="279" w:lineRule="auto"/>
        <w:rPr>
          <w:sz w:val="20"/>
          <w:szCs w:val="20"/>
          <w:color w:val="auto"/>
        </w:rPr>
      </w:pPr>
      <w:r>
        <w:rPr>
          <w:rFonts w:ascii="Arial" w:cs="Arial" w:eastAsia="Arial" w:hAnsi="Arial"/>
          <w:sz w:val="17"/>
          <w:szCs w:val="17"/>
          <w:color w:val="auto"/>
        </w:rPr>
        <w:t>We may seek to raise capital through equity or debt financings, collaborative agreements or other arrangements with other companies, or through other sources of financing. Adequate additional funding may not be available to us on acceptable terms or at all. Our failure to raise capital as and when needed could have a negative impact on our financial condition and our ability to pursue our business strategies. We anticipate that we will need to raise substantial additional capital, the requirements of which will depend on many factors, including:</w:t>
      </w:r>
    </w:p>
    <w:p>
      <w:pPr>
        <w:spacing w:after="0" w:line="63" w:lineRule="exact"/>
        <w:rPr>
          <w:sz w:val="20"/>
          <w:szCs w:val="20"/>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progress, costs, trial design, results of, and timing of our ongoing and planned clinical trials of tildacerfont;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may pursue;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tildacerfont;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plan to expand our research and development activities;</w:t>
      </w:r>
    </w:p>
    <w:p>
      <w:pPr>
        <w:spacing w:after="0" w:line="117"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costs associated with manufacturing tildacerfont and establishing clinical and commercial supplies, and sales, marketing, and distribution capabilities;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costs associated with commercialization;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costs of acquiring, licensing, or investing in product candidates;</w:t>
      </w:r>
    </w:p>
    <w:p>
      <w:pPr>
        <w:spacing w:after="0" w:line="117" w:lineRule="exact"/>
        <w:rPr>
          <w:rFonts w:ascii="Arial" w:cs="Arial" w:eastAsia="Arial" w:hAnsi="Arial"/>
          <w:sz w:val="18"/>
          <w:szCs w:val="18"/>
          <w:color w:val="auto"/>
        </w:rPr>
      </w:pPr>
    </w:p>
    <w:p>
      <w:pPr>
        <w:ind w:left="1020" w:right="60" w:hanging="503"/>
        <w:spacing w:after="0" w:line="263"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need and ability to retain key management and hire scientific, technical, business, and medical personnel;</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effect of competing products and product candidates and other market developments;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timing, receipt, and amount of sales from tildacerfont and any future product candidates, if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economic and other terms, timing of, and success of any collaboration, licensing, or other arrangements which we may enter in the future; and</w:t>
      </w:r>
    </w:p>
    <w:p>
      <w:pPr>
        <w:spacing w:after="0" w:line="62" w:lineRule="exact"/>
        <w:rPr>
          <w:rFonts w:ascii="Arial" w:cs="Arial" w:eastAsia="Arial" w:hAnsi="Arial"/>
          <w:sz w:val="18"/>
          <w:szCs w:val="18"/>
          <w:color w:val="auto"/>
        </w:rPr>
      </w:pPr>
    </w:p>
    <w:p>
      <w:pPr>
        <w:ind w:left="1020" w:right="300" w:hanging="503"/>
        <w:spacing w:after="0" w:line="286" w:lineRule="auto"/>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effects of the disruptions to and volatility in the credit and financial markets in the United States and worldwide from geopolitical and macroeconomic events, including the COVID-19 pandemic, the ongoing Russia-Ukraine conflict and related sanctions, and recent and potential future disruptions in access to bank deposits or lending commitments due to bank failures.</w:t>
      </w:r>
    </w:p>
    <w:p>
      <w:pPr>
        <w:spacing w:after="0" w:line="57" w:lineRule="exact"/>
        <w:rPr>
          <w:sz w:val="20"/>
          <w:szCs w:val="20"/>
          <w:color w:val="auto"/>
        </w:rPr>
      </w:pPr>
    </w:p>
    <w:p>
      <w:pPr>
        <w:ind w:right="220" w:firstLine="509"/>
        <w:spacing w:after="0" w:line="279" w:lineRule="auto"/>
        <w:rPr>
          <w:sz w:val="20"/>
          <w:szCs w:val="20"/>
          <w:color w:val="auto"/>
        </w:rPr>
      </w:pPr>
      <w:r>
        <w:rPr>
          <w:rFonts w:ascii="Arial" w:cs="Arial" w:eastAsia="Arial" w:hAnsi="Arial"/>
          <w:sz w:val="17"/>
          <w:szCs w:val="17"/>
          <w:color w:val="auto"/>
        </w:rPr>
        <w:t>If we raise additional funds by issuing equity securities, our stockholders will experience dilution. If we raise additional capital through debt financing, we may be subject to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63"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We may be unable to raise additional funds or to enter into such agreements or arrangements on favorable terms, or at all. Our ability to raise additional funds may be adversely impacted by potential worsening global economic conditions and the disruptions to, and volatility in, the credit and financial markets in the United States and worldwide resulting from macroeconomic events, such as the COVID-19 pandemic, the ongoing Russia-Ukraine conflict and related sanctions, and recent and potential future disruptions in access to bank deposits or lending commitments due to bank failures,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and more dilutive. If we are unable to raise additional capital in sufficient amounts or on terms acceptable to us, we may have to significantly delay, scale back, or discontinue the development or commercialization of tildacerfont or other research and development initiatives. We also could be required to seek collaborators for tildacerfont and any future product candidates at an earlier stage than otherwise would be desirable or on terms that are less favorable than might otherwise be available or relinquish or license on unfavorable terms our rights to tildacerfont and any future product candidates in markets where we otherwise would seek to pursue development or commercialization ourselves.</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amount and timing of our future funding requirements will depend on many factors including the pace and results of our development efforts.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cannot assure you that we will ever be profitable or generate positive cash flow from operating activities.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Cash Requirements</w:t>
      </w:r>
    </w:p>
    <w:p>
      <w:pPr>
        <w:spacing w:after="0" w:line="117"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As of December 31, 2022, future payments of principal and interest on the Term Loan, which commenced repayment in January 2023 and matures in January 2026, were $5.6 million. For a description of the terms of the Loan Agreement, see the section titled “Management’s Discussion and Analysis of Financial Condition and Results of Operations —Material Agreements — Loan Agreement" above.</w:t>
      </w:r>
    </w:p>
    <w:p>
      <w:pPr>
        <w:spacing w:after="0" w:line="76"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As of December 31, 2022, the total lease liability for our non-cancelable operating lease for office space, which terminates in February 2028 unless renewed, was $1.7 million.</w:t>
      </w:r>
    </w:p>
    <w:p>
      <w:pPr>
        <w:spacing w:after="0" w:line="62"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We enter into contracts in the normal course of business with third-party contract manufacturing organizations and CROs for clinical trials, non-clinical studies, drug substance and product manufacturing and other services for operating purposes. These contracts are generally cancelable by us upon prior written notice after a certain period. Payments due upon cancellation consist only of payments for services provided or expenses incurred, including noncancelable obligations of our service providers, up to the date of cancellation.</w:t>
      </w:r>
    </w:p>
    <w:p>
      <w:pPr>
        <w:spacing w:after="0" w:line="79"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We have also entered into the Lilly License Agreement under which we are obligated to make aggregate milestone payments upon the achievement of specified milestones as well as royalty payments. The payment obligations under the Lilly License Agreement are contingent upon future events, such as our achievement of specified milestones or generating product sales. In addition to royalty payments on future sales, we are also</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required to pay up to an aggregate of $23.0 million upon the achievement of certain milestones. As of December 31, 2022, we were unable to estimate the timing or likelihood of achieving these milestones or generating future product sales. For a description of the terms of the Lilly License Agreement, see the section titled “Management’s Discussion and Analysis of Financial Condition and Results of Operations — Material Agreements — License Agreement with Eli Lilly and Company” above.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Statements of Cash Flows</w:t>
      </w:r>
    </w:p>
    <w:p>
      <w:pPr>
        <w:spacing w:after="0" w:line="117" w:lineRule="exact"/>
        <w:rPr>
          <w:sz w:val="20"/>
          <w:szCs w:val="20"/>
          <w:color w:val="auto"/>
        </w:rPr>
      </w:pPr>
    </w:p>
    <w:p>
      <w:pPr>
        <w:ind w:right="580" w:firstLine="509"/>
        <w:spacing w:after="0" w:line="277" w:lineRule="auto"/>
        <w:rPr>
          <w:sz w:val="20"/>
          <w:szCs w:val="20"/>
          <w:color w:val="auto"/>
        </w:rPr>
      </w:pPr>
      <w:r>
        <w:rPr>
          <w:rFonts w:ascii="Arial" w:cs="Arial" w:eastAsia="Arial" w:hAnsi="Arial"/>
          <w:sz w:val="18"/>
          <w:szCs w:val="18"/>
          <w:color w:val="auto"/>
        </w:rPr>
        <w:t>The following table sets forth the primary sources and uses of cash, cash equivalents, and restricted cash for the periods presented below (in thousands):</w:t>
      </w:r>
    </w:p>
    <w:p>
      <w:pPr>
        <w:spacing w:after="0" w:line="175"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3320" w:type="dxa"/>
            <w:vAlign w:val="bottom"/>
            <w:gridSpan w:val="6"/>
          </w:tcPr>
          <w:p>
            <w:pPr>
              <w:jc w:val="right"/>
              <w:ind w:right="901"/>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72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Change</w:t>
            </w:r>
          </w:p>
        </w:tc>
      </w:tr>
      <w:tr>
        <w:trPr>
          <w:trHeight w:val="237"/>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860" w:type="dxa"/>
            <w:vAlign w:val="bottom"/>
            <w:tcBorders>
              <w:top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(41,683</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(35,877</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47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23,692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81"/>
              <w:spacing w:after="0"/>
              <w:rPr>
                <w:sz w:val="20"/>
                <w:szCs w:val="20"/>
                <w:color w:val="auto"/>
              </w:rPr>
            </w:pPr>
            <w:r>
              <w:rPr>
                <w:rFonts w:ascii="Arial" w:cs="Arial" w:eastAsia="Arial" w:hAnsi="Arial"/>
                <w:sz w:val="18"/>
                <w:szCs w:val="18"/>
                <w:color w:val="auto"/>
              </w:rPr>
              <w:t>(79,168 )</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102,860</w:t>
            </w:r>
          </w:p>
        </w:tc>
        <w:tc>
          <w:tcPr>
            <w:tcW w:w="100" w:type="dxa"/>
            <w:vAlign w:val="bottom"/>
          </w:tcPr>
          <w:p>
            <w:pPr>
              <w:spacing w:after="0"/>
              <w:rPr>
                <w:sz w:val="20"/>
                <w:szCs w:val="20"/>
                <w:color w:val="auto"/>
              </w:rPr>
            </w:pPr>
          </w:p>
        </w:tc>
      </w:tr>
      <w:tr>
        <w:trPr>
          <w:trHeight w:val="24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8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(241 )</w:t>
            </w: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(884 )</w:t>
            </w:r>
          </w:p>
        </w:tc>
      </w:tr>
      <w:tr>
        <w:trPr>
          <w:trHeight w:val="20"/>
        </w:trPr>
        <w:tc>
          <w:tcPr>
            <w:tcW w:w="47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720" w:type="dxa"/>
            <w:vAlign w:val="bottom"/>
          </w:tcPr>
          <w:p>
            <w:pPr>
              <w:ind w:left="180"/>
              <w:spacing w:after="0"/>
              <w:rPr>
                <w:sz w:val="20"/>
                <w:szCs w:val="20"/>
                <w:color w:val="auto"/>
              </w:rPr>
            </w:pPr>
            <w:r>
              <w:rPr>
                <w:rFonts w:ascii="Arial" w:cs="Arial" w:eastAsia="Arial" w:hAnsi="Arial"/>
                <w:sz w:val="18"/>
                <w:szCs w:val="18"/>
                <w:color w:val="auto"/>
                <w:w w:val="95"/>
              </w:rPr>
              <w:t>Net decrease in cash, cash equivalents, and restricted cash</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w w:val="85"/>
              </w:rPr>
              <w:t xml:space="preserve">(18,232 </w:t>
            </w:r>
            <w:r>
              <w:rPr>
                <w:rFonts w:ascii="Arial" w:cs="Arial" w:eastAsia="Arial" w:hAnsi="Arial"/>
                <w:sz w:val="18"/>
                <w:szCs w:val="18"/>
                <w:color w:val="auto"/>
                <w:highlight w:val="white"/>
                <w:w w:val="85"/>
              </w:rPr>
              <w:t>)</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81"/>
              <w:spacing w:after="0"/>
              <w:rPr>
                <w:sz w:val="20"/>
                <w:szCs w:val="20"/>
                <w:color w:val="auto"/>
              </w:rPr>
            </w:pPr>
            <w:r>
              <w:rPr>
                <w:rFonts w:ascii="Arial" w:cs="Arial" w:eastAsia="Arial" w:hAnsi="Arial"/>
                <w:sz w:val="18"/>
                <w:szCs w:val="18"/>
                <w:color w:val="auto"/>
              </w:rPr>
              <w:t xml:space="preserve">(114,402 </w:t>
            </w:r>
            <w:r>
              <w:rPr>
                <w:rFonts w:ascii="Arial" w:cs="Arial" w:eastAsia="Arial" w:hAnsi="Arial"/>
                <w:sz w:val="18"/>
                <w:szCs w:val="18"/>
                <w:color w:val="auto"/>
                <w:highlight w:val="white"/>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96,170</w:t>
            </w:r>
          </w:p>
        </w:tc>
        <w:tc>
          <w:tcPr>
            <w:tcW w:w="100" w:type="dxa"/>
            <w:vAlign w:val="bottom"/>
          </w:tcPr>
          <w:p>
            <w:pPr>
              <w:spacing w:after="0"/>
              <w:rPr>
                <w:sz w:val="20"/>
                <w:szCs w:val="20"/>
                <w:color w:val="auto"/>
              </w:rPr>
            </w:pPr>
          </w:p>
        </w:tc>
      </w:tr>
      <w:tr>
        <w:trPr>
          <w:trHeight w:val="20"/>
        </w:trPr>
        <w:tc>
          <w:tcPr>
            <w:tcW w:w="47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6545580</wp:posOffset>
            </wp:positionH>
            <wp:positionV relativeFrom="paragraph">
              <wp:posOffset>-187960</wp:posOffset>
            </wp:positionV>
            <wp:extent cx="60325" cy="1885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Net cash used in operating activities increased by $5.8 million during the year ended December 31, 2022 compared to the year ended December 31, 2021. The increase was primarily due to higher cash payments driven by increased clinical development activities associated with the progression of clinical trials of tildacerfont in adult classic CAH, pediatric classic CAH, and PCOS. Additionally, there were higher personnel-related payments driven by increased headcount and higher payments for increased professional services, including legal, finance and accounting.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For the year ended December 31, 2022, cash provided by investing activities was $23.7 million, consisting primarily of proceeds from maturities of available for sale securities of $60.5 million offset by purchases of available for sale securities of $36.8 million.</w:t>
      </w:r>
    </w:p>
    <w:p>
      <w:pPr>
        <w:spacing w:after="0" w:line="62"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For the year ended December 31, 2021, cash used in investing activities was $79.2 million, consisting of purchases of available for sale securities of $79.1 million and $0.1 million related to the purchase of property and equipment.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7"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For the year ended December 31, 2022, cash used in financing activities was $0.2 million, consisting primarily of payments of deferred offering costs offset by proceeds received from issuance of shares pursuant to our employee stock purchase plan. For the year ended December 31, 2021, cash provided by financing activities was $0.6 million, consisting primarily of net proceeds from the issuance of long-term debt and proceeds from exercise of stock options and issuance of shares pursuant to our employee stock purchase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21"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We operate and manage our business as one operating segment, which is the business of developing and commercializing novel therapies for rare endocrine disorders with significant unmet medical need.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Our accounting policies are more fully described in Note 2 of the financial statements to this Annual Report on Form 10-K. As disclosed in Note 2, the preparation of financial statements in conformity with generally accepted accounting principles requires management to make estimates and assumptions about future events that affect the amounts reported in the financial statements and accompanying notes. Actual results could differ significantly from those estimates. We believe that the following discussion addresses our most critical accounting estimates, which are</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those that are most important to the portrayal of our financial condition and results of operations and require management’s most difficult, subjective and complex judgments.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We record accruals for estimated costs of preclinical, clinical, and manufacturing development, within accrued expenses which are significant components of research and development expenses. A substantial portion of our ongoing research and development activities is conducted by third-party service providers, including CROs. Our contracts with CROs generally include fees such as initiation fees, investigator grants, clinical safety, data management, laboratory expenses, project management, and pass-through expenses. The financial terms of these contracts are subject to negotiations, which vary from contract to contract and may result in payment flows that do not match the periods over which materials or services are provided to us under such contracts. We accrue the costs incurred under agreements with these third parties based on estimates of actual work completed in accordance with the respective agreements. We determine the estimated costs through discussions with internal personnel and external service providers as to the progress, or stage of completion or actual timeline (start-date and end-date) of the services and the agreed-upon fees to be paid for such services. Payments made to third parties under these arrangements in advance of the performance of the related services by the third parties are recorded as prepaid expenses until the services are rendered.</w:t>
      </w:r>
    </w:p>
    <w:p>
      <w:pPr>
        <w:spacing w:after="0" w:line="77"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If the actual timing of the performance of services or the level of effort varies from the estimate, we adjust accrued expenses or prepaid expenses accordingly, which impact research and development expenses.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w:t>
      </w:r>
    </w:p>
    <w:p>
      <w:pPr>
        <w:spacing w:after="0" w:line="79"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Payments associated with licensing agreements to acquire exclusive licenses to develop, use, manufacture and commercialize products that have not reached technological feasibility and do not have alternate commercial use are expensed as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of 2012 (JOBS Act). The JOBS Act permits emerging growth companies to take advantage of an extended transition period to comply with new or revised accounting standards, delaying the adoption of these accounting standards until they would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84"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We could be an emerging growth company until December 31, 2025, although circumstances could cause us to lose that status earlier, including if we become a “large accelerated filer” as defined in Rule 12b-2 under the Exchange Act or if we have total annual gross revenue of $1.235 billion or more during any fiscal year before that time, in which cases we would no longer be an emerging growth company as of the following December 31 or, if we issue more than $1.0 billion in non-convertible debt during any three year period before that time, we would cease to be an emerging growth company immediately.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Our cash, cash equivalents and investments as of December 31, 2022 consisted of $79.1 million in bank deposits, money market funds, U.S. treasury securities and corporate bonds. Such interest-earning instruments carry a degree of interest rate risk. The goals of our investment policy are capital preservation, liquidity, safeguarding of capital and total return. We do not enter into investments for trading or speculative purposes and have not used any derivative financial instruments to manage our interest rate exposure. While we believe our cash, cash equivalents and investments do not contain excessive risk, we cannot provide absolute assurance that in the future our investments will not be subject to adverse changes in market value. Additionally, the interest rate for our Term Loan is variable.</w:t>
      </w:r>
    </w:p>
    <w:p>
      <w:pPr>
        <w:spacing w:after="0" w:line="84"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As of December 31, 2022 and 2021, a hypothetical 1% change in interest rates would not have had a material effect on our financial statements. We do not currently engage in hedging transactions to manage our exposure to interest rate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120" w:firstLine="509"/>
        <w:spacing w:after="0" w:line="286" w:lineRule="auto"/>
        <w:rPr>
          <w:sz w:val="20"/>
          <w:szCs w:val="20"/>
          <w:color w:val="auto"/>
        </w:rPr>
      </w:pPr>
      <w:r>
        <w:rPr>
          <w:rFonts w:ascii="Arial" w:cs="Arial" w:eastAsia="Arial" w:hAnsi="Arial"/>
          <w:sz w:val="17"/>
          <w:szCs w:val="17"/>
          <w:color w:val="auto"/>
        </w:rPr>
        <w:t>Our operations include activities in the United States. In addition, we contract with vendors that are located outside of the United States and certain invoices are denominated in foreign currencies. While our operating results are exposed to changes in foreign currency exchange rates between the U.S. dollar and various foreign currencies, there was no material impact on our results of operations for any periods presented herein.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21"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and changing prices had a significant impact on our results of operations for any periods presented herein. While we are seeing, and expect to continue to see, record inflation due to, among other things, the COVID-19 pandemic and other geopolitical and macroeconomic events, such as the ongoing military conflict between Ukraine and Russia and related sanctions, and recent and potential future disruptions in access to bank deposits or lending commitments due to bank failures, as of December 31, 2022, we do not expect anticipated changes in inflation to have a material effect on our business, financial condition or results of operations for future reporting periods.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9660" w:type="dxa"/>
            <w:vAlign w:val="bottom"/>
            <w:gridSpan w:val="10"/>
          </w:tcPr>
          <w:p>
            <w:pPr>
              <w:spacing w:after="0"/>
              <w:rPr>
                <w:sz w:val="20"/>
                <w:szCs w:val="20"/>
                <w:color w:val="auto"/>
              </w:rPr>
            </w:pPr>
            <w:r>
              <w:rPr>
                <w:rFonts w:ascii="Arial" w:cs="Arial" w:eastAsia="Arial" w:hAnsi="Arial"/>
                <w:sz w:val="18"/>
                <w:szCs w:val="18"/>
                <w:color w:val="0000FF"/>
              </w:rPr>
              <w:t>Table of Contents</w:t>
            </w:r>
          </w:p>
        </w:tc>
        <w:tc>
          <w:tcPr>
            <w:tcW w:w="158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777"/>
        </w:trPr>
        <w:tc>
          <w:tcPr>
            <w:tcW w:w="966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5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20" w:type="dxa"/>
            <w:vAlign w:val="bottom"/>
          </w:tcPr>
          <w:p>
            <w:pPr>
              <w:jc w:val="right"/>
              <w:ind w:right="2090"/>
              <w:spacing w:after="0"/>
              <w:rPr>
                <w:sz w:val="20"/>
                <w:szCs w:val="20"/>
                <w:color w:val="auto"/>
              </w:rPr>
            </w:pPr>
            <w:r>
              <w:rPr>
                <w:rFonts w:ascii="Arial" w:cs="Arial" w:eastAsia="Arial" w:hAnsi="Arial"/>
                <w:sz w:val="18"/>
                <w:szCs w:val="18"/>
                <w:b w:val="1"/>
                <w:bCs w:val="1"/>
                <w:color w:val="auto"/>
              </w:rPr>
              <w:t>INDEX TO FINANCIAL STATEMENTS</w:t>
            </w:r>
          </w:p>
        </w:tc>
        <w:tc>
          <w:tcPr>
            <w:tcW w:w="15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(BDO USA, LLP, Las Vegas, Nevada, PCAOB ID #243)</w:t>
            </w:r>
          </w:p>
        </w:tc>
        <w:tc>
          <w:tcPr>
            <w:tcW w:w="15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439"/>
        </w:trPr>
        <w:tc>
          <w:tcPr>
            <w:tcW w:w="20" w:type="dxa"/>
            <w:vAlign w:val="bottom"/>
            <w:tcBorders>
              <w:top w:val="single" w:sz="8" w:color="0000EE"/>
              <w:bottom w:val="single" w:sz="8" w:color="0000EE"/>
            </w:tcBorders>
          </w:tcPr>
          <w:p>
            <w:pPr>
              <w:spacing w:after="0"/>
              <w:rPr>
                <w:sz w:val="24"/>
                <w:szCs w:val="24"/>
                <w:color w:val="auto"/>
              </w:rPr>
            </w:pPr>
          </w:p>
        </w:tc>
        <w:tc>
          <w:tcPr>
            <w:tcW w:w="11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85"/>
              </w:rPr>
              <w:t>Balance Sheets</w:t>
            </w:r>
          </w:p>
        </w:tc>
        <w:tc>
          <w:tcPr>
            <w:tcW w:w="3120" w:type="dxa"/>
            <w:vAlign w:val="bottom"/>
            <w:tcBorders>
              <w:top w:val="single" w:sz="8" w:color="0000FF"/>
            </w:tcBorders>
            <w:gridSpan w:val="7"/>
          </w:tcPr>
          <w:p>
            <w:pPr>
              <w:spacing w:after="0"/>
              <w:rPr>
                <w:sz w:val="24"/>
                <w:szCs w:val="24"/>
                <w:color w:val="auto"/>
              </w:rPr>
            </w:pPr>
          </w:p>
        </w:tc>
        <w:tc>
          <w:tcPr>
            <w:tcW w:w="54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439"/>
        </w:trPr>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Arial" w:cs="Arial" w:eastAsia="Arial" w:hAnsi="Arial"/>
                <w:sz w:val="18"/>
                <w:szCs w:val="18"/>
                <w:color w:val="0000FF"/>
              </w:rPr>
              <w:t>Statements of Operations and Comprehensive Loss</w:t>
            </w:r>
          </w:p>
        </w:tc>
        <w:tc>
          <w:tcPr>
            <w:tcW w:w="15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439"/>
        </w:trPr>
        <w:tc>
          <w:tcPr>
            <w:tcW w:w="20" w:type="dxa"/>
            <w:vAlign w:val="bottom"/>
            <w:tcBorders>
              <w:top w:val="single" w:sz="8" w:color="0000EE"/>
              <w:bottom w:val="single" w:sz="8" w:color="0000FF"/>
            </w:tcBorders>
          </w:tcPr>
          <w:p>
            <w:pPr>
              <w:spacing w:after="0"/>
              <w:rPr>
                <w:sz w:val="24"/>
                <w:szCs w:val="24"/>
                <w:color w:val="auto"/>
              </w:rPr>
            </w:pPr>
          </w:p>
        </w:tc>
        <w:tc>
          <w:tcPr>
            <w:tcW w:w="2600" w:type="dxa"/>
            <w:vAlign w:val="bottom"/>
            <w:tcBorders>
              <w:top w:val="single" w:sz="8" w:color="0000FF"/>
              <w:bottom w:val="single" w:sz="8" w:color="0000EE"/>
            </w:tcBorders>
            <w:gridSpan w:val="6"/>
          </w:tcPr>
          <w:p>
            <w:pPr>
              <w:spacing w:after="0"/>
              <w:rPr>
                <w:sz w:val="20"/>
                <w:szCs w:val="20"/>
                <w:color w:val="auto"/>
              </w:rPr>
            </w:pPr>
            <w:r>
              <w:rPr>
                <w:rFonts w:ascii="Arial" w:cs="Arial" w:eastAsia="Arial" w:hAnsi="Arial"/>
                <w:sz w:val="18"/>
                <w:szCs w:val="18"/>
                <w:color w:val="0000FF"/>
                <w:w w:val="92"/>
              </w:rPr>
              <w:t>Statements of Stockholders’ Equity</w:t>
            </w:r>
          </w:p>
        </w:tc>
        <w:tc>
          <w:tcPr>
            <w:tcW w:w="1080" w:type="dxa"/>
            <w:vAlign w:val="bottom"/>
            <w:tcBorders>
              <w:top w:val="single" w:sz="8" w:color="0000FF"/>
            </w:tcBorders>
          </w:tcPr>
          <w:p>
            <w:pPr>
              <w:spacing w:after="0"/>
              <w:rPr>
                <w:sz w:val="24"/>
                <w:szCs w:val="24"/>
                <w:color w:val="auto"/>
              </w:rPr>
            </w:pPr>
          </w:p>
        </w:tc>
        <w:tc>
          <w:tcPr>
            <w:tcW w:w="5960" w:type="dxa"/>
            <w:vAlign w:val="bottom"/>
            <w:gridSpan w:val="2"/>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439"/>
        </w:trPr>
        <w:tc>
          <w:tcPr>
            <w:tcW w:w="20" w:type="dxa"/>
            <w:vAlign w:val="bottom"/>
            <w:tcBorders>
              <w:bottom w:val="single" w:sz="8" w:color="0000EE"/>
            </w:tcBorders>
          </w:tcPr>
          <w:p>
            <w:pPr>
              <w:spacing w:after="0"/>
              <w:rPr>
                <w:sz w:val="24"/>
                <w:szCs w:val="24"/>
                <w:color w:val="auto"/>
              </w:rPr>
            </w:pPr>
          </w:p>
        </w:tc>
        <w:tc>
          <w:tcPr>
            <w:tcW w:w="18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8"/>
              </w:rPr>
              <w:t>Statements of Cash Flows</w:t>
            </w:r>
          </w:p>
        </w:tc>
        <w:tc>
          <w:tcPr>
            <w:tcW w:w="40" w:type="dxa"/>
            <w:vAlign w:val="bottom"/>
            <w:tcBorders>
              <w:bottom w:val="single" w:sz="8" w:color="0000EE"/>
            </w:tcBorders>
          </w:tcPr>
          <w:p>
            <w:pPr>
              <w:spacing w:after="0"/>
              <w:rPr>
                <w:sz w:val="24"/>
                <w:szCs w:val="24"/>
                <w:color w:val="auto"/>
              </w:rPr>
            </w:pPr>
          </w:p>
        </w:tc>
        <w:tc>
          <w:tcPr>
            <w:tcW w:w="7720" w:type="dxa"/>
            <w:vAlign w:val="bottom"/>
            <w:gridSpan w:val="5"/>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439"/>
        </w:trPr>
        <w:tc>
          <w:tcPr>
            <w:tcW w:w="20" w:type="dxa"/>
            <w:vAlign w:val="bottom"/>
          </w:tcPr>
          <w:p>
            <w:pPr>
              <w:spacing w:after="0"/>
              <w:rPr>
                <w:sz w:val="24"/>
                <w:szCs w:val="24"/>
                <w:color w:val="auto"/>
              </w:rPr>
            </w:pPr>
          </w:p>
        </w:tc>
        <w:tc>
          <w:tcPr>
            <w:tcW w:w="21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9"/>
              </w:rPr>
              <w:t>Notes to Financial Statements</w:t>
            </w:r>
          </w:p>
        </w:tc>
        <w:tc>
          <w:tcPr>
            <w:tcW w:w="7480" w:type="dxa"/>
            <w:vAlign w:val="bottom"/>
            <w:gridSpan w:val="4"/>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682"/>
        </w:trPr>
        <w:tc>
          <w:tcPr>
            <w:tcW w:w="9660" w:type="dxa"/>
            <w:vAlign w:val="bottom"/>
            <w:gridSpan w:val="10"/>
          </w:tcPr>
          <w:p>
            <w:pPr>
              <w:jc w:val="right"/>
              <w:ind w:right="3810"/>
              <w:spacing w:after="0"/>
              <w:rPr>
                <w:sz w:val="20"/>
                <w:szCs w:val="20"/>
                <w:color w:val="auto"/>
              </w:rPr>
            </w:pPr>
            <w:r>
              <w:rPr>
                <w:rFonts w:ascii="Arial" w:cs="Arial" w:eastAsia="Arial" w:hAnsi="Arial"/>
                <w:sz w:val="18"/>
                <w:szCs w:val="18"/>
                <w:color w:val="auto"/>
              </w:rPr>
              <w:t>112</w:t>
            </w:r>
          </w:p>
        </w:tc>
        <w:tc>
          <w:tcPr>
            <w:tcW w:w="15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4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Spruce Biosciences,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balance sheets of Spruce Biosciences, Inc. (the “Company”) as of December 31, 2022 and 2021, the related statements of operations and comprehensive loss, stockholders’ equity, and cash flows for each of the years then ended, and the related notes (collectively referred to as the “financial statements”). In our opinion, the financial statements present fairly, in all material respects, the financial position of the Company at December 31, 2022 and 2021, and the results of its operations and its cash flows for the years then ended, in conformity with accounting principles generally accepted in the United States of America.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March 16,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SPRUCE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7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20" w:type="dxa"/>
            <w:vAlign w:val="bottom"/>
          </w:tcPr>
          <w:p>
            <w:pPr>
              <w:ind w:left="12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24,487</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42,748</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54,590</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46,221</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expenses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2,530</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83,608</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91,895</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120"/>
              <w:spacing w:after="0"/>
              <w:rPr>
                <w:sz w:val="20"/>
                <w:szCs w:val="20"/>
                <w:color w:val="auto"/>
              </w:rPr>
            </w:pPr>
            <w:r>
              <w:rPr>
                <w:rFonts w:ascii="Arial" w:cs="Arial" w:eastAsia="Arial" w:hAnsi="Arial"/>
                <w:sz w:val="18"/>
                <w:szCs w:val="18"/>
                <w:color w:val="auto"/>
              </w:rPr>
              <w:t>Long-term investments</w:t>
            </w:r>
          </w:p>
        </w:tc>
        <w:tc>
          <w:tcPr>
            <w:tcW w:w="38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32,459</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 right-of-use asset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1,479</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85,648</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126,486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6"/>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1,426</w:t>
            </w:r>
          </w:p>
        </w:tc>
        <w:tc>
          <w:tcPr>
            <w:tcW w:w="28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2,823</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9,399</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6,048</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Term loan, current portion</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1,622</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12,447</w:t>
            </w:r>
          </w:p>
        </w:tc>
        <w:tc>
          <w:tcPr>
            <w:tcW w:w="280" w:type="dxa"/>
            <w:vAlign w:val="bottom"/>
            <w:shd w:val="clear" w:color="auto" w:fill="CFF0FC"/>
          </w:tcPr>
          <w:p>
            <w:pPr>
              <w:spacing w:after="0"/>
              <w:rPr>
                <w:sz w:val="21"/>
                <w:szCs w:val="21"/>
                <w:color w:val="auto"/>
              </w:rPr>
            </w:pPr>
          </w:p>
        </w:tc>
        <w:tc>
          <w:tcPr>
            <w:tcW w:w="46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8,871</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120"/>
              <w:spacing w:after="0"/>
              <w:rPr>
                <w:sz w:val="20"/>
                <w:szCs w:val="20"/>
                <w:color w:val="auto"/>
              </w:rPr>
            </w:pPr>
            <w:r>
              <w:rPr>
                <w:rFonts w:ascii="Arial" w:cs="Arial" w:eastAsia="Arial" w:hAnsi="Arial"/>
                <w:sz w:val="18"/>
                <w:szCs w:val="18"/>
                <w:color w:val="auto"/>
              </w:rPr>
              <w:t>Operating lease liability, net of current portion</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1,261</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Term loan, net of current portion</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3,293</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4,878</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120"/>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17,162</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15,115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20" w:type="dxa"/>
            <w:vAlign w:val="bottom"/>
          </w:tcPr>
          <w:p>
            <w:pPr>
              <w:ind w:left="120"/>
              <w:spacing w:after="0"/>
              <w:rPr>
                <w:sz w:val="20"/>
                <w:szCs w:val="20"/>
                <w:color w:val="auto"/>
              </w:rPr>
            </w:pPr>
            <w:r>
              <w:rPr>
                <w:rFonts w:ascii="Arial" w:cs="Arial" w:eastAsia="Arial" w:hAnsi="Arial"/>
                <w:sz w:val="18"/>
                <w:szCs w:val="18"/>
                <w:color w:val="auto"/>
              </w:rPr>
              <w:t>Commitments and contingencies (Note 7)</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7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Stockholders’ equity:</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7720" w:type="dxa"/>
            <w:vAlign w:val="bottom"/>
          </w:tcPr>
          <w:p>
            <w:pPr>
              <w:ind w:left="200"/>
              <w:spacing w:after="0"/>
              <w:rPr>
                <w:sz w:val="20"/>
                <w:szCs w:val="20"/>
                <w:color w:val="auto"/>
              </w:rPr>
            </w:pPr>
            <w:r>
              <w:rPr>
                <w:rFonts w:ascii="Arial" w:cs="Arial" w:eastAsia="Arial" w:hAnsi="Arial"/>
                <w:sz w:val="18"/>
                <w:szCs w:val="18"/>
                <w:color w:val="auto"/>
              </w:rPr>
              <w:t>Preferred stock, $0.0001 par value; 10,000,000 shares authorized and</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20" w:type="dxa"/>
            <w:vAlign w:val="bottom"/>
          </w:tcPr>
          <w:p>
            <w:pPr>
              <w:ind w:left="340"/>
              <w:spacing w:after="0"/>
              <w:rPr>
                <w:sz w:val="20"/>
                <w:szCs w:val="20"/>
                <w:color w:val="auto"/>
              </w:rPr>
            </w:pPr>
            <w:r>
              <w:rPr>
                <w:rFonts w:ascii="Arial" w:cs="Arial" w:eastAsia="Arial" w:hAnsi="Arial"/>
                <w:sz w:val="18"/>
                <w:szCs w:val="18"/>
                <w:color w:val="auto"/>
              </w:rPr>
              <w:t>no shares issued or outstanding as of December 31, 2022 and 2021</w:t>
            </w:r>
          </w:p>
        </w:tc>
        <w:tc>
          <w:tcPr>
            <w:tcW w:w="38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2"/>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$0.0001 par value; 200,000,000 shares authorized as of</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72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December 31, 2022 and 2021; 23,601,004 and 23,491,881 shares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7720" w:type="dxa"/>
            <w:vAlign w:val="bottom"/>
            <w:shd w:val="clear" w:color="auto" w:fill="CFF0FC"/>
          </w:tcPr>
          <w:p>
            <w:pPr>
              <w:ind w:left="340"/>
              <w:spacing w:after="0"/>
              <w:rPr>
                <w:sz w:val="20"/>
                <w:szCs w:val="20"/>
                <w:color w:val="auto"/>
              </w:rPr>
            </w:pPr>
            <w:r>
              <w:rPr>
                <w:rFonts w:ascii="Arial" w:cs="Arial" w:eastAsia="Arial" w:hAnsi="Arial"/>
                <w:sz w:val="18"/>
                <w:szCs w:val="18"/>
                <w:color w:val="auto"/>
              </w:rPr>
              <w:t>issued and outstanding as of December 31, 2022 and 2021, respectively</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218,354</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214,685</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(558 )</w:t>
            </w:r>
          </w:p>
        </w:tc>
        <w:tc>
          <w:tcPr>
            <w:tcW w:w="4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(184 )</w:t>
            </w: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38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(149,313 )</w:t>
            </w:r>
          </w:p>
        </w:tc>
        <w:tc>
          <w:tcPr>
            <w:tcW w:w="4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(103,133 )</w:t>
            </w:r>
          </w:p>
        </w:tc>
      </w:tr>
      <w:tr>
        <w:trPr>
          <w:trHeight w:val="237"/>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68,486</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111,371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85,648</w:t>
            </w:r>
          </w:p>
        </w:tc>
        <w:tc>
          <w:tcPr>
            <w:tcW w:w="28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126,486</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-3453765</wp:posOffset>
            </wp:positionV>
            <wp:extent cx="1225550" cy="1797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25550" cy="1797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-1868170</wp:posOffset>
            </wp:positionV>
            <wp:extent cx="1225550" cy="1797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25550" cy="1797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1885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SPRUCE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4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35,198</w:t>
            </w:r>
          </w:p>
        </w:tc>
        <w:tc>
          <w:tcPr>
            <w:tcW w:w="300" w:type="dxa"/>
            <w:vAlign w:val="bottom"/>
          </w:tcPr>
          <w:p>
            <w:pPr>
              <w:spacing w:after="0"/>
              <w:rPr>
                <w:sz w:val="20"/>
                <w:szCs w:val="20"/>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30,698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4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12,085</w:t>
            </w:r>
          </w:p>
        </w:tc>
        <w:tc>
          <w:tcPr>
            <w:tcW w:w="3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4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47,283</w:t>
            </w:r>
          </w:p>
        </w:tc>
        <w:tc>
          <w:tcPr>
            <w:tcW w:w="3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4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(47,283</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(42,066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70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20"/>
                <w:szCs w:val="20"/>
                <w:color w:val="auto"/>
              </w:rPr>
            </w:pPr>
          </w:p>
        </w:tc>
        <w:tc>
          <w:tcPr>
            <w:tcW w:w="1720" w:type="dxa"/>
            <w:vAlign w:val="bottom"/>
            <w:gridSpan w:val="2"/>
          </w:tcPr>
          <w:p>
            <w:pPr>
              <w:jc w:val="right"/>
              <w:ind w:right="130"/>
              <w:spacing w:after="0"/>
              <w:rPr>
                <w:sz w:val="20"/>
                <w:szCs w:val="20"/>
                <w:color w:val="auto"/>
              </w:rPr>
            </w:pPr>
            <w:r>
              <w:rPr>
                <w:rFonts w:ascii="Arial" w:cs="Arial" w:eastAsia="Arial" w:hAnsi="Arial"/>
                <w:sz w:val="18"/>
                <w:szCs w:val="18"/>
                <w:color w:val="auto"/>
              </w:rPr>
              <w:t>(420 )</w:t>
            </w:r>
          </w:p>
        </w:tc>
        <w:tc>
          <w:tcPr>
            <w:tcW w:w="7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(345 )</w:t>
            </w:r>
          </w:p>
        </w:tc>
        <w:tc>
          <w:tcPr>
            <w:tcW w:w="0" w:type="dxa"/>
            <w:vAlign w:val="bottom"/>
          </w:tcPr>
          <w:p>
            <w:pPr>
              <w:spacing w:after="0"/>
              <w:rPr>
                <w:sz w:val="1"/>
                <w:szCs w:val="1"/>
                <w:color w:val="auto"/>
              </w:rPr>
            </w:pPr>
          </w:p>
        </w:tc>
      </w:tr>
      <w:tr>
        <w:trPr>
          <w:trHeight w:val="243"/>
        </w:trPr>
        <w:tc>
          <w:tcPr>
            <w:tcW w:w="70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Interest and other income, net</w:t>
            </w:r>
          </w:p>
        </w:tc>
        <w:tc>
          <w:tcPr>
            <w:tcW w:w="4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1,523</w:t>
            </w:r>
          </w:p>
        </w:tc>
        <w:tc>
          <w:tcPr>
            <w:tcW w:w="3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20"/>
              <w:spacing w:after="0"/>
              <w:rPr>
                <w:sz w:val="20"/>
                <w:szCs w:val="20"/>
                <w:color w:val="auto"/>
              </w:rPr>
            </w:pPr>
            <w:r>
              <w:rPr>
                <w:rFonts w:ascii="Arial" w:cs="Arial" w:eastAsia="Arial" w:hAnsi="Arial"/>
                <w:sz w:val="18"/>
                <w:szCs w:val="18"/>
                <w:color w:val="auto"/>
              </w:rPr>
              <w:t>Net loss</w:t>
            </w:r>
          </w:p>
        </w:tc>
        <w:tc>
          <w:tcPr>
            <w:tcW w:w="460" w:type="dxa"/>
            <w:vAlign w:val="bottom"/>
          </w:tcPr>
          <w:p>
            <w:pPr>
              <w:spacing w:after="0"/>
              <w:rPr>
                <w:sz w:val="20"/>
                <w:szCs w:val="20"/>
                <w:color w:val="auto"/>
              </w:rPr>
            </w:pPr>
          </w:p>
        </w:tc>
        <w:tc>
          <w:tcPr>
            <w:tcW w:w="1720" w:type="dxa"/>
            <w:vAlign w:val="bottom"/>
            <w:gridSpan w:val="2"/>
          </w:tcPr>
          <w:p>
            <w:pPr>
              <w:jc w:val="right"/>
              <w:ind w:right="130"/>
              <w:spacing w:after="0"/>
              <w:rPr>
                <w:sz w:val="20"/>
                <w:szCs w:val="20"/>
                <w:color w:val="auto"/>
              </w:rPr>
            </w:pPr>
            <w:r>
              <w:rPr>
                <w:rFonts w:ascii="Arial" w:cs="Arial" w:eastAsia="Arial" w:hAnsi="Arial"/>
                <w:sz w:val="18"/>
                <w:szCs w:val="18"/>
                <w:color w:val="auto"/>
              </w:rPr>
              <w:t>(46,180 )</w:t>
            </w:r>
          </w:p>
        </w:tc>
        <w:tc>
          <w:tcPr>
            <w:tcW w:w="7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(42,292 )</w:t>
            </w:r>
          </w:p>
        </w:tc>
        <w:tc>
          <w:tcPr>
            <w:tcW w:w="0" w:type="dxa"/>
            <w:vAlign w:val="bottom"/>
          </w:tcPr>
          <w:p>
            <w:pPr>
              <w:spacing w:after="0"/>
              <w:rPr>
                <w:sz w:val="1"/>
                <w:szCs w:val="1"/>
                <w:color w:val="auto"/>
              </w:rPr>
            </w:pPr>
          </w:p>
        </w:tc>
      </w:tr>
      <w:tr>
        <w:trPr>
          <w:trHeight w:val="243"/>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loss, net of tax:</w:t>
            </w:r>
          </w:p>
        </w:tc>
        <w:tc>
          <w:tcPr>
            <w:tcW w:w="460" w:type="dxa"/>
            <w:vAlign w:val="bottom"/>
            <w:tcBorders>
              <w:top w:val="single" w:sz="8" w:color="auto"/>
            </w:tcBorders>
            <w:shd w:val="clear" w:color="auto" w:fill="CFF0FC"/>
          </w:tcPr>
          <w:p>
            <w:pPr>
              <w:spacing w:after="0"/>
              <w:rPr>
                <w:sz w:val="21"/>
                <w:szCs w:val="21"/>
                <w:color w:val="auto"/>
              </w:rPr>
            </w:pPr>
          </w:p>
        </w:tc>
        <w:tc>
          <w:tcPr>
            <w:tcW w:w="142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2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200"/>
              <w:spacing w:after="0"/>
              <w:rPr>
                <w:sz w:val="20"/>
                <w:szCs w:val="20"/>
                <w:color w:val="auto"/>
              </w:rPr>
            </w:pPr>
            <w:r>
              <w:rPr>
                <w:rFonts w:ascii="Arial" w:cs="Arial" w:eastAsia="Arial" w:hAnsi="Arial"/>
                <w:sz w:val="18"/>
                <w:szCs w:val="18"/>
                <w:color w:val="auto"/>
              </w:rPr>
              <w:t>Unrealized loss on available for sale securities</w:t>
            </w:r>
          </w:p>
        </w:tc>
        <w:tc>
          <w:tcPr>
            <w:tcW w:w="460" w:type="dxa"/>
            <w:vAlign w:val="bottom"/>
          </w:tcPr>
          <w:p>
            <w:pPr>
              <w:spacing w:after="0"/>
              <w:rPr>
                <w:sz w:val="20"/>
                <w:szCs w:val="20"/>
                <w:color w:val="auto"/>
              </w:rPr>
            </w:pPr>
          </w:p>
        </w:tc>
        <w:tc>
          <w:tcPr>
            <w:tcW w:w="1720" w:type="dxa"/>
            <w:vAlign w:val="bottom"/>
            <w:gridSpan w:val="2"/>
          </w:tcPr>
          <w:p>
            <w:pPr>
              <w:jc w:val="right"/>
              <w:ind w:right="130"/>
              <w:spacing w:after="0"/>
              <w:rPr>
                <w:sz w:val="20"/>
                <w:szCs w:val="20"/>
                <w:color w:val="auto"/>
              </w:rPr>
            </w:pPr>
            <w:r>
              <w:rPr>
                <w:rFonts w:ascii="Arial" w:cs="Arial" w:eastAsia="Arial" w:hAnsi="Arial"/>
                <w:sz w:val="18"/>
                <w:szCs w:val="18"/>
                <w:color w:val="auto"/>
              </w:rPr>
              <w:t>(374 )</w:t>
            </w:r>
          </w:p>
        </w:tc>
        <w:tc>
          <w:tcPr>
            <w:tcW w:w="7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r>
        <w:trPr>
          <w:trHeight w:val="236"/>
        </w:trPr>
        <w:tc>
          <w:tcPr>
            <w:tcW w:w="7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comprehensive loss</w:t>
            </w: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(46,554</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(42,476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708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130"/>
              <w:spacing w:after="0"/>
              <w:rPr>
                <w:sz w:val="20"/>
                <w:szCs w:val="20"/>
                <w:color w:val="auto"/>
              </w:rPr>
            </w:pPr>
            <w:r>
              <w:rPr>
                <w:rFonts w:ascii="Arial" w:cs="Arial" w:eastAsia="Arial" w:hAnsi="Arial"/>
                <w:sz w:val="18"/>
                <w:szCs w:val="18"/>
                <w:color w:val="auto"/>
              </w:rPr>
              <w:t>(1.96 )</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Weighted-average shares of common stock outstanding,</w:t>
            </w:r>
          </w:p>
        </w:tc>
        <w:tc>
          <w:tcPr>
            <w:tcW w:w="460" w:type="dxa"/>
            <w:vAlign w:val="bottom"/>
            <w:shd w:val="clear" w:color="auto" w:fill="CFF0FC"/>
          </w:tcPr>
          <w:p>
            <w:pPr>
              <w:spacing w:after="0"/>
              <w:rPr>
                <w:sz w:val="17"/>
                <w:szCs w:val="17"/>
                <w:color w:val="auto"/>
              </w:rPr>
            </w:pP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23,527,116</w:t>
            </w: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23,361,416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basic and diluted</w:t>
            </w:r>
          </w:p>
        </w:tc>
        <w:tc>
          <w:tcPr>
            <w:tcW w:w="4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vMerge w:val="continue"/>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-1756410</wp:posOffset>
            </wp:positionV>
            <wp:extent cx="68580" cy="1714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-1756410</wp:posOffset>
            </wp:positionV>
            <wp:extent cx="68580" cy="1714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-1122045</wp:posOffset>
            </wp:positionV>
            <wp:extent cx="68580" cy="1714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1714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-479425</wp:posOffset>
            </wp:positionV>
            <wp:extent cx="68580" cy="1885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1885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SPRUCE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12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80" w:type="dxa"/>
            <w:vAlign w:val="bottom"/>
          </w:tcPr>
          <w:p>
            <w:pPr>
              <w:spacing w:after="0"/>
              <w:rPr>
                <w:sz w:val="19"/>
                <w:szCs w:val="19"/>
                <w:color w:val="auto"/>
              </w:rPr>
            </w:pPr>
          </w:p>
        </w:tc>
        <w:tc>
          <w:tcPr>
            <w:tcW w:w="196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Paid-In</w:t>
            </w:r>
          </w:p>
        </w:tc>
        <w:tc>
          <w:tcPr>
            <w:tcW w:w="1240" w:type="dxa"/>
            <w:vAlign w:val="bottom"/>
            <w:gridSpan w:val="3"/>
          </w:tcPr>
          <w:p>
            <w:pPr>
              <w:jc w:val="center"/>
              <w:ind w:right="30"/>
              <w:spacing w:after="0"/>
              <w:rPr>
                <w:sz w:val="20"/>
                <w:szCs w:val="20"/>
                <w:color w:val="auto"/>
              </w:rPr>
            </w:pPr>
            <w:r>
              <w:rPr>
                <w:rFonts w:ascii="Arial" w:cs="Arial" w:eastAsia="Arial" w:hAnsi="Arial"/>
                <w:sz w:val="14"/>
                <w:szCs w:val="14"/>
                <w:b w:val="1"/>
                <w:bCs w:val="1"/>
                <w:color w:val="auto"/>
                <w:w w:val="91"/>
              </w:rPr>
              <w:t>Comprehensive</w:t>
            </w:r>
          </w:p>
        </w:tc>
        <w:tc>
          <w:tcPr>
            <w:tcW w:w="220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1"/>
              </w:rPr>
              <w:t>AccumulatedStockholders'</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19"/>
                <w:szCs w:val="19"/>
                <w:color w:val="auto"/>
              </w:rPr>
            </w:pPr>
          </w:p>
        </w:tc>
        <w:tc>
          <w:tcPr>
            <w:tcW w:w="1060" w:type="dxa"/>
            <w:vAlign w:val="bottom"/>
          </w:tcPr>
          <w:p>
            <w:pPr>
              <w:jc w:val="right"/>
              <w:ind w:right="232"/>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11"/>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9"/>
                <w:szCs w:val="19"/>
                <w:color w:val="auto"/>
              </w:rPr>
            </w:pPr>
          </w:p>
        </w:tc>
        <w:tc>
          <w:tcPr>
            <w:tcW w:w="112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9"/>
                <w:szCs w:val="19"/>
                <w:color w:val="auto"/>
              </w:rPr>
            </w:pPr>
          </w:p>
        </w:tc>
        <w:tc>
          <w:tcPr>
            <w:tcW w:w="1100" w:type="dxa"/>
            <w:vAlign w:val="bottom"/>
            <w:gridSpan w:val="3"/>
          </w:tcPr>
          <w:p>
            <w:pPr>
              <w:jc w:val="right"/>
              <w:ind w:right="510"/>
              <w:spacing w:after="0"/>
              <w:rPr>
                <w:sz w:val="20"/>
                <w:szCs w:val="20"/>
                <w:color w:val="auto"/>
              </w:rPr>
            </w:pPr>
            <w:r>
              <w:rPr>
                <w:rFonts w:ascii="Arial" w:cs="Arial" w:eastAsia="Arial" w:hAnsi="Arial"/>
                <w:sz w:val="14"/>
                <w:szCs w:val="14"/>
                <w:b w:val="1"/>
                <w:bCs w:val="1"/>
                <w:color w:val="auto"/>
              </w:rPr>
              <w:t>Deficit</w:t>
            </w: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6"/>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January 1, 2021</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23,260,399</w:t>
            </w:r>
          </w:p>
        </w:tc>
        <w:tc>
          <w:tcPr>
            <w:tcW w:w="1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210,266</w:t>
            </w:r>
          </w:p>
        </w:tc>
        <w:tc>
          <w:tcPr>
            <w:tcW w:w="1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(60,841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149,427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80" w:type="dxa"/>
            <w:vAlign w:val="bottom"/>
          </w:tcPr>
          <w:p>
            <w:pPr>
              <w:ind w:left="200"/>
              <w:spacing w:after="0"/>
              <w:rPr>
                <w:sz w:val="20"/>
                <w:szCs w:val="20"/>
                <w:color w:val="auto"/>
              </w:rPr>
            </w:pPr>
            <w:r>
              <w:rPr>
                <w:rFonts w:ascii="Arial" w:cs="Arial" w:eastAsia="Arial" w:hAnsi="Arial"/>
                <w:sz w:val="18"/>
                <w:szCs w:val="18"/>
                <w:color w:val="auto"/>
              </w:rPr>
              <w:t>Exercise of common stock options</w:t>
            </w:r>
          </w:p>
        </w:tc>
        <w:tc>
          <w:tcPr>
            <w:tcW w:w="1060" w:type="dxa"/>
            <w:vAlign w:val="bottom"/>
          </w:tcPr>
          <w:p>
            <w:pPr>
              <w:jc w:val="right"/>
              <w:spacing w:after="0"/>
              <w:rPr>
                <w:sz w:val="20"/>
                <w:szCs w:val="20"/>
                <w:color w:val="auto"/>
              </w:rPr>
            </w:pPr>
            <w:r>
              <w:rPr>
                <w:rFonts w:ascii="Arial" w:cs="Arial" w:eastAsia="Arial" w:hAnsi="Arial"/>
                <w:sz w:val="18"/>
                <w:szCs w:val="18"/>
                <w:color w:val="auto"/>
              </w:rPr>
              <w:t>211,439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of common stock related to</w:t>
            </w: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5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employee stock purchase plan</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20,043</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100" w:type="dxa"/>
            <w:vAlign w:val="bottom"/>
            <w:gridSpan w:val="3"/>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loss on available for sale securities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(184 )</w:t>
            </w:r>
          </w:p>
        </w:tc>
        <w:tc>
          <w:tcPr>
            <w:tcW w:w="200" w:type="dxa"/>
            <w:vAlign w:val="bottom"/>
            <w:shd w:val="clear" w:color="auto" w:fill="CFF0FC"/>
          </w:tcPr>
          <w:p>
            <w:pPr>
              <w:spacing w:after="0"/>
              <w:rPr>
                <w:sz w:val="21"/>
                <w:szCs w:val="21"/>
                <w:color w:val="auto"/>
              </w:rPr>
            </w:pPr>
          </w:p>
        </w:tc>
        <w:tc>
          <w:tcPr>
            <w:tcW w:w="1100" w:type="dxa"/>
            <w:vAlign w:val="bottom"/>
            <w:gridSpan w:val="3"/>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r>
        <w:trPr>
          <w:trHeight w:val="237"/>
        </w:trPr>
        <w:tc>
          <w:tcPr>
            <w:tcW w:w="458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(42,292 )</w:t>
            </w: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(42,292 )</w:t>
            </w:r>
          </w:p>
        </w:tc>
        <w:tc>
          <w:tcPr>
            <w:tcW w:w="0" w:type="dxa"/>
            <w:vAlign w:val="bottom"/>
          </w:tcPr>
          <w:p>
            <w:pPr>
              <w:spacing w:after="0"/>
              <w:rPr>
                <w:sz w:val="1"/>
                <w:szCs w:val="1"/>
                <w:color w:val="auto"/>
              </w:rPr>
            </w:pPr>
          </w:p>
        </w:tc>
      </w:tr>
      <w:tr>
        <w:trPr>
          <w:trHeight w:val="243"/>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23,491,881</w:t>
            </w:r>
          </w:p>
        </w:tc>
        <w:tc>
          <w:tcPr>
            <w:tcW w:w="1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214,685</w:t>
            </w:r>
          </w:p>
        </w:tc>
        <w:tc>
          <w:tcPr>
            <w:tcW w:w="1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(103,133</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111,371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tcPr>
          <w:p>
            <w:pPr>
              <w:ind w:left="200"/>
              <w:spacing w:after="0"/>
              <w:rPr>
                <w:sz w:val="20"/>
                <w:szCs w:val="20"/>
                <w:color w:val="auto"/>
              </w:rPr>
            </w:pPr>
            <w:r>
              <w:rPr>
                <w:rFonts w:ascii="Arial" w:cs="Arial" w:eastAsia="Arial" w:hAnsi="Arial"/>
                <w:sz w:val="18"/>
                <w:szCs w:val="18"/>
                <w:color w:val="auto"/>
              </w:rPr>
              <w:t>Exercise of common stock options</w:t>
            </w:r>
          </w:p>
        </w:tc>
        <w:tc>
          <w:tcPr>
            <w:tcW w:w="1060" w:type="dxa"/>
            <w:vAlign w:val="bottom"/>
          </w:tcPr>
          <w:p>
            <w:pPr>
              <w:jc w:val="right"/>
              <w:spacing w:after="0"/>
              <w:rPr>
                <w:sz w:val="20"/>
                <w:szCs w:val="20"/>
                <w:color w:val="auto"/>
              </w:rPr>
            </w:pPr>
            <w:r>
              <w:rPr>
                <w:rFonts w:ascii="Arial" w:cs="Arial" w:eastAsia="Arial" w:hAnsi="Arial"/>
                <w:sz w:val="18"/>
                <w:szCs w:val="18"/>
                <w:color w:val="auto"/>
              </w:rPr>
              <w:t>992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of common stock related to</w:t>
            </w: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5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employee stock purchase plan</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66,299</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100" w:type="dxa"/>
            <w:vAlign w:val="bottom"/>
            <w:gridSpan w:val="3"/>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200"/>
              <w:spacing w:after="0"/>
              <w:rPr>
                <w:sz w:val="20"/>
                <w:szCs w:val="20"/>
                <w:color w:val="auto"/>
              </w:rPr>
            </w:pPr>
            <w:r>
              <w:rPr>
                <w:rFonts w:ascii="Arial" w:cs="Arial" w:eastAsia="Arial" w:hAnsi="Arial"/>
                <w:sz w:val="18"/>
                <w:szCs w:val="18"/>
                <w:color w:val="auto"/>
              </w:rPr>
              <w:t>Issuance of common stock related to</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40"/>
              <w:spacing w:after="0"/>
              <w:rPr>
                <w:sz w:val="20"/>
                <w:szCs w:val="20"/>
                <w:color w:val="auto"/>
              </w:rPr>
            </w:pPr>
            <w:r>
              <w:rPr>
                <w:rFonts w:ascii="Arial" w:cs="Arial" w:eastAsia="Arial" w:hAnsi="Arial"/>
                <w:sz w:val="18"/>
                <w:szCs w:val="18"/>
                <w:color w:val="auto"/>
              </w:rPr>
              <w:t>vesting of restricted stock units,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80" w:type="dxa"/>
            <w:vAlign w:val="bottom"/>
          </w:tcPr>
          <w:p>
            <w:pPr>
              <w:ind w:left="340"/>
              <w:spacing w:after="0"/>
              <w:rPr>
                <w:sz w:val="20"/>
                <w:szCs w:val="20"/>
                <w:color w:val="auto"/>
              </w:rPr>
            </w:pPr>
            <w:r>
              <w:rPr>
                <w:rFonts w:ascii="Arial" w:cs="Arial" w:eastAsia="Arial" w:hAnsi="Arial"/>
                <w:sz w:val="18"/>
                <w:szCs w:val="18"/>
                <w:color w:val="auto"/>
              </w:rPr>
              <w:t>net of tax withholdings</w:t>
            </w:r>
          </w:p>
        </w:tc>
        <w:tc>
          <w:tcPr>
            <w:tcW w:w="1060" w:type="dxa"/>
            <w:vAlign w:val="bottom"/>
          </w:tcPr>
          <w:p>
            <w:pPr>
              <w:jc w:val="right"/>
              <w:spacing w:after="0"/>
              <w:rPr>
                <w:sz w:val="20"/>
                <w:szCs w:val="20"/>
                <w:color w:val="auto"/>
              </w:rPr>
            </w:pPr>
            <w:r>
              <w:rPr>
                <w:rFonts w:ascii="Arial" w:cs="Arial" w:eastAsia="Arial" w:hAnsi="Arial"/>
                <w:sz w:val="18"/>
                <w:szCs w:val="18"/>
                <w:color w:val="auto"/>
              </w:rPr>
              <w:t>41,832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(40 )</w:t>
            </w:r>
          </w:p>
        </w:tc>
        <w:tc>
          <w:tcPr>
            <w:tcW w:w="120" w:type="dxa"/>
            <w:vAlign w:val="bottom"/>
          </w:tcPr>
          <w:p>
            <w:pPr>
              <w:spacing w:after="0"/>
              <w:rPr>
                <w:sz w:val="20"/>
                <w:szCs w:val="20"/>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50"/>
        </w:trPr>
        <w:tc>
          <w:tcPr>
            <w:tcW w:w="4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100" w:type="dxa"/>
            <w:vAlign w:val="bottom"/>
            <w:gridSpan w:val="3"/>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tcPr>
          <w:p>
            <w:pPr>
              <w:ind w:left="200"/>
              <w:spacing w:after="0"/>
              <w:rPr>
                <w:sz w:val="20"/>
                <w:szCs w:val="20"/>
                <w:color w:val="auto"/>
              </w:rPr>
            </w:pPr>
            <w:r>
              <w:rPr>
                <w:rFonts w:ascii="Arial" w:cs="Arial" w:eastAsia="Arial" w:hAnsi="Arial"/>
                <w:sz w:val="18"/>
                <w:szCs w:val="18"/>
                <w:color w:val="auto"/>
              </w:rPr>
              <w:t>Unrealized loss on available for sale securities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(374 )</w:t>
            </w:r>
          </w:p>
        </w:tc>
        <w:tc>
          <w:tcPr>
            <w:tcW w:w="200" w:type="dxa"/>
            <w:vAlign w:val="bottom"/>
          </w:tcPr>
          <w:p>
            <w:pPr>
              <w:spacing w:after="0"/>
              <w:rPr>
                <w:sz w:val="20"/>
                <w:szCs w:val="20"/>
                <w:color w:val="auto"/>
              </w:rPr>
            </w:pPr>
          </w:p>
        </w:tc>
        <w:tc>
          <w:tcPr>
            <w:tcW w:w="110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(374 )</w:t>
            </w:r>
          </w:p>
        </w:tc>
        <w:tc>
          <w:tcPr>
            <w:tcW w:w="0" w:type="dxa"/>
            <w:vAlign w:val="bottom"/>
          </w:tcPr>
          <w:p>
            <w:pPr>
              <w:spacing w:after="0"/>
              <w:rPr>
                <w:sz w:val="1"/>
                <w:szCs w:val="1"/>
                <w:color w:val="auto"/>
              </w:rPr>
            </w:pPr>
          </w:p>
        </w:tc>
      </w:tr>
      <w:tr>
        <w:trPr>
          <w:trHeight w:val="243"/>
        </w:trPr>
        <w:tc>
          <w:tcPr>
            <w:tcW w:w="4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loss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(46,180 )</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(46,180 )</w:t>
            </w:r>
          </w:p>
        </w:tc>
        <w:tc>
          <w:tcPr>
            <w:tcW w:w="0" w:type="dxa"/>
            <w:vAlign w:val="bottom"/>
          </w:tcPr>
          <w:p>
            <w:pPr>
              <w:spacing w:after="0"/>
              <w:rPr>
                <w:sz w:val="1"/>
                <w:szCs w:val="1"/>
                <w:color w:val="auto"/>
              </w:rPr>
            </w:pPr>
          </w:p>
        </w:tc>
      </w:tr>
      <w:tr>
        <w:trPr>
          <w:trHeight w:val="20"/>
        </w:trPr>
        <w:tc>
          <w:tcPr>
            <w:tcW w:w="45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2022</w:t>
            </w:r>
          </w:p>
        </w:tc>
        <w:tc>
          <w:tcPr>
            <w:tcW w:w="1060" w:type="dxa"/>
            <w:vAlign w:val="bottom"/>
          </w:tcPr>
          <w:p>
            <w:pPr>
              <w:jc w:val="right"/>
              <w:spacing w:after="0"/>
              <w:rPr>
                <w:sz w:val="20"/>
                <w:szCs w:val="20"/>
                <w:color w:val="auto"/>
              </w:rPr>
            </w:pPr>
            <w:r>
              <w:rPr>
                <w:rFonts w:ascii="Arial" w:cs="Arial" w:eastAsia="Arial" w:hAnsi="Arial"/>
                <w:sz w:val="18"/>
                <w:szCs w:val="18"/>
                <w:color w:val="auto"/>
              </w:rPr>
              <w:t>23,601,004</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218,354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ind w:right="42"/>
              <w:spacing w:after="0"/>
              <w:rPr>
                <w:sz w:val="20"/>
                <w:szCs w:val="20"/>
                <w:color w:val="auto"/>
              </w:rPr>
            </w:pPr>
            <w:r>
              <w:rPr>
                <w:rFonts w:ascii="Arial" w:cs="Arial" w:eastAsia="Arial" w:hAnsi="Arial"/>
                <w:sz w:val="18"/>
                <w:szCs w:val="18"/>
                <w:color w:val="auto"/>
              </w:rPr>
              <w:t>(558 ) $</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(149,313 ) $</w:t>
            </w:r>
          </w:p>
        </w:tc>
        <w:tc>
          <w:tcPr>
            <w:tcW w:w="800" w:type="dxa"/>
            <w:vAlign w:val="bottom"/>
          </w:tcPr>
          <w:p>
            <w:pPr>
              <w:jc w:val="right"/>
              <w:spacing w:after="0"/>
              <w:rPr>
                <w:sz w:val="20"/>
                <w:szCs w:val="20"/>
                <w:color w:val="auto"/>
              </w:rPr>
            </w:pPr>
            <w:r>
              <w:rPr>
                <w:rFonts w:ascii="Arial" w:cs="Arial" w:eastAsia="Arial" w:hAnsi="Arial"/>
                <w:sz w:val="18"/>
                <w:szCs w:val="18"/>
                <w:color w:val="auto"/>
              </w:rPr>
              <w:t>68,486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-187960</wp:posOffset>
            </wp:positionV>
            <wp:extent cx="76835" cy="1885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-187960</wp:posOffset>
            </wp:positionV>
            <wp:extent cx="76835" cy="1885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-187960</wp:posOffset>
            </wp:positionV>
            <wp:extent cx="68580" cy="1885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-187960</wp:posOffset>
            </wp:positionV>
            <wp:extent cx="68580" cy="1885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-187960</wp:posOffset>
            </wp:positionV>
            <wp:extent cx="68580" cy="1885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SPRUCE BIOSCIENCES,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3540" w:type="dxa"/>
            <w:vAlign w:val="bottom"/>
            <w:gridSpan w:val="6"/>
          </w:tcPr>
          <w:p>
            <w:pPr>
              <w:jc w:val="right"/>
              <w:ind w:right="941"/>
              <w:spacing w:after="0"/>
              <w:rPr>
                <w:sz w:val="20"/>
                <w:szCs w:val="20"/>
                <w:color w:val="auto"/>
              </w:rPr>
            </w:pPr>
            <w:r>
              <w:rPr>
                <w:rFonts w:ascii="Arial" w:cs="Arial" w:eastAsia="Arial" w:hAnsi="Arial"/>
                <w:sz w:val="14"/>
                <w:szCs w:val="14"/>
                <w:b w:val="1"/>
                <w:bCs w:val="1"/>
                <w:color w:val="auto"/>
              </w:rPr>
              <w:t>Year Ended December 31,</w:t>
            </w:r>
          </w:p>
        </w:tc>
      </w:tr>
      <w:tr>
        <w:trPr>
          <w:trHeight w:val="223"/>
        </w:trPr>
        <w:tc>
          <w:tcPr>
            <w:tcW w:w="77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w w:val="91"/>
              </w:rPr>
              <w:t>(46,180 )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(42,292 )</w:t>
            </w: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3,631</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3,958</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Amortization of premium on available-for-sale securities</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lease expense</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Gain on lease termination</w:t>
            </w:r>
          </w:p>
        </w:tc>
        <w:tc>
          <w:tcPr>
            <w:tcW w:w="980" w:type="dxa"/>
            <w:vAlign w:val="bottom"/>
          </w:tcPr>
          <w:p>
            <w:pPr>
              <w:spacing w:after="0"/>
              <w:rPr>
                <w:sz w:val="20"/>
                <w:szCs w:val="20"/>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(750 )</w:t>
            </w:r>
          </w:p>
        </w:tc>
        <w:tc>
          <w:tcPr>
            <w:tcW w:w="38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disposal of property and equipment</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(817 )</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(1,397 )</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(805 )</w:t>
            </w: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3,587</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20"/>
                <w:szCs w:val="20"/>
                <w:color w:val="auto"/>
              </w:rPr>
            </w:pPr>
          </w:p>
        </w:tc>
      </w:tr>
      <w:tr>
        <w:trPr>
          <w:trHeight w:val="243"/>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liability, net of current portion and other liabilities</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(331 )</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(156 )</w:t>
            </w:r>
          </w:p>
        </w:tc>
      </w:tr>
      <w:tr>
        <w:trPr>
          <w:trHeight w:val="20"/>
        </w:trPr>
        <w:tc>
          <w:tcPr>
            <w:tcW w:w="77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tcPr>
          <w:p>
            <w:pPr>
              <w:spacing w:after="0"/>
              <w:rPr>
                <w:sz w:val="20"/>
                <w:szCs w:val="20"/>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w w:val="91"/>
              </w:rPr>
              <w:t>(41,683 )</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(35,877 )</w:t>
            </w:r>
          </w:p>
        </w:tc>
      </w:tr>
      <w:tr>
        <w:trPr>
          <w:trHeight w:val="24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Proceeds from maturities of investments</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60,500</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investments</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w w:val="91"/>
              </w:rPr>
              <w:t>(36,800 )</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(79,075 )</w:t>
            </w: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980" w:type="dxa"/>
            <w:vAlign w:val="bottom"/>
          </w:tcPr>
          <w:p>
            <w:pPr>
              <w:spacing w:after="0"/>
              <w:rPr>
                <w:sz w:val="20"/>
                <w:szCs w:val="20"/>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(8 )</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(93 )</w:t>
            </w:r>
          </w:p>
        </w:tc>
      </w:tr>
      <w:tr>
        <w:trPr>
          <w:trHeight w:val="237"/>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980" w:type="dxa"/>
            <w:vAlign w:val="bottom"/>
            <w:tcBorders>
              <w:top w:val="single" w:sz="8" w:color="auto"/>
              <w:bottom w:val="single" w:sz="8" w:color="auto"/>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23,692</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(79,168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9"/>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exercise of common stock options</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FF0FC"/>
          </w:tcPr>
          <w:p>
            <w:pPr>
              <w:spacing w:after="0"/>
              <w:rPr>
                <w:sz w:val="21"/>
                <w:szCs w:val="21"/>
                <w:color w:val="auto"/>
              </w:rPr>
            </w:pPr>
          </w:p>
        </w:tc>
      </w:tr>
      <w:tr>
        <w:trPr>
          <w:trHeight w:val="215"/>
        </w:trPr>
        <w:tc>
          <w:tcPr>
            <w:tcW w:w="7700" w:type="dxa"/>
            <w:vAlign w:val="bottom"/>
          </w:tcPr>
          <w:p>
            <w:pPr>
              <w:ind w:left="200"/>
              <w:spacing w:after="0"/>
              <w:rPr>
                <w:sz w:val="20"/>
                <w:szCs w:val="20"/>
                <w:color w:val="auto"/>
              </w:rPr>
            </w:pPr>
            <w:r>
              <w:rPr>
                <w:rFonts w:ascii="Arial" w:cs="Arial" w:eastAsia="Arial" w:hAnsi="Arial"/>
                <w:sz w:val="18"/>
                <w:szCs w:val="18"/>
                <w:color w:val="auto"/>
              </w:rPr>
              <w:t>Proceeds from issuance of common stock related to employee stock</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00" w:type="dxa"/>
            <w:vAlign w:val="bottom"/>
          </w:tcPr>
          <w:p>
            <w:pPr>
              <w:ind w:left="340"/>
              <w:spacing w:after="0"/>
              <w:rPr>
                <w:sz w:val="20"/>
                <w:szCs w:val="20"/>
                <w:color w:val="auto"/>
              </w:rPr>
            </w:pPr>
            <w:r>
              <w:rPr>
                <w:rFonts w:ascii="Arial" w:cs="Arial" w:eastAsia="Arial" w:hAnsi="Arial"/>
                <w:sz w:val="18"/>
                <w:szCs w:val="18"/>
                <w:color w:val="auto"/>
              </w:rPr>
              <w:t>purchase plan</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r>
      <w:tr>
        <w:trPr>
          <w:trHeight w:val="250"/>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 of deferred offering costs</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(279 )</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(39 )</w:t>
            </w: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Tax withholding payments on restricted stock units</w:t>
            </w:r>
          </w:p>
        </w:tc>
        <w:tc>
          <w:tcPr>
            <w:tcW w:w="980" w:type="dxa"/>
            <w:vAlign w:val="bottom"/>
          </w:tcPr>
          <w:p>
            <w:pPr>
              <w:spacing w:after="0"/>
              <w:rPr>
                <w:sz w:val="20"/>
                <w:szCs w:val="20"/>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rPr>
              <w:t>(40 )</w:t>
            </w:r>
          </w:p>
        </w:tc>
        <w:tc>
          <w:tcPr>
            <w:tcW w:w="38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term loan, net of issuance costs of $10</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Repayment of term loan</w:t>
            </w:r>
          </w:p>
        </w:tc>
        <w:tc>
          <w:tcPr>
            <w:tcW w:w="980" w:type="dxa"/>
            <w:vAlign w:val="bottom"/>
          </w:tcPr>
          <w:p>
            <w:pPr>
              <w:spacing w:after="0"/>
              <w:rPr>
                <w:sz w:val="20"/>
                <w:szCs w:val="20"/>
                <w:color w:val="auto"/>
              </w:rPr>
            </w:pPr>
          </w:p>
        </w:tc>
        <w:tc>
          <w:tcPr>
            <w:tcW w:w="8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(4,770 )</w:t>
            </w:r>
          </w:p>
        </w:tc>
      </w:tr>
      <w:tr>
        <w:trPr>
          <w:trHeight w:val="237"/>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980" w:type="dxa"/>
            <w:vAlign w:val="bottom"/>
            <w:tcBorders>
              <w:top w:val="single" w:sz="8" w:color="auto"/>
              <w:bottom w:val="single" w:sz="8" w:color="auto"/>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980" w:type="dxa"/>
            <w:vAlign w:val="bottom"/>
          </w:tcPr>
          <w:p>
            <w:pPr>
              <w:spacing w:after="0"/>
              <w:rPr>
                <w:sz w:val="20"/>
                <w:szCs w:val="20"/>
                <w:color w:val="auto"/>
              </w:rPr>
            </w:pPr>
          </w:p>
        </w:tc>
        <w:tc>
          <w:tcPr>
            <w:tcW w:w="880" w:type="dxa"/>
            <w:vAlign w:val="bottom"/>
            <w:gridSpan w:val="2"/>
          </w:tcPr>
          <w:p>
            <w:pPr>
              <w:jc w:val="right"/>
              <w:ind w:right="121"/>
              <w:spacing w:after="0"/>
              <w:rPr>
                <w:sz w:val="20"/>
                <w:szCs w:val="20"/>
                <w:color w:val="auto"/>
              </w:rPr>
            </w:pPr>
            <w:r>
              <w:rPr>
                <w:rFonts w:ascii="Arial" w:cs="Arial" w:eastAsia="Arial" w:hAnsi="Arial"/>
                <w:sz w:val="18"/>
                <w:szCs w:val="18"/>
                <w:color w:val="auto"/>
                <w:w w:val="91"/>
              </w:rPr>
              <w:t>(18,232 )</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(114,402 )</w:t>
            </w: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9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42,964</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157,366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980" w:type="dxa"/>
            <w:vAlign w:val="bottom"/>
            <w:tcBorders>
              <w:bottom w:val="single" w:sz="8" w:color="auto"/>
            </w:tcBorders>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24,732</w:t>
            </w:r>
          </w:p>
        </w:tc>
        <w:tc>
          <w:tcPr>
            <w:tcW w:w="26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42,964</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24,487</w:t>
            </w:r>
          </w:p>
        </w:tc>
        <w:tc>
          <w:tcPr>
            <w:tcW w:w="2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42,748</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Restricted cash, short-term (included in other current assets)</w:t>
            </w:r>
          </w:p>
        </w:tc>
        <w:tc>
          <w:tcPr>
            <w:tcW w:w="9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Restricted cash, long-term (included in other assets)</w:t>
            </w:r>
          </w:p>
        </w:tc>
        <w:tc>
          <w:tcPr>
            <w:tcW w:w="9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0"/>
                <w:szCs w:val="20"/>
                <w:color w:val="auto"/>
              </w:rPr>
            </w:pPr>
          </w:p>
        </w:tc>
      </w:tr>
      <w:tr>
        <w:trPr>
          <w:trHeight w:val="277"/>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980" w:type="dxa"/>
            <w:vAlign w:val="bottom"/>
            <w:tcBorders>
              <w:bottom w:val="single" w:sz="8" w:color="auto"/>
            </w:tcBorders>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24,732</w:t>
            </w:r>
          </w:p>
        </w:tc>
        <w:tc>
          <w:tcPr>
            <w:tcW w:w="2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42,964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6"/>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data:</w:t>
            </w: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paid for interest on term loan</w:t>
            </w:r>
          </w:p>
        </w:tc>
        <w:tc>
          <w:tcPr>
            <w:tcW w:w="980" w:type="dxa"/>
            <w:vAlign w:val="bottom"/>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Right-of-use asset recognized in exchange for lease liability</w:t>
            </w:r>
          </w:p>
        </w:tc>
        <w:tc>
          <w:tcPr>
            <w:tcW w:w="980" w:type="dxa"/>
            <w:vAlign w:val="bottom"/>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0"/>
        </w:trPr>
        <w:tc>
          <w:tcPr>
            <w:tcW w:w="7700" w:type="dxa"/>
            <w:vAlign w:val="bottom"/>
          </w:tcPr>
          <w:p>
            <w:pPr>
              <w:ind w:left="200"/>
              <w:spacing w:after="0"/>
              <w:rPr>
                <w:sz w:val="20"/>
                <w:szCs w:val="20"/>
                <w:color w:val="auto"/>
              </w:rPr>
            </w:pPr>
            <w:r>
              <w:rPr>
                <w:rFonts w:ascii="Arial" w:cs="Arial" w:eastAsia="Arial" w:hAnsi="Arial"/>
                <w:sz w:val="18"/>
                <w:szCs w:val="18"/>
                <w:color w:val="auto"/>
              </w:rPr>
              <w:t>Deferred offering costs included in accrued expenses</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-4723130</wp:posOffset>
            </wp:positionV>
            <wp:extent cx="68580" cy="1714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-4723130</wp:posOffset>
            </wp:positionV>
            <wp:extent cx="68580" cy="1714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-3771900</wp:posOffset>
            </wp:positionV>
            <wp:extent cx="68580" cy="1625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-3771900</wp:posOffset>
            </wp:positionV>
            <wp:extent cx="68580" cy="1625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-2383155</wp:posOffset>
            </wp:positionV>
            <wp:extent cx="68580" cy="1631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-2383155</wp:posOffset>
            </wp:positionV>
            <wp:extent cx="68580" cy="16319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-2065655</wp:posOffset>
            </wp:positionV>
            <wp:extent cx="68580" cy="3429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-2065655</wp:posOffset>
            </wp:positionV>
            <wp:extent cx="68580" cy="3429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-942975</wp:posOffset>
            </wp:positionV>
            <wp:extent cx="1234440" cy="3340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34440" cy="334010"/>
                    </a:xfrm>
                    <a:prstGeom prst="rect">
                      <a:avLst/>
                    </a:prstGeom>
                    <a:noFill/>
                  </pic:spPr>
                </pic:pic>
              </a:graphicData>
            </a:graphic>
          </wp:anchor>
        </w:drawing>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SPRUCE BIOSCIENCES,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Principal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Spruce Biosciences, Inc. (the Company) is a late-stage biopharmaceutical company focused on developing and commercializing novel therapies for rare endocrine disorders with significant unmet medical need. The Company is initially developing its wholly-owned product candidate, tildacerfont, as the potential first non-steroidal therapy for patients suffering from classic congenital adrenal hyperplasia (CAH). The Company is also developing tildacerfont for females suffering from polycystic ovary syndrome (PCOS) with adrenal dysfunction. The Company is located in South San Francisco, California and was incorporated in the state of Delaware in April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21"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In October 2020, the Company consummated its initial public offering (IPO) and issued a total of 6,900,000 shares of common stock, which includes 900,000 shares issued pursuant to the exercise of the underwriters’ option to purchase additional shares, at an offering price of $15.00 per share. In aggregate, the Company received net proceeds of $93.4 million, after deducting underwriting discounts and commissions and offering expenses. Upon the closing of the IPO, all outstanding shares of the Company’s redeemable convertible preferred stock automatically converted into 15,492,019 shares of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 Market Sales Agreement</w:t>
      </w:r>
    </w:p>
    <w:p>
      <w:pPr>
        <w:spacing w:after="0" w:line="121"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In February 2022, the U.S. Securities and Exchange Commission (SEC) declared effective a registration statement on Form S-3 (the Shelf Registration), covering the sale of up to $200.0 million of our securities. Also, in February 2022, we entered into an Open Market Sales Agreement</w:t>
      </w:r>
      <w:r>
        <w:rPr>
          <w:rFonts w:ascii="Arial" w:cs="Arial" w:eastAsia="Arial" w:hAnsi="Arial"/>
          <w:sz w:val="24"/>
          <w:szCs w:val="24"/>
          <w:color w:val="auto"/>
          <w:vertAlign w:val="superscript"/>
        </w:rPr>
        <w:t>SM</w:t>
      </w:r>
      <w:r>
        <w:rPr>
          <w:rFonts w:ascii="Arial" w:cs="Arial" w:eastAsia="Arial" w:hAnsi="Arial"/>
          <w:sz w:val="18"/>
          <w:szCs w:val="18"/>
          <w:color w:val="auto"/>
        </w:rPr>
        <w:t xml:space="preserve"> (the Sales Agreement) with Jefferies LLC (Jefferies) pursuant to which we may elect to issue and sell, from time to time, shares of common stock having an aggregate offering price of up to $21.0 million under the Shelf Registration through Jefferies acting as the sales agent and/or principal. As of December 31, 2022, we have not issued any shares of common stock under the Sales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Company believes that based on its current operating plan, its cash, cash equivalents and investments of $79.1 million as of December 31, 2022, along with proceeds received from the February 2023 private placement (see Note 14) and the $15.0 million upfront payment due to the Company under the Kaken License Agreement (see Note 14), will be sufficient to fund its planned operations and debt obligations for at least 12 months following the issuance date of these financial statements.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has incurred significant losses and negative cash flows from operations. During the year ended December 31, 2022,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incurred a net loss of $46.2 million and used $41.7 million of cash in operations. As of December 31, 2022, the Company had an accumulated deficit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$149.3 million and does not expect positive cash flows from operations in the foreseeable future. The Company has funded its operations primarily through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issuance and sale of equity securities and debt.</w:t>
      </w:r>
    </w:p>
    <w:p>
      <w:pPr>
        <w:spacing w:after="0" w:line="103"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The Company anticipates that it will need to raise substantial additional financing in the future to fund its operations. In order to meet these additional cash requirements, the Company may seek to sell additional equity or issue debt, convertible debt or other securities that may result in dilution to its stockholders. If the Company raises additional funds through the issuance of debt or convertible debt securities, these securities could have rights senior to those of its shares of common stock and could contain covenants that restrict its operations. There can be no assurance that the Company will be able to obtain additional equity or debt financing on terms acceptable to it, if at all. Additional debt financing, if available, would result in increased fixed payment obligations and may involve agreements that include covenants limiting or restricting the Company’s ability to take specific actions such as incurring debt, making capital expenditures or declaring dividends. The Company’s failure to obtain sufficient funds on acceptable terms when needed could have a material adverse effect on its business, results of operations, and financial condition.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20" w:firstLine="509"/>
        <w:spacing w:after="0" w:line="311" w:lineRule="auto"/>
        <w:rPr>
          <w:sz w:val="20"/>
          <w:szCs w:val="20"/>
          <w:color w:val="auto"/>
        </w:rPr>
      </w:pPr>
      <w:r>
        <w:rPr>
          <w:rFonts w:ascii="Arial" w:cs="Arial" w:eastAsia="Arial" w:hAnsi="Arial"/>
          <w:sz w:val="16"/>
          <w:szCs w:val="16"/>
          <w:color w:val="auto"/>
        </w:rPr>
        <w:t>The financial statements and accompanying notes have been prepared in accordance with generally accepted accounting principles in the United States (U.S. GAAP) and include all adjustments necessary for the fair presentation of the Company’s financial position for the periods presented. Certain prior period amounts in the balance sheet and the statement of cash flows have been reclassified to conform to the current period presentation.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and expenses as well as related disclosure of contingent assets and liabilities. Significant estimates and assumptions reflected in these financial statements include, but are not limited to, accrued research and development expenses, stock-based compensation, and uncertain tax positions. The Company bases its estimates on its historical experience and on assumptions that it believes are reasonable; however, actual results could significantly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Any product candidates developed by the Company will require approvals from the U.S. Food and Drug Administration (FDA) or foreign regulatory agencies prior to commercial sales. There can be no assurance that the Company’s current and future product candidates will meet desired efficacy and safety requirements to obtain the necessary approvals. If approval is denied or delayed, it may have a material adverse impact on the Company’s business and its financial statements.</w:t>
      </w:r>
    </w:p>
    <w:p>
      <w:pPr>
        <w:spacing w:after="0" w:line="79" w:lineRule="exact"/>
        <w:rPr>
          <w:sz w:val="20"/>
          <w:szCs w:val="20"/>
          <w:color w:val="auto"/>
        </w:rPr>
      </w:pPr>
    </w:p>
    <w:p>
      <w:pPr>
        <w:ind w:right="200" w:firstLine="509"/>
        <w:spacing w:after="0" w:line="279" w:lineRule="auto"/>
        <w:rPr>
          <w:sz w:val="20"/>
          <w:szCs w:val="20"/>
          <w:color w:val="auto"/>
        </w:rPr>
      </w:pPr>
      <w:r>
        <w:rPr>
          <w:rFonts w:ascii="Arial" w:cs="Arial" w:eastAsia="Arial" w:hAnsi="Arial"/>
          <w:sz w:val="17"/>
          <w:szCs w:val="17"/>
          <w:color w:val="auto"/>
        </w:rPr>
        <w:t>The Company is subject to a number of risks similar to other late-stage biopharmaceutical companies including, but not limited to, dependency on the clinical success of the Company’s product candidate, tildacerfont, ability to obtain regulatory approval of tildacerfont, the need for substantial additional financing to achieve its goals, uncertainty of broad adoption of its approved products, if any, by physicians and consumers, significant competition, untested manufacturing capabilities, and dependence on key individuals and sole source suppliers.</w:t>
      </w:r>
    </w:p>
    <w:p>
      <w:pPr>
        <w:spacing w:after="0" w:line="63"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The Company’s business has been and could continue to be adversely affected by the evolving COVID-19 pandemic. For example, the COVID-19 pandemic has resulted in and could result in delays to the Company’s clinical trials for numerous reasons including additional delays or difficulties in enrolling patients, diversion of healthcare resources away from the conduct of clinical trials, interruption or delays in the operations of the FDA or other regulatory authorities, and delays in clinical sites receiving the supplies and materials to conduct our clinical trials. At this time, the extent to which the COVID-19 pandemic impacts the Company’s business will depend on future developments, which are highly uncertain. While vaccines have become widely available in certain countries, and businesses and economies have reopened, the status of global economic recovery remains uncertain and unpredictable and will continue to be impacted by developments in the pandemic including any subsequent waves of outbreak or new variant strains of the COVID-19 virus which may require re-closures or other preventative measures. The Company will continue to evaluate the impact that these events could have on its future operations, financial position, results of operations and cash flows.</w:t>
      </w:r>
    </w:p>
    <w:p>
      <w:pPr>
        <w:spacing w:after="0" w:line="73" w:lineRule="exact"/>
        <w:rPr>
          <w:sz w:val="20"/>
          <w:szCs w:val="20"/>
          <w:color w:val="auto"/>
        </w:rPr>
      </w:pPr>
    </w:p>
    <w:p>
      <w:pPr>
        <w:ind w:right="180" w:firstLine="509"/>
        <w:spacing w:after="0" w:line="273" w:lineRule="auto"/>
        <w:rPr>
          <w:sz w:val="20"/>
          <w:szCs w:val="20"/>
          <w:color w:val="auto"/>
        </w:rPr>
      </w:pPr>
      <w:r>
        <w:rPr>
          <w:rFonts w:ascii="Arial" w:cs="Arial" w:eastAsia="Arial" w:hAnsi="Arial"/>
          <w:sz w:val="17"/>
          <w:szCs w:val="17"/>
          <w:color w:val="auto"/>
        </w:rPr>
        <w:t>In addition to the COVID-19 pandemic, global economic and business activities continue to face widespread macroeconomic uncertainties, including labor shortages, inflation and monetary supply shifts, recession risks and potential disruptions from the ongoing Russia-Ukraine conflict and related sanctions. The Company continues to actively monitor the impact of these macroeconomic factors on its financial condition, liquidity, operations, and workforce. The extent of the impact of these factors on the Company’s operational and financial performance, including its ability to execute its business strategies and initiatives in the expected time frame, will depend on future developments, which are uncertain and cannot be predicted; however, any continued or renewed disruption resulting from these factors could negatively impact the Company’s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Financial instruments, which potentially subject the Company to significant concentration of credit risk, consist primarily of cash, cash equivalents and investments. The Company maintains deposits in federally insured financial institutions in excess of federally insured limits. The Company is exposed to credit risk in the event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default by the financial institutions holding its cash and cash equivalents to the extent recorded in the balance sheets. While the Company has not experienced any losses in such accounts, the recent failure of Silicon Valley Bank (SVB), at which the Company held cash and cash equivalents in multiple accounts, potentially exposed the Company to significant credit risk prior to the completion by the Federal Deposit Insurance Corporation of the resolution of SVB in a manner that fully protected all depositors.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Company operates and manages its business as one operating segment, which is the business of developing and commercializing novel therapies for rare endocrine disorders with significant unmet medical need. The Company’s chief executive officer, who is the chief operating decision maker, reviews financial information on an aggregate basis for allocating and evaluating financial performance. All long-lived assets are maintained in the United States of America.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820" w:firstLine="509"/>
        <w:spacing w:after="0" w:line="277" w:lineRule="auto"/>
        <w:rPr>
          <w:sz w:val="20"/>
          <w:szCs w:val="20"/>
          <w:color w:val="auto"/>
        </w:rPr>
      </w:pPr>
      <w:r>
        <w:rPr>
          <w:rFonts w:ascii="Arial" w:cs="Arial" w:eastAsia="Arial" w:hAnsi="Arial"/>
          <w:sz w:val="18"/>
          <w:szCs w:val="18"/>
          <w:color w:val="auto"/>
        </w:rPr>
        <w:t>The Company considers all highly liquid investments with remaining maturities at the date of purchase of three months or less to be cash equivalents. Cash equivalents, which consist of amounts invested in money market funds, are stated at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right="240" w:firstLine="509"/>
        <w:spacing w:after="0" w:line="286" w:lineRule="auto"/>
        <w:rPr>
          <w:sz w:val="20"/>
          <w:szCs w:val="20"/>
          <w:color w:val="auto"/>
        </w:rPr>
      </w:pPr>
      <w:r>
        <w:rPr>
          <w:rFonts w:ascii="Arial" w:cs="Arial" w:eastAsia="Arial" w:hAnsi="Arial"/>
          <w:sz w:val="17"/>
          <w:szCs w:val="17"/>
          <w:color w:val="auto"/>
        </w:rPr>
        <w:t>The Company had $0.2 million of restricted cash as of December 31, 2022 and 2021, which is related to collateralized cash in connection with letters of credit issued on behalf of the Company for the security deposits required under operating leases. Short-term restricted cash is included in other current assets on the balance sheets and long-term restricted cash is included in other assets on the balance sheets.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w:t>
      </w:r>
    </w:p>
    <w:p>
      <w:pPr>
        <w:spacing w:after="0" w:line="79"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The Company determined the fair value of financial assets and liabilities using the fair value hierarchy that describes three levels of inputs that may be used to measure fair value, as follows:</w:t>
      </w:r>
    </w:p>
    <w:p>
      <w:pPr>
        <w:spacing w:after="0" w:line="62" w:lineRule="exact"/>
        <w:rPr>
          <w:sz w:val="20"/>
          <w:szCs w:val="20"/>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and liabilities;</w:t>
      </w:r>
    </w:p>
    <w:p>
      <w:pPr>
        <w:spacing w:after="0" w:line="117" w:lineRule="exact"/>
        <w:rPr>
          <w:rFonts w:ascii="Arial" w:cs="Arial" w:eastAsia="Arial" w:hAnsi="Arial"/>
          <w:sz w:val="18"/>
          <w:szCs w:val="18"/>
          <w:color w:val="auto"/>
        </w:rPr>
      </w:pPr>
    </w:p>
    <w:p>
      <w:pPr>
        <w:ind w:left="1020" w:right="380" w:hanging="503"/>
        <w:spacing w:after="0" w:line="263"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75" w:lineRule="exact"/>
        <w:rPr>
          <w:rFonts w:ascii="Arial" w:cs="Arial" w:eastAsia="Arial" w:hAnsi="Arial"/>
          <w:sz w:val="18"/>
          <w:szCs w:val="18"/>
          <w:color w:val="auto"/>
        </w:rPr>
      </w:pPr>
    </w:p>
    <w:p>
      <w:pPr>
        <w:ind w:left="1020" w:right="500" w:hanging="503"/>
        <w:spacing w:after="0" w:line="277"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62" w:lineRule="exact"/>
        <w:rPr>
          <w:sz w:val="20"/>
          <w:szCs w:val="20"/>
          <w:color w:val="auto"/>
        </w:rPr>
      </w:pPr>
    </w:p>
    <w:p>
      <w:pPr>
        <w:ind w:right="260" w:firstLine="509"/>
        <w:spacing w:after="0" w:line="279" w:lineRule="auto"/>
        <w:rPr>
          <w:sz w:val="20"/>
          <w:szCs w:val="20"/>
          <w:color w:val="auto"/>
        </w:rPr>
      </w:pPr>
      <w:r>
        <w:rPr>
          <w:rFonts w:ascii="Arial" w:cs="Arial" w:eastAsia="Arial" w:hAnsi="Arial"/>
          <w:sz w:val="17"/>
          <w:szCs w:val="17"/>
          <w:color w:val="auto"/>
        </w:rPr>
        <w:t>The Company’s financial instruments primarily consist of cash and cash equivalents, prepaid expenses, accounts payable, term loan, and accrued expenses. The carrying value of cash and cash equivalents, prepaid expenses, accounts payable, and accrued expenses are generally considered to be representative of their respective fair values because of the short-term nature of those instruments. The estimated fair value of the term loan is based on market observable interest rates, which is considered a Level 2 fair value measurement.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Investments consist of money market funds, U.S. treasury securities and corporate bonds. The Company’s investments are classified as available-for-sale and carried at estimated fair values and reported in cash equivalents, short-term investments or long-term investments. Management determines the appropriate classification of the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investments at the time they are acquired and evaluates the appropriateness of such classifications at each balance sheet date. Investments with contractual maturities greater than 12 months are considered long-term investments.</w:t>
      </w:r>
    </w:p>
    <w:p>
      <w:pPr>
        <w:spacing w:after="0" w:line="62"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Unrealized gains and losses on available-for-sale investments are reported in accumulated other comprehensive loss as a separate component of stockholders’ equity. Investments are regularly reviewed for other-than-temporary declines in fair value. The review includes the consideration of the cause of the impairment, including the creditworthiness of the security issuers, the number of investments in an unrealized loss position, the severity and duration of the unrealized losses, and whether it is more likely than not that the Company will be required to sell the investments before the recovery of their amortized cost basis. The cost of investments sold is based on the specific identification method.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The Company determines if an arrangement includes a lease at inception. Right-of-use assets and lease liabilities are recognized based on the present value of the future minimum lease payments over the lease term at the commencement date. The right-of-use asset includes any lease payments made on or before the lease commencement date, less lease incentives received. The incremental borrowing rate is used in determining the present value of future payments. The Company utilizes its incremental borrowing rate, which is the rate incurred to borrow on a collateralized basis over a similar term an amount equal to the lease payments in a similar economic environment. The lease terms may include options to extend or terminate the lease. Lease expense for operating leases is recognized on a straight-line basis over the non-cancelable lease term. Variable lease expense relates primarily to office lease common area maintenance, insurance, and property taxes, is expensed as incurred, and is excluded from the calculation of the lease liability and right-of-use-asset. The Company does not have any finance leases.</w:t>
      </w:r>
    </w:p>
    <w:p>
      <w:pPr>
        <w:spacing w:after="0" w:line="70"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The Company has elected not to recognize a right-of-use asset and lease liability for short-term leases. A short-term lease is a lease with an expected lease term of 12 months or less and which does not include an option to purchase the underlying asset that the lessee is reasonably certain to exercise. Lease agreements that include lease and non-lease components are accounted for as a single lease component.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Property and equipment are stated at cost less accumulated depreciation and are included in other assets on the balance sheets. Depreciation expense is calculated using the straight-line method over the estimated useful life of the respective asset and begins at the time the asset is placed into service. Maintenance and repairs are charged to expense as incurred, and improvements are capitalized.</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useful lives of property and equipment are as follows:</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4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Computer and office equipment</w:t>
            </w:r>
          </w:p>
        </w:tc>
        <w:tc>
          <w:tcPr>
            <w:tcW w:w="494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3 years</w:t>
            </w:r>
          </w:p>
        </w:tc>
      </w:tr>
      <w:tr>
        <w:trPr>
          <w:trHeight w:val="237"/>
        </w:trPr>
        <w:tc>
          <w:tcPr>
            <w:tcW w:w="4040" w:type="dxa"/>
            <w:vAlign w:val="bottom"/>
          </w:tcPr>
          <w:p>
            <w:pPr>
              <w:spacing w:after="0"/>
              <w:rPr>
                <w:sz w:val="20"/>
                <w:szCs w:val="20"/>
                <w:color w:val="auto"/>
              </w:rPr>
            </w:pPr>
            <w:r>
              <w:rPr>
                <w:rFonts w:ascii="Arial" w:cs="Arial" w:eastAsia="Arial" w:hAnsi="Arial"/>
                <w:sz w:val="18"/>
                <w:szCs w:val="18"/>
                <w:color w:val="auto"/>
              </w:rPr>
              <w:t>Computer software</w:t>
            </w:r>
          </w:p>
        </w:tc>
        <w:tc>
          <w:tcPr>
            <w:tcW w:w="4940" w:type="dxa"/>
            <w:vAlign w:val="bottom"/>
          </w:tcPr>
          <w:p>
            <w:pPr>
              <w:ind w:left="1040"/>
              <w:spacing w:after="0"/>
              <w:rPr>
                <w:sz w:val="20"/>
                <w:szCs w:val="20"/>
                <w:color w:val="auto"/>
              </w:rPr>
            </w:pPr>
            <w:r>
              <w:rPr>
                <w:rFonts w:ascii="Arial" w:cs="Arial" w:eastAsia="Arial" w:hAnsi="Arial"/>
                <w:sz w:val="18"/>
                <w:szCs w:val="18"/>
                <w:color w:val="auto"/>
              </w:rPr>
              <w:t>3 years</w:t>
            </w:r>
          </w:p>
        </w:tc>
      </w:tr>
      <w:tr>
        <w:trPr>
          <w:trHeight w:val="24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494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5 years</w:t>
            </w:r>
          </w:p>
        </w:tc>
      </w:tr>
      <w:tr>
        <w:trPr>
          <w:trHeight w:val="237"/>
        </w:trPr>
        <w:tc>
          <w:tcPr>
            <w:tcW w:w="4040" w:type="dxa"/>
            <w:vAlign w:val="bottom"/>
          </w:tcPr>
          <w:p>
            <w:pPr>
              <w:spacing w:after="0"/>
              <w:rPr>
                <w:sz w:val="20"/>
                <w:szCs w:val="20"/>
                <w:color w:val="auto"/>
              </w:rPr>
            </w:pPr>
            <w:r>
              <w:rPr>
                <w:rFonts w:ascii="Arial" w:cs="Arial" w:eastAsia="Arial" w:hAnsi="Arial"/>
                <w:sz w:val="18"/>
                <w:szCs w:val="18"/>
                <w:color w:val="auto"/>
              </w:rPr>
              <w:t>Manufacturing machinery and equipment</w:t>
            </w:r>
          </w:p>
        </w:tc>
        <w:tc>
          <w:tcPr>
            <w:tcW w:w="4940" w:type="dxa"/>
            <w:vAlign w:val="bottom"/>
          </w:tcPr>
          <w:p>
            <w:pPr>
              <w:ind w:left="1040"/>
              <w:spacing w:after="0"/>
              <w:rPr>
                <w:sz w:val="20"/>
                <w:szCs w:val="20"/>
                <w:color w:val="auto"/>
              </w:rPr>
            </w:pPr>
            <w:r>
              <w:rPr>
                <w:rFonts w:ascii="Arial" w:cs="Arial" w:eastAsia="Arial" w:hAnsi="Arial"/>
                <w:sz w:val="18"/>
                <w:szCs w:val="18"/>
                <w:color w:val="auto"/>
              </w:rPr>
              <w:t>7 years</w:t>
            </w:r>
          </w:p>
        </w:tc>
      </w:tr>
      <w:tr>
        <w:trPr>
          <w:trHeight w:val="24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494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Lesser of lease term of 15 years</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21"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Long-lived assets, such as property and equipment are reviewed for impairment whenever events or changes in circumstances indicate that the carrying amount of an asset may not be fully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quoted market values and third-party independent appraisals, as considered necessary. There were no such impairment losses during the years ended December 31, 2022 and 2021.</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Research and Development Expenses</w:t>
      </w:r>
    </w:p>
    <w:p>
      <w:pPr>
        <w:spacing w:after="0" w:line="121"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Clinical trial costs are charged to research and development expense as incurred. The Company accrues for expenses resulting from contracts with clinical research organizations (CROs), 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us under such contracts. The Company’s policy is to reflect the appropriate expense in the financial statements by matching the appropriate expenses with the period in which services and efforts are expended.</w:t>
      </w:r>
    </w:p>
    <w:p>
      <w:pPr>
        <w:spacing w:after="0" w:line="68"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The CRO contracts generally include pass-through fees including, but not limited to, regulatory expenses, investigator fees, laboratory fees and other miscellaneous costs. The Company determines accrual estimates through reports from and discussion with clinical personnel and outside service providers as to the progress or state of completion of trials, or the services completed. The Company estimates accrued expenses as of each balance sheet date based on the facts and circumstances known at that time. The clinical trial accrual is dependent, in part, upon the receipt of timely and accurate reporting from the CROs and other third-party vendors.</w:t>
      </w:r>
    </w:p>
    <w:p>
      <w:pPr>
        <w:spacing w:after="0" w:line="80"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If the actual timing of the performance of services or the level of effort varies from the original estimates, the Company will adjust the accrual accordingly. Payments associated with licensing agreements to acquire exclusive licenses to develop, use, manufacture and commercialize products that have not reached technological feasibility and do not have alternate commercial use are expensed as incurred. Payments made to third parties under these arrangements in advance of the performance of the related services by the third parties are recorded as prepaid expenses until the services are rendered.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Research and development costs are expensed as incurred. Research and development expenses include, but are not limited to, personnel costs, fees paid to external entities that conduct certain non-clinical and clinical development activities on our behalf, manufacturing costs, outside service and consulting costs, and allocated overhead, including rent. Assets acquired that are utilized in research and development that have no alternative future use are also expensed as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The Company accounts for stock-based compensation using a fair value-based method, which requires the recognition of compensation expense for costs related to all stock-based payments including stock options, restricted stock units (RSUs) and purchase rights under the Employee Stock Purchase Plan (ESPP). The Company estimates the fair value of stock options and purchase rights granted under the ESPP on the date of grant using the Black-Scholes option pricing model, which is impacted by the fair value of the Company’s common stock, as well as changes in assumptions regarding a number of highly complex and subjective variables. The model requires management to make a number of assumptions which include the following:</w:t>
      </w:r>
    </w:p>
    <w:p>
      <w:pPr>
        <w:spacing w:after="0" w:line="53" w:lineRule="exact"/>
        <w:rPr>
          <w:sz w:val="20"/>
          <w:szCs w:val="20"/>
          <w:color w:val="auto"/>
        </w:rPr>
      </w:pPr>
    </w:p>
    <w:p>
      <w:pPr>
        <w:ind w:left="1020" w:right="20" w:hanging="503"/>
        <w:spacing w:after="0" w:line="25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is based on the simplified method, as the Company’s stock options have the following characteristics: (i)</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at-the-money; (ii) exercisability is conditioned upon service through the vesting date; (iii) termination of service prior to vesting results in forfeiture; (iv) limited exercise period following termination of service; and (v) options are non-transferable and non-hedgeable, or “plain vanilla” options, and the Company has limited history of exercise data. For the ESPP, the expected term is based on the term of the purchase period.</w:t>
      </w:r>
    </w:p>
    <w:p>
      <w:pPr>
        <w:spacing w:after="0" w:line="79" w:lineRule="exact"/>
        <w:rPr>
          <w:rFonts w:ascii="Arial" w:cs="Arial" w:eastAsia="Arial" w:hAnsi="Arial"/>
          <w:sz w:val="18"/>
          <w:szCs w:val="18"/>
          <w:color w:val="auto"/>
        </w:rPr>
      </w:pPr>
    </w:p>
    <w:p>
      <w:pPr>
        <w:ind w:left="1020" w:right="20" w:hanging="503"/>
        <w:spacing w:after="0" w:line="259"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expected volatility is estimated based on the historical volatilities for comparable publicly traded biopharmaceutical</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In evaluating similarity, the Company considered factors such as market capitalization, stage of development, area of specialty, and stock-specific attributes. The Company will continue to analyze the historical stock price volatility and expected term assumptions as more historical data for the Company’s common stock becomes available.</w:t>
      </w:r>
    </w:p>
    <w:p>
      <w:pPr>
        <w:spacing w:after="0" w:line="78" w:lineRule="exact"/>
        <w:rPr>
          <w:rFonts w:ascii="Arial" w:cs="Arial" w:eastAsia="Arial" w:hAnsi="Arial"/>
          <w:sz w:val="18"/>
          <w:szCs w:val="18"/>
          <w:color w:val="auto"/>
        </w:rPr>
      </w:pPr>
    </w:p>
    <w:p>
      <w:pPr>
        <w:ind w:left="1020" w:right="400" w:hanging="503"/>
        <w:spacing w:after="0" w:line="27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U.S. Treasury constant maturity rates with remaining terms similar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 of the options.</w:t>
      </w:r>
    </w:p>
    <w:p>
      <w:pPr>
        <w:spacing w:after="0" w:line="62" w:lineRule="exact"/>
        <w:rPr>
          <w:rFonts w:ascii="Arial" w:cs="Arial" w:eastAsia="Arial" w:hAnsi="Arial"/>
          <w:sz w:val="18"/>
          <w:szCs w:val="18"/>
          <w:color w:val="auto"/>
        </w:rPr>
      </w:pPr>
    </w:p>
    <w:p>
      <w:pPr>
        <w:ind w:left="1020" w:right="420" w:hanging="503"/>
        <w:spacing w:after="0" w:line="27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Expected Dividend Rate</w:t>
      </w:r>
      <w:r>
        <w:rPr>
          <w:rFonts w:ascii="Arial" w:cs="Arial" w:eastAsia="Arial" w:hAnsi="Arial"/>
          <w:sz w:val="18"/>
          <w:szCs w:val="18"/>
          <w:color w:val="auto"/>
        </w:rPr>
        <w:t>. The Company has never paid any dividends and does not plan to pay dividends in the foreseeable future,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used an expected dividend rate of zero in the valuation model.</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Forfeitures</w:t>
      </w:r>
      <w:r>
        <w:rPr>
          <w:rFonts w:ascii="Arial" w:cs="Arial" w:eastAsia="Arial" w:hAnsi="Arial"/>
          <w:sz w:val="18"/>
          <w:szCs w:val="18"/>
          <w:color w:val="auto"/>
        </w:rPr>
        <w:t>. The Company accounts for forfeitures as they occur.</w:t>
      </w:r>
    </w:p>
    <w:p>
      <w:pPr>
        <w:spacing w:after="0" w:line="117"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The fair value of RSUs, including RSUs subject to performance-based vesting conditions, is based on the grant-date fair value of the Company's stock price.</w:t>
      </w:r>
    </w:p>
    <w:p>
      <w:pPr>
        <w:spacing w:after="0" w:line="62"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Company recognizes compensation expense on a straight-line basis over the requisite service period of the award, which is generally the vesting period. The Company accounts for forfeitures as they occur.</w:t>
      </w:r>
    </w:p>
    <w:p>
      <w:pPr>
        <w:spacing w:after="0" w:line="62"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auto"/>
        </w:rPr>
        <w:t>For options and RSUs that vest upon the satisfaction of certain performance conditions, the Company recognizes compensation expense when it becomes probable that the performance conditions will be met. When the criteria are deemed probable of being met, the Company records cumulative compensation expense in the period the performance criteria are deemed probable of being met and recognizes the remaining compensation expense on a straight-line basis over the remaining period for which the performance criteria are expected to be completed.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The Company accounts for income taxes under the asset and liability method. The Company estimates actual current tax exposure together with assessing temporary differences resulting from differences in accounting for reporting purposes and tax purposes for certain items, such as accruals and allowances not currently deductible for tax purposes. These temporary differences result in deferred tax assets and liabilities. In general, deferred tax assets represent future tax benefits to be received when certain expenses previously recognized in the Company’s statements of operations and comprehensive loss become deductible expenses under applicable income tax laws or when net operating loss or credit carryforwards are utilized. Accordingly, realization of the Company’s deferred tax assets is dependent on future taxable income against which these deductions, losses and credits can be utilized.</w:t>
      </w:r>
    </w:p>
    <w:p>
      <w:pPr>
        <w:spacing w:after="0" w:line="56" w:lineRule="exact"/>
        <w:rPr>
          <w:sz w:val="20"/>
          <w:szCs w:val="20"/>
          <w:color w:val="auto"/>
        </w:rPr>
      </w:pPr>
    </w:p>
    <w:p>
      <w:pPr>
        <w:ind w:right="240" w:firstLine="509"/>
        <w:spacing w:after="0" w:line="255" w:lineRule="auto"/>
        <w:rPr>
          <w:sz w:val="20"/>
          <w:szCs w:val="20"/>
          <w:color w:val="auto"/>
        </w:rPr>
      </w:pPr>
      <w:r>
        <w:rPr>
          <w:rFonts w:ascii="Arial" w:cs="Arial" w:eastAsia="Arial" w:hAnsi="Arial"/>
          <w:sz w:val="18"/>
          <w:szCs w:val="18"/>
          <w:color w:val="auto"/>
        </w:rPr>
        <w:t>The Company assesses the likelihood that the Company’s deferred tax assets will be recovered from future taxable income, and to the extent the Company believes that recovery is not likely, the Company establishes a valuation allowance. The assessment of whether or not a valuation allowance is required often requires significant judgment, including the forecast of future taxable income and on-going prudent and feasible tax planning initiatives. Based upon the weight of available evidence, the Company has determined that net deferred tax assets should be fully offset by a valuation allowance. When the Company establishes or reduces the valuation allowance against its net deferred tax assets, its provision for income taxes will increase or decrease, respectively, in the period such determination is made.</w:t>
      </w:r>
    </w:p>
    <w:p>
      <w:pPr>
        <w:spacing w:after="0" w:line="84"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The Company accounts for uncertainty in income taxes in accordance with Accounting Standards Codification 740. Tax positions are evaluated in a two-step process, whereby the Company first determines whether it is more likely than not that a tax position will be sustained upon examination by tax authorities, including resolutions of any related appeals or litigation processes, based on technical merit. If a tax position meets the more-likely-than-not recognition threshold, it is then measured to determine the amount of benefit to be recognized in the financial statements. The tax position is measured as the largest amount of benefit that is greater than 50% likely of being realized upon ultimate settlement. The Company’s policy is to recognize interest and penalties related to the underpayment of income taxes as a component of income tax expense or benefit. To date, there have been no interest or penalties charged in relation to unrecognized tax benefits.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Comprehensive loss represents the net loss for the period and other comprehensive income. Other comprehensive loss reflects certain gains and losses that are recorded as a component of stockholders’ equity and are not reflected in the statements of operations. The Company’s other comprehensive loss consists of changes in unrealized gains and losses on available-for-sale investments, net of tax. There was no income tax effect related to unrealized gains and losses during the years ended December 31, 2022 and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240" w:firstLine="509"/>
        <w:spacing w:after="0" w:line="275" w:lineRule="auto"/>
        <w:rPr>
          <w:sz w:val="20"/>
          <w:szCs w:val="20"/>
          <w:color w:val="auto"/>
        </w:rPr>
      </w:pPr>
      <w:r>
        <w:rPr>
          <w:rFonts w:ascii="Arial" w:cs="Arial" w:eastAsia="Arial" w:hAnsi="Arial"/>
          <w:sz w:val="17"/>
          <w:szCs w:val="17"/>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 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outstanding stock options, RSUs, and shares expected to be issued pursuant to the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ESPP are considered to be potentially dilutive securities. Because the Company has reported a net loss for all periods presented, diluted net loss per share is the same as basic net loss per share for those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jc w:val="both"/>
        <w:ind w:right="300" w:firstLine="509"/>
        <w:spacing w:after="0" w:line="301" w:lineRule="auto"/>
        <w:rPr>
          <w:sz w:val="20"/>
          <w:szCs w:val="20"/>
          <w:color w:val="auto"/>
        </w:rPr>
      </w:pPr>
      <w:r>
        <w:rPr>
          <w:rFonts w:ascii="Arial" w:cs="Arial" w:eastAsia="Arial" w:hAnsi="Arial"/>
          <w:sz w:val="16"/>
          <w:szCs w:val="16"/>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The Company has elected to use the extended transition period for complying with new or revised accounting standards.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21" w:lineRule="exact"/>
        <w:rPr>
          <w:sz w:val="20"/>
          <w:szCs w:val="20"/>
          <w:color w:val="auto"/>
        </w:rPr>
      </w:pPr>
    </w:p>
    <w:p>
      <w:pPr>
        <w:ind w:right="120" w:firstLine="509"/>
        <w:spacing w:after="0" w:line="273" w:lineRule="auto"/>
        <w:rPr>
          <w:sz w:val="20"/>
          <w:szCs w:val="20"/>
          <w:color w:val="auto"/>
        </w:rPr>
      </w:pPr>
      <w:r>
        <w:rPr>
          <w:rFonts w:ascii="Arial" w:cs="Arial" w:eastAsia="Arial" w:hAnsi="Arial"/>
          <w:sz w:val="17"/>
          <w:szCs w:val="17"/>
          <w:color w:val="auto"/>
        </w:rPr>
        <w:t xml:space="preserve">In June 2016, the Financial Accounting Standards Board (FASB) issued Accounting Standards Update 2016-13, </w:t>
      </w:r>
      <w:r>
        <w:rPr>
          <w:rFonts w:ascii="Arial" w:cs="Arial" w:eastAsia="Arial" w:hAnsi="Arial"/>
          <w:sz w:val="17"/>
          <w:szCs w:val="17"/>
          <w:i w:val="1"/>
          <w:iCs w:val="1"/>
          <w:color w:val="auto"/>
        </w:rPr>
        <w:t>Measurement of Credit Losses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Instruments </w:t>
      </w:r>
      <w:r>
        <w:rPr>
          <w:rFonts w:ascii="Arial" w:cs="Arial" w:eastAsia="Arial" w:hAnsi="Arial"/>
          <w:sz w:val="17"/>
          <w:szCs w:val="17"/>
          <w:color w:val="auto"/>
        </w:rPr>
        <w:t>(ASU 2016-13). ASU 2016-13 requires companies to measure credit losses utilizing a methodology that reflects expected credit</w:t>
      </w:r>
      <w:r>
        <w:rPr>
          <w:rFonts w:ascii="Arial" w:cs="Arial" w:eastAsia="Arial" w:hAnsi="Arial"/>
          <w:sz w:val="17"/>
          <w:szCs w:val="17"/>
          <w:i w:val="1"/>
          <w:iCs w:val="1"/>
          <w:color w:val="auto"/>
        </w:rPr>
        <w:t xml:space="preserve"> </w:t>
      </w:r>
      <w:r>
        <w:rPr>
          <w:rFonts w:ascii="Arial" w:cs="Arial" w:eastAsia="Arial" w:hAnsi="Arial"/>
          <w:sz w:val="17"/>
          <w:szCs w:val="17"/>
          <w:color w:val="auto"/>
        </w:rPr>
        <w:t>losses and requires a consideration of a broader range of reasonable and supportable information to inform credit loss estimates. ASU 2016-13 is effective for non-EGC’s electing to use the extended transition period for complying with new or revised accounting standards for fiscal years beginning after December 15, 2019, and for EGC’s for fiscal years beginning after December 15, 2022, with early adoption permitted. The Company expects to adopt this ASU on January 1, 2023. The Company is currently assessing the impact of adopting this standard.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Assets and liabilities measured at fair value are classified in their entirety based on the lowest level of input that is significant to the fair value measurement. The Company classifies money market funds and U.S. treasury securities as Level 1 investments as the Company uses quoted prices in active markets for identical assets to determine the fair value. The Company classifies corporate bonds and commercial paper as Level 2 investments as the Company uses quoted prices for similar assets sourced from certain third-party pricing services. The third-party pricing services generally utilize industry standard valuation models for which all significant inputs are observable, either directly or indirectly, to estimate the price or fair value of the securities. The primary input generally includes reported trades of or quotes on the same or similar securities. The Company does not make additional judgments or assumptions made to the pricing data sourced from the third-party pricing services.</w:t>
      </w:r>
    </w:p>
    <w:p>
      <w:pPr>
        <w:spacing w:after="0" w:line="69"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The following table summarizes the Company's financial assets measured at fair value on a recurring basis by level within the fair value hierarchy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December 31, 2022</w:t>
            </w:r>
          </w:p>
        </w:tc>
        <w:tc>
          <w:tcPr>
            <w:tcW w:w="3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1580" w:type="dxa"/>
            <w:vAlign w:val="bottom"/>
          </w:tcPr>
          <w:p>
            <w:pPr>
              <w:jc w:val="center"/>
              <w:ind w:left="579"/>
              <w:spacing w:after="0" w:line="133" w:lineRule="exact"/>
              <w:rPr>
                <w:sz w:val="20"/>
                <w:szCs w:val="20"/>
                <w:color w:val="auto"/>
              </w:rPr>
            </w:pPr>
            <w:r>
              <w:rPr>
                <w:rFonts w:ascii="Arial" w:cs="Arial" w:eastAsia="Arial" w:hAnsi="Arial"/>
                <w:sz w:val="14"/>
                <w:szCs w:val="14"/>
                <w:b w:val="1"/>
                <w:bCs w:val="1"/>
                <w:color w:val="auto"/>
                <w:w w:val="95"/>
              </w:rPr>
              <w:t>Fair Value</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Gross Unrealized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3"/>
            <w:vMerge w:val="restart"/>
          </w:tcPr>
          <w:p>
            <w:pPr>
              <w:jc w:val="right"/>
              <w:ind w:right="241"/>
              <w:spacing w:after="0"/>
              <w:rPr>
                <w:sz w:val="20"/>
                <w:szCs w:val="20"/>
                <w:color w:val="auto"/>
              </w:rPr>
            </w:pPr>
            <w:r>
              <w:rPr>
                <w:rFonts w:ascii="Arial" w:cs="Arial" w:eastAsia="Arial" w:hAnsi="Arial"/>
                <w:sz w:val="14"/>
                <w:szCs w:val="14"/>
                <w:b w:val="1"/>
                <w:bCs w:val="1"/>
                <w:color w:val="auto"/>
                <w:w w:val="95"/>
              </w:rPr>
              <w:t>Gross Unrealized</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1580" w:type="dxa"/>
            <w:vAlign w:val="bottom"/>
          </w:tcPr>
          <w:p>
            <w:pPr>
              <w:jc w:val="center"/>
              <w:ind w:left="559"/>
              <w:spacing w:after="0" w:line="145" w:lineRule="exact"/>
              <w:rPr>
                <w:sz w:val="20"/>
                <w:szCs w:val="20"/>
                <w:color w:val="auto"/>
              </w:rPr>
            </w:pPr>
            <w:r>
              <w:rPr>
                <w:rFonts w:ascii="Arial" w:cs="Arial" w:eastAsia="Arial" w:hAnsi="Arial"/>
                <w:sz w:val="14"/>
                <w:szCs w:val="14"/>
                <w:b w:val="1"/>
                <w:bCs w:val="1"/>
                <w:color w:val="auto"/>
                <w:w w:val="95"/>
              </w:rPr>
              <w:t>Hierarchy</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0"/>
              </w:rPr>
              <w:t>Amortized Cost</w:t>
            </w: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1580" w:type="dxa"/>
            <w:vAlign w:val="bottom"/>
          </w:tcPr>
          <w:p>
            <w:pPr>
              <w:jc w:val="center"/>
              <w:ind w:left="559"/>
              <w:spacing w:after="0"/>
              <w:rPr>
                <w:sz w:val="20"/>
                <w:szCs w:val="20"/>
                <w:color w:val="auto"/>
              </w:rPr>
            </w:pPr>
            <w:r>
              <w:rPr>
                <w:rFonts w:ascii="Arial" w:cs="Arial" w:eastAsia="Arial" w:hAnsi="Arial"/>
                <w:sz w:val="14"/>
                <w:szCs w:val="14"/>
                <w:b w:val="1"/>
                <w:bCs w:val="1"/>
                <w:color w:val="auto"/>
                <w:w w:val="94"/>
              </w:rPr>
              <w:t>Level</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Losses</w:t>
            </w:r>
          </w:p>
        </w:tc>
        <w:tc>
          <w:tcPr>
            <w:tcW w:w="3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Money market funds</w:t>
            </w:r>
          </w:p>
        </w:tc>
        <w:tc>
          <w:tcPr>
            <w:tcW w:w="1580" w:type="dxa"/>
            <w:vAlign w:val="bottom"/>
            <w:tcBorders>
              <w:bottom w:val="single" w:sz="8" w:color="CFF0FC"/>
            </w:tcBorders>
            <w:shd w:val="clear" w:color="auto" w:fill="CFF0FC"/>
          </w:tcPr>
          <w:p>
            <w:pPr>
              <w:jc w:val="center"/>
              <w:ind w:left="559"/>
              <w:spacing w:after="0"/>
              <w:rPr>
                <w:sz w:val="20"/>
                <w:szCs w:val="20"/>
                <w:color w:val="auto"/>
              </w:rPr>
            </w:pPr>
            <w:r>
              <w:rPr>
                <w:rFonts w:ascii="Arial" w:cs="Arial" w:eastAsia="Arial" w:hAnsi="Arial"/>
                <w:sz w:val="18"/>
                <w:szCs w:val="18"/>
                <w:color w:val="auto"/>
                <w:w w:val="92"/>
              </w:rPr>
              <w:t>Level 1</w:t>
            </w: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22,496</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22,496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120"/>
              <w:spacing w:after="0"/>
              <w:rPr>
                <w:sz w:val="20"/>
                <w:szCs w:val="20"/>
                <w:color w:val="auto"/>
              </w:rPr>
            </w:pPr>
            <w:r>
              <w:rPr>
                <w:rFonts w:ascii="Arial" w:cs="Arial" w:eastAsia="Arial" w:hAnsi="Arial"/>
                <w:sz w:val="18"/>
                <w:szCs w:val="18"/>
                <w:color w:val="auto"/>
              </w:rPr>
              <w:t>Total cash equivalents</w:t>
            </w: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22,496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treasury securities</w:t>
            </w:r>
          </w:p>
        </w:tc>
        <w:tc>
          <w:tcPr>
            <w:tcW w:w="1580" w:type="dxa"/>
            <w:vAlign w:val="bottom"/>
            <w:shd w:val="clear" w:color="auto" w:fill="CFF0FC"/>
          </w:tcPr>
          <w:p>
            <w:pPr>
              <w:jc w:val="center"/>
              <w:ind w:left="559"/>
              <w:spacing w:after="0"/>
              <w:rPr>
                <w:sz w:val="20"/>
                <w:szCs w:val="20"/>
                <w:color w:val="auto"/>
              </w:rPr>
            </w:pPr>
            <w:r>
              <w:rPr>
                <w:rFonts w:ascii="Arial" w:cs="Arial" w:eastAsia="Arial" w:hAnsi="Arial"/>
                <w:sz w:val="18"/>
                <w:szCs w:val="18"/>
                <w:color w:val="auto"/>
                <w:w w:val="92"/>
              </w:rPr>
              <w:t>Level 1</w:t>
            </w:r>
          </w:p>
        </w:tc>
        <w:tc>
          <w:tcPr>
            <w:tcW w:w="3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43,779</w:t>
            </w: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(516</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580" w:type="dxa"/>
            <w:vAlign w:val="bottom"/>
          </w:tcPr>
          <w:p>
            <w:pPr>
              <w:jc w:val="center"/>
              <w:ind w:left="559"/>
              <w:spacing w:after="0"/>
              <w:rPr>
                <w:sz w:val="20"/>
                <w:szCs w:val="20"/>
                <w:color w:val="auto"/>
              </w:rPr>
            </w:pPr>
            <w:r>
              <w:rPr>
                <w:rFonts w:ascii="Arial" w:cs="Arial" w:eastAsia="Arial" w:hAnsi="Arial"/>
                <w:sz w:val="18"/>
                <w:szCs w:val="18"/>
                <w:color w:val="auto"/>
                <w:w w:val="92"/>
              </w:rPr>
              <w:t>Level 2</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11,369</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gridSpan w:val="2"/>
          </w:tcPr>
          <w:p>
            <w:pPr>
              <w:jc w:val="right"/>
              <w:ind w:right="101"/>
              <w:spacing w:after="0"/>
              <w:rPr>
                <w:sz w:val="20"/>
                <w:szCs w:val="20"/>
                <w:color w:val="auto"/>
              </w:rPr>
            </w:pPr>
            <w:r>
              <w:rPr>
                <w:rFonts w:ascii="Arial" w:cs="Arial" w:eastAsia="Arial" w:hAnsi="Arial"/>
                <w:sz w:val="18"/>
                <w:szCs w:val="18"/>
                <w:color w:val="auto"/>
              </w:rPr>
              <w:t>(43 )</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7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short-term investments</w:t>
            </w:r>
          </w:p>
        </w:tc>
        <w:tc>
          <w:tcPr>
            <w:tcW w:w="15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55,148</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(559</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54,590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00"/>
              <w:spacing w:after="0"/>
              <w:rPr>
                <w:sz w:val="20"/>
                <w:szCs w:val="20"/>
                <w:color w:val="auto"/>
              </w:rPr>
            </w:pPr>
            <w:r>
              <w:rPr>
                <w:rFonts w:ascii="Arial" w:cs="Arial" w:eastAsia="Arial" w:hAnsi="Arial"/>
                <w:sz w:val="18"/>
                <w:szCs w:val="18"/>
                <w:color w:val="auto"/>
              </w:rPr>
              <w:t>Total cash equivalents and investments</w:t>
            </w: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77,644</w:t>
            </w:r>
          </w:p>
        </w:tc>
        <w:tc>
          <w:tcPr>
            <w:tcW w:w="26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gridSpan w:val="2"/>
          </w:tcPr>
          <w:p>
            <w:pPr>
              <w:spacing w:after="0"/>
              <w:rPr>
                <w:sz w:val="20"/>
                <w:szCs w:val="20"/>
                <w:color w:val="auto"/>
              </w:rPr>
            </w:pPr>
          </w:p>
        </w:tc>
        <w:tc>
          <w:tcPr>
            <w:tcW w:w="820" w:type="dxa"/>
            <w:vAlign w:val="bottom"/>
          </w:tcPr>
          <w:p>
            <w:pPr>
              <w:jc w:val="right"/>
              <w:ind w:right="619"/>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01"/>
              <w:spacing w:after="0"/>
              <w:rPr>
                <w:sz w:val="20"/>
                <w:szCs w:val="20"/>
                <w:color w:val="auto"/>
              </w:rPr>
            </w:pPr>
            <w:r>
              <w:rPr>
                <w:rFonts w:ascii="Arial" w:cs="Arial" w:eastAsia="Arial" w:hAnsi="Arial"/>
                <w:sz w:val="18"/>
                <w:szCs w:val="18"/>
                <w:color w:val="auto"/>
                <w:w w:val="89"/>
              </w:rPr>
              <w:t>(559 )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77,086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8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-1319530</wp:posOffset>
            </wp:positionV>
            <wp:extent cx="76835" cy="1714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-1319530</wp:posOffset>
            </wp:positionV>
            <wp:extent cx="68580" cy="1714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-1319530</wp:posOffset>
            </wp:positionV>
            <wp:extent cx="68580" cy="1714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1714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-676275</wp:posOffset>
            </wp:positionV>
            <wp:extent cx="76835" cy="18859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-676275</wp:posOffset>
            </wp:positionV>
            <wp:extent cx="68580" cy="18859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-676275</wp:posOffset>
            </wp:positionV>
            <wp:extent cx="68580" cy="18859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18859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December 31, 2021</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800" w:type="dxa"/>
            <w:vAlign w:val="bottom"/>
          </w:tcPr>
          <w:p>
            <w:pPr>
              <w:spacing w:after="0"/>
              <w:rPr>
                <w:sz w:val="11"/>
                <w:szCs w:val="11"/>
                <w:color w:val="auto"/>
              </w:rPr>
            </w:pPr>
          </w:p>
        </w:tc>
        <w:tc>
          <w:tcPr>
            <w:tcW w:w="1900" w:type="dxa"/>
            <w:vAlign w:val="bottom"/>
          </w:tcPr>
          <w:p>
            <w:pPr>
              <w:jc w:val="center"/>
              <w:ind w:left="256"/>
              <w:spacing w:after="0" w:line="133" w:lineRule="exact"/>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Gross Unrealized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3"/>
            <w:vMerge w:val="restart"/>
          </w:tcPr>
          <w:p>
            <w:pPr>
              <w:jc w:val="right"/>
              <w:ind w:right="230"/>
              <w:spacing w:after="0"/>
              <w:rPr>
                <w:sz w:val="20"/>
                <w:szCs w:val="20"/>
                <w:color w:val="auto"/>
              </w:rPr>
            </w:pPr>
            <w:r>
              <w:rPr>
                <w:rFonts w:ascii="Arial" w:cs="Arial" w:eastAsia="Arial" w:hAnsi="Arial"/>
                <w:sz w:val="14"/>
                <w:szCs w:val="14"/>
                <w:b w:val="1"/>
                <w:bCs w:val="1"/>
                <w:color w:val="auto"/>
                <w:w w:val="93"/>
              </w:rPr>
              <w:t>Gross Unrealized</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800" w:type="dxa"/>
            <w:vAlign w:val="bottom"/>
          </w:tcPr>
          <w:p>
            <w:pPr>
              <w:spacing w:after="0"/>
              <w:rPr>
                <w:sz w:val="12"/>
                <w:szCs w:val="12"/>
                <w:color w:val="auto"/>
              </w:rPr>
            </w:pPr>
          </w:p>
        </w:tc>
        <w:tc>
          <w:tcPr>
            <w:tcW w:w="1900" w:type="dxa"/>
            <w:vAlign w:val="bottom"/>
          </w:tcPr>
          <w:p>
            <w:pPr>
              <w:jc w:val="center"/>
              <w:ind w:left="256"/>
              <w:spacing w:after="0" w:line="145" w:lineRule="exact"/>
              <w:rPr>
                <w:sz w:val="20"/>
                <w:szCs w:val="20"/>
                <w:color w:val="auto"/>
              </w:rPr>
            </w:pPr>
            <w:r>
              <w:rPr>
                <w:rFonts w:ascii="Arial" w:cs="Arial" w:eastAsia="Arial" w:hAnsi="Arial"/>
                <w:sz w:val="14"/>
                <w:szCs w:val="14"/>
                <w:b w:val="1"/>
                <w:bCs w:val="1"/>
                <w:color w:val="auto"/>
                <w:w w:val="99"/>
              </w:rPr>
              <w:t>Hierarchy</w:t>
            </w:r>
          </w:p>
        </w:tc>
        <w:tc>
          <w:tcPr>
            <w:tcW w:w="100" w:type="dxa"/>
            <w:vAlign w:val="bottom"/>
          </w:tcPr>
          <w:p>
            <w:pPr>
              <w:spacing w:after="0"/>
              <w:rPr>
                <w:sz w:val="12"/>
                <w:szCs w:val="12"/>
                <w:color w:val="auto"/>
              </w:rPr>
            </w:pPr>
          </w:p>
        </w:tc>
        <w:tc>
          <w:tcPr>
            <w:tcW w:w="10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0"/>
              </w:rPr>
              <w:t>Amortized Cost</w:t>
            </w:r>
          </w:p>
        </w:tc>
        <w:tc>
          <w:tcPr>
            <w:tcW w:w="2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800" w:type="dxa"/>
            <w:vAlign w:val="bottom"/>
          </w:tcPr>
          <w:p>
            <w:pPr>
              <w:spacing w:after="0"/>
              <w:rPr>
                <w:sz w:val="15"/>
                <w:szCs w:val="15"/>
                <w:color w:val="auto"/>
              </w:rPr>
            </w:pPr>
          </w:p>
        </w:tc>
        <w:tc>
          <w:tcPr>
            <w:tcW w:w="1900" w:type="dxa"/>
            <w:vAlign w:val="bottom"/>
          </w:tcPr>
          <w:p>
            <w:pPr>
              <w:jc w:val="center"/>
              <w:ind w:left="256"/>
              <w:spacing w:after="0"/>
              <w:rPr>
                <w:sz w:val="20"/>
                <w:szCs w:val="20"/>
                <w:color w:val="auto"/>
              </w:rPr>
            </w:pPr>
            <w:r>
              <w:rPr>
                <w:rFonts w:ascii="Arial" w:cs="Arial" w:eastAsia="Arial" w:hAnsi="Arial"/>
                <w:sz w:val="14"/>
                <w:szCs w:val="14"/>
                <w:b w:val="1"/>
                <w:bCs w:val="1"/>
                <w:color w:val="auto"/>
                <w:w w:val="89"/>
              </w:rPr>
              <w:t>Level</w:t>
            </w: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Losses</w:t>
            </w:r>
          </w:p>
        </w:tc>
        <w:tc>
          <w:tcPr>
            <w:tcW w:w="3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Money market funds</w:t>
            </w:r>
          </w:p>
        </w:tc>
        <w:tc>
          <w:tcPr>
            <w:tcW w:w="1900" w:type="dxa"/>
            <w:vAlign w:val="bottom"/>
            <w:tcBorders>
              <w:bottom w:val="single" w:sz="8" w:color="CFF0FC"/>
            </w:tcBorders>
            <w:shd w:val="clear" w:color="auto" w:fill="CFF0FC"/>
          </w:tcPr>
          <w:p>
            <w:pPr>
              <w:jc w:val="center"/>
              <w:ind w:left="256"/>
              <w:spacing w:after="0"/>
              <w:rPr>
                <w:sz w:val="20"/>
                <w:szCs w:val="20"/>
                <w:color w:val="auto"/>
              </w:rPr>
            </w:pPr>
            <w:r>
              <w:rPr>
                <w:rFonts w:ascii="Arial" w:cs="Arial" w:eastAsia="Arial" w:hAnsi="Arial"/>
                <w:sz w:val="18"/>
                <w:szCs w:val="18"/>
                <w:color w:val="auto"/>
                <w:w w:val="96"/>
              </w:rPr>
              <w:t>Level 1</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38,067</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622"/>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38,067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800" w:type="dxa"/>
            <w:vAlign w:val="bottom"/>
          </w:tcPr>
          <w:p>
            <w:pPr>
              <w:ind w:left="120"/>
              <w:spacing w:after="0"/>
              <w:rPr>
                <w:sz w:val="20"/>
                <w:szCs w:val="20"/>
                <w:color w:val="auto"/>
              </w:rPr>
            </w:pPr>
            <w:r>
              <w:rPr>
                <w:rFonts w:ascii="Arial" w:cs="Arial" w:eastAsia="Arial" w:hAnsi="Arial"/>
                <w:sz w:val="18"/>
                <w:szCs w:val="18"/>
                <w:color w:val="auto"/>
              </w:rPr>
              <w:t>Total cash equivalents</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38,067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38,067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treasury securities</w:t>
            </w:r>
          </w:p>
        </w:tc>
        <w:tc>
          <w:tcPr>
            <w:tcW w:w="1900" w:type="dxa"/>
            <w:vAlign w:val="bottom"/>
            <w:shd w:val="clear" w:color="auto" w:fill="CFF0FC"/>
          </w:tcPr>
          <w:p>
            <w:pPr>
              <w:jc w:val="center"/>
              <w:ind w:left="256"/>
              <w:spacing w:after="0"/>
              <w:rPr>
                <w:sz w:val="20"/>
                <w:szCs w:val="20"/>
                <w:color w:val="auto"/>
              </w:rPr>
            </w:pPr>
            <w:r>
              <w:rPr>
                <w:rFonts w:ascii="Arial" w:cs="Arial" w:eastAsia="Arial" w:hAnsi="Arial"/>
                <w:sz w:val="18"/>
                <w:szCs w:val="18"/>
                <w:color w:val="auto"/>
                <w:w w:val="96"/>
              </w:rPr>
              <w:t>Level 1</w:t>
            </w:r>
          </w:p>
        </w:tc>
        <w:tc>
          <w:tcPr>
            <w:tcW w:w="1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5,999</w:t>
            </w:r>
          </w:p>
        </w:tc>
        <w:tc>
          <w:tcPr>
            <w:tcW w:w="2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0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900" w:type="dxa"/>
            <w:vAlign w:val="bottom"/>
          </w:tcPr>
          <w:p>
            <w:pPr>
              <w:jc w:val="center"/>
              <w:ind w:left="256"/>
              <w:spacing w:after="0"/>
              <w:rPr>
                <w:sz w:val="20"/>
                <w:szCs w:val="20"/>
                <w:color w:val="auto"/>
              </w:rPr>
            </w:pPr>
            <w:r>
              <w:rPr>
                <w:rFonts w:ascii="Arial" w:cs="Arial" w:eastAsia="Arial" w:hAnsi="Arial"/>
                <w:sz w:val="18"/>
                <w:szCs w:val="18"/>
                <w:color w:val="auto"/>
                <w:w w:val="96"/>
              </w:rPr>
              <w:t>Level 1</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6,285</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(23 )</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Commercial paper</w:t>
            </w:r>
          </w:p>
        </w:tc>
        <w:tc>
          <w:tcPr>
            <w:tcW w:w="1900" w:type="dxa"/>
            <w:vAlign w:val="bottom"/>
            <w:tcBorders>
              <w:bottom w:val="single" w:sz="8" w:color="CFF0FC"/>
            </w:tcBorders>
            <w:shd w:val="clear" w:color="auto" w:fill="CFF0FC"/>
          </w:tcPr>
          <w:p>
            <w:pPr>
              <w:jc w:val="center"/>
              <w:ind w:left="256"/>
              <w:spacing w:after="0"/>
              <w:rPr>
                <w:sz w:val="20"/>
                <w:szCs w:val="20"/>
                <w:color w:val="auto"/>
              </w:rPr>
            </w:pPr>
            <w:r>
              <w:rPr>
                <w:rFonts w:ascii="Arial" w:cs="Arial" w:eastAsia="Arial" w:hAnsi="Arial"/>
                <w:sz w:val="18"/>
                <w:szCs w:val="18"/>
                <w:color w:val="auto"/>
                <w:w w:val="96"/>
              </w:rPr>
              <w:t>Level 2</w:t>
            </w:r>
          </w:p>
        </w:tc>
        <w:tc>
          <w:tcPr>
            <w:tcW w:w="1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33,973</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33,973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00" w:type="dxa"/>
            <w:vAlign w:val="bottom"/>
          </w:tcPr>
          <w:p>
            <w:pPr>
              <w:ind w:left="120"/>
              <w:spacing w:after="0"/>
              <w:rPr>
                <w:sz w:val="20"/>
                <w:szCs w:val="20"/>
                <w:color w:val="auto"/>
              </w:rPr>
            </w:pPr>
            <w:r>
              <w:rPr>
                <w:rFonts w:ascii="Arial" w:cs="Arial" w:eastAsia="Arial" w:hAnsi="Arial"/>
                <w:sz w:val="18"/>
                <w:szCs w:val="18"/>
                <w:color w:val="auto"/>
              </w:rPr>
              <w:t>Total short-term investments</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46,257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(36 )</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46,221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treasury securities</w:t>
            </w:r>
          </w:p>
        </w:tc>
        <w:tc>
          <w:tcPr>
            <w:tcW w:w="1900" w:type="dxa"/>
            <w:vAlign w:val="bottom"/>
            <w:shd w:val="clear" w:color="auto" w:fill="CFF0FC"/>
          </w:tcPr>
          <w:p>
            <w:pPr>
              <w:jc w:val="center"/>
              <w:ind w:left="256"/>
              <w:spacing w:after="0"/>
              <w:rPr>
                <w:sz w:val="20"/>
                <w:szCs w:val="20"/>
                <w:color w:val="auto"/>
              </w:rPr>
            </w:pPr>
            <w:r>
              <w:rPr>
                <w:rFonts w:ascii="Arial" w:cs="Arial" w:eastAsia="Arial" w:hAnsi="Arial"/>
                <w:sz w:val="18"/>
                <w:szCs w:val="18"/>
                <w:color w:val="auto"/>
                <w:w w:val="96"/>
              </w:rPr>
              <w:t>Level 1</w:t>
            </w:r>
          </w:p>
        </w:tc>
        <w:tc>
          <w:tcPr>
            <w:tcW w:w="1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24,137</w:t>
            </w:r>
          </w:p>
        </w:tc>
        <w:tc>
          <w:tcPr>
            <w:tcW w:w="2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(114</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900" w:type="dxa"/>
            <w:vAlign w:val="bottom"/>
          </w:tcPr>
          <w:p>
            <w:pPr>
              <w:jc w:val="center"/>
              <w:ind w:left="256"/>
              <w:spacing w:after="0"/>
              <w:rPr>
                <w:sz w:val="20"/>
                <w:szCs w:val="20"/>
                <w:color w:val="auto"/>
              </w:rPr>
            </w:pPr>
            <w:r>
              <w:rPr>
                <w:rFonts w:ascii="Arial" w:cs="Arial" w:eastAsia="Arial" w:hAnsi="Arial"/>
                <w:sz w:val="18"/>
                <w:szCs w:val="18"/>
                <w:color w:val="auto"/>
                <w:w w:val="96"/>
              </w:rPr>
              <w:t>Level 1</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8,470</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(34 )</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8,436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long-term investments</w:t>
            </w:r>
          </w:p>
        </w:tc>
        <w:tc>
          <w:tcPr>
            <w:tcW w:w="19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32,607</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top w:val="single" w:sz="8" w:color="auto"/>
              <w:bottom w:val="single" w:sz="8" w:color="auto"/>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(148</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32,459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00" w:type="dxa"/>
            <w:vAlign w:val="bottom"/>
          </w:tcPr>
          <w:p>
            <w:pPr>
              <w:ind w:left="200"/>
              <w:spacing w:after="0"/>
              <w:rPr>
                <w:sz w:val="20"/>
                <w:szCs w:val="20"/>
                <w:color w:val="auto"/>
              </w:rPr>
            </w:pPr>
            <w:r>
              <w:rPr>
                <w:rFonts w:ascii="Arial" w:cs="Arial" w:eastAsia="Arial" w:hAnsi="Arial"/>
                <w:sz w:val="18"/>
                <w:szCs w:val="18"/>
                <w:color w:val="auto"/>
              </w:rPr>
              <w:t>Total cash equivalents and investments</w:t>
            </w:r>
          </w:p>
        </w:tc>
        <w:tc>
          <w:tcPr>
            <w:tcW w:w="19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116,931</w:t>
            </w:r>
          </w:p>
        </w:tc>
        <w:tc>
          <w:tcPr>
            <w:tcW w:w="54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1040" w:type="dxa"/>
            <w:vAlign w:val="bottom"/>
            <w:gridSpan w:val="3"/>
          </w:tcPr>
          <w:p>
            <w:pPr>
              <w:jc w:val="right"/>
              <w:ind w:right="62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w w:val="89"/>
              </w:rPr>
              <w:t>(184 )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116,747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-1464945</wp:posOffset>
            </wp:positionV>
            <wp:extent cx="77470" cy="1714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-1464945</wp:posOffset>
            </wp:positionV>
            <wp:extent cx="68580" cy="1714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-1464945</wp:posOffset>
            </wp:positionV>
            <wp:extent cx="68580" cy="1714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1714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-831215</wp:posOffset>
            </wp:positionV>
            <wp:extent cx="77470" cy="1714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-831215</wp:posOffset>
            </wp:positionV>
            <wp:extent cx="68580" cy="1714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-831215</wp:posOffset>
            </wp:positionV>
            <wp:extent cx="68580" cy="1714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1714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-187960</wp:posOffset>
            </wp:positionV>
            <wp:extent cx="77470" cy="1885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-187960</wp:posOffset>
            </wp:positionV>
            <wp:extent cx="68580" cy="1885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-187960</wp:posOffset>
            </wp:positionV>
            <wp:extent cx="68580" cy="1885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did not have any financial liabilities recorded at fair value on a recurring or non-recurring basis as of December 31, 2022 and 2021.</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2022 and 2021, accrued interest on investments recorded in other assets was $0.1 million.</w:t>
      </w:r>
    </w:p>
    <w:p>
      <w:pPr>
        <w:spacing w:after="0" w:line="117"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There have been no realized gains or losses on available for sale securities for the periods presented. Unrealized gains and losses are included in “accumulated other comprehensive loss” within stockholders' equity on the balance sheets. Investments that were in an unrealized loss position consisted of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20" w:type="dxa"/>
            <w:vAlign w:val="bottom"/>
            <w:gridSpan w:val="5"/>
          </w:tcPr>
          <w:p>
            <w:pPr>
              <w:jc w:val="right"/>
              <w:ind w:right="701"/>
              <w:spacing w:after="0"/>
              <w:rPr>
                <w:sz w:val="20"/>
                <w:szCs w:val="20"/>
                <w:color w:val="auto"/>
              </w:rPr>
            </w:pPr>
            <w:r>
              <w:rPr>
                <w:rFonts w:ascii="Arial" w:cs="Arial" w:eastAsia="Arial" w:hAnsi="Arial"/>
                <w:sz w:val="14"/>
                <w:szCs w:val="14"/>
                <w:b w:val="1"/>
                <w:bCs w:val="1"/>
                <w:color w:val="auto"/>
              </w:rPr>
              <w:t>Less than 12 months</w:t>
            </w:r>
          </w:p>
        </w:tc>
        <w:tc>
          <w:tcPr>
            <w:tcW w:w="140" w:type="dxa"/>
            <w:vAlign w:val="bottom"/>
          </w:tcPr>
          <w:p>
            <w:pPr>
              <w:spacing w:after="0"/>
              <w:rPr>
                <w:sz w:val="19"/>
                <w:szCs w:val="19"/>
                <w:color w:val="auto"/>
              </w:rPr>
            </w:pPr>
          </w:p>
        </w:tc>
        <w:tc>
          <w:tcPr>
            <w:tcW w:w="2340" w:type="dxa"/>
            <w:vAlign w:val="bottom"/>
            <w:gridSpan w:val="5"/>
          </w:tcPr>
          <w:p>
            <w:pPr>
              <w:ind w:left="260"/>
              <w:spacing w:after="0"/>
              <w:rPr>
                <w:sz w:val="20"/>
                <w:szCs w:val="20"/>
                <w:color w:val="auto"/>
              </w:rPr>
            </w:pPr>
            <w:r>
              <w:rPr>
                <w:rFonts w:ascii="Arial" w:cs="Arial" w:eastAsia="Arial" w:hAnsi="Arial"/>
                <w:sz w:val="14"/>
                <w:szCs w:val="14"/>
                <w:b w:val="1"/>
                <w:bCs w:val="1"/>
                <w:color w:val="auto"/>
              </w:rPr>
              <w:t>Greater than 12 months</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38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97"/>
              <w:spacing w:after="0"/>
              <w:rPr>
                <w:sz w:val="20"/>
                <w:szCs w:val="20"/>
                <w:color w:val="auto"/>
              </w:rPr>
            </w:pPr>
            <w:r>
              <w:rPr>
                <w:rFonts w:ascii="Arial" w:cs="Arial" w:eastAsia="Arial" w:hAnsi="Arial"/>
                <w:sz w:val="14"/>
                <w:szCs w:val="14"/>
                <w:b w:val="1"/>
                <w:bCs w:val="1"/>
                <w:color w:val="auto"/>
              </w:rPr>
              <w:t>Fair Value</w:t>
            </w: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37"/>
              <w:spacing w:after="0" w:line="133"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97"/>
              <w:spacing w:after="0" w:line="133"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55"/>
              <w:spacing w:after="0"/>
              <w:rPr>
                <w:sz w:val="20"/>
                <w:szCs w:val="20"/>
                <w:color w:val="auto"/>
              </w:rPr>
            </w:pPr>
            <w:r>
              <w:rPr>
                <w:rFonts w:ascii="Arial" w:cs="Arial" w:eastAsia="Arial" w:hAnsi="Arial"/>
                <w:sz w:val="14"/>
                <w:szCs w:val="14"/>
                <w:b w:val="1"/>
                <w:bCs w:val="1"/>
                <w:color w:val="auto"/>
                <w:w w:val="98"/>
              </w:rPr>
              <w:t>Fair Value</w:t>
            </w: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37"/>
              <w:spacing w:after="0" w:line="133"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481"/>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341"/>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37"/>
        </w:trPr>
        <w:tc>
          <w:tcPr>
            <w:tcW w:w="3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treasury securities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16,743</w:t>
            </w: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w w:val="87"/>
              </w:rPr>
              <w:t>23,585</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40,328</w:t>
            </w:r>
          </w:p>
        </w:tc>
        <w:tc>
          <w:tcPr>
            <w:tcW w:w="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ind w:left="360"/>
              <w:spacing w:after="0"/>
              <w:rPr>
                <w:sz w:val="20"/>
                <w:szCs w:val="20"/>
                <w:color w:val="auto"/>
              </w:rPr>
            </w:pPr>
            <w:r>
              <w:rPr>
                <w:rFonts w:ascii="Arial" w:cs="Arial" w:eastAsia="Arial" w:hAnsi="Arial"/>
                <w:sz w:val="18"/>
                <w:szCs w:val="18"/>
                <w:color w:val="auto"/>
                <w:w w:val="87"/>
              </w:rPr>
              <w:t>11,326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(43 )</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11,326</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77"/>
        </w:trPr>
        <w:tc>
          <w:tcPr>
            <w:tcW w:w="38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short-term investments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16,743</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w w:val="87"/>
              </w:rPr>
              <w:t>34,911</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51,654</w:t>
            </w:r>
          </w:p>
        </w:tc>
        <w:tc>
          <w:tcPr>
            <w:tcW w:w="20" w:type="dxa"/>
            <w:vAlign w:val="bottom"/>
            <w:tcBorders>
              <w:top w:val="single" w:sz="8" w:color="auto"/>
              <w:bottom w:val="single" w:sz="8" w:color="auto"/>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-24765</wp:posOffset>
            </wp:positionV>
            <wp:extent cx="768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-7620</wp:posOffset>
            </wp:positionV>
            <wp:extent cx="768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-24765</wp:posOffset>
            </wp:positionV>
            <wp:extent cx="7747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-7620</wp:posOffset>
            </wp:positionV>
            <wp:extent cx="7747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there were no investments that were in a continuous unrealized loss position for more than 12 months.</w:t>
      </w:r>
    </w:p>
    <w:p>
      <w:pPr>
        <w:spacing w:after="0" w:line="117"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As of December 31, 2022 and 2021, unrealized losses on available for sale securities were not attributed to credit risk and are considered temporary as the Company (i) does not intend to sell these securities, (ii) does not believe it is more likely than not that it will be required to sell these securities before the recovery of their amortized cost basis and (iii) believes that it is more-likely-than-not that investments in an unrealized loss position will be held until maturity or the cost basis of the investment will be recovered. To date, the Company has not recorded any impairment charges on securities related to other-than-temporary declines in fair value.</w:t>
      </w:r>
    </w:p>
    <w:p>
      <w:pPr>
        <w:spacing w:after="0" w:line="80"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The Company’s cash equivalents and short-term investments are due within one year. As of December 31, 2022, the weighted-average remaining contractual maturities of available for sale securities was approximately 4 months.</w:t>
      </w:r>
    </w:p>
    <w:p>
      <w:pPr>
        <w:spacing w:after="0" w:line="62"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The estimated fair value of the term loan was $4.9 million and $5.0 million as of December 31, 2022 and 2021, respectively, and was based on market observable interest rates, a Level 2 input.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Components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23"/>
        </w:trPr>
        <w:tc>
          <w:tcPr>
            <w:tcW w:w="5500" w:type="dxa"/>
            <w:vAlign w:val="bottom"/>
          </w:tcPr>
          <w:p>
            <w:pPr>
              <w:spacing w:after="0"/>
              <w:rPr>
                <w:sz w:val="19"/>
                <w:szCs w:val="19"/>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9"/>
                <w:szCs w:val="19"/>
                <w:color w:val="auto"/>
              </w:rPr>
            </w:pPr>
          </w:p>
        </w:tc>
      </w:tr>
      <w:tr>
        <w:trPr>
          <w:trHeight w:val="236"/>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 expenses</w:t>
            </w:r>
          </w:p>
        </w:tc>
        <w:tc>
          <w:tcPr>
            <w:tcW w:w="1060" w:type="dxa"/>
            <w:vAlign w:val="bottom"/>
            <w:shd w:val="clear" w:color="auto" w:fill="CFF0FC"/>
          </w:tcPr>
          <w:p>
            <w:pPr>
              <w:jc w:val="right"/>
              <w:ind w:right="87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7,449</w:t>
            </w: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3,837</w:t>
            </w:r>
          </w:p>
        </w:tc>
        <w:tc>
          <w:tcPr>
            <w:tcW w:w="80" w:type="dxa"/>
            <w:vAlign w:val="bottom"/>
            <w:shd w:val="clear" w:color="auto" w:fill="CFF0FC"/>
          </w:tcPr>
          <w:p>
            <w:pPr>
              <w:spacing w:after="0"/>
              <w:rPr>
                <w:sz w:val="20"/>
                <w:szCs w:val="20"/>
                <w:color w:val="auto"/>
              </w:rPr>
            </w:pPr>
          </w:p>
        </w:tc>
      </w:tr>
      <w:tr>
        <w:trPr>
          <w:trHeight w:val="237"/>
        </w:trPr>
        <w:tc>
          <w:tcPr>
            <w:tcW w:w="550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1,286</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1,435</w:t>
            </w:r>
          </w:p>
        </w:tc>
        <w:tc>
          <w:tcPr>
            <w:tcW w:w="80" w:type="dxa"/>
            <w:vAlign w:val="bottom"/>
          </w:tcPr>
          <w:p>
            <w:pPr>
              <w:spacing w:after="0"/>
              <w:rPr>
                <w:sz w:val="20"/>
                <w:szCs w:val="20"/>
                <w:color w:val="auto"/>
              </w:rPr>
            </w:pPr>
          </w:p>
        </w:tc>
      </w:tr>
      <w:tr>
        <w:trPr>
          <w:trHeight w:val="24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Accrued general and administrative expenses</w:t>
            </w:r>
          </w:p>
        </w:tc>
        <w:tc>
          <w:tcPr>
            <w:tcW w:w="10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FF0FC"/>
          </w:tcPr>
          <w:p>
            <w:pPr>
              <w:spacing w:after="0"/>
              <w:rPr>
                <w:sz w:val="21"/>
                <w:szCs w:val="21"/>
                <w:color w:val="auto"/>
              </w:rPr>
            </w:pPr>
          </w:p>
        </w:tc>
      </w:tr>
      <w:tr>
        <w:trPr>
          <w:trHeight w:val="237"/>
        </w:trPr>
        <w:tc>
          <w:tcPr>
            <w:tcW w:w="5500" w:type="dxa"/>
            <w:vAlign w:val="bottom"/>
          </w:tcPr>
          <w:p>
            <w:pPr>
              <w:spacing w:after="0"/>
              <w:rPr>
                <w:sz w:val="20"/>
                <w:szCs w:val="20"/>
                <w:color w:val="auto"/>
              </w:rPr>
            </w:pPr>
            <w:r>
              <w:rPr>
                <w:rFonts w:ascii="Arial" w:cs="Arial" w:eastAsia="Arial" w:hAnsi="Arial"/>
                <w:sz w:val="18"/>
                <w:szCs w:val="18"/>
                <w:color w:val="auto"/>
              </w:rPr>
              <w:t>Operating lease liability, current portion</w:t>
            </w:r>
          </w:p>
        </w:tc>
        <w:tc>
          <w:tcPr>
            <w:tcW w:w="10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20"/>
                <w:szCs w:val="20"/>
                <w:color w:val="auto"/>
              </w:rPr>
            </w:pPr>
          </w:p>
        </w:tc>
      </w:tr>
      <w:tr>
        <w:trPr>
          <w:trHeight w:val="277"/>
        </w:trPr>
        <w:tc>
          <w:tcPr>
            <w:tcW w:w="55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accrued expenses and other current liabilities</w:t>
            </w:r>
          </w:p>
        </w:tc>
        <w:tc>
          <w:tcPr>
            <w:tcW w:w="1060" w:type="dxa"/>
            <w:vAlign w:val="bottom"/>
            <w:tcBorders>
              <w:bottom w:val="single" w:sz="8" w:color="auto"/>
            </w:tcBorders>
            <w:shd w:val="clear" w:color="auto" w:fill="CFF0FC"/>
          </w:tcPr>
          <w:p>
            <w:pPr>
              <w:jc w:val="right"/>
              <w:ind w:right="87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9,399</w:t>
            </w:r>
          </w:p>
        </w:tc>
        <w:tc>
          <w:tcPr>
            <w:tcW w:w="26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-25400</wp:posOffset>
            </wp:positionV>
            <wp:extent cx="603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-8255</wp:posOffset>
            </wp:positionV>
            <wp:extent cx="6032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research and development expenses were primarily related to clinical trials and manufacturing of clinical drug supply.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Operating Leases</w:t>
      </w:r>
    </w:p>
    <w:p>
      <w:pPr>
        <w:spacing w:after="0" w:line="121"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The Company leases space under non-cancelable operating leases which require the Company to pay base rent, real estate taxes, insurance, general repairs, and maintenance.</w:t>
      </w:r>
    </w:p>
    <w:p>
      <w:pPr>
        <w:spacing w:after="0" w:line="62"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In February 2020, the Company entered into a non-cancelable operating lease for approximately 8,000 square feet of office space in Daly City, California with a commencement date of September 2020 and an expiration date of November 2025 (the Daly City Lease). On November 28, 2022, the Company entered into a lease termination agreement with the landlord to terminate the Daly City Lease effective December 31, 2022. As consideration, in January 2023, the landlord paid the Company a termination fee of $0.6 million and returned the existing letter of credit of $0.2 million. On December 31, 2022, in connection with the termination, the Company derecognized the right-of-use asset and the lease liability in the balance sheet and recognized a gain on termination of $0.8 million in interest and other income, net in the statement of operations and comprehensive loss.</w:t>
      </w:r>
    </w:p>
    <w:p>
      <w:pPr>
        <w:spacing w:after="0" w:line="56"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In December 2022, the Company entered into a non-cancelable operating lease for approximately 6,500 square feet of office space in South San Francisco, California, which commenced in December 2022 and expires in February 2028 (the South San Francisco Lease). Total minimum rental payments for the South San Francisco Lease are $1.7 million over the lease term. The Company has an option to extend the lease term of the South San Francisco Lease for an additional three years which has not been included in the lease term as it is not reasonably certain that the Company will exercise this option. The Company will also be responsible for the payment of additional rent to cover the Company's share of the annual operating and tax expense for the building. Under the terms of the South San Francisco Lease, the Company issued a letter of credit to the landlord of $29 thousand, which is collateralized by a restricted cash deposit of $29 thousand.</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information related to operating leases was follows (dollar amounts in thousands):</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72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3"/>
        </w:trPr>
        <w:tc>
          <w:tcPr>
            <w:tcW w:w="5720" w:type="dxa"/>
            <w:vAlign w:val="bottom"/>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87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720" w:type="dxa"/>
            <w:vAlign w:val="bottom"/>
          </w:tcPr>
          <w:p>
            <w:pPr>
              <w:spacing w:after="0"/>
              <w:rPr>
                <w:sz w:val="20"/>
                <w:szCs w:val="20"/>
                <w:color w:val="auto"/>
              </w:rPr>
            </w:pPr>
            <w:r>
              <w:rPr>
                <w:rFonts w:ascii="Arial" w:cs="Arial" w:eastAsia="Arial" w:hAnsi="Arial"/>
                <w:sz w:val="18"/>
                <w:szCs w:val="18"/>
                <w:color w:val="auto"/>
              </w:rPr>
              <w:t>Cash paid for operating lease liabilities</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492</w:t>
            </w:r>
          </w:p>
        </w:tc>
        <w:tc>
          <w:tcPr>
            <w:tcW w:w="220" w:type="dxa"/>
            <w:vAlign w:val="bottom"/>
          </w:tcPr>
          <w:p>
            <w:pPr>
              <w:spacing w:after="0"/>
              <w:rPr>
                <w:sz w:val="20"/>
                <w:szCs w:val="20"/>
                <w:color w:val="auto"/>
              </w:rPr>
            </w:pPr>
          </w:p>
        </w:tc>
        <w:tc>
          <w:tcPr>
            <w:tcW w:w="1060" w:type="dxa"/>
            <w:vAlign w:val="bottom"/>
          </w:tcPr>
          <w:p>
            <w:pPr>
              <w:jc w:val="right"/>
              <w:ind w:right="87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376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 (years)</w:t>
            </w:r>
          </w:p>
        </w:tc>
        <w:tc>
          <w:tcPr>
            <w:tcW w:w="10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0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8.0 %</w:t>
            </w:r>
          </w:p>
        </w:tc>
        <w:tc>
          <w:tcPr>
            <w:tcW w:w="106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7.0 %</w:t>
            </w:r>
          </w:p>
        </w:tc>
      </w:tr>
    </w:tbl>
    <w:p>
      <w:pPr>
        <w:spacing w:after="0" w:line="1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Variable lease expense for the years ended December 31, 2022 and 2021 was immaterial.</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Future minimum lease commitments under the Company’s non-cancelable operating leases as of December 31, 2022 were as follows (in thousands):</w:t>
      </w:r>
    </w:p>
    <w:p>
      <w:pPr>
        <w:spacing w:after="0" w:line="25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7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2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7"/>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FF0FC"/>
          </w:tcPr>
          <w:p>
            <w:pPr>
              <w:spacing w:after="0"/>
              <w:rPr>
                <w:sz w:val="20"/>
                <w:szCs w:val="20"/>
                <w:color w:val="auto"/>
              </w:rPr>
            </w:pPr>
          </w:p>
        </w:tc>
      </w:tr>
      <w:tr>
        <w:trPr>
          <w:trHeight w:val="237"/>
        </w:trPr>
        <w:tc>
          <w:tcPr>
            <w:tcW w:w="794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0"/>
                <w:szCs w:val="20"/>
                <w:color w:val="auto"/>
              </w:rPr>
            </w:pPr>
          </w:p>
        </w:tc>
      </w:tr>
      <w:tr>
        <w:trPr>
          <w:trHeight w:val="249"/>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FF0FC"/>
          </w:tcPr>
          <w:p>
            <w:pPr>
              <w:spacing w:after="0"/>
              <w:rPr>
                <w:sz w:val="21"/>
                <w:szCs w:val="21"/>
                <w:color w:val="auto"/>
              </w:rPr>
            </w:pPr>
          </w:p>
        </w:tc>
      </w:tr>
      <w:tr>
        <w:trPr>
          <w:trHeight w:val="237"/>
        </w:trPr>
        <w:tc>
          <w:tcPr>
            <w:tcW w:w="7940" w:type="dxa"/>
            <w:vAlign w:val="bottom"/>
          </w:tcPr>
          <w:p>
            <w:pPr>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0"/>
                <w:szCs w:val="20"/>
                <w:color w:val="auto"/>
              </w:rPr>
            </w:pPr>
          </w:p>
        </w:tc>
      </w:tr>
      <w:tr>
        <w:trPr>
          <w:trHeight w:val="249"/>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FF0FC"/>
          </w:tcPr>
          <w:p>
            <w:pPr>
              <w:spacing w:after="0"/>
              <w:rPr>
                <w:sz w:val="21"/>
                <w:szCs w:val="21"/>
                <w:color w:val="auto"/>
              </w:rPr>
            </w:pPr>
          </w:p>
        </w:tc>
      </w:tr>
      <w:tr>
        <w:trPr>
          <w:trHeight w:val="237"/>
        </w:trPr>
        <w:tc>
          <w:tcPr>
            <w:tcW w:w="7940" w:type="dxa"/>
            <w:vAlign w:val="bottom"/>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r>
      <w:tr>
        <w:trPr>
          <w:trHeight w:val="243"/>
        </w:trPr>
        <w:tc>
          <w:tcPr>
            <w:tcW w:w="7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undiscounted operating lease payments</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FF0FC"/>
          </w:tcPr>
          <w:p>
            <w:pPr>
              <w:spacing w:after="0"/>
              <w:rPr>
                <w:sz w:val="21"/>
                <w:szCs w:val="21"/>
                <w:color w:val="auto"/>
              </w:rPr>
            </w:pPr>
          </w:p>
        </w:tc>
      </w:tr>
      <w:tr>
        <w:trPr>
          <w:trHeight w:val="237"/>
        </w:trPr>
        <w:tc>
          <w:tcPr>
            <w:tcW w:w="7940" w:type="dxa"/>
            <w:vAlign w:val="bottom"/>
          </w:tcPr>
          <w:p>
            <w:pPr>
              <w:spacing w:after="0"/>
              <w:rPr>
                <w:sz w:val="20"/>
                <w:szCs w:val="20"/>
                <w:color w:val="auto"/>
              </w:rPr>
            </w:pPr>
            <w:r>
              <w:rPr>
                <w:rFonts w:ascii="Arial" w:cs="Arial" w:eastAsia="Arial" w:hAnsi="Arial"/>
                <w:sz w:val="18"/>
                <w:szCs w:val="18"/>
                <w:color w:val="auto"/>
              </w:rPr>
              <w:t>Less: present value discount</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(340 )</w:t>
            </w:r>
          </w:p>
        </w:tc>
      </w:tr>
      <w:tr>
        <w:trPr>
          <w:trHeight w:val="277"/>
        </w:trPr>
        <w:tc>
          <w:tcPr>
            <w:tcW w:w="79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operating lease liability</w:t>
            </w:r>
          </w:p>
        </w:tc>
        <w:tc>
          <w:tcPr>
            <w:tcW w:w="20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940" w:type="dxa"/>
            <w:vAlign w:val="bottom"/>
          </w:tcPr>
          <w:p>
            <w:pPr>
              <w:spacing w:after="0"/>
              <w:rPr>
                <w:sz w:val="20"/>
                <w:szCs w:val="20"/>
                <w:color w:val="auto"/>
              </w:rPr>
            </w:pPr>
            <w:r>
              <w:rPr>
                <w:rFonts w:ascii="Arial" w:cs="Arial" w:eastAsia="Arial" w:hAnsi="Arial"/>
                <w:sz w:val="18"/>
                <w:szCs w:val="18"/>
                <w:color w:val="auto"/>
              </w:rPr>
              <w:t>Operating lease liability, current portion*</w:t>
            </w:r>
          </w:p>
        </w:tc>
        <w:tc>
          <w:tcPr>
            <w:tcW w:w="96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r>
      <w:tr>
        <w:trPr>
          <w:trHeight w:val="243"/>
        </w:trPr>
        <w:tc>
          <w:tcPr>
            <w:tcW w:w="7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liability, net of current portion</w:t>
            </w:r>
          </w:p>
        </w:tc>
        <w:tc>
          <w:tcPr>
            <w:tcW w:w="20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940" w:type="dxa"/>
            <w:vAlign w:val="bottom"/>
          </w:tcPr>
          <w:p>
            <w:pPr>
              <w:ind w:left="180"/>
              <w:spacing w:after="0"/>
              <w:rPr>
                <w:sz w:val="20"/>
                <w:szCs w:val="20"/>
                <w:color w:val="auto"/>
              </w:rPr>
            </w:pPr>
            <w:r>
              <w:rPr>
                <w:rFonts w:ascii="Arial" w:cs="Arial" w:eastAsia="Arial" w:hAnsi="Arial"/>
                <w:sz w:val="18"/>
                <w:szCs w:val="18"/>
                <w:color w:val="auto"/>
              </w:rPr>
              <w:t>Total operating lease liability</w:t>
            </w:r>
          </w:p>
        </w:tc>
        <w:tc>
          <w:tcPr>
            <w:tcW w:w="96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20"/>
                <w:szCs w:val="20"/>
                <w:color w:val="auto"/>
              </w:rPr>
            </w:pPr>
          </w:p>
        </w:tc>
      </w:tr>
      <w:tr>
        <w:trPr>
          <w:trHeight w:val="20"/>
        </w:trPr>
        <w:tc>
          <w:tcPr>
            <w:tcW w:w="7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-521970</wp:posOffset>
            </wp:positionV>
            <wp:extent cx="60325" cy="1797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4972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0325" cy="497205"/>
                    </a:xfrm>
                    <a:prstGeom prst="rect">
                      <a:avLst/>
                    </a:prstGeom>
                    <a:noFill/>
                  </pic:spPr>
                </pic:pic>
              </a:graphicData>
            </a:graphic>
          </wp:anchor>
        </w:drawing>
      </w:r>
    </w:p>
    <w:p>
      <w:pPr>
        <w:spacing w:after="0" w:line="222" w:lineRule="exact"/>
        <w:rPr>
          <w:sz w:val="20"/>
          <w:szCs w:val="20"/>
          <w:color w:val="auto"/>
        </w:rPr>
      </w:pPr>
    </w:p>
    <w:p>
      <w:pPr>
        <w:ind w:left="720" w:hanging="132"/>
        <w:spacing w:after="0"/>
        <w:tabs>
          <w:tab w:leader="none" w:pos="720" w:val="left"/>
        </w:tabs>
        <w:numPr>
          <w:ilvl w:val="1"/>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accrued expenses and other current liabilities on the balance sheets</w:t>
      </w:r>
    </w:p>
    <w:p>
      <w:pPr>
        <w:spacing w:after="0" w:line="200" w:lineRule="exact"/>
        <w:rPr>
          <w:rFonts w:ascii="Arial" w:cs="Arial" w:eastAsia="Arial" w:hAnsi="Arial"/>
          <w:sz w:val="18"/>
          <w:szCs w:val="18"/>
          <w:i w:val="1"/>
          <w:iCs w:val="1"/>
          <w:color w:val="auto"/>
        </w:rPr>
      </w:pPr>
    </w:p>
    <w:p>
      <w:pPr>
        <w:spacing w:after="0" w:line="358" w:lineRule="exact"/>
        <w:rPr>
          <w:rFonts w:ascii="Arial" w:cs="Arial" w:eastAsia="Arial" w:hAnsi="Arial"/>
          <w:sz w:val="18"/>
          <w:szCs w:val="18"/>
          <w:i w:val="1"/>
          <w:iCs w:val="1"/>
          <w:color w:val="auto"/>
        </w:rPr>
      </w:pPr>
    </w:p>
    <w:p>
      <w:pPr>
        <w:ind w:left="180" w:hanging="172"/>
        <w:spacing w:after="0"/>
        <w:tabs>
          <w:tab w:leader="none" w:pos="1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Term Loan</w:t>
      </w:r>
    </w:p>
    <w:p>
      <w:pPr>
        <w:spacing w:after="0" w:line="121"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In September 2019, the Company entered into a Loan and Security Agreement, as subsequently amended (the Loan Agreement) with Silicon Valley Bank (SVB) providing for a term loan (the Term Loan) for an aggregate principal amount of $4.5 million.</w:t>
      </w:r>
    </w:p>
    <w:p>
      <w:pPr>
        <w:spacing w:after="0" w:line="62" w:lineRule="exact"/>
        <w:rPr>
          <w:sz w:val="20"/>
          <w:szCs w:val="20"/>
          <w:color w:val="auto"/>
        </w:rPr>
      </w:pPr>
    </w:p>
    <w:p>
      <w:pPr>
        <w:ind w:right="180" w:firstLine="509"/>
        <w:spacing w:after="0" w:line="301" w:lineRule="auto"/>
        <w:rPr>
          <w:sz w:val="20"/>
          <w:szCs w:val="20"/>
          <w:color w:val="auto"/>
        </w:rPr>
      </w:pPr>
      <w:r>
        <w:rPr>
          <w:rFonts w:ascii="Arial" w:cs="Arial" w:eastAsia="Arial" w:hAnsi="Arial"/>
          <w:sz w:val="16"/>
          <w:szCs w:val="16"/>
          <w:color w:val="auto"/>
        </w:rPr>
        <w:t>In September 2019 and in connection with the Loan Agreement, the Company issued a warrant to purchase up to an aggregate of 49,609 shares of common stock at $1.44 per share. The Company determined the initial fair value of the warrant to be $0.1 million using the Black-Scholes option-pricing model. The fair value of the warrant was recorded to equity and as a debt discount, which was being amortized to interest expense using the effective interest method over the term of the Term Loan. In November 2020, the warrant was net-exercised for 46,358 shares of common stock.</w:t>
      </w:r>
    </w:p>
    <w:p>
      <w:pPr>
        <w:spacing w:after="0" w:line="49"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 March 2021, the Company entered into a First Amendment to Loan and Security Agreement (the First Amendment), which increased the aggregate principal amount of the Term Loan to $30.0 million, of which $20.0 million was immediately available under the first tranche (First Tranche) and $10.0 million was available under the second tranche through December 31, 2022 (Second Tranche), subject to the completion of certain clinical or financial milestones. Pursuant to the First Amendment, the Term Loan will mature on January 1, 2026.</w:t>
      </w:r>
    </w:p>
    <w:p>
      <w:pPr>
        <w:spacing w:after="0" w:line="79" w:lineRule="exact"/>
        <w:rPr>
          <w:sz w:val="20"/>
          <w:szCs w:val="20"/>
          <w:color w:val="auto"/>
        </w:rPr>
      </w:pPr>
    </w:p>
    <w:p>
      <w:pPr>
        <w:ind w:right="420" w:firstLine="509"/>
        <w:spacing w:after="0" w:line="342" w:lineRule="auto"/>
        <w:rPr>
          <w:sz w:val="20"/>
          <w:szCs w:val="20"/>
          <w:color w:val="auto"/>
        </w:rPr>
      </w:pPr>
      <w:r>
        <w:rPr>
          <w:rFonts w:ascii="Arial" w:cs="Arial" w:eastAsia="Arial" w:hAnsi="Arial"/>
          <w:sz w:val="16"/>
          <w:szCs w:val="16"/>
          <w:color w:val="auto"/>
        </w:rPr>
        <w:t>In May 2022, the Company entered into a Second Amendment to Loan and Security Agreement (the Second Amendment), which amended the milestones for the Second Tranche, added a liquidity covenant for the Second Tranche and amended the interest and prepayment terms.</w:t>
      </w:r>
    </w:p>
    <w:p>
      <w:pPr>
        <w:spacing w:after="0" w:line="16" w:lineRule="exact"/>
        <w:rPr>
          <w:sz w:val="20"/>
          <w:szCs w:val="20"/>
          <w:color w:val="auto"/>
        </w:rPr>
      </w:pPr>
    </w:p>
    <w:p>
      <w:pPr>
        <w:jc w:val="both"/>
        <w:ind w:right="160" w:firstLine="509"/>
        <w:spacing w:after="0" w:line="286" w:lineRule="auto"/>
        <w:rPr>
          <w:sz w:val="20"/>
          <w:szCs w:val="20"/>
          <w:color w:val="auto"/>
        </w:rPr>
      </w:pPr>
      <w:r>
        <w:rPr>
          <w:rFonts w:ascii="Arial" w:cs="Arial" w:eastAsia="Arial" w:hAnsi="Arial"/>
          <w:sz w:val="17"/>
          <w:szCs w:val="17"/>
          <w:color w:val="auto"/>
        </w:rPr>
        <w:t>As of December 31, 2022, the carrying value of the Term Loan was $4.9 million, consisting of the outstanding principal under the First Tranche of $5.0 million, less unamortized debt discount and issuance costs of $0.1 million which are being amortized using the effective interest method over the life of the Term Loan. Commitments available under the Second Tranche of $10.0 million expired on December 31, 2022.</w:t>
      </w:r>
    </w:p>
    <w:p>
      <w:pPr>
        <w:spacing w:after="0" w:line="57" w:lineRule="exact"/>
        <w:rPr>
          <w:sz w:val="20"/>
          <w:szCs w:val="20"/>
          <w:color w:val="auto"/>
        </w:rPr>
      </w:pPr>
    </w:p>
    <w:p>
      <w:pPr>
        <w:ind w:right="320" w:firstLine="509"/>
        <w:spacing w:after="0" w:line="293" w:lineRule="auto"/>
        <w:rPr>
          <w:sz w:val="20"/>
          <w:szCs w:val="20"/>
          <w:color w:val="auto"/>
        </w:rPr>
      </w:pPr>
      <w:r>
        <w:rPr>
          <w:rFonts w:ascii="Arial" w:cs="Arial" w:eastAsia="Arial" w:hAnsi="Arial"/>
          <w:sz w:val="16"/>
          <w:szCs w:val="16"/>
          <w:color w:val="auto"/>
        </w:rPr>
        <w:t>The Loan Agreement provides for monthly cash interest-only payments following the funding date of each respective tranche and continuing thereafter through December 31, 2022. The Term Loan is subject to a floating per annum interest rate equal to the greater of (a) 0.50% above the Prime Rate (as defined in the Loan Agreement) or (b) 3.75%. Following the interest-only period, the outstanding Term Loan balance will be payable in (i) 37 consecutive monthly payments after the end of the interest-only period and continuing on the same day of each month thereafter, in amounts that would fully amortize such Term Loan balance, as of the first business day of the first month following the amended interest-only period, over the repayment period, plus (ii) monthly payments of accrued but unpaid interest. As of December 31, 2022, the stated interest rate of the Term Loan was 8.0%.</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The final payment is due on the maturity date and includes all outstanding principal plus accrued unpaid interest and an end of term payment totaling $0.3 million (the Supplemental Final Payment which is 6.0% of the original funded principal amount of the First Tranche). The Company may prepay amounts outstanding under the Term Loan at any time provided certain notification conditions are met, in which case, all outstanding principal plus accrued and unpaid interest, the Supplemental Final Payment, a prepayment fee of 1% or 2% of the principal amount of the First Tranche, and any bank expenses become due and payable.</w:t>
      </w:r>
    </w:p>
    <w:p>
      <w:pPr>
        <w:spacing w:after="0" w:line="80" w:lineRule="exact"/>
        <w:rPr>
          <w:sz w:val="20"/>
          <w:szCs w:val="20"/>
          <w:color w:val="auto"/>
        </w:rPr>
      </w:pPr>
    </w:p>
    <w:p>
      <w:pPr>
        <w:jc w:val="both"/>
        <w:ind w:right="120" w:firstLine="509"/>
        <w:spacing w:after="0" w:line="286" w:lineRule="auto"/>
        <w:rPr>
          <w:sz w:val="20"/>
          <w:szCs w:val="20"/>
          <w:color w:val="auto"/>
        </w:rPr>
      </w:pPr>
      <w:r>
        <w:rPr>
          <w:rFonts w:ascii="Arial" w:cs="Arial" w:eastAsia="Arial" w:hAnsi="Arial"/>
          <w:sz w:val="17"/>
          <w:szCs w:val="17"/>
          <w:color w:val="auto"/>
        </w:rPr>
        <w:t>The Company is subject to customary affirmative and restrictive covenants under the Loan Agreement. The Company’s obligations under the Loan Agreement are secured by a first priority security interest in substantially all of its current and future assets, other than intellectual property. The Company also agreed not to encumber its intellectual property assets, except as permitted by the Loan Agreement.</w:t>
      </w:r>
    </w:p>
    <w:p>
      <w:pPr>
        <w:spacing w:after="0" w:line="57"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The Loan Agreement also contains customary indemnification obligations and customary events of default, including, among other things, the Company’s failure to fulfill certain obligations under the Loan Agreement and the occurrence of a material adverse change in its business, operations, or condition (financial or otherwise), a material impairment of the prospect of repayment of any portion of the loan, or a material impairment in the perfection or priority of lender’s lien in the collateral or in the value of such collateral. In the event of default by the Company under the Loan Agreement, the lender would be entitled to exercise their remedies thereunder, including the right to accelerate the debt, upon which the Company may be required to repay all amounts then outstanding under the Loan Agreement. As of December 31, 2022, the Company was in compliance with all covenants under the Loan Agreement and there has been no material adverse change.</w:t>
      </w:r>
    </w:p>
    <w:p>
      <w:pPr>
        <w:spacing w:after="0" w:line="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2022, future payments of principal and interest are as follows (in thousands):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7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16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36"/>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FF0FC"/>
          </w:tcPr>
          <w:p>
            <w:pPr>
              <w:spacing w:after="0"/>
              <w:rPr>
                <w:sz w:val="20"/>
                <w:szCs w:val="20"/>
                <w:color w:val="auto"/>
              </w:rPr>
            </w:pPr>
          </w:p>
        </w:tc>
        <w:tc>
          <w:tcPr>
            <w:tcW w:w="580" w:type="dxa"/>
            <w:vAlign w:val="bottom"/>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1,966</w:t>
            </w:r>
          </w:p>
        </w:tc>
        <w:tc>
          <w:tcPr>
            <w:tcW w:w="80" w:type="dxa"/>
            <w:vAlign w:val="bottom"/>
            <w:shd w:val="clear" w:color="auto" w:fill="CFF0FC"/>
          </w:tcPr>
          <w:p>
            <w:pPr>
              <w:spacing w:after="0"/>
              <w:rPr>
                <w:sz w:val="20"/>
                <w:szCs w:val="20"/>
                <w:color w:val="auto"/>
              </w:rPr>
            </w:pPr>
          </w:p>
        </w:tc>
      </w:tr>
      <w:tr>
        <w:trPr>
          <w:trHeight w:val="237"/>
        </w:trPr>
        <w:tc>
          <w:tcPr>
            <w:tcW w:w="718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1,836</w:t>
            </w:r>
          </w:p>
        </w:tc>
        <w:tc>
          <w:tcPr>
            <w:tcW w:w="80" w:type="dxa"/>
            <w:vAlign w:val="bottom"/>
          </w:tcPr>
          <w:p>
            <w:pPr>
              <w:spacing w:after="0"/>
              <w:rPr>
                <w:sz w:val="20"/>
                <w:szCs w:val="20"/>
                <w:color w:val="auto"/>
              </w:rPr>
            </w:pPr>
          </w:p>
        </w:tc>
      </w:tr>
      <w:tr>
        <w:trPr>
          <w:trHeight w:val="249"/>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1,704</w:t>
            </w:r>
          </w:p>
        </w:tc>
        <w:tc>
          <w:tcPr>
            <w:tcW w:w="80" w:type="dxa"/>
            <w:vAlign w:val="bottom"/>
            <w:shd w:val="clear" w:color="auto" w:fill="CFF0FC"/>
          </w:tcPr>
          <w:p>
            <w:pPr>
              <w:spacing w:after="0"/>
              <w:rPr>
                <w:sz w:val="21"/>
                <w:szCs w:val="21"/>
                <w:color w:val="auto"/>
              </w:rPr>
            </w:pPr>
          </w:p>
        </w:tc>
      </w:tr>
      <w:tr>
        <w:trPr>
          <w:trHeight w:val="237"/>
        </w:trPr>
        <w:tc>
          <w:tcPr>
            <w:tcW w:w="7180" w:type="dxa"/>
            <w:vAlign w:val="bottom"/>
          </w:tcPr>
          <w:p>
            <w:pPr>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20"/>
                <w:szCs w:val="20"/>
                <w:color w:val="auto"/>
              </w:rPr>
            </w:pPr>
          </w:p>
        </w:tc>
      </w:tr>
      <w:tr>
        <w:trPr>
          <w:trHeight w:val="277"/>
        </w:trPr>
        <w:tc>
          <w:tcPr>
            <w:tcW w:w="71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auto"/>
            </w:tcBorders>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5,642</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Less: interest</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(642 </w:t>
            </w:r>
            <w:r>
              <w:rPr>
                <w:rFonts w:ascii="Arial" w:cs="Arial" w:eastAsia="Arial" w:hAnsi="Arial"/>
                <w:sz w:val="18"/>
                <w:szCs w:val="18"/>
                <w:color w:val="auto"/>
                <w:highlight w:val="white"/>
              </w:rPr>
              <w:t>)</w:t>
            </w:r>
          </w:p>
        </w:tc>
      </w:tr>
      <w:tr>
        <w:trPr>
          <w:trHeight w:val="277"/>
        </w:trPr>
        <w:tc>
          <w:tcPr>
            <w:tcW w:w="71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Term loan, gross</w:t>
            </w:r>
          </w:p>
        </w:tc>
        <w:tc>
          <w:tcPr>
            <w:tcW w:w="16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top w:val="single" w:sz="8" w:color="auto"/>
              <w:bottom w:val="single" w:sz="8" w:color="auto"/>
            </w:tcBorders>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Less: unamortized debt issuance costs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color w:val="auto"/>
                <w:highlight w:val="white"/>
              </w:rPr>
              <w:t>)</w:t>
            </w:r>
          </w:p>
        </w:tc>
      </w:tr>
      <w:tr>
        <w:trPr>
          <w:trHeight w:val="243"/>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Less: term loan, current portion</w:t>
            </w: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(1,622 )</w:t>
            </w:r>
          </w:p>
        </w:tc>
      </w:tr>
      <w:tr>
        <w:trPr>
          <w:trHeight w:val="20"/>
        </w:trPr>
        <w:tc>
          <w:tcPr>
            <w:tcW w:w="71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7180" w:type="dxa"/>
            <w:vAlign w:val="bottom"/>
          </w:tcPr>
          <w:p>
            <w:pPr>
              <w:ind w:left="180"/>
              <w:spacing w:after="0"/>
              <w:rPr>
                <w:sz w:val="20"/>
                <w:szCs w:val="20"/>
                <w:color w:val="auto"/>
              </w:rPr>
            </w:pPr>
            <w:r>
              <w:rPr>
                <w:rFonts w:ascii="Arial" w:cs="Arial" w:eastAsia="Arial" w:hAnsi="Arial"/>
                <w:sz w:val="18"/>
                <w:szCs w:val="18"/>
                <w:color w:val="auto"/>
              </w:rPr>
              <w:t>Term loan, net of current portion</w:t>
            </w:r>
          </w:p>
        </w:tc>
        <w:tc>
          <w:tcPr>
            <w:tcW w:w="740" w:type="dxa"/>
            <w:vAlign w:val="bottom"/>
            <w:gridSpan w:val="2"/>
          </w:tcPr>
          <w:p>
            <w:pPr>
              <w:jc w:val="right"/>
              <w:ind w:right="4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3,293</w:t>
            </w:r>
          </w:p>
        </w:tc>
        <w:tc>
          <w:tcPr>
            <w:tcW w:w="80" w:type="dxa"/>
            <w:vAlign w:val="bottom"/>
          </w:tcPr>
          <w:p>
            <w:pPr>
              <w:spacing w:after="0"/>
              <w:rPr>
                <w:sz w:val="20"/>
                <w:szCs w:val="20"/>
                <w:color w:val="auto"/>
              </w:rPr>
            </w:pPr>
          </w:p>
        </w:tc>
      </w:tr>
      <w:tr>
        <w:trPr>
          <w:trHeight w:val="20"/>
        </w:trPr>
        <w:tc>
          <w:tcPr>
            <w:tcW w:w="7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-864870</wp:posOffset>
            </wp:positionV>
            <wp:extent cx="514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-521970</wp:posOffset>
            </wp:positionV>
            <wp:extent cx="514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21"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From time to time, the Company may have certain contingent liabilities that arise in the ordinary course of business. The Company evaluates the likelihood of an unfavorable outcome in legal or regulatory proceedings to which it is a party and records a loss contingency on an undiscounted basis when it is probable that a liability has been incurred and the amount of the loss can be reasonably estimated. These judgments are subjective and based on the status of such legal proceedings, the merits of the Company’s defenses, and consultation with legal counsel. Actual outcomes of these legal proceedings may differ materially from the Company’s estimates. The Company estimates accruals for legal expenses when incurred as of each balance sheet date based on the facts and circumstances known to the Company at that time.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440" w:firstLine="509"/>
        <w:spacing w:after="0" w:line="275" w:lineRule="auto"/>
        <w:rPr>
          <w:sz w:val="20"/>
          <w:szCs w:val="20"/>
          <w:color w:val="auto"/>
        </w:rPr>
      </w:pPr>
      <w:r>
        <w:rPr>
          <w:rFonts w:ascii="Arial" w:cs="Arial" w:eastAsia="Arial" w:hAnsi="Arial"/>
          <w:sz w:val="17"/>
          <w:szCs w:val="17"/>
          <w:color w:val="auto"/>
        </w:rPr>
        <w:t>The Company’s industry is characterized by frequent claims and litigation, including claims regarding intellectual property. As a result, the Company may be subject to various legal proceedings from time to time. The results of any future litigation cannot be predicted with certainty, and regardless of the outcome, litigation can have an adverse impact on the Company because of defense and settlement costs, diversion of management resources and other factors. The Company was not subject to any material legal proceedings during the years ended December 31, 2022 and 2021 and management is not aware of any pending or threatened litigation.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Capital Structure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2022 and 2021, the Company was authorized to issue 200,000,000 shares of $0.0001 par value common stock,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Holders of the Company’s common stock are entitled to dividends if and when declared by the Board of Directors of the Company (Board of Directors).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holder of each share of common stock is entitled to one vote. As of December 31, 2022, no dividends were declared.</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 reserved for future issuance, on an as converted basis, consisted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80" w:type="dxa"/>
            <w:vAlign w:val="bottom"/>
          </w:tcPr>
          <w:p>
            <w:pPr>
              <w:spacing w:after="0"/>
              <w:rPr>
                <w:sz w:val="16"/>
                <w:szCs w:val="16"/>
                <w:color w:val="auto"/>
              </w:rPr>
            </w:pPr>
          </w:p>
        </w:tc>
        <w:tc>
          <w:tcPr>
            <w:tcW w:w="2260" w:type="dxa"/>
            <w:vAlign w:val="bottom"/>
            <w:tcBorders>
              <w:bottom w:val="single" w:sz="8" w:color="auto"/>
            </w:tcBorders>
            <w:gridSpan w:val="3"/>
          </w:tcPr>
          <w:p>
            <w:pPr>
              <w:ind w:left="126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780" w:type="dxa"/>
            <w:vAlign w:val="bottom"/>
          </w:tcPr>
          <w:p>
            <w:pPr>
              <w:spacing w:after="0"/>
              <w:rPr>
                <w:sz w:val="19"/>
                <w:szCs w:val="19"/>
                <w:color w:val="auto"/>
              </w:rPr>
            </w:pPr>
          </w:p>
        </w:tc>
        <w:tc>
          <w:tcPr>
            <w:tcW w:w="15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r>
      <w:tr>
        <w:trPr>
          <w:trHeight w:val="237"/>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 issued and outstanding</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4,166,194</w:t>
            </w:r>
          </w:p>
        </w:tc>
        <w:tc>
          <w:tcPr>
            <w:tcW w:w="2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2,215,942</w:t>
            </w:r>
          </w:p>
        </w:tc>
        <w:tc>
          <w:tcPr>
            <w:tcW w:w="100" w:type="dxa"/>
            <w:vAlign w:val="bottom"/>
            <w:shd w:val="clear" w:color="auto" w:fill="CFF0FC"/>
          </w:tcPr>
          <w:p>
            <w:pPr>
              <w:spacing w:after="0"/>
              <w:rPr>
                <w:sz w:val="20"/>
                <w:szCs w:val="20"/>
                <w:color w:val="auto"/>
              </w:rPr>
            </w:pPr>
          </w:p>
        </w:tc>
      </w:tr>
      <w:tr>
        <w:trPr>
          <w:trHeight w:val="237"/>
        </w:trPr>
        <w:tc>
          <w:tcPr>
            <w:tcW w:w="7780" w:type="dxa"/>
            <w:vAlign w:val="bottom"/>
          </w:tcPr>
          <w:p>
            <w:pPr>
              <w:ind w:left="20"/>
              <w:spacing w:after="0"/>
              <w:rPr>
                <w:sz w:val="20"/>
                <w:szCs w:val="20"/>
                <w:color w:val="auto"/>
              </w:rPr>
            </w:pPr>
            <w:r>
              <w:rPr>
                <w:rFonts w:ascii="Arial" w:cs="Arial" w:eastAsia="Arial" w:hAnsi="Arial"/>
                <w:sz w:val="18"/>
                <w:szCs w:val="18"/>
                <w:color w:val="auto"/>
              </w:rPr>
              <w:t>Restricted and performance stock units, issued and outstanding</w:t>
            </w:r>
          </w:p>
        </w:tc>
        <w:tc>
          <w:tcPr>
            <w:tcW w:w="1560" w:type="dxa"/>
            <w:vAlign w:val="bottom"/>
          </w:tcPr>
          <w:p>
            <w:pPr>
              <w:jc w:val="right"/>
              <w:spacing w:after="0"/>
              <w:rPr>
                <w:sz w:val="20"/>
                <w:szCs w:val="20"/>
                <w:color w:val="auto"/>
              </w:rPr>
            </w:pPr>
            <w:r>
              <w:rPr>
                <w:rFonts w:ascii="Arial" w:cs="Arial" w:eastAsia="Arial" w:hAnsi="Arial"/>
                <w:sz w:val="18"/>
                <w:szCs w:val="18"/>
                <w:color w:val="auto"/>
              </w:rPr>
              <w:t>1,996,128</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460,000</w:t>
            </w:r>
          </w:p>
        </w:tc>
        <w:tc>
          <w:tcPr>
            <w:tcW w:w="100" w:type="dxa"/>
            <w:vAlign w:val="bottom"/>
          </w:tcPr>
          <w:p>
            <w:pPr>
              <w:spacing w:after="0"/>
              <w:rPr>
                <w:sz w:val="20"/>
                <w:szCs w:val="20"/>
                <w:color w:val="auto"/>
              </w:rPr>
            </w:pPr>
          </w:p>
        </w:tc>
      </w:tr>
      <w:tr>
        <w:trPr>
          <w:trHeight w:val="249"/>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available for future issuance under 2020 Equity Incentive Plan</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940,061</w:t>
            </w: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2,636,506</w:t>
            </w:r>
          </w:p>
        </w:tc>
        <w:tc>
          <w:tcPr>
            <w:tcW w:w="100" w:type="dxa"/>
            <w:vAlign w:val="bottom"/>
            <w:shd w:val="clear" w:color="auto" w:fill="CFF0FC"/>
          </w:tcPr>
          <w:p>
            <w:pPr>
              <w:spacing w:after="0"/>
              <w:rPr>
                <w:sz w:val="21"/>
                <w:szCs w:val="21"/>
                <w:color w:val="auto"/>
              </w:rPr>
            </w:pPr>
          </w:p>
        </w:tc>
      </w:tr>
      <w:tr>
        <w:trPr>
          <w:trHeight w:val="237"/>
        </w:trPr>
        <w:tc>
          <w:tcPr>
            <w:tcW w:w="7780" w:type="dxa"/>
            <w:vAlign w:val="bottom"/>
          </w:tcPr>
          <w:p>
            <w:pPr>
              <w:ind w:left="20"/>
              <w:spacing w:after="0"/>
              <w:rPr>
                <w:sz w:val="20"/>
                <w:szCs w:val="20"/>
                <w:color w:val="auto"/>
              </w:rPr>
            </w:pPr>
            <w:r>
              <w:rPr>
                <w:rFonts w:ascii="Arial" w:cs="Arial" w:eastAsia="Arial" w:hAnsi="Arial"/>
                <w:sz w:val="18"/>
                <w:szCs w:val="18"/>
                <w:color w:val="auto"/>
              </w:rPr>
              <w:t>Employee stock purchase plan, available for future issuance</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601,819</w:t>
            </w: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433,200</w:t>
            </w:r>
          </w:p>
        </w:tc>
        <w:tc>
          <w:tcPr>
            <w:tcW w:w="100" w:type="dxa"/>
            <w:vAlign w:val="bottom"/>
          </w:tcPr>
          <w:p>
            <w:pPr>
              <w:spacing w:after="0"/>
              <w:rPr>
                <w:sz w:val="20"/>
                <w:szCs w:val="20"/>
                <w:color w:val="auto"/>
              </w:rPr>
            </w:pPr>
          </w:p>
        </w:tc>
      </w:tr>
      <w:tr>
        <w:trPr>
          <w:trHeight w:val="277"/>
        </w:trPr>
        <w:tc>
          <w:tcPr>
            <w:tcW w:w="7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shares reserved</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7,704,202</w:t>
            </w:r>
          </w:p>
        </w:tc>
        <w:tc>
          <w:tcPr>
            <w:tcW w:w="22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5,745,648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-25400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The Company adopted the 2020 Equity Incentive Plan (the 2020 Plan) in October 2020. The 2020 Plan is a successor to and continuation of the Amended and Restated 2016 Equity Incentive Plan (the 2016 Plan) and provides for the granting of stock options, stock appreciation rights, restricted stock, restricted stock units, and other stock or cash-based awards to individuals who are then employees, officers, directors or consultants. A total of 2,647,684 shares of common stock were approved to be initially reserved for issuance under the 2020 Plan. In addition, the number of shares of common stock available for issuance under the 2020 Plan will be automatically increased on the first day of each calendar year during the ten-year term of the 2020 Plan, beginning with January 1, 2021 and ending with January 1, 2030, by an amount equal to 5% of the outstanding number of shares of the Company’s common stock on December 31st of the preceding calendar year or such lesser amount as determined by the Company’s Board of Directors. Following the effectiveness of the 2020 Plan, no further grants will be made under the 2016 Plan; however, shares subject to awards granted under the 2016 Plan will continue to be governed by the 2016 Plan.</w:t>
      </w:r>
    </w:p>
    <w:p>
      <w:pPr>
        <w:spacing w:after="0" w:line="73"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Board of Directors determines the per share exercise price of each stock option, which for ISOs shall not be less than 100% of the fair market value of a share on the date of grant; provided that the exercise price of an ISO granted to a stockholder who at the time of grant owns stock representing more than 10% of the voting power of all classes of stock (a 10% stockholder) shall not be less than 110% of the fair market value of a share on the date of grant.</w:t>
      </w:r>
    </w:p>
    <w:p>
      <w:pPr>
        <w:spacing w:after="0" w:line="79" w:lineRule="exact"/>
        <w:rPr>
          <w:sz w:val="20"/>
          <w:szCs w:val="20"/>
          <w:color w:val="auto"/>
        </w:rPr>
      </w:pPr>
    </w:p>
    <w:p>
      <w:pPr>
        <w:ind w:right="180" w:firstLine="509"/>
        <w:spacing w:after="0" w:line="311" w:lineRule="auto"/>
        <w:rPr>
          <w:sz w:val="20"/>
          <w:szCs w:val="20"/>
          <w:color w:val="auto"/>
        </w:rPr>
      </w:pPr>
      <w:r>
        <w:rPr>
          <w:rFonts w:ascii="Arial" w:cs="Arial" w:eastAsia="Arial" w:hAnsi="Arial"/>
          <w:sz w:val="16"/>
          <w:szCs w:val="16"/>
          <w:color w:val="auto"/>
        </w:rPr>
        <w:t>The Board of Directors determines the period over which options vest and become exercisable. Options granted to new employees generally vest over a four-year period: 25% of the shares vest on the first anniversary from the vesting commencement date of the option and an additional 1/48th of the shares vest on each monthly anniversary thereafter, subject to the employee’s continuous service through each vesting date.</w:t>
      </w:r>
    </w:p>
    <w:p>
      <w:pPr>
        <w:spacing w:after="0" w:line="41" w:lineRule="exact"/>
        <w:rPr>
          <w:sz w:val="20"/>
          <w:szCs w:val="20"/>
          <w:color w:val="auto"/>
        </w:rPr>
      </w:pPr>
    </w:p>
    <w:p>
      <w:pPr>
        <w:ind w:right="180" w:firstLine="509"/>
        <w:spacing w:after="0" w:line="311" w:lineRule="auto"/>
        <w:rPr>
          <w:sz w:val="20"/>
          <w:szCs w:val="20"/>
          <w:color w:val="auto"/>
        </w:rPr>
      </w:pPr>
      <w:r>
        <w:rPr>
          <w:rFonts w:ascii="Arial" w:cs="Arial" w:eastAsia="Arial" w:hAnsi="Arial"/>
          <w:sz w:val="16"/>
          <w:szCs w:val="16"/>
          <w:color w:val="auto"/>
        </w:rPr>
        <w:t>The Board of Directors also determines the term of options, provided the maximum term for ISOs granted to a 10% stockholder must be no longer than five years from date of grant and the maximum term for all other options must be no longer than ten years from date of grant. If an option holder’s service terminates, options generally terminate three months from the date of termination except under certain circumstances, such as death or disability.</w:t>
      </w:r>
    </w:p>
    <w:p>
      <w:pPr>
        <w:spacing w:after="0" w:line="41" w:lineRule="exact"/>
        <w:rPr>
          <w:sz w:val="20"/>
          <w:szCs w:val="20"/>
          <w:color w:val="auto"/>
        </w:rPr>
      </w:pPr>
    </w:p>
    <w:p>
      <w:pPr>
        <w:jc w:val="both"/>
        <w:ind w:right="260" w:firstLine="509"/>
        <w:spacing w:after="0" w:line="286" w:lineRule="auto"/>
        <w:rPr>
          <w:sz w:val="20"/>
          <w:szCs w:val="20"/>
          <w:color w:val="auto"/>
        </w:rPr>
      </w:pPr>
      <w:r>
        <w:rPr>
          <w:rFonts w:ascii="Arial" w:cs="Arial" w:eastAsia="Arial" w:hAnsi="Arial"/>
          <w:sz w:val="17"/>
          <w:szCs w:val="17"/>
          <w:color w:val="auto"/>
        </w:rPr>
        <w:t>Under the 2020 Plan and the 2016 Plan, individuals can be granted the ability to early exercise their options. There were no shares, related to the early exercise of options, subject to repurchase by the Company as of December 31, 2022. As of December 31, 2022, 940,061 shares remained available for issuance under the 2020 Plan and no shares remained available for issuance under the 2016 Plan.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 summary of the Company’s stock option activity and related information is as follows (in thousands, except share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vMerge w:val="restart"/>
          </w:tcPr>
          <w:p>
            <w:pPr>
              <w:jc w:val="center"/>
              <w:ind w:left="257"/>
              <w:spacing w:after="0"/>
              <w:rPr>
                <w:sz w:val="20"/>
                <w:szCs w:val="20"/>
                <w:color w:val="auto"/>
              </w:rPr>
            </w:pPr>
            <w:r>
              <w:rPr>
                <w:rFonts w:ascii="Arial" w:cs="Arial" w:eastAsia="Arial" w:hAnsi="Arial"/>
                <w:sz w:val="14"/>
                <w:szCs w:val="14"/>
                <w:b w:val="1"/>
                <w:bCs w:val="1"/>
                <w:color w:val="auto"/>
                <w:w w:val="94"/>
              </w:rPr>
              <w:t>Weighted-</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left="168"/>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Outstanding</w:t>
            </w:r>
          </w:p>
        </w:tc>
        <w:tc>
          <w:tcPr>
            <w:tcW w:w="10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020" w:type="dxa"/>
            <w:vAlign w:val="bottom"/>
          </w:tcPr>
          <w:p>
            <w:pPr>
              <w:jc w:val="center"/>
              <w:ind w:left="237"/>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1020" w:type="dxa"/>
            <w:vAlign w:val="bottom"/>
          </w:tcPr>
          <w:p>
            <w:pPr>
              <w:jc w:val="center"/>
              <w:ind w:left="257"/>
              <w:spacing w:after="0" w:line="149" w:lineRule="exact"/>
              <w:rPr>
                <w:sz w:val="20"/>
                <w:szCs w:val="20"/>
                <w:color w:val="auto"/>
              </w:rPr>
            </w:pPr>
            <w:r>
              <w:rPr>
                <w:rFonts w:ascii="Arial" w:cs="Arial" w:eastAsia="Arial" w:hAnsi="Arial"/>
                <w:sz w:val="14"/>
                <w:szCs w:val="14"/>
                <w:b w:val="1"/>
                <w:bCs w:val="1"/>
                <w:color w:val="auto"/>
                <w:w w:val="90"/>
              </w:rPr>
              <w:t>Exercise</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5"/>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4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Options</w:t>
            </w:r>
          </w:p>
        </w:tc>
        <w:tc>
          <w:tcPr>
            <w:tcW w:w="1020" w:type="dxa"/>
            <w:vAlign w:val="bottom"/>
          </w:tcPr>
          <w:p>
            <w:pPr>
              <w:jc w:val="center"/>
              <w:ind w:left="257"/>
              <w:spacing w:after="0"/>
              <w:rPr>
                <w:sz w:val="20"/>
                <w:szCs w:val="20"/>
                <w:color w:val="auto"/>
              </w:rPr>
            </w:pPr>
            <w:r>
              <w:rPr>
                <w:rFonts w:ascii="Arial" w:cs="Arial" w:eastAsia="Arial" w:hAnsi="Arial"/>
                <w:sz w:val="14"/>
                <w:szCs w:val="14"/>
                <w:b w:val="1"/>
                <w:bCs w:val="1"/>
                <w:color w:val="auto"/>
                <w:w w:val="93"/>
              </w:rPr>
              <w:t>Price</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center"/>
              <w:ind w:left="168"/>
              <w:spacing w:after="0"/>
              <w:rPr>
                <w:sz w:val="20"/>
                <w:szCs w:val="20"/>
                <w:color w:val="auto"/>
              </w:rPr>
            </w:pPr>
            <w:r>
              <w:rPr>
                <w:rFonts w:ascii="Arial" w:cs="Arial" w:eastAsia="Arial" w:hAnsi="Arial"/>
                <w:sz w:val="14"/>
                <w:szCs w:val="14"/>
                <w:b w:val="1"/>
                <w:bCs w:val="1"/>
                <w:color w:val="auto"/>
                <w:w w:val="94"/>
              </w:rPr>
              <w:t>Life (Years)</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8"/>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2021</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2,215,942</w:t>
            </w:r>
          </w:p>
        </w:tc>
        <w:tc>
          <w:tcPr>
            <w:tcW w:w="26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ind w:right="837"/>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4.72</w:t>
            </w:r>
          </w:p>
        </w:tc>
        <w:tc>
          <w:tcPr>
            <w:tcW w:w="20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6.9</w:t>
            </w: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20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2,811,375</w:t>
            </w:r>
          </w:p>
        </w:tc>
        <w:tc>
          <w:tcPr>
            <w:tcW w:w="260" w:type="dxa"/>
            <w:vAlign w:val="bottom"/>
          </w:tcPr>
          <w:p>
            <w:pPr>
              <w:spacing w:after="0"/>
              <w:rPr>
                <w:sz w:val="20"/>
                <w:szCs w:val="20"/>
                <w:color w:val="auto"/>
              </w:rPr>
            </w:pPr>
          </w:p>
        </w:tc>
        <w:tc>
          <w:tcPr>
            <w:tcW w:w="1020" w:type="dxa"/>
            <w:vAlign w:val="bottom"/>
          </w:tcPr>
          <w:p>
            <w:pPr>
              <w:jc w:val="right"/>
              <w:ind w:right="837"/>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2.86</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(992 )</w:t>
            </w:r>
          </w:p>
        </w:tc>
        <w:tc>
          <w:tcPr>
            <w:tcW w:w="1020" w:type="dxa"/>
            <w:vAlign w:val="bottom"/>
            <w:shd w:val="clear" w:color="auto" w:fill="CFF0FC"/>
          </w:tcPr>
          <w:p>
            <w:pPr>
              <w:jc w:val="right"/>
              <w:ind w:right="837"/>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1.39</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(860,131 )</w:t>
            </w:r>
          </w:p>
        </w:tc>
        <w:tc>
          <w:tcPr>
            <w:tcW w:w="1020" w:type="dxa"/>
            <w:vAlign w:val="bottom"/>
          </w:tcPr>
          <w:p>
            <w:pPr>
              <w:jc w:val="right"/>
              <w:ind w:right="837"/>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5.13</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as of December 31, 2022</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4,166,194</w:t>
            </w:r>
          </w:p>
        </w:tc>
        <w:tc>
          <w:tcPr>
            <w:tcW w:w="26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837"/>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5"/>
              </w:rPr>
              <w:t>3.38</w:t>
            </w:r>
          </w:p>
        </w:tc>
        <w:tc>
          <w:tcPr>
            <w:tcW w:w="2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7.7</w:t>
            </w:r>
          </w:p>
        </w:tc>
        <w:tc>
          <w:tcPr>
            <w:tcW w:w="460" w:type="dxa"/>
            <w:vAlign w:val="bottom"/>
            <w:tcBorders>
              <w:bottom w:val="single" w:sz="8" w:color="CFF0FC"/>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40" w:type="dxa"/>
            <w:vAlign w:val="bottom"/>
          </w:tcPr>
          <w:p>
            <w:pPr>
              <w:ind w:left="20"/>
              <w:spacing w:after="0" w:line="195" w:lineRule="exact"/>
              <w:rPr>
                <w:sz w:val="20"/>
                <w:szCs w:val="20"/>
                <w:color w:val="auto"/>
              </w:rPr>
            </w:pPr>
            <w:r>
              <w:rPr>
                <w:rFonts w:ascii="Arial" w:cs="Arial" w:eastAsia="Arial" w:hAnsi="Arial"/>
                <w:sz w:val="18"/>
                <w:szCs w:val="18"/>
                <w:color w:val="auto"/>
              </w:rPr>
              <w:t>Vested and expected to vest as of December 31,</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4,026,194</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040" w:type="dxa"/>
            <w:vAlign w:val="bottom"/>
          </w:tcPr>
          <w:p>
            <w:pPr>
              <w:ind w:left="160"/>
              <w:spacing w:after="0" w:line="203" w:lineRule="exact"/>
              <w:rPr>
                <w:sz w:val="20"/>
                <w:szCs w:val="20"/>
                <w:color w:val="auto"/>
              </w:rPr>
            </w:pPr>
            <w:r>
              <w:rPr>
                <w:rFonts w:ascii="Arial" w:cs="Arial" w:eastAsia="Arial" w:hAnsi="Arial"/>
                <w:sz w:val="18"/>
                <w:szCs w:val="18"/>
                <w:color w:val="auto"/>
              </w:rPr>
              <w:t>2022</w:t>
            </w:r>
          </w:p>
        </w:tc>
        <w:tc>
          <w:tcPr>
            <w:tcW w:w="140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837"/>
              <w:spacing w:after="0" w:line="203" w:lineRule="exact"/>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line="203" w:lineRule="exact"/>
              <w:rPr>
                <w:sz w:val="20"/>
                <w:szCs w:val="20"/>
                <w:color w:val="auto"/>
              </w:rPr>
            </w:pPr>
            <w:r>
              <w:rPr>
                <w:rFonts w:ascii="Arial" w:cs="Arial" w:eastAsia="Arial" w:hAnsi="Arial"/>
                <w:sz w:val="18"/>
                <w:szCs w:val="18"/>
                <w:color w:val="auto"/>
                <w:w w:val="85"/>
              </w:rPr>
              <w:t>3.33</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Arial" w:cs="Arial" w:eastAsia="Arial" w:hAnsi="Arial"/>
                <w:sz w:val="18"/>
                <w:szCs w:val="18"/>
                <w:color w:val="auto"/>
                <w:w w:val="87"/>
              </w:rPr>
              <w:t>7.6</w:t>
            </w:r>
          </w:p>
        </w:tc>
        <w:tc>
          <w:tcPr>
            <w:tcW w:w="460" w:type="dxa"/>
            <w:vAlign w:val="bottom"/>
            <w:gridSpan w:val="2"/>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Vested and exercisable as of December 31, 2022</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1,464,223</w:t>
            </w:r>
          </w:p>
        </w:tc>
        <w:tc>
          <w:tcPr>
            <w:tcW w:w="26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jc w:val="right"/>
              <w:ind w:right="837"/>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5"/>
              </w:rPr>
              <w:t>3.64</w:t>
            </w:r>
          </w:p>
        </w:tc>
        <w:tc>
          <w:tcPr>
            <w:tcW w:w="20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4.8</w:t>
            </w:r>
          </w:p>
        </w:tc>
        <w:tc>
          <w:tcPr>
            <w:tcW w:w="460" w:type="dxa"/>
            <w:vAlign w:val="bottom"/>
            <w:tcBorders>
              <w:bottom w:val="single" w:sz="8" w:color="CFF0FC"/>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-496570</wp:posOffset>
            </wp:positionV>
            <wp:extent cx="76835" cy="3175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6835" cy="31750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-25400</wp:posOffset>
            </wp:positionV>
            <wp:extent cx="768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-7620</wp:posOffset>
            </wp:positionV>
            <wp:extent cx="768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74" w:lineRule="exact"/>
        <w:rPr>
          <w:sz w:val="20"/>
          <w:szCs w:val="20"/>
          <w:color w:val="auto"/>
        </w:rPr>
      </w:pPr>
    </w:p>
    <w:p>
      <w:pPr>
        <w:ind w:right="180" w:firstLine="569"/>
        <w:spacing w:after="0" w:line="277" w:lineRule="auto"/>
        <w:rPr>
          <w:sz w:val="20"/>
          <w:szCs w:val="20"/>
          <w:color w:val="auto"/>
        </w:rPr>
      </w:pPr>
      <w:r>
        <w:rPr>
          <w:rFonts w:ascii="Arial" w:cs="Arial" w:eastAsia="Arial" w:hAnsi="Arial"/>
          <w:sz w:val="18"/>
          <w:szCs w:val="18"/>
          <w:color w:val="auto"/>
        </w:rPr>
        <w:t>Stock options vested and expected to vest differs from total stock options outstanding as it excludes 140,000 performance-based stock options for which the performance criteria is not considered probable of achievement as of December 31, 2022.</w:t>
      </w:r>
    </w:p>
    <w:p>
      <w:pPr>
        <w:spacing w:after="0" w:line="62" w:lineRule="exact"/>
        <w:rPr>
          <w:sz w:val="20"/>
          <w:szCs w:val="20"/>
          <w:color w:val="auto"/>
        </w:rPr>
      </w:pPr>
    </w:p>
    <w:p>
      <w:pPr>
        <w:ind w:firstLine="569"/>
        <w:spacing w:after="0" w:line="259" w:lineRule="auto"/>
        <w:rPr>
          <w:sz w:val="20"/>
          <w:szCs w:val="20"/>
          <w:color w:val="auto"/>
        </w:rPr>
      </w:pPr>
      <w:r>
        <w:rPr>
          <w:rFonts w:ascii="Arial" w:cs="Arial" w:eastAsia="Arial" w:hAnsi="Arial"/>
          <w:sz w:val="18"/>
          <w:szCs w:val="18"/>
          <w:color w:val="auto"/>
        </w:rPr>
        <w:t>The aggregate intrinsic values of options outstanding and exercisable were calculated as the difference between the exercise price of the options and the estimated fair value of the Company’s common stock as of the respective balance sheet date. The total intrinsic value of options exercised was immaterial and $2.0 million for the years ended December 31, 2022 and 2021, respectively. The total fair value of options vested was $1.9 million and $2.9 million for the years ended December 31, 2022 and 2021,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summary of the Company’s RSU activity and related information is as follows (in thousands, except share and per share amounts):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6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Number of RSUs</w:t>
            </w:r>
          </w:p>
        </w:tc>
        <w:tc>
          <w:tcPr>
            <w:tcW w:w="1680" w:type="dxa"/>
            <w:vAlign w:val="bottom"/>
            <w:gridSpan w:val="2"/>
          </w:tcPr>
          <w:p>
            <w:pPr>
              <w:jc w:val="right"/>
              <w:ind w:right="73"/>
              <w:spacing w:after="0"/>
              <w:rPr>
                <w:sz w:val="20"/>
                <w:szCs w:val="20"/>
                <w:color w:val="auto"/>
              </w:rPr>
            </w:pPr>
            <w:r>
              <w:rPr>
                <w:rFonts w:ascii="Arial" w:cs="Arial" w:eastAsia="Arial" w:hAnsi="Arial"/>
                <w:sz w:val="14"/>
                <w:szCs w:val="14"/>
                <w:b w:val="1"/>
                <w:bCs w:val="1"/>
                <w:color w:val="auto"/>
              </w:rPr>
              <w:t>Weight-Average Grant</w:t>
            </w:r>
          </w:p>
        </w:tc>
        <w:tc>
          <w:tcPr>
            <w:tcW w:w="0" w:type="dxa"/>
            <w:vAlign w:val="bottom"/>
          </w:tcPr>
          <w:p>
            <w:pPr>
              <w:spacing w:after="0"/>
              <w:rPr>
                <w:sz w:val="1"/>
                <w:szCs w:val="1"/>
                <w:color w:val="auto"/>
              </w:rPr>
            </w:pPr>
          </w:p>
        </w:tc>
      </w:tr>
      <w:tr>
        <w:trPr>
          <w:trHeight w:val="185"/>
        </w:trPr>
        <w:tc>
          <w:tcPr>
            <w:tcW w:w="564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ind w:right="273"/>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43"/>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2021</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460,000</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7"/>
        </w:trPr>
        <w:tc>
          <w:tcPr>
            <w:tcW w:w="56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1,818,200</w:t>
            </w:r>
          </w:p>
        </w:tc>
        <w:tc>
          <w:tcPr>
            <w:tcW w:w="1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9"/>
        </w:trPr>
        <w:tc>
          <w:tcPr>
            <w:tcW w:w="56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Vested</w:t>
            </w: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(113,284 )</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56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(168,788 )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6"/>
        </w:trPr>
        <w:tc>
          <w:tcPr>
            <w:tcW w:w="5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2022</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1,996,128</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-25400</wp:posOffset>
            </wp:positionV>
            <wp:extent cx="6032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-8255</wp:posOffset>
            </wp:positionV>
            <wp:extent cx="6032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4" w:lineRule="exact"/>
        <w:rPr>
          <w:sz w:val="20"/>
          <w:szCs w:val="20"/>
          <w:color w:val="auto"/>
        </w:rPr>
      </w:pPr>
    </w:p>
    <w:p>
      <w:pPr>
        <w:ind w:right="500" w:firstLine="509"/>
        <w:spacing w:after="0" w:line="263" w:lineRule="auto"/>
        <w:rPr>
          <w:sz w:val="20"/>
          <w:szCs w:val="20"/>
          <w:color w:val="auto"/>
        </w:rPr>
      </w:pPr>
      <w:r>
        <w:rPr>
          <w:rFonts w:ascii="Arial" w:cs="Arial" w:eastAsia="Arial" w:hAnsi="Arial"/>
          <w:sz w:val="18"/>
          <w:szCs w:val="18"/>
          <w:color w:val="auto"/>
        </w:rPr>
        <w:t>During the year ended December 31, 2022, the Company granted 1,818,200 RSUs, including 955,775 RSUs subject to time-based vesting in installments through December 2026 and 862,425 RSUs subject to performance-based vesting conditions related to the satisfaction of certain clinical development milestones.</w:t>
      </w:r>
    </w:p>
    <w:p>
      <w:pPr>
        <w:spacing w:after="0" w:line="76"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As of December 31, 2022, the Company has granted 1,092,425 RSUs subject to performance-based vesting conditions, of which 126,713 RSUs are considered probable of achievement.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The Company’s Board of Directors adopted and the Company’s stockholders approved the 2020 Employee Stock Purchase Plan (the ESPP) in October 2020. The ESPP allows eligible employees to purchase shares of the Company’s common stock at a discount through payroll deductions of up to 15% of their eligible compensation. At the end of each purchase period, employees are able to purchase shares at 85% of the lower of the fair market value of the Company’s common stock as of the offering date or the applicable purchase date. A total of 220,640 shares of common stock were approved to be initially reserved for issuance under the ESPP. In addition, the number of shares of common stock available for issuance under the ESPP will be automatically increased on the first day of each calendar year during the first ten-years of the term of the ESPP, beginning with January 1, 2021 and ending with</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January 1, 2030, by an amount equal to the lessor of (i) 1% of the outstanding number of shares of the Company’s common stock on December 31st of the preceding calendar year, (ii) 441,280 shares of common stock or (iii) such lesser amount as determined by the Board of Directors.</w:t>
      </w:r>
    </w:p>
    <w:p>
      <w:pPr>
        <w:spacing w:after="0" w:line="43" w:lineRule="exact"/>
        <w:rPr>
          <w:sz w:val="20"/>
          <w:szCs w:val="20"/>
          <w:color w:val="auto"/>
        </w:rPr>
      </w:pPr>
    </w:p>
    <w:p>
      <w:pPr>
        <w:ind w:right="40" w:firstLine="509"/>
        <w:spacing w:after="0" w:line="237" w:lineRule="auto"/>
        <w:rPr>
          <w:sz w:val="20"/>
          <w:szCs w:val="20"/>
          <w:color w:val="auto"/>
        </w:rPr>
      </w:pPr>
      <w:r>
        <w:rPr>
          <w:rFonts w:ascii="Arial" w:cs="Arial" w:eastAsia="Arial" w:hAnsi="Arial"/>
          <w:sz w:val="17"/>
          <w:szCs w:val="17"/>
          <w:color w:val="auto"/>
        </w:rPr>
        <w:t>Except for the initial offering period, the ESPP provides for 24-month offering periods starting every January 1</w:t>
      </w:r>
      <w:r>
        <w:rPr>
          <w:rFonts w:ascii="Arial" w:cs="Arial" w:eastAsia="Arial" w:hAnsi="Arial"/>
          <w:sz w:val="23"/>
          <w:szCs w:val="23"/>
          <w:color w:val="auto"/>
          <w:vertAlign w:val="superscript"/>
        </w:rPr>
        <w:t>st</w:t>
      </w:r>
      <w:r>
        <w:rPr>
          <w:rFonts w:ascii="Arial" w:cs="Arial" w:eastAsia="Arial" w:hAnsi="Arial"/>
          <w:sz w:val="17"/>
          <w:szCs w:val="17"/>
          <w:color w:val="auto"/>
        </w:rPr>
        <w:t xml:space="preserve"> and July 1</w:t>
      </w:r>
      <w:r>
        <w:rPr>
          <w:rFonts w:ascii="Arial" w:cs="Arial" w:eastAsia="Arial" w:hAnsi="Arial"/>
          <w:sz w:val="23"/>
          <w:szCs w:val="23"/>
          <w:color w:val="auto"/>
          <w:vertAlign w:val="superscript"/>
        </w:rPr>
        <w:t>st</w:t>
      </w:r>
      <w:r>
        <w:rPr>
          <w:rFonts w:ascii="Arial" w:cs="Arial" w:eastAsia="Arial" w:hAnsi="Arial"/>
          <w:sz w:val="17"/>
          <w:szCs w:val="17"/>
          <w:color w:val="auto"/>
        </w:rPr>
        <w:t>, each consisting of four six-month purchase periods. As of December 31, 2022, 601,819 shares of common stock remained available for issuance under the ESPP.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the years ended December 31, 2022 and 2021, the weighted-average fair value of options granted was $2.34 and $8.55 per share, respectively.</w:t>
      </w:r>
    </w:p>
    <w:p>
      <w:pPr>
        <w:spacing w:after="0" w:line="140"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The Company estimated the fair value of stock options and purchase rights under ESPP using the Black-Scholes option-pricing model, with the following weighted-average assumptions:</w:t>
      </w: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3820" w:type="dxa"/>
            <w:vAlign w:val="bottom"/>
          </w:tcPr>
          <w:p>
            <w:pPr>
              <w:spacing w:after="0"/>
              <w:rPr>
                <w:sz w:val="16"/>
                <w:szCs w:val="16"/>
                <w:color w:val="auto"/>
              </w:rPr>
            </w:pPr>
          </w:p>
        </w:tc>
        <w:tc>
          <w:tcPr>
            <w:tcW w:w="15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9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3"/>
        </w:trPr>
        <w:tc>
          <w:tcPr>
            <w:tcW w:w="3820" w:type="dxa"/>
            <w:vAlign w:val="bottom"/>
          </w:tcPr>
          <w:p>
            <w:pPr>
              <w:spacing w:after="0"/>
              <w:rPr>
                <w:sz w:val="19"/>
                <w:szCs w:val="19"/>
                <w:color w:val="auto"/>
              </w:rPr>
            </w:pPr>
          </w:p>
        </w:tc>
        <w:tc>
          <w:tcPr>
            <w:tcW w:w="15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Options</w:t>
            </w: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ESPP</w:t>
            </w:r>
          </w:p>
        </w:tc>
        <w:tc>
          <w:tcPr>
            <w:tcW w:w="15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Options</w:t>
            </w:r>
          </w:p>
        </w:tc>
        <w:tc>
          <w:tcPr>
            <w:tcW w:w="10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ESPP</w:t>
            </w:r>
          </w:p>
        </w:tc>
      </w:tr>
      <w:tr>
        <w:trPr>
          <w:trHeight w:val="237"/>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Expected volatility</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105.4 %</w:t>
            </w:r>
          </w:p>
        </w:tc>
        <w:tc>
          <w:tcPr>
            <w:tcW w:w="2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77.2 %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102.8 %</w:t>
            </w:r>
          </w:p>
        </w:tc>
        <w:tc>
          <w:tcPr>
            <w:tcW w:w="20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78.7 %</w:t>
            </w:r>
          </w:p>
        </w:tc>
      </w:tr>
      <w:tr>
        <w:trPr>
          <w:trHeight w:val="242"/>
        </w:trPr>
        <w:tc>
          <w:tcPr>
            <w:tcW w:w="38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2.4 %</w:t>
            </w:r>
          </w:p>
        </w:tc>
        <w:tc>
          <w:tcPr>
            <w:tcW w:w="2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0.9 %</w:t>
            </w:r>
          </w:p>
        </w:tc>
        <w:tc>
          <w:tcPr>
            <w:tcW w:w="20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0.1 %</w:t>
            </w:r>
          </w:p>
        </w:tc>
      </w:tr>
      <w:tr>
        <w:trPr>
          <w:trHeight w:val="243"/>
        </w:trPr>
        <w:tc>
          <w:tcPr>
            <w:tcW w:w="382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0.0 %</w:t>
            </w:r>
          </w:p>
        </w:tc>
        <w:tc>
          <w:tcPr>
            <w:tcW w:w="2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20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-299720</wp:posOffset>
            </wp:positionV>
            <wp:extent cx="5700395" cy="1543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87"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The following table summarizes stock-based compensation expense related to stock options, RSUs and ESPP that is included in the Company’s statements of operations and comprehensive loss (in thousands):</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64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640" w:type="dxa"/>
            <w:vAlign w:val="bottom"/>
          </w:tcPr>
          <w:p>
            <w:pPr>
              <w:spacing w:after="0"/>
              <w:rPr>
                <w:sz w:val="14"/>
                <w:szCs w:val="14"/>
                <w:color w:val="auto"/>
              </w:rPr>
            </w:pPr>
          </w:p>
        </w:tc>
        <w:tc>
          <w:tcPr>
            <w:tcW w:w="1000" w:type="dxa"/>
            <w:vAlign w:val="bottom"/>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4"/>
                <w:szCs w:val="14"/>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7"/>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00" w:type="dxa"/>
            <w:vAlign w:val="bottom"/>
            <w:tcBorders>
              <w:top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24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w:t>
            </w:r>
          </w:p>
        </w:tc>
        <w:tc>
          <w:tcPr>
            <w:tcW w:w="80" w:type="dxa"/>
            <w:vAlign w:val="bottom"/>
            <w:shd w:val="clear" w:color="auto" w:fill="CFF0FC"/>
          </w:tcPr>
          <w:p>
            <w:pPr>
              <w:spacing w:after="0"/>
              <w:rPr>
                <w:sz w:val="20"/>
                <w:szCs w:val="20"/>
                <w:color w:val="auto"/>
              </w:rPr>
            </w:pPr>
          </w:p>
        </w:tc>
      </w:tr>
      <w:tr>
        <w:trPr>
          <w:trHeight w:val="237"/>
        </w:trPr>
        <w:tc>
          <w:tcPr>
            <w:tcW w:w="56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w:t>
            </w:r>
          </w:p>
        </w:tc>
        <w:tc>
          <w:tcPr>
            <w:tcW w:w="2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80" w:type="dxa"/>
            <w:vAlign w:val="bottom"/>
          </w:tcPr>
          <w:p>
            <w:pPr>
              <w:spacing w:after="0"/>
              <w:rPr>
                <w:sz w:val="20"/>
                <w:szCs w:val="20"/>
                <w:color w:val="auto"/>
              </w:rPr>
            </w:pPr>
          </w:p>
        </w:tc>
      </w:tr>
      <w:tr>
        <w:trPr>
          <w:trHeight w:val="277"/>
        </w:trPr>
        <w:tc>
          <w:tcPr>
            <w:tcW w:w="56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stock-based compensation expense</w:t>
            </w: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3,631</w:t>
            </w:r>
          </w:p>
        </w:tc>
        <w:tc>
          <w:tcPr>
            <w:tcW w:w="24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-25400</wp:posOffset>
            </wp:positionV>
            <wp:extent cx="603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03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As of December 31, 2022, there was approximately $7.2 million of total unrecognized stock-based compensation expense, which is expected to be recognized over an estimated weighted-average vesting term of 2.4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License Agreement</w:t>
      </w:r>
    </w:p>
    <w:p>
      <w:pPr>
        <w:spacing w:after="0" w:line="121"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In May 2016, the Company entered into a license agreement (the Lilly License Agreement), with Eli Lilly and Company (Lilly). Pursuant to the terms of the Lilly License Agreement, Lilly granted the Company an exclusive, worldwide, royalty bearing, sublicensable license under certain technology, patent rights, know-how and proprietary materials related to certain compounds, to research, develop, and commercialize such compounds for all pharmaceutical uses.</w:t>
      </w:r>
    </w:p>
    <w:p>
      <w:pPr>
        <w:spacing w:after="0" w:line="79"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As partial consideration for the rights granted to the Company under the Lilly License Agreement, the Company made a one-time upfront payment to Lilly of $0.8 million during the year ended December 31, 2016, which was recorded as research and development expense as there was no alternative use due to the early stage of the technology. The Company is also required to pay Lilly up to an aggregate of $23.0 million upon the achievement, during the time the Lilly License Agreement remains in effect, of certain milestones relating to the clinical development and commercial sales of products licensed under the Lilly License Agreement. Such payments are for predetermined fixed amounts, are paid only upon the first occurrence of each event, and are due shortly after achieving the applicable milestone. In addition, the Company is required to pay Lilly tiered royalties on annual worldwide net sales with rates ranging from mid-single-digits to sub-teens. No additional amounts were paid by the Company to Lilly during any of the periods presented, nor were due as of such dates pursuant to the Lilly License Agreement.</w:t>
      </w:r>
    </w:p>
    <w:p>
      <w:pPr>
        <w:spacing w:after="0" w:line="70"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 Lilly License Agreement will remain in effect, unless earlier terminated, until the expiration of the royalty payment obligations. Royalties are payable on a product-by-product and country-by-country basis from the first commercial sale of the product until the later of (i) the tenth anniversary of the date of first commercial sale in such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country, (ii) the expiration in such country of the last-to-expire licensed patent having a valid claim covering the manufacture, use or sale of the licensed product as commercialized in such country, and (iii) the expiration of any data or regulatory exclusivity period for the licensed product in such country.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The Company did not have any income tax expense for the years ended December 31, 2022 and 2021. The reconciliation of the federal statutory income tax rate to the Company’s effective tax rate is as follows:</w:t>
      </w: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23"/>
        </w:trPr>
        <w:tc>
          <w:tcPr>
            <w:tcW w:w="6280" w:type="dxa"/>
            <w:vAlign w:val="bottom"/>
            <w:gridSpan w:val="2"/>
          </w:tcPr>
          <w:p>
            <w:pPr>
              <w:ind w:left="5860"/>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106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44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r>
      <w:tr>
        <w:trPr>
          <w:trHeight w:val="237"/>
        </w:trPr>
        <w:tc>
          <w:tcPr>
            <w:tcW w:w="6280" w:type="dxa"/>
            <w:vAlign w:val="bottom"/>
            <w:gridSpan w:val="2"/>
          </w:tcPr>
          <w:p>
            <w:pPr>
              <w:spacing w:after="0"/>
              <w:rPr>
                <w:sz w:val="20"/>
                <w:szCs w:val="20"/>
                <w:color w:val="auto"/>
              </w:rPr>
            </w:pPr>
            <w:r>
              <w:rPr>
                <w:rFonts w:ascii="Arial" w:cs="Arial" w:eastAsia="Arial" w:hAnsi="Arial"/>
                <w:sz w:val="18"/>
                <w:szCs w:val="18"/>
                <w:color w:val="auto"/>
              </w:rPr>
              <w:t>State income tax, net of federal benefit</w:t>
            </w: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49"/>
        </w:trPr>
        <w:tc>
          <w:tcPr>
            <w:tcW w:w="6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Nondeductible expenses</w:t>
            </w: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(0.5 )</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(0.4 )</w:t>
            </w:r>
          </w:p>
        </w:tc>
        <w:tc>
          <w:tcPr>
            <w:tcW w:w="240" w:type="dxa"/>
            <w:vAlign w:val="bottom"/>
            <w:shd w:val="clear" w:color="auto" w:fill="CFF0FC"/>
          </w:tcPr>
          <w:p>
            <w:pPr>
              <w:spacing w:after="0"/>
              <w:rPr>
                <w:sz w:val="21"/>
                <w:szCs w:val="21"/>
                <w:color w:val="auto"/>
              </w:rPr>
            </w:pPr>
          </w:p>
        </w:tc>
      </w:tr>
      <w:tr>
        <w:trPr>
          <w:trHeight w:val="237"/>
        </w:trPr>
        <w:tc>
          <w:tcPr>
            <w:tcW w:w="6280" w:type="dxa"/>
            <w:vAlign w:val="bottom"/>
            <w:gridSpan w:val="2"/>
          </w:tcPr>
          <w:p>
            <w:pPr>
              <w:spacing w:after="0"/>
              <w:rPr>
                <w:sz w:val="20"/>
                <w:szCs w:val="20"/>
                <w:color w:val="auto"/>
              </w:rPr>
            </w:pPr>
            <w:r>
              <w:rPr>
                <w:rFonts w:ascii="Arial" w:cs="Arial" w:eastAsia="Arial" w:hAnsi="Arial"/>
                <w:sz w:val="18"/>
                <w:szCs w:val="18"/>
                <w:color w:val="auto"/>
              </w:rPr>
              <w:t>Tax credits</w:t>
            </w:r>
          </w:p>
        </w:tc>
        <w:tc>
          <w:tcPr>
            <w:tcW w:w="520" w:type="dxa"/>
            <w:vAlign w:val="bottom"/>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49"/>
        </w:trPr>
        <w:tc>
          <w:tcPr>
            <w:tcW w:w="6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(36.4 )</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(33.0 )</w:t>
            </w:r>
          </w:p>
        </w:tc>
        <w:tc>
          <w:tcPr>
            <w:tcW w:w="240" w:type="dxa"/>
            <w:vAlign w:val="bottom"/>
            <w:shd w:val="clear" w:color="auto" w:fill="CFF0FC"/>
          </w:tcPr>
          <w:p>
            <w:pPr>
              <w:spacing w:after="0"/>
              <w:rPr>
                <w:sz w:val="21"/>
                <w:szCs w:val="21"/>
                <w:color w:val="auto"/>
              </w:rPr>
            </w:pPr>
          </w:p>
        </w:tc>
      </w:tr>
      <w:tr>
        <w:trPr>
          <w:trHeight w:val="237"/>
        </w:trPr>
        <w:tc>
          <w:tcPr>
            <w:tcW w:w="6280" w:type="dxa"/>
            <w:vAlign w:val="bottom"/>
            <w:gridSpan w:val="2"/>
          </w:tcPr>
          <w:p>
            <w:pPr>
              <w:spacing w:after="0"/>
              <w:rPr>
                <w:sz w:val="20"/>
                <w:szCs w:val="20"/>
                <w:color w:val="auto"/>
              </w:rPr>
            </w:pPr>
            <w:r>
              <w:rPr>
                <w:rFonts w:ascii="Arial" w:cs="Arial" w:eastAsia="Arial" w:hAnsi="Arial"/>
                <w:sz w:val="18"/>
                <w:szCs w:val="18"/>
                <w:color w:val="auto"/>
              </w:rPr>
              <w:t>Other</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83"/>
        </w:trPr>
        <w:tc>
          <w:tcPr>
            <w:tcW w:w="52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Effective tax rate</w:t>
            </w:r>
          </w:p>
        </w:tc>
        <w:tc>
          <w:tcPr>
            <w:tcW w:w="1060" w:type="dxa"/>
            <w:vAlign w:val="bottom"/>
            <w:tcBorders>
              <w:top w:val="single" w:sz="8" w:color="auto"/>
              <w:bottom w:val="single" w:sz="8" w:color="auto"/>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440" w:type="dxa"/>
            <w:vAlign w:val="bottom"/>
            <w:tcBorders>
              <w:top w:val="single" w:sz="8" w:color="auto"/>
              <w:bottom w:val="single" w:sz="8" w:color="auto"/>
            </w:tcBorders>
            <w:shd w:val="clear" w:color="auto" w:fill="CFF0FC"/>
          </w:tcPr>
          <w:p>
            <w:pPr>
              <w:spacing w:after="0"/>
              <w:rPr>
                <w:sz w:val="24"/>
                <w:szCs w:val="24"/>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-25400</wp:posOffset>
            </wp:positionV>
            <wp:extent cx="603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03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-25400</wp:posOffset>
            </wp:positionV>
            <wp:extent cx="514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514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 Assets and Liabilities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net deferred tax assets and liabilities are as follows (in thousands):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23"/>
        </w:trPr>
        <w:tc>
          <w:tcPr>
            <w:tcW w:w="53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9"/>
                <w:szCs w:val="19"/>
                <w:color w:val="auto"/>
              </w:rPr>
            </w:pPr>
          </w:p>
        </w:tc>
      </w:tr>
      <w:tr>
        <w:trPr>
          <w:trHeight w:val="237"/>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0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7"/>
        </w:trPr>
        <w:tc>
          <w:tcPr>
            <w:tcW w:w="5340" w:type="dxa"/>
            <w:vAlign w:val="bottom"/>
          </w:tcPr>
          <w:p>
            <w:pPr>
              <w:ind w:left="100"/>
              <w:spacing w:after="0"/>
              <w:rPr>
                <w:sz w:val="20"/>
                <w:szCs w:val="20"/>
                <w:color w:val="auto"/>
              </w:rPr>
            </w:pPr>
            <w:r>
              <w:rPr>
                <w:rFonts w:ascii="Arial" w:cs="Arial" w:eastAsia="Arial" w:hAnsi="Arial"/>
                <w:sz w:val="18"/>
                <w:szCs w:val="18"/>
                <w:color w:val="auto"/>
              </w:rPr>
              <w:t>Net operating loss carryforwards</w:t>
            </w: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33,871</w:t>
            </w:r>
          </w:p>
        </w:tc>
        <w:tc>
          <w:tcPr>
            <w:tcW w:w="34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27,570</w:t>
            </w:r>
          </w:p>
        </w:tc>
        <w:tc>
          <w:tcPr>
            <w:tcW w:w="80" w:type="dxa"/>
            <w:vAlign w:val="bottom"/>
          </w:tcPr>
          <w:p>
            <w:pPr>
              <w:spacing w:after="0"/>
              <w:rPr>
                <w:sz w:val="20"/>
                <w:szCs w:val="20"/>
                <w:color w:val="auto"/>
              </w:rPr>
            </w:pPr>
          </w:p>
        </w:tc>
      </w:tr>
      <w:tr>
        <w:trPr>
          <w:trHeight w:val="249"/>
        </w:trPr>
        <w:tc>
          <w:tcPr>
            <w:tcW w:w="53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Capitalized research and experimental costs</w:t>
            </w: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5,559</w:t>
            </w:r>
          </w:p>
        </w:tc>
        <w:tc>
          <w:tcPr>
            <w:tcW w:w="3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color w:val="auto"/>
              </w:rPr>
              <w:t>—</w:t>
            </w:r>
          </w:p>
        </w:tc>
      </w:tr>
      <w:tr>
        <w:trPr>
          <w:trHeight w:val="237"/>
        </w:trPr>
        <w:tc>
          <w:tcPr>
            <w:tcW w:w="5340" w:type="dxa"/>
            <w:vAlign w:val="bottom"/>
          </w:tcPr>
          <w:p>
            <w:pPr>
              <w:ind w:left="100"/>
              <w:spacing w:after="0"/>
              <w:rPr>
                <w:sz w:val="20"/>
                <w:szCs w:val="20"/>
                <w:color w:val="auto"/>
              </w:rPr>
            </w:pPr>
            <w:r>
              <w:rPr>
                <w:rFonts w:ascii="Arial" w:cs="Arial" w:eastAsia="Arial" w:hAnsi="Arial"/>
                <w:sz w:val="18"/>
                <w:szCs w:val="18"/>
                <w:color w:val="auto"/>
              </w:rPr>
              <w:t>Accruals</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369</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20"/>
                <w:szCs w:val="20"/>
                <w:color w:val="auto"/>
              </w:rPr>
            </w:pPr>
          </w:p>
        </w:tc>
      </w:tr>
      <w:tr>
        <w:trPr>
          <w:trHeight w:val="249"/>
        </w:trPr>
        <w:tc>
          <w:tcPr>
            <w:tcW w:w="53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Intangible assets</w:t>
            </w: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3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FF0FC"/>
          </w:tcPr>
          <w:p>
            <w:pPr>
              <w:spacing w:after="0"/>
              <w:rPr>
                <w:sz w:val="21"/>
                <w:szCs w:val="21"/>
                <w:color w:val="auto"/>
              </w:rPr>
            </w:pPr>
          </w:p>
        </w:tc>
      </w:tr>
      <w:tr>
        <w:trPr>
          <w:trHeight w:val="237"/>
        </w:trPr>
        <w:tc>
          <w:tcPr>
            <w:tcW w:w="5340" w:type="dxa"/>
            <w:vAlign w:val="bottom"/>
          </w:tcPr>
          <w:p>
            <w:pPr>
              <w:ind w:left="100"/>
              <w:spacing w:after="0"/>
              <w:rPr>
                <w:sz w:val="20"/>
                <w:szCs w:val="20"/>
                <w:color w:val="auto"/>
              </w:rPr>
            </w:pPr>
            <w:r>
              <w:rPr>
                <w:rFonts w:ascii="Arial" w:cs="Arial" w:eastAsia="Arial" w:hAnsi="Arial"/>
                <w:sz w:val="18"/>
                <w:szCs w:val="18"/>
                <w:color w:val="auto"/>
              </w:rPr>
              <w:t>Tax credits</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8,878</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4,766</w:t>
            </w:r>
          </w:p>
        </w:tc>
        <w:tc>
          <w:tcPr>
            <w:tcW w:w="80" w:type="dxa"/>
            <w:vAlign w:val="bottom"/>
          </w:tcPr>
          <w:p>
            <w:pPr>
              <w:spacing w:after="0"/>
              <w:rPr>
                <w:sz w:val="20"/>
                <w:szCs w:val="20"/>
                <w:color w:val="auto"/>
              </w:rPr>
            </w:pPr>
          </w:p>
        </w:tc>
      </w:tr>
      <w:tr>
        <w:trPr>
          <w:trHeight w:val="249"/>
        </w:trPr>
        <w:tc>
          <w:tcPr>
            <w:tcW w:w="53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Operating lease liability</w:t>
            </w: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3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FF0FC"/>
          </w:tcPr>
          <w:p>
            <w:pPr>
              <w:spacing w:after="0"/>
              <w:rPr>
                <w:sz w:val="21"/>
                <w:szCs w:val="21"/>
                <w:color w:val="auto"/>
              </w:rPr>
            </w:pPr>
          </w:p>
        </w:tc>
      </w:tr>
      <w:tr>
        <w:trPr>
          <w:trHeight w:val="237"/>
        </w:trPr>
        <w:tc>
          <w:tcPr>
            <w:tcW w:w="5340" w:type="dxa"/>
            <w:vAlign w:val="bottom"/>
          </w:tcPr>
          <w:p>
            <w:pPr>
              <w:ind w:left="10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w:t>
            </w:r>
          </w:p>
        </w:tc>
        <w:tc>
          <w:tcPr>
            <w:tcW w:w="3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80" w:type="dxa"/>
            <w:vAlign w:val="bottom"/>
          </w:tcPr>
          <w:p>
            <w:pPr>
              <w:spacing w:after="0"/>
              <w:rPr>
                <w:sz w:val="20"/>
                <w:szCs w:val="20"/>
                <w:color w:val="auto"/>
              </w:rPr>
            </w:pPr>
          </w:p>
        </w:tc>
      </w:tr>
      <w:tr>
        <w:trPr>
          <w:trHeight w:val="243"/>
        </w:trPr>
        <w:tc>
          <w:tcPr>
            <w:tcW w:w="53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gross deferred tax assets</w:t>
            </w: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50,753</w:t>
            </w:r>
          </w:p>
        </w:tc>
        <w:tc>
          <w:tcPr>
            <w:tcW w:w="3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33,814</w:t>
            </w:r>
          </w:p>
        </w:tc>
        <w:tc>
          <w:tcPr>
            <w:tcW w:w="80" w:type="dxa"/>
            <w:vAlign w:val="bottom"/>
            <w:shd w:val="clear" w:color="auto" w:fill="CFF0FC"/>
          </w:tcPr>
          <w:p>
            <w:pPr>
              <w:spacing w:after="0"/>
              <w:rPr>
                <w:sz w:val="21"/>
                <w:szCs w:val="21"/>
                <w:color w:val="auto"/>
              </w:rPr>
            </w:pPr>
          </w:p>
        </w:tc>
      </w:tr>
      <w:tr>
        <w:trPr>
          <w:trHeight w:val="237"/>
        </w:trPr>
        <w:tc>
          <w:tcPr>
            <w:tcW w:w="5340" w:type="dxa"/>
            <w:vAlign w:val="bottom"/>
          </w:tcPr>
          <w:p>
            <w:pPr>
              <w:ind w:left="100"/>
              <w:spacing w:after="0"/>
              <w:rPr>
                <w:sz w:val="20"/>
                <w:szCs w:val="20"/>
                <w:color w:val="auto"/>
              </w:rPr>
            </w:pPr>
            <w:r>
              <w:rPr>
                <w:rFonts w:ascii="Arial" w:cs="Arial" w:eastAsia="Arial" w:hAnsi="Arial"/>
                <w:sz w:val="18"/>
                <w:szCs w:val="18"/>
                <w:color w:val="auto"/>
              </w:rPr>
              <w:t>Valuation allowance</w:t>
            </w:r>
          </w:p>
        </w:tc>
        <w:tc>
          <w:tcPr>
            <w:tcW w:w="1000" w:type="dxa"/>
            <w:vAlign w:val="bottom"/>
          </w:tcPr>
          <w:p>
            <w:pPr>
              <w:spacing w:after="0"/>
              <w:rPr>
                <w:sz w:val="20"/>
                <w:szCs w:val="20"/>
                <w:color w:val="auto"/>
              </w:rPr>
            </w:pPr>
          </w:p>
        </w:tc>
        <w:tc>
          <w:tcPr>
            <w:tcW w:w="960" w:type="dxa"/>
            <w:vAlign w:val="bottom"/>
            <w:gridSpan w:val="2"/>
          </w:tcPr>
          <w:p>
            <w:pPr>
              <w:jc w:val="right"/>
              <w:ind w:right="170"/>
              <w:spacing w:after="0"/>
              <w:rPr>
                <w:sz w:val="20"/>
                <w:szCs w:val="20"/>
                <w:color w:val="auto"/>
              </w:rPr>
            </w:pPr>
            <w:r>
              <w:rPr>
                <w:rFonts w:ascii="Arial" w:cs="Arial" w:eastAsia="Arial" w:hAnsi="Arial"/>
                <w:sz w:val="18"/>
                <w:szCs w:val="18"/>
                <w:color w:val="auto"/>
                <w:w w:val="94"/>
              </w:rPr>
              <w:t>(50,359 )</w:t>
            </w:r>
          </w:p>
        </w:tc>
        <w:tc>
          <w:tcPr>
            <w:tcW w:w="4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(33,397 )</w:t>
            </w:r>
          </w:p>
        </w:tc>
      </w:tr>
      <w:tr>
        <w:trPr>
          <w:trHeight w:val="243"/>
        </w:trPr>
        <w:tc>
          <w:tcPr>
            <w:tcW w:w="53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deferred tax assets</w:t>
            </w:r>
          </w:p>
        </w:tc>
        <w:tc>
          <w:tcPr>
            <w:tcW w:w="100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340" w:type="dxa"/>
            <w:vAlign w:val="bottom"/>
            <w:shd w:val="clear" w:color="auto" w:fill="CFF0FC"/>
          </w:tcPr>
          <w:p>
            <w:pPr>
              <w:spacing w:after="0"/>
              <w:rPr>
                <w:sz w:val="21"/>
                <w:szCs w:val="21"/>
                <w:color w:val="auto"/>
              </w:rPr>
            </w:pPr>
          </w:p>
        </w:tc>
        <w:tc>
          <w:tcPr>
            <w:tcW w:w="44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80" w:type="dxa"/>
            <w:vAlign w:val="bottom"/>
            <w:shd w:val="clear" w:color="auto" w:fill="CFF0FC"/>
          </w:tcPr>
          <w:p>
            <w:pPr>
              <w:spacing w:after="0"/>
              <w:rPr>
                <w:sz w:val="21"/>
                <w:szCs w:val="21"/>
                <w:color w:val="auto"/>
              </w:rPr>
            </w:pPr>
          </w:p>
        </w:tc>
      </w:tr>
      <w:tr>
        <w:trPr>
          <w:trHeight w:val="237"/>
        </w:trPr>
        <w:tc>
          <w:tcPr>
            <w:tcW w:w="53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53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Operating lease right-of-use asset</w:t>
            </w:r>
          </w:p>
        </w:tc>
        <w:tc>
          <w:tcPr>
            <w:tcW w:w="10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(392 )</w:t>
            </w:r>
          </w:p>
        </w:tc>
        <w:tc>
          <w:tcPr>
            <w:tcW w:w="4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(414 )</w:t>
            </w:r>
          </w:p>
        </w:tc>
      </w:tr>
      <w:tr>
        <w:trPr>
          <w:trHeight w:val="237"/>
        </w:trPr>
        <w:tc>
          <w:tcPr>
            <w:tcW w:w="5340" w:type="dxa"/>
            <w:vAlign w:val="bottom"/>
          </w:tcPr>
          <w:p>
            <w:pPr>
              <w:ind w:left="10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20"/>
                <w:szCs w:val="20"/>
                <w:color w:val="auto"/>
              </w:rPr>
            </w:pPr>
          </w:p>
        </w:tc>
        <w:tc>
          <w:tcPr>
            <w:tcW w:w="960" w:type="dxa"/>
            <w:vAlign w:val="bottom"/>
            <w:gridSpan w:val="2"/>
          </w:tcPr>
          <w:p>
            <w:pPr>
              <w:jc w:val="right"/>
              <w:ind w:right="170"/>
              <w:spacing w:after="0"/>
              <w:rPr>
                <w:sz w:val="20"/>
                <w:szCs w:val="20"/>
                <w:color w:val="auto"/>
              </w:rPr>
            </w:pPr>
            <w:r>
              <w:rPr>
                <w:rFonts w:ascii="Arial" w:cs="Arial" w:eastAsia="Arial" w:hAnsi="Arial"/>
                <w:sz w:val="18"/>
                <w:szCs w:val="18"/>
                <w:color w:val="auto"/>
              </w:rPr>
              <w:t>(2 )</w:t>
            </w:r>
          </w:p>
        </w:tc>
        <w:tc>
          <w:tcPr>
            <w:tcW w:w="4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36"/>
        </w:trPr>
        <w:tc>
          <w:tcPr>
            <w:tcW w:w="53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deferred tax liabilities</w:t>
            </w: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34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5340" w:type="dxa"/>
            <w:vAlign w:val="bottom"/>
          </w:tcPr>
          <w:p>
            <w:pPr>
              <w:ind w:left="180"/>
              <w:spacing w:after="0"/>
              <w:rPr>
                <w:sz w:val="20"/>
                <w:szCs w:val="20"/>
                <w:color w:val="auto"/>
              </w:rPr>
            </w:pPr>
            <w:r>
              <w:rPr>
                <w:rFonts w:ascii="Arial" w:cs="Arial" w:eastAsia="Arial" w:hAnsi="Arial"/>
                <w:sz w:val="18"/>
                <w:szCs w:val="18"/>
                <w:color w:val="auto"/>
              </w:rPr>
              <w:t>Total net deferred tax assets</w:t>
            </w: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0"/>
        </w:trPr>
        <w:tc>
          <w:tcPr>
            <w:tcW w:w="5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-187960</wp:posOffset>
            </wp:positionV>
            <wp:extent cx="59690" cy="18859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74"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Management regularly assesses the ability to realize deferred tax assets recorded based upon the weight of available evidence, including such factors as recent earnings history and expected future taxable income on a jurisdiction by jurisdiction basis. In the event that the Company changes its determination as to the amount of realizable deferred tax assets, the Company will adjust its valuation allowance with a corresponding impact to the provision for income taxes in the period in which such determination is made. The Company’s management believes that, based on a number of factors, it is more likely than not, that all or some portion of the deferred tax assets will not be realized; and accordingly, for the year ended December 31, 2022, the Company has provided a valuation allowance against the Company’s U.S. net deferred tax assets. The valuation allowance increased by $17.0 million during the year ended December 31, 2022, primarily due to an increase in the net operating loss (primarily from pre-tax book loss) and the current year capitalization of Section 174 research and experimental costs. The valuation allowance increased by $13.9 million during the year ended December 31, 2021, primarily due to an increase in the net operating loss (primarily from pre-tax book loss).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ind w:right="300" w:firstLine="509"/>
        <w:spacing w:after="0" w:line="263" w:lineRule="auto"/>
        <w:rPr>
          <w:sz w:val="20"/>
          <w:szCs w:val="20"/>
          <w:color w:val="auto"/>
        </w:rPr>
      </w:pPr>
      <w:r>
        <w:rPr>
          <w:rFonts w:ascii="Arial" w:cs="Arial" w:eastAsia="Arial" w:hAnsi="Arial"/>
          <w:sz w:val="18"/>
          <w:szCs w:val="18"/>
          <w:color w:val="auto"/>
        </w:rPr>
        <w:t>As of December 31, 2022, the Company had net operating loss carryforwards for federal and state income tax purposes of approximately $114.8 million and $141.1 million, respectively, both of which will begin to expire in 2036 with the exception of $107.7 million of the Company's federal net operating losses that carry over indefinitely.</w:t>
      </w:r>
    </w:p>
    <w:p>
      <w:pPr>
        <w:spacing w:after="0" w:line="76" w:lineRule="exact"/>
        <w:rPr>
          <w:sz w:val="20"/>
          <w:szCs w:val="20"/>
          <w:color w:val="auto"/>
        </w:rPr>
      </w:pPr>
    </w:p>
    <w:p>
      <w:pPr>
        <w:ind w:right="580" w:firstLine="509"/>
        <w:spacing w:after="0" w:line="263" w:lineRule="auto"/>
        <w:rPr>
          <w:sz w:val="20"/>
          <w:szCs w:val="20"/>
          <w:color w:val="auto"/>
        </w:rPr>
      </w:pPr>
      <w:r>
        <w:rPr>
          <w:rFonts w:ascii="Arial" w:cs="Arial" w:eastAsia="Arial" w:hAnsi="Arial"/>
          <w:sz w:val="18"/>
          <w:szCs w:val="18"/>
          <w:color w:val="auto"/>
        </w:rPr>
        <w:t>As of December 31, 2022, the Company had federal general business credit and state research and development credit carryforwards of approximately $10.9 million and $1.2 million, respectively. The federal general business credit carryforwards will begin to expire in 2036 while the California research credit carryforwards have an indefinite life.</w:t>
      </w:r>
    </w:p>
    <w:p>
      <w:pPr>
        <w:spacing w:after="0" w:line="76" w:lineRule="exact"/>
        <w:rPr>
          <w:sz w:val="20"/>
          <w:szCs w:val="20"/>
          <w:color w:val="auto"/>
        </w:rPr>
      </w:pPr>
    </w:p>
    <w:p>
      <w:pPr>
        <w:ind w:right="160" w:firstLine="509"/>
        <w:spacing w:after="0" w:line="296" w:lineRule="auto"/>
        <w:rPr>
          <w:sz w:val="20"/>
          <w:szCs w:val="20"/>
          <w:color w:val="auto"/>
        </w:rPr>
      </w:pPr>
      <w:r>
        <w:rPr>
          <w:rFonts w:ascii="Arial" w:cs="Arial" w:eastAsia="Arial" w:hAnsi="Arial"/>
          <w:sz w:val="16"/>
          <w:szCs w:val="16"/>
          <w:color w:val="auto"/>
        </w:rPr>
        <w:t>The Internal Revenue Code of 1986, as amended, imposes restrictions on the utilization of net operating losses in the event of an “ownership change” of a corporation. Accordingly, a company’s ability to use net operating losses may be limited as prescribed under Internal Revenue Code Section 382 (IRC Section 382). Events which may cause limitations in the amount of the net operating losses that the Company may use in any one year include, but are not limited to, a cumulative ownership change of more than 50% over a three-year period. Utilization of the federal and state net operating losses may be subject to substantial annual limitation due to the ownership change limitations provided by the IRC Section 382 and similar state provisions.</w:t>
      </w:r>
    </w:p>
    <w:p>
      <w:pPr>
        <w:spacing w:after="0" w:line="53"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files income tax returns in the U.S. federal jurisdiction and California state jurisdiction. The Company is not currently under audit by the Internal Revenue Service or any other similar state, local, or foreign authority. All tax years remain open to examination by major taxing jurisdictions to which the Company is subject.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Income Tax Positions</w:t>
      </w:r>
    </w:p>
    <w:p>
      <w:pPr>
        <w:spacing w:after="0" w:line="121"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The Company had approximately $3.0 million and $1.6 million of unrecognized tax benefits as of December 31, 2022 and 2021, respectively. No liability related to uncertain tax positions is recorded in the financial statements due to the fact the liabilities have been netted against deferred attribute carryovers. The unrecognized tax benefits would not impact the annual effective tax rate if recognized because the Company has recorded a valuation allowance on its deferred tax assets. The Company does not expect the amount of unrecognized tax benefits to materially change in the next 12 months. As of December 31, 2022 and 2021, the Company has not recognized any tax-related penalties or interest in its financial statements.</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beginning and ending balance of the unrecognized tax benefits is as follows (in thousands):</w:t>
      </w:r>
    </w:p>
    <w:p>
      <w:pPr>
        <w:spacing w:after="0" w:line="284" w:lineRule="exact"/>
        <w:rPr>
          <w:sz w:val="20"/>
          <w:szCs w:val="20"/>
          <w:color w:val="auto"/>
        </w:rPr>
      </w:pPr>
    </w:p>
    <w:tbl>
      <w:tblPr>
        <w:tblLayout w:type="fixed"/>
        <w:tblInd w:w="300" w:type="dxa"/>
        <w:tblCellMar>
          <w:top w:w="0" w:type="dxa"/>
          <w:left w:w="0" w:type="dxa"/>
          <w:bottom w:w="0" w:type="dxa"/>
          <w:right w:w="0" w:type="dxa"/>
        </w:tblCellMar>
      </w:tblPr>
      <w:tr>
        <w:trPr>
          <w:trHeight w:val="185"/>
        </w:trPr>
        <w:tc>
          <w:tcPr>
            <w:tcW w:w="64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400" w:type="dxa"/>
            <w:vAlign w:val="bottom"/>
          </w:tcPr>
          <w:p>
            <w:pPr>
              <w:spacing w:after="0"/>
              <w:rPr>
                <w:sz w:val="19"/>
                <w:szCs w:val="19"/>
                <w:color w:val="auto"/>
              </w:rPr>
            </w:pPr>
          </w:p>
        </w:tc>
        <w:tc>
          <w:tcPr>
            <w:tcW w:w="12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r>
      <w:tr>
        <w:trPr>
          <w:trHeight w:val="23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Balance at the beginning of the period</w:t>
            </w:r>
          </w:p>
        </w:tc>
        <w:tc>
          <w:tcPr>
            <w:tcW w:w="1280" w:type="dxa"/>
            <w:vAlign w:val="bottom"/>
            <w:shd w:val="clear" w:color="auto" w:fill="CFF0FC"/>
          </w:tcPr>
          <w:p>
            <w:pPr>
              <w:jc w:val="right"/>
              <w:ind w:right="109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w:t>
            </w:r>
          </w:p>
        </w:tc>
        <w:tc>
          <w:tcPr>
            <w:tcW w:w="42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w:t>
            </w:r>
          </w:p>
        </w:tc>
        <w:tc>
          <w:tcPr>
            <w:tcW w:w="100" w:type="dxa"/>
            <w:vAlign w:val="bottom"/>
            <w:shd w:val="clear" w:color="auto" w:fill="CFF0FC"/>
          </w:tcPr>
          <w:p>
            <w:pPr>
              <w:spacing w:after="0"/>
              <w:rPr>
                <w:sz w:val="20"/>
                <w:szCs w:val="20"/>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Increases based on tax positions related to current period</w:t>
            </w:r>
          </w:p>
        </w:tc>
        <w:tc>
          <w:tcPr>
            <w:tcW w:w="1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1,433</w:t>
            </w: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0"/>
                <w:szCs w:val="20"/>
                <w:color w:val="auto"/>
              </w:rPr>
            </w:pPr>
          </w:p>
        </w:tc>
      </w:tr>
      <w:tr>
        <w:trPr>
          <w:trHeight w:val="243"/>
        </w:trPr>
        <w:tc>
          <w:tcPr>
            <w:tcW w:w="6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Decreases based on tax positions related to current period</w:t>
            </w:r>
          </w:p>
        </w:tc>
        <w:tc>
          <w:tcPr>
            <w:tcW w:w="1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(63 )</w:t>
            </w:r>
          </w:p>
        </w:tc>
        <w:tc>
          <w:tcPr>
            <w:tcW w:w="5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(198 )</w:t>
            </w:r>
          </w:p>
        </w:tc>
      </w:tr>
      <w:tr>
        <w:trPr>
          <w:trHeight w:val="236"/>
        </w:trPr>
        <w:tc>
          <w:tcPr>
            <w:tcW w:w="64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at the end of the period</w:t>
            </w:r>
          </w:p>
        </w:tc>
        <w:tc>
          <w:tcPr>
            <w:tcW w:w="1280" w:type="dxa"/>
            <w:vAlign w:val="bottom"/>
            <w:tcBorders>
              <w:top w:val="single" w:sz="8" w:color="auto"/>
              <w:bottom w:val="single" w:sz="8" w:color="auto"/>
            </w:tcBorders>
          </w:tcPr>
          <w:p>
            <w:pPr>
              <w:jc w:val="right"/>
              <w:ind w:right="109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2,959</w:t>
            </w:r>
          </w:p>
        </w:tc>
        <w:tc>
          <w:tcPr>
            <w:tcW w:w="420" w:type="dxa"/>
            <w:vAlign w:val="bottom"/>
            <w:tcBorders>
              <w:top w:val="single" w:sz="8" w:color="CFF0FC"/>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w:t>
            </w:r>
          </w:p>
        </w:tc>
        <w:tc>
          <w:tcPr>
            <w:tcW w:w="100" w:type="dxa"/>
            <w:vAlign w:val="bottom"/>
            <w:tcBorders>
              <w:top w:val="single" w:sz="8" w:color="CFF0FC"/>
            </w:tcBorders>
          </w:tcPr>
          <w:p>
            <w:pPr>
              <w:spacing w:after="0"/>
              <w:rPr>
                <w:sz w:val="20"/>
                <w:szCs w:val="20"/>
                <w:color w:val="auto"/>
              </w:rPr>
            </w:pPr>
          </w:p>
        </w:tc>
      </w:tr>
      <w:tr>
        <w:trPr>
          <w:trHeight w:val="20"/>
        </w:trPr>
        <w:tc>
          <w:tcPr>
            <w:tcW w:w="64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-187960</wp:posOffset>
            </wp:positionV>
            <wp:extent cx="68580" cy="18859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-187960</wp:posOffset>
            </wp:positionV>
            <wp:extent cx="60325" cy="18859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401(k) Retirement Savings Plan</w:t>
      </w:r>
    </w:p>
    <w:p>
      <w:pPr>
        <w:spacing w:after="0" w:line="121"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In December 2017, the Company adopted a plan under Section 401(k) of the Internal Revenue Code (the 401(k) Plan) for all employees who have met certain eligibility requirements. Under the 401(k), employees may elect to contribute a portion of their eligible compensation, subject to certain limitations. The Company started making matching employer contributions to the 401(k) Plan during the year ended December 31, 2022 and incurred expense of $0.1 million.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the computation of the basic and diluted net loss per share (in thousands, except share and per share amounts):</w:t>
      </w:r>
    </w:p>
    <w:p>
      <w:pPr>
        <w:spacing w:after="0" w:line="29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3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3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9"/>
                <w:szCs w:val="19"/>
                <w:color w:val="auto"/>
              </w:rPr>
            </w:pPr>
          </w:p>
        </w:tc>
      </w:tr>
      <w:tr>
        <w:trPr>
          <w:trHeight w:val="236"/>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4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3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10"/>
              <w:spacing w:after="0"/>
              <w:rPr>
                <w:sz w:val="20"/>
                <w:szCs w:val="20"/>
                <w:color w:val="auto"/>
              </w:rPr>
            </w:pPr>
            <w:r>
              <w:rPr>
                <w:rFonts w:ascii="Arial" w:cs="Arial" w:eastAsia="Arial" w:hAnsi="Arial"/>
                <w:sz w:val="18"/>
                <w:szCs w:val="18"/>
                <w:color w:val="auto"/>
              </w:rPr>
              <w:t>(46,180 )</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(42,292 )</w:t>
            </w:r>
          </w:p>
        </w:tc>
      </w:tr>
      <w:tr>
        <w:trPr>
          <w:trHeight w:val="249"/>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380" w:type="dxa"/>
            <w:vAlign w:val="bottom"/>
          </w:tcPr>
          <w:p>
            <w:pPr>
              <w:ind w:left="180"/>
              <w:spacing w:after="0"/>
              <w:rPr>
                <w:sz w:val="20"/>
                <w:szCs w:val="20"/>
                <w:color w:val="auto"/>
              </w:rPr>
            </w:pPr>
            <w:r>
              <w:rPr>
                <w:rFonts w:ascii="Arial" w:cs="Arial" w:eastAsia="Arial" w:hAnsi="Arial"/>
                <w:sz w:val="18"/>
                <w:szCs w:val="18"/>
                <w:color w:val="auto"/>
              </w:rPr>
              <w:t>Weighted-average shares of common stock outstanding</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23,527,116</w:t>
            </w:r>
          </w:p>
        </w:tc>
        <w:tc>
          <w:tcPr>
            <w:tcW w:w="28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23,361,416</w:t>
            </w:r>
          </w:p>
        </w:tc>
        <w:tc>
          <w:tcPr>
            <w:tcW w:w="100" w:type="dxa"/>
            <w:vAlign w:val="bottom"/>
          </w:tcPr>
          <w:p>
            <w:pPr>
              <w:spacing w:after="0"/>
              <w:rPr>
                <w:sz w:val="20"/>
                <w:szCs w:val="20"/>
                <w:color w:val="auto"/>
              </w:rPr>
            </w:pPr>
          </w:p>
        </w:tc>
      </w:tr>
      <w:tr>
        <w:trPr>
          <w:trHeight w:val="277"/>
        </w:trPr>
        <w:tc>
          <w:tcPr>
            <w:tcW w:w="6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-25400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4"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Basic net loss per share was the same as diluted net loss per share for all periods as the inclusion of potentially dilutive securities would have been anti-dilutive. Potentially dilutive securities that were not included in the diluted per share calculations were as follows:</w:t>
      </w: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720" w:type="dxa"/>
            <w:vAlign w:val="bottom"/>
          </w:tcPr>
          <w:p>
            <w:pPr>
              <w:spacing w:after="0"/>
              <w:rPr>
                <w:sz w:val="16"/>
                <w:szCs w:val="16"/>
                <w:color w:val="auto"/>
              </w:rPr>
            </w:pPr>
          </w:p>
        </w:tc>
        <w:tc>
          <w:tcPr>
            <w:tcW w:w="214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23"/>
        </w:trPr>
        <w:tc>
          <w:tcPr>
            <w:tcW w:w="5720" w:type="dxa"/>
            <w:vAlign w:val="bottom"/>
          </w:tcPr>
          <w:p>
            <w:pPr>
              <w:spacing w:after="0"/>
              <w:rPr>
                <w:sz w:val="19"/>
                <w:szCs w:val="19"/>
                <w:color w:val="auto"/>
              </w:rPr>
            </w:pPr>
          </w:p>
        </w:tc>
        <w:tc>
          <w:tcPr>
            <w:tcW w:w="15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9"/>
                <w:szCs w:val="19"/>
                <w:color w:val="auto"/>
              </w:rPr>
            </w:pPr>
          </w:p>
        </w:tc>
      </w:tr>
      <w:tr>
        <w:trPr>
          <w:trHeight w:val="236"/>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Shares subject to outstanding common stock options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4,166,194</w:t>
            </w:r>
          </w:p>
        </w:tc>
        <w:tc>
          <w:tcPr>
            <w:tcW w:w="2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2,215,942</w:t>
            </w:r>
          </w:p>
        </w:tc>
        <w:tc>
          <w:tcPr>
            <w:tcW w:w="80" w:type="dxa"/>
            <w:vAlign w:val="bottom"/>
            <w:shd w:val="clear" w:color="auto" w:fill="CFF0FC"/>
          </w:tcPr>
          <w:p>
            <w:pPr>
              <w:spacing w:after="0"/>
              <w:rPr>
                <w:sz w:val="20"/>
                <w:szCs w:val="20"/>
                <w:color w:val="auto"/>
              </w:rPr>
            </w:pPr>
          </w:p>
        </w:tc>
      </w:tr>
      <w:tr>
        <w:trPr>
          <w:trHeight w:val="237"/>
        </w:trPr>
        <w:tc>
          <w:tcPr>
            <w:tcW w:w="5720" w:type="dxa"/>
            <w:vAlign w:val="bottom"/>
          </w:tcPr>
          <w:p>
            <w:pPr>
              <w:spacing w:after="0"/>
              <w:rPr>
                <w:sz w:val="20"/>
                <w:szCs w:val="20"/>
                <w:color w:val="auto"/>
              </w:rPr>
            </w:pPr>
            <w:r>
              <w:rPr>
                <w:rFonts w:ascii="Arial" w:cs="Arial" w:eastAsia="Arial" w:hAnsi="Arial"/>
                <w:sz w:val="18"/>
                <w:szCs w:val="18"/>
                <w:color w:val="auto"/>
              </w:rPr>
              <w:t>Shares subject to outstanding RSUs</w:t>
            </w:r>
          </w:p>
        </w:tc>
        <w:tc>
          <w:tcPr>
            <w:tcW w:w="1500" w:type="dxa"/>
            <w:vAlign w:val="bottom"/>
          </w:tcPr>
          <w:p>
            <w:pPr>
              <w:jc w:val="right"/>
              <w:spacing w:after="0"/>
              <w:rPr>
                <w:sz w:val="20"/>
                <w:szCs w:val="20"/>
                <w:color w:val="auto"/>
              </w:rPr>
            </w:pPr>
            <w:r>
              <w:rPr>
                <w:rFonts w:ascii="Arial" w:cs="Arial" w:eastAsia="Arial" w:hAnsi="Arial"/>
                <w:sz w:val="18"/>
                <w:szCs w:val="18"/>
                <w:color w:val="auto"/>
              </w:rPr>
              <w:t>1,996,128</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460,000</w:t>
            </w:r>
          </w:p>
        </w:tc>
        <w:tc>
          <w:tcPr>
            <w:tcW w:w="80" w:type="dxa"/>
            <w:vAlign w:val="bottom"/>
          </w:tcPr>
          <w:p>
            <w:pPr>
              <w:spacing w:after="0"/>
              <w:rPr>
                <w:sz w:val="20"/>
                <w:szCs w:val="20"/>
                <w:color w:val="auto"/>
              </w:rPr>
            </w:pPr>
          </w:p>
        </w:tc>
      </w:tr>
      <w:tr>
        <w:trPr>
          <w:trHeight w:val="243"/>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Estimated shares issuable under the ESPP</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303,236</w:t>
            </w:r>
          </w:p>
        </w:tc>
        <w:tc>
          <w:tcPr>
            <w:tcW w:w="2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67,253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720" w:type="dxa"/>
            <w:vAlign w:val="bottom"/>
          </w:tcPr>
          <w:p>
            <w:pPr>
              <w:ind w:left="18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6,465,558</w:t>
            </w:r>
          </w:p>
        </w:tc>
        <w:tc>
          <w:tcPr>
            <w:tcW w:w="2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2,743,195</w:t>
            </w:r>
          </w:p>
        </w:tc>
        <w:tc>
          <w:tcPr>
            <w:tcW w:w="80" w:type="dxa"/>
            <w:vAlign w:val="bottom"/>
          </w:tcPr>
          <w:p>
            <w:pPr>
              <w:spacing w:after="0"/>
              <w:rPr>
                <w:sz w:val="20"/>
                <w:szCs w:val="20"/>
                <w:color w:val="auto"/>
              </w:rPr>
            </w:pPr>
          </w:p>
        </w:tc>
      </w:tr>
      <w:tr>
        <w:trPr>
          <w:trHeight w:val="20"/>
        </w:trPr>
        <w:tc>
          <w:tcPr>
            <w:tcW w:w="57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-187960</wp:posOffset>
            </wp:positionV>
            <wp:extent cx="60325" cy="18859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Kaken Pharmaceutical Co., LTD. (Kaken)</w:t>
      </w:r>
    </w:p>
    <w:p>
      <w:pPr>
        <w:spacing w:after="0" w:line="117"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On January 5, 2023, the Company entered into a Collaboration and License Agreement (the Kaken License Agreement) with Kaken. Under the terms of the Kaken License Agreement, the Company granted to Kaken the exclusive right to develop, manufacture and commercialize the Company’s product candidate, tildacerfont, for the treatment of CAH in Japan. Pursuant to the Kaken License Agreement, Kaken will be responsible for securing and maintaining regulatory approvals necessary to commercialize tildacerfont in Japan. The Company will retain all rights to tildacerfont in all other geographies.</w:t>
      </w:r>
    </w:p>
    <w:p>
      <w:pPr>
        <w:spacing w:after="0" w:line="80" w:lineRule="exact"/>
        <w:rPr>
          <w:sz w:val="20"/>
          <w:szCs w:val="20"/>
          <w:color w:val="auto"/>
        </w:rPr>
      </w:pPr>
    </w:p>
    <w:p>
      <w:pPr>
        <w:ind w:right="540" w:firstLine="509"/>
        <w:spacing w:after="0" w:line="263" w:lineRule="auto"/>
        <w:rPr>
          <w:sz w:val="20"/>
          <w:szCs w:val="20"/>
          <w:color w:val="auto"/>
        </w:rPr>
      </w:pPr>
      <w:r>
        <w:rPr>
          <w:rFonts w:ascii="Arial" w:cs="Arial" w:eastAsia="Arial" w:hAnsi="Arial"/>
          <w:sz w:val="18"/>
          <w:szCs w:val="18"/>
          <w:color w:val="auto"/>
        </w:rPr>
        <w:t>The Company has also granted to Kaken a right of first negotiation with respect to the development, manufacturing and commercialization of tildacerfont for CAH in China (including Hong Kong, Taiwan, and Macau), South Korea and other specified southeastern Asian countries, and for indications other than CAH.</w:t>
      </w:r>
    </w:p>
    <w:p>
      <w:pPr>
        <w:spacing w:after="0" w:line="7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Pursuant to the Kaken License Agreement, Kaken is required to make an upfront payment to the Company of $15.0 million. In addition to the upfront payment, the Company is entitled to receive up to an aggregate of approximately $65.0 million (at exchange rates in effect on the date of the Kaken License Agreement) upon the achievement of specified milestones related to the development, regulatory approval and commercialization of tildacerfont in Japan, including the achievement of specified net sales thresholds, if approved. Kaken has agreed to pay the Company a non-creditable, non-refundable specified purchase price for each unit of Company-manufactured product supplied to Kaken for commercial sale. In addition, the Company will also be entitled to receive a royalty for each unit of non-Company manufactured product sold equal to a range of double-digit percentages up to the mid-twenties based on annual net sales of tildacerfont in Japan. Both the purchase price for each unit and the royalty rate are subject to reduction in certain circumstances as specified in the Kaken License Agreement. Kaken’s obligation to pay royalties will continue for ten years after the first commercial sale in Japan or, if later, until the expiration of regulatory exclusivity of tildacerfont or the expiration of the last valid claim of a Company-licensed patent covering tildacerfont in Japan.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Financing</w:t>
      </w:r>
    </w:p>
    <w:p>
      <w:pPr>
        <w:spacing w:after="0" w:line="117"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On February 8, 2023, the Company entered into a Securities Purchase Agreement (the Purchase Agreement) with certain institutional investors (the Purchasers), pursuant to which the Company agreed to sell and issue (i) 16,116,000 shares of the Company’s common stock (Common Stock), (ii) pre-funded warrants to purchase 800,000 shares of Common Stock (the Pre-Funded Warrants) to a Purchaser and (iii) 12,687,000 warrants to purchase Common Stock (the Standard Warrants and together with the Pre-Funded Warrants, the Warrants) in a private placement transaction (the Private Placement). Each Purchaser’s Standard Warrant is exercisable for a number of shares of Common Stock equal to seventy-five percent of the aggregate number of shares of Common Stock and shares of Common Stock underlying Pre-Funded Warrants, if applicable, purchased by such Purchaser. The purchase price per share of Common Stock and Standard Warrant was $3.17 per share (the Purchase Price) and the purchase price for the Pre-Funded Warrants was the Purchase Price minus $0.01 per Pre-Funded Warrant. The Private Placement closed on February 16, 2023 (the Closing). The total gross proceeds to the Company at the Closing were approximately $53.6 million, which does not include any proceeds that may be received upon exercise of the Warrants.</w:t>
      </w:r>
    </w:p>
    <w:p>
      <w:pPr>
        <w:spacing w:after="0" w:line="7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Pre-Funded Warrants have a per share exercise price of $0.01 and the Standard Warrants have an exercise price of $3.96 per share, in each case subject to proportional adjustments in the event of stock splits or combinations or similar events. The Warrants will be exercisable for a period of five years following the date of issuance.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Banking Relationship with SVB</w:t>
      </w:r>
    </w:p>
    <w:p>
      <w:pPr>
        <w:spacing w:after="0" w:line="11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The Company has a banking relationship with SVB. SVB was closed on March 10, 2023 by the California Department of Financial Protection and Innovation, which appointed the FDIC as receiver. On March 12, 2023, the U.S. Treasury, Federal Reserve, and FDIC announced that SVB depositors will have access to all of their money starting March 13, 2023. While the Company has not experienced any losses in such accounts, the recent failure of SVB potentially exposed the Company to significant credit risk prior to the completion by the FDIC of the resolution of SVB in a manner that fully protected all depositors.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We maintain "disclosure controls and procedures," as defined in Rules 13a-15(e) and 15d-15(e) under the Securities Exchange Act of 1934, as amended (the Exchange Act), that are designed to ensure that information required to be disclosed by a company in the reports that it files or submits under the Exchange Act is recorded, processed, summarized and reported, within the time periods specified in the Securities and Exchange Commission's (SEC’s) rules and forms, and that such information is accumulated and communicated to the Company’s management, including its chief executive officer and chief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69"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December 31, 2022. Based on the evaluation of our disclosure controls and procedures as of December 31, 2022, our chief executive officer and chief financial officer concluded that, as of such date, our disclosure controls and procedures were effective at the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of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generally accepted accounting principles in the United States.</w:t>
      </w:r>
    </w:p>
    <w:p>
      <w:pPr>
        <w:spacing w:after="0" w:line="80"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58" w:lineRule="exact"/>
        <w:rPr>
          <w:sz w:val="20"/>
          <w:szCs w:val="20"/>
          <w:color w:val="auto"/>
        </w:rPr>
      </w:pPr>
    </w:p>
    <w:p>
      <w:pPr>
        <w:ind w:right="80" w:firstLine="509"/>
        <w:spacing w:after="0" w:line="311" w:lineRule="auto"/>
        <w:rPr>
          <w:sz w:val="20"/>
          <w:szCs w:val="20"/>
          <w:color w:val="auto"/>
        </w:rPr>
      </w:pPr>
      <w:r>
        <w:rPr>
          <w:rFonts w:ascii="Arial" w:cs="Arial" w:eastAsia="Arial" w:hAnsi="Arial"/>
          <w:sz w:val="16"/>
          <w:szCs w:val="16"/>
          <w:color w:val="auto"/>
        </w:rPr>
        <w:t>As of December 31, 2022, our management assessed the effectiveness of our internal control over financial reporting using the criteria set forth by the Committee of Sponsoring Organizations of the Treadway Commission in Internal Control-Integrated Framework (2013). Based on this assessment, our management concluded that, as of December 31, 2022, our internal control over financial reporting was effective based on those criteria.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21"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This Annual Report does not include an attestation report of our independent registered public accounting firm regarding internal control over financial reporting due to an exemption established by the JOBS Act for “emerging growth companies” and because we qualify as a “non-accelerated filer” (i.e., we do not qualify as either an “accelerated filer” or a “large accelerated filer” as defined in Rule 12b-2 under the Exchange Act).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December 31, 2022 that has materially affected, or is reasonably likely to materially affect, our internal control over financial reporting.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680" w:firstLine="509"/>
        <w:spacing w:after="0" w:line="277" w:lineRule="auto"/>
        <w:rPr>
          <w:sz w:val="20"/>
          <w:szCs w:val="20"/>
          <w:color w:val="auto"/>
        </w:rPr>
      </w:pPr>
      <w:r>
        <w:rPr>
          <w:rFonts w:ascii="Arial" w:cs="Arial" w:eastAsia="Arial" w:hAnsi="Arial"/>
          <w:sz w:val="18"/>
          <w:szCs w:val="18"/>
          <w:color w:val="auto"/>
        </w:rPr>
        <w:t>The information required by this item is set forth in our definitive proxy statement to be filed with respect to the 2023 annual meeting of stockholders (the Proxy Statement), all of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maintain a Code of Conduct that applies to all our employees, officers and directors. This includes our principal executive officer, principal financial officer and principal accounting officer or controller, or persons performing similar functions. The full text of our Code of Conduct is posted on our website at www.sprucebiosciences.com. The information on our website is not incorporated by reference into this Annual Report or our Proxy Statement. We intend to disclose on our website any future amendments of our Code of Conduct or waivers that exempt any principal executive officer, principal financial officer, principal accounting officer or controller, persons performing similar functions or our directors from provisions in the Code of Conduct.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is set forth in our Proxy Statement, all of which is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is set forth in our Proxy Statement, all of which is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is set forth in our Proxy Statement, all of which is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is set forth in our Proxy Statement, all of which is incorporated herein by reference.</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121" w:lineRule="exact"/>
        <w:rPr>
          <w:sz w:val="20"/>
          <w:szCs w:val="20"/>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have filed the following documents as part of this Annual Report:</w:t>
      </w:r>
    </w:p>
    <w:p>
      <w:pPr>
        <w:spacing w:after="0" w:line="113" w:lineRule="exact"/>
        <w:rPr>
          <w:rFonts w:ascii="Arial" w:cs="Arial" w:eastAsia="Arial" w:hAnsi="Arial"/>
          <w:sz w:val="18"/>
          <w:szCs w:val="18"/>
          <w:color w:val="auto"/>
        </w:rPr>
      </w:pPr>
    </w:p>
    <w:p>
      <w:pPr>
        <w:ind w:left="1420" w:hanging="514"/>
        <w:spacing w:after="0"/>
        <w:tabs>
          <w:tab w:leader="none" w:pos="1420" w:val="left"/>
        </w:tabs>
        <w:numPr>
          <w:ilvl w:val="1"/>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21" w:lineRule="exact"/>
        <w:rPr>
          <w:rFonts w:ascii="Arial" w:cs="Arial" w:eastAsia="Arial" w:hAnsi="Arial"/>
          <w:sz w:val="18"/>
          <w:szCs w:val="18"/>
          <w:b w:val="1"/>
          <w:bCs w:val="1"/>
          <w:color w:val="auto"/>
        </w:rPr>
      </w:pPr>
    </w:p>
    <w:p>
      <w:pPr>
        <w:ind w:left="1420"/>
        <w:spacing w:after="0"/>
        <w:rPr>
          <w:rFonts w:ascii="Arial" w:cs="Arial" w:eastAsia="Arial" w:hAnsi="Arial"/>
          <w:sz w:val="18"/>
          <w:szCs w:val="18"/>
          <w:b w:val="1"/>
          <w:bCs w:val="1"/>
          <w:color w:val="auto"/>
        </w:rPr>
      </w:pPr>
      <w:r>
        <w:rPr>
          <w:rFonts w:ascii="Arial" w:cs="Arial" w:eastAsia="Arial" w:hAnsi="Arial"/>
          <w:sz w:val="18"/>
          <w:szCs w:val="18"/>
          <w:color w:val="auto"/>
        </w:rPr>
        <w:t>The financial statements are included in Item 8. “Financial Statements and Supplementary Data.”</w:t>
      </w:r>
    </w:p>
    <w:p>
      <w:pPr>
        <w:spacing w:after="0" w:line="113" w:lineRule="exact"/>
        <w:rPr>
          <w:rFonts w:ascii="Arial" w:cs="Arial" w:eastAsia="Arial" w:hAnsi="Arial"/>
          <w:sz w:val="18"/>
          <w:szCs w:val="18"/>
          <w:b w:val="1"/>
          <w:bCs w:val="1"/>
          <w:color w:val="auto"/>
        </w:rPr>
      </w:pPr>
    </w:p>
    <w:p>
      <w:pPr>
        <w:ind w:left="1420" w:hanging="514"/>
        <w:spacing w:after="0"/>
        <w:tabs>
          <w:tab w:leader="none" w:pos="1420" w:val="left"/>
        </w:tabs>
        <w:numPr>
          <w:ilvl w:val="1"/>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21" w:lineRule="exact"/>
        <w:rPr>
          <w:rFonts w:ascii="Arial" w:cs="Arial" w:eastAsia="Arial" w:hAnsi="Arial"/>
          <w:sz w:val="18"/>
          <w:szCs w:val="18"/>
          <w:b w:val="1"/>
          <w:bCs w:val="1"/>
          <w:color w:val="auto"/>
        </w:rPr>
      </w:pPr>
    </w:p>
    <w:p>
      <w:pPr>
        <w:ind w:left="1420" w:right="4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All schedules are omitted as information required is inapplicable or the information is presented in the financial statements and the related notes.</w:t>
      </w:r>
    </w:p>
    <w:p>
      <w:pPr>
        <w:spacing w:after="0" w:line="58" w:lineRule="exact"/>
        <w:rPr>
          <w:rFonts w:ascii="Arial" w:cs="Arial" w:eastAsia="Arial" w:hAnsi="Arial"/>
          <w:sz w:val="18"/>
          <w:szCs w:val="18"/>
          <w:b w:val="1"/>
          <w:bCs w:val="1"/>
          <w:color w:val="auto"/>
        </w:rPr>
      </w:pPr>
    </w:p>
    <w:p>
      <w:pPr>
        <w:ind w:left="1420" w:hanging="514"/>
        <w:spacing w:after="0"/>
        <w:tabs>
          <w:tab w:leader="none" w:pos="1420" w:val="left"/>
        </w:tabs>
        <w:numPr>
          <w:ilvl w:val="1"/>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rFonts w:ascii="Arial" w:cs="Arial" w:eastAsia="Arial" w:hAnsi="Arial"/>
          <w:sz w:val="18"/>
          <w:szCs w:val="18"/>
          <w:b w:val="1"/>
          <w:bCs w:val="1"/>
          <w:color w:val="auto"/>
        </w:rPr>
      </w:pPr>
    </w:p>
    <w:p>
      <w:pPr>
        <w:ind w:left="1420"/>
        <w:spacing w:after="0"/>
        <w:rPr>
          <w:rFonts w:ascii="Arial" w:cs="Arial" w:eastAsia="Arial" w:hAnsi="Arial"/>
          <w:sz w:val="18"/>
          <w:szCs w:val="18"/>
          <w:b w:val="1"/>
          <w:bCs w:val="1"/>
          <w:color w:val="auto"/>
        </w:rPr>
      </w:pPr>
      <w:r>
        <w:rPr>
          <w:rFonts w:ascii="Arial" w:cs="Arial" w:eastAsia="Arial" w:hAnsi="Arial"/>
          <w:sz w:val="17"/>
          <w:szCs w:val="17"/>
          <w:color w:val="auto"/>
        </w:rPr>
        <w:t>The following is a list of exhibits filed with this Annual Report incorporated herein by reference (numbered in accordance with Item</w:t>
      </w:r>
    </w:p>
    <w:p>
      <w:pPr>
        <w:spacing w:after="0" w:line="34" w:lineRule="exact"/>
        <w:rPr>
          <w:rFonts w:ascii="Arial" w:cs="Arial" w:eastAsia="Arial" w:hAnsi="Arial"/>
          <w:sz w:val="18"/>
          <w:szCs w:val="18"/>
          <w:b w:val="1"/>
          <w:bCs w:val="1"/>
          <w:color w:val="auto"/>
        </w:rPr>
      </w:pPr>
    </w:p>
    <w:p>
      <w:pPr>
        <w:ind w:left="1420"/>
        <w:spacing w:after="0"/>
        <w:rPr>
          <w:rFonts w:ascii="Arial" w:cs="Arial" w:eastAsia="Arial" w:hAnsi="Arial"/>
          <w:sz w:val="18"/>
          <w:szCs w:val="18"/>
          <w:b w:val="1"/>
          <w:bCs w:val="1"/>
          <w:color w:val="auto"/>
        </w:rPr>
      </w:pPr>
      <w:r>
        <w:rPr>
          <w:rFonts w:ascii="Arial" w:cs="Arial" w:eastAsia="Arial" w:hAnsi="Arial"/>
          <w:sz w:val="18"/>
          <w:szCs w:val="18"/>
          <w:color w:val="auto"/>
        </w:rPr>
        <w:t>601 of Regulation S-K):</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120" w:type="dxa"/>
            <w:vAlign w:val="bottom"/>
            <w:gridSpan w:val="19"/>
          </w:tcPr>
          <w:p>
            <w:pPr>
              <w:ind w:left="960"/>
              <w:spacing w:after="0"/>
              <w:rPr>
                <w:sz w:val="20"/>
                <w:szCs w:val="20"/>
                <w:color w:val="auto"/>
              </w:rPr>
            </w:pPr>
            <w:r>
              <w:rPr>
                <w:rFonts w:ascii="Arial" w:cs="Arial" w:eastAsia="Arial" w:hAnsi="Arial"/>
                <w:sz w:val="14"/>
                <w:szCs w:val="14"/>
                <w:b w:val="1"/>
                <w:bCs w:val="1"/>
                <w:color w:val="auto"/>
              </w:rPr>
              <w:t>Exhibit Description</w:t>
            </w:r>
          </w:p>
        </w:tc>
        <w:tc>
          <w:tcPr>
            <w:tcW w:w="6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1420" w:type="dxa"/>
            <w:vAlign w:val="bottom"/>
          </w:tcPr>
          <w:p>
            <w:pPr>
              <w:ind w:left="500"/>
              <w:spacing w:after="0"/>
              <w:rPr>
                <w:sz w:val="20"/>
                <w:szCs w:val="20"/>
                <w:color w:val="auto"/>
              </w:rPr>
            </w:pPr>
            <w:r>
              <w:rPr>
                <w:rFonts w:ascii="Arial" w:cs="Arial" w:eastAsia="Arial" w:hAnsi="Arial"/>
                <w:sz w:val="14"/>
                <w:szCs w:val="14"/>
                <w:b w:val="1"/>
                <w:bCs w:val="1"/>
                <w:color w:val="auto"/>
              </w:rPr>
              <w:t>File No.</w:t>
            </w:r>
          </w:p>
        </w:tc>
        <w:tc>
          <w:tcPr>
            <w:tcW w:w="84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1420" w:type="dxa"/>
            <w:vAlign w:val="bottom"/>
          </w:tcPr>
          <w:p>
            <w:pPr>
              <w:ind w:left="4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26"/>
        </w:trPr>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0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18"/>
                <w:szCs w:val="18"/>
                <w:color w:val="auto"/>
              </w:rPr>
            </w:pPr>
          </w:p>
        </w:tc>
        <w:tc>
          <w:tcPr>
            <w:tcW w:w="5200" w:type="dxa"/>
            <w:vAlign w:val="bottom"/>
            <w:gridSpan w:val="22"/>
          </w:tcPr>
          <w:p>
            <w:pPr>
              <w:spacing w:after="0"/>
              <w:rPr>
                <w:rFonts w:ascii="Arial" w:cs="Arial" w:eastAsia="Arial" w:hAnsi="Arial"/>
                <w:sz w:val="18"/>
                <w:szCs w:val="18"/>
                <w:color w:val="0000FF"/>
              </w:rPr>
            </w:pPr>
            <w:hyperlink r:id="rId422">
              <w:r>
                <w:rPr>
                  <w:rFonts w:ascii="Arial" w:cs="Arial" w:eastAsia="Arial" w:hAnsi="Arial"/>
                  <w:sz w:val="18"/>
                  <w:szCs w:val="18"/>
                  <w:color w:val="0000FF"/>
                </w:rPr>
                <w:t>Amended and Restated Certificate of Incorporation</w:t>
              </w:r>
            </w:hyperlink>
          </w:p>
        </w:tc>
        <w:tc>
          <w:tcPr>
            <w:tcW w:w="60" w:type="dxa"/>
            <w:vAlign w:val="bottom"/>
          </w:tcPr>
          <w:p>
            <w:pPr>
              <w:spacing w:after="0"/>
              <w:rPr>
                <w:sz w:val="18"/>
                <w:szCs w:val="18"/>
                <w:color w:val="auto"/>
              </w:rPr>
            </w:pPr>
          </w:p>
        </w:tc>
        <w:tc>
          <w:tcPr>
            <w:tcW w:w="1140" w:type="dxa"/>
            <w:vAlign w:val="bottom"/>
          </w:tcPr>
          <w:p>
            <w:pPr>
              <w:jc w:val="center"/>
              <w:ind w:left="11"/>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001-39594</w:t>
            </w:r>
          </w:p>
        </w:tc>
        <w:tc>
          <w:tcPr>
            <w:tcW w:w="840" w:type="dxa"/>
            <w:vAlign w:val="bottom"/>
          </w:tcPr>
          <w:p>
            <w:pPr>
              <w:jc w:val="center"/>
              <w:ind w:left="31"/>
              <w:spacing w:after="0"/>
              <w:rPr>
                <w:sz w:val="20"/>
                <w:szCs w:val="20"/>
                <w:color w:val="auto"/>
              </w:rPr>
            </w:pPr>
            <w:r>
              <w:rPr>
                <w:rFonts w:ascii="Arial" w:cs="Arial" w:eastAsia="Arial" w:hAnsi="Arial"/>
                <w:sz w:val="18"/>
                <w:szCs w:val="18"/>
                <w:color w:val="auto"/>
                <w:w w:val="95"/>
              </w:rPr>
              <w:t>3.1</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89"/>
              </w:rPr>
              <w:t>October 14, 2020</w:t>
            </w:r>
          </w:p>
        </w:tc>
        <w:tc>
          <w:tcPr>
            <w:tcW w:w="0" w:type="dxa"/>
            <w:vAlign w:val="bottom"/>
          </w:tcPr>
          <w:p>
            <w:pPr>
              <w:spacing w:after="0"/>
              <w:rPr>
                <w:sz w:val="1"/>
                <w:szCs w:val="1"/>
                <w:color w:val="auto"/>
              </w:rPr>
            </w:pPr>
          </w:p>
        </w:tc>
      </w:tr>
      <w:tr>
        <w:trPr>
          <w:trHeight w:val="277"/>
        </w:trPr>
        <w:tc>
          <w:tcPr>
            <w:tcW w:w="10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24"/>
                <w:szCs w:val="24"/>
                <w:color w:val="auto"/>
              </w:rPr>
            </w:pPr>
          </w:p>
        </w:tc>
        <w:tc>
          <w:tcPr>
            <w:tcW w:w="3680" w:type="dxa"/>
            <w:vAlign w:val="bottom"/>
            <w:tcBorders>
              <w:top w:val="single" w:sz="8" w:color="0000FF"/>
            </w:tcBorders>
            <w:gridSpan w:val="10"/>
          </w:tcPr>
          <w:p>
            <w:pPr>
              <w:spacing w:after="0"/>
              <w:rPr>
                <w:rFonts w:ascii="Arial" w:cs="Arial" w:eastAsia="Arial" w:hAnsi="Arial"/>
                <w:sz w:val="18"/>
                <w:szCs w:val="18"/>
                <w:color w:val="0000FF"/>
              </w:rPr>
            </w:pPr>
            <w:hyperlink r:id="rId423">
              <w:r>
                <w:rPr>
                  <w:rFonts w:ascii="Arial" w:cs="Arial" w:eastAsia="Arial" w:hAnsi="Arial"/>
                  <w:sz w:val="18"/>
                  <w:szCs w:val="18"/>
                  <w:color w:val="0000FF"/>
                </w:rPr>
                <w:t>Amended and Restated Bylaws</w:t>
              </w:r>
            </w:hyperlink>
          </w:p>
        </w:tc>
        <w:tc>
          <w:tcPr>
            <w:tcW w:w="1520" w:type="dxa"/>
            <w:vAlign w:val="bottom"/>
            <w:gridSpan w:val="12"/>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jc w:val="center"/>
              <w:ind w:left="11"/>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001-39594</w:t>
            </w:r>
          </w:p>
        </w:tc>
        <w:tc>
          <w:tcPr>
            <w:tcW w:w="840" w:type="dxa"/>
            <w:vAlign w:val="bottom"/>
          </w:tcPr>
          <w:p>
            <w:pPr>
              <w:jc w:val="center"/>
              <w:ind w:left="31"/>
              <w:spacing w:after="0"/>
              <w:rPr>
                <w:sz w:val="20"/>
                <w:szCs w:val="20"/>
                <w:color w:val="auto"/>
              </w:rPr>
            </w:pPr>
            <w:r>
              <w:rPr>
                <w:rFonts w:ascii="Arial" w:cs="Arial" w:eastAsia="Arial" w:hAnsi="Arial"/>
                <w:sz w:val="18"/>
                <w:szCs w:val="18"/>
                <w:color w:val="auto"/>
                <w:w w:val="95"/>
              </w:rPr>
              <w:t>3.2</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89"/>
              </w:rPr>
              <w:t>October 14, 2020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8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24"/>
                <w:szCs w:val="24"/>
                <w:color w:val="auto"/>
              </w:rPr>
            </w:pPr>
          </w:p>
        </w:tc>
        <w:tc>
          <w:tcPr>
            <w:tcW w:w="2560" w:type="dxa"/>
            <w:vAlign w:val="bottom"/>
            <w:tcBorders>
              <w:bottom w:val="single" w:sz="8" w:color="0000FF"/>
            </w:tcBorders>
            <w:gridSpan w:val="6"/>
          </w:tcPr>
          <w:p>
            <w:pPr>
              <w:spacing w:after="0"/>
              <w:rPr>
                <w:rFonts w:ascii="Arial" w:cs="Arial" w:eastAsia="Arial" w:hAnsi="Arial"/>
                <w:sz w:val="18"/>
                <w:szCs w:val="18"/>
                <w:color w:val="0000FF"/>
                <w:w w:val="91"/>
              </w:rPr>
            </w:pPr>
            <w:hyperlink r:id="rId424">
              <w:r>
                <w:rPr>
                  <w:rFonts w:ascii="Arial" w:cs="Arial" w:eastAsia="Arial" w:hAnsi="Arial"/>
                  <w:sz w:val="18"/>
                  <w:szCs w:val="18"/>
                  <w:color w:val="0000FF"/>
                  <w:w w:val="91"/>
                </w:rPr>
                <w:t>Form of Common Stock Certificate</w:t>
              </w:r>
            </w:hyperlink>
          </w:p>
        </w:tc>
        <w:tc>
          <w:tcPr>
            <w:tcW w:w="40" w:type="dxa"/>
            <w:vAlign w:val="bottom"/>
            <w:tcBorders>
              <w:bottom w:val="single" w:sz="8" w:color="0000EE"/>
            </w:tcBorders>
          </w:tcPr>
          <w:p>
            <w:pPr>
              <w:spacing w:after="0"/>
              <w:rPr>
                <w:sz w:val="24"/>
                <w:szCs w:val="24"/>
                <w:color w:val="auto"/>
              </w:rPr>
            </w:pPr>
          </w:p>
        </w:tc>
        <w:tc>
          <w:tcPr>
            <w:tcW w:w="2600" w:type="dxa"/>
            <w:vAlign w:val="bottom"/>
            <w:gridSpan w:val="15"/>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jc w:val="center"/>
              <w:ind w:left="11"/>
              <w:spacing w:after="0"/>
              <w:rPr>
                <w:sz w:val="20"/>
                <w:szCs w:val="20"/>
                <w:color w:val="auto"/>
              </w:rPr>
            </w:pPr>
            <w:r>
              <w:rPr>
                <w:rFonts w:ascii="Arial" w:cs="Arial" w:eastAsia="Arial" w:hAnsi="Arial"/>
                <w:sz w:val="18"/>
                <w:szCs w:val="18"/>
                <w:color w:val="auto"/>
                <w:w w:val="97"/>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333-248924</w:t>
            </w:r>
          </w:p>
        </w:tc>
        <w:tc>
          <w:tcPr>
            <w:tcW w:w="840" w:type="dxa"/>
            <w:vAlign w:val="bottom"/>
          </w:tcPr>
          <w:p>
            <w:pPr>
              <w:jc w:val="center"/>
              <w:ind w:left="31"/>
              <w:spacing w:after="0"/>
              <w:rPr>
                <w:sz w:val="20"/>
                <w:szCs w:val="20"/>
                <w:color w:val="auto"/>
              </w:rPr>
            </w:pPr>
            <w:r>
              <w:rPr>
                <w:rFonts w:ascii="Arial" w:cs="Arial" w:eastAsia="Arial" w:hAnsi="Arial"/>
                <w:sz w:val="18"/>
                <w:szCs w:val="18"/>
                <w:color w:val="auto"/>
                <w:w w:val="95"/>
              </w:rPr>
              <w:t>4.1</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89"/>
              </w:rPr>
              <w:t>October 5, 2020</w:t>
            </w:r>
          </w:p>
        </w:tc>
        <w:tc>
          <w:tcPr>
            <w:tcW w:w="0" w:type="dxa"/>
            <w:vAlign w:val="bottom"/>
          </w:tcPr>
          <w:p>
            <w:pPr>
              <w:spacing w:after="0"/>
              <w:rPr>
                <w:sz w:val="1"/>
                <w:szCs w:val="1"/>
                <w:color w:val="auto"/>
              </w:rPr>
            </w:pPr>
          </w:p>
        </w:tc>
      </w:tr>
      <w:tr>
        <w:trPr>
          <w:trHeight w:val="277"/>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40" w:type="dxa"/>
            <w:vAlign w:val="bottom"/>
          </w:tcPr>
          <w:p>
            <w:pPr>
              <w:spacing w:after="0"/>
              <w:rPr>
                <w:sz w:val="24"/>
                <w:szCs w:val="24"/>
                <w:color w:val="auto"/>
              </w:rPr>
            </w:pPr>
          </w:p>
        </w:tc>
        <w:tc>
          <w:tcPr>
            <w:tcW w:w="5200" w:type="dxa"/>
            <w:vAlign w:val="bottom"/>
            <w:tcBorders>
              <w:bottom w:val="single" w:sz="8" w:color="0000FF"/>
            </w:tcBorders>
            <w:gridSpan w:val="22"/>
          </w:tcPr>
          <w:p>
            <w:pPr>
              <w:spacing w:after="0"/>
              <w:rPr>
                <w:rFonts w:ascii="Arial" w:cs="Arial" w:eastAsia="Arial" w:hAnsi="Arial"/>
                <w:sz w:val="18"/>
                <w:szCs w:val="18"/>
                <w:color w:val="0000FF"/>
                <w:w w:val="90"/>
              </w:rPr>
            </w:pPr>
            <w:hyperlink r:id="rId425">
              <w:r>
                <w:rPr>
                  <w:rFonts w:ascii="Arial" w:cs="Arial" w:eastAsia="Arial" w:hAnsi="Arial"/>
                  <w:sz w:val="18"/>
                  <w:szCs w:val="18"/>
                  <w:color w:val="0000FF"/>
                  <w:w w:val="90"/>
                </w:rPr>
                <w:t>Amended and Restated Investors’ Rights Agreement, by and among the</w:t>
              </w:r>
            </w:hyperlink>
          </w:p>
        </w:tc>
        <w:tc>
          <w:tcPr>
            <w:tcW w:w="60" w:type="dxa"/>
            <w:vAlign w:val="bottom"/>
          </w:tcPr>
          <w:p>
            <w:pPr>
              <w:spacing w:after="0"/>
              <w:rPr>
                <w:sz w:val="24"/>
                <w:szCs w:val="24"/>
                <w:color w:val="auto"/>
              </w:rPr>
            </w:pPr>
          </w:p>
        </w:tc>
        <w:tc>
          <w:tcPr>
            <w:tcW w:w="1140" w:type="dxa"/>
            <w:vAlign w:val="bottom"/>
          </w:tcPr>
          <w:p>
            <w:pPr>
              <w:jc w:val="center"/>
              <w:ind w:left="11"/>
              <w:spacing w:after="0"/>
              <w:rPr>
                <w:sz w:val="20"/>
                <w:szCs w:val="20"/>
                <w:color w:val="auto"/>
              </w:rPr>
            </w:pPr>
            <w:r>
              <w:rPr>
                <w:rFonts w:ascii="Arial" w:cs="Arial" w:eastAsia="Arial" w:hAnsi="Arial"/>
                <w:sz w:val="18"/>
                <w:szCs w:val="18"/>
                <w:color w:val="auto"/>
                <w:w w:val="85"/>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333-248924</w:t>
            </w:r>
          </w:p>
        </w:tc>
        <w:tc>
          <w:tcPr>
            <w:tcW w:w="840" w:type="dxa"/>
            <w:vAlign w:val="bottom"/>
          </w:tcPr>
          <w:p>
            <w:pPr>
              <w:jc w:val="center"/>
              <w:ind w:left="31"/>
              <w:spacing w:after="0"/>
              <w:rPr>
                <w:sz w:val="20"/>
                <w:szCs w:val="20"/>
                <w:color w:val="auto"/>
              </w:rPr>
            </w:pPr>
            <w:r>
              <w:rPr>
                <w:rFonts w:ascii="Arial" w:cs="Arial" w:eastAsia="Arial" w:hAnsi="Arial"/>
                <w:sz w:val="18"/>
                <w:szCs w:val="18"/>
                <w:color w:val="auto"/>
                <w:w w:val="95"/>
              </w:rPr>
              <w:t>4.2</w:t>
            </w:r>
          </w:p>
        </w:tc>
        <w:tc>
          <w:tcPr>
            <w:tcW w:w="1420" w:type="dxa"/>
            <w:vAlign w:val="bottom"/>
          </w:tcPr>
          <w:p>
            <w:pPr>
              <w:jc w:val="center"/>
              <w:ind w:left="11"/>
              <w:spacing w:after="0"/>
              <w:rPr>
                <w:sz w:val="20"/>
                <w:szCs w:val="20"/>
                <w:color w:val="auto"/>
              </w:rPr>
            </w:pPr>
            <w:r>
              <w:rPr>
                <w:rFonts w:ascii="Arial" w:cs="Arial" w:eastAsia="Arial" w:hAnsi="Arial"/>
                <w:sz w:val="18"/>
                <w:szCs w:val="18"/>
                <w:color w:val="auto"/>
                <w:w w:val="88"/>
              </w:rPr>
              <w:t>September 18,</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tcBorders>
              <w:bottom w:val="single" w:sz="8" w:color="0000EE"/>
            </w:tcBorders>
            <w:gridSpan w:val="17"/>
          </w:tcPr>
          <w:p>
            <w:pPr>
              <w:spacing w:after="0" w:line="196" w:lineRule="exact"/>
              <w:rPr>
                <w:rFonts w:ascii="Arial" w:cs="Arial" w:eastAsia="Arial" w:hAnsi="Arial"/>
                <w:sz w:val="18"/>
                <w:szCs w:val="18"/>
                <w:color w:val="0000FF"/>
                <w:w w:val="90"/>
              </w:rPr>
            </w:pPr>
            <w:hyperlink r:id="rId425">
              <w:r>
                <w:rPr>
                  <w:rFonts w:ascii="Arial" w:cs="Arial" w:eastAsia="Arial" w:hAnsi="Arial"/>
                  <w:sz w:val="18"/>
                  <w:szCs w:val="18"/>
                  <w:color w:val="0000FF"/>
                  <w:w w:val="90"/>
                </w:rPr>
                <w:t>registrant and certain of its stockholders, dated February 19, 2020</w:t>
              </w:r>
            </w:hyperlink>
          </w:p>
        </w:tc>
        <w:tc>
          <w:tcPr>
            <w:tcW w:w="420" w:type="dxa"/>
            <w:vAlign w:val="bottom"/>
            <w:gridSpan w:val="5"/>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jc w:val="center"/>
              <w:ind w:left="51"/>
              <w:spacing w:after="0" w:line="196" w:lineRule="exact"/>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77"/>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40" w:type="dxa"/>
            <w:vAlign w:val="bottom"/>
          </w:tcPr>
          <w:p>
            <w:pPr>
              <w:spacing w:after="0"/>
              <w:rPr>
                <w:sz w:val="24"/>
                <w:szCs w:val="24"/>
                <w:color w:val="auto"/>
              </w:rPr>
            </w:pPr>
          </w:p>
        </w:tc>
        <w:tc>
          <w:tcPr>
            <w:tcW w:w="5040" w:type="dxa"/>
            <w:vAlign w:val="bottom"/>
            <w:tcBorders>
              <w:bottom w:val="single" w:sz="8" w:color="0000FF"/>
            </w:tcBorders>
            <w:gridSpan w:val="19"/>
          </w:tcPr>
          <w:p>
            <w:pPr>
              <w:spacing w:after="0"/>
              <w:rPr>
                <w:rFonts w:ascii="Arial" w:cs="Arial" w:eastAsia="Arial" w:hAnsi="Arial"/>
                <w:sz w:val="18"/>
                <w:szCs w:val="18"/>
                <w:color w:val="0000FF"/>
                <w:w w:val="91"/>
              </w:rPr>
            </w:pPr>
            <w:hyperlink r:id="rId426">
              <w:r>
                <w:rPr>
                  <w:rFonts w:ascii="Arial" w:cs="Arial" w:eastAsia="Arial" w:hAnsi="Arial"/>
                  <w:sz w:val="18"/>
                  <w:szCs w:val="18"/>
                  <w:color w:val="0000FF"/>
                  <w:w w:val="91"/>
                </w:rPr>
                <w:t>Form of Warrant to Purchase Common Stock issued to Silicon Valley</w:t>
              </w:r>
            </w:hyperlink>
          </w:p>
        </w:tc>
        <w:tc>
          <w:tcPr>
            <w:tcW w:w="16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jc w:val="center"/>
              <w:ind w:left="11"/>
              <w:spacing w:after="0"/>
              <w:rPr>
                <w:sz w:val="20"/>
                <w:szCs w:val="20"/>
                <w:color w:val="auto"/>
              </w:rPr>
            </w:pPr>
            <w:r>
              <w:rPr>
                <w:rFonts w:ascii="Arial" w:cs="Arial" w:eastAsia="Arial" w:hAnsi="Arial"/>
                <w:sz w:val="18"/>
                <w:szCs w:val="18"/>
                <w:color w:val="auto"/>
                <w:w w:val="85"/>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333-248924</w:t>
            </w:r>
          </w:p>
        </w:tc>
        <w:tc>
          <w:tcPr>
            <w:tcW w:w="840" w:type="dxa"/>
            <w:vAlign w:val="bottom"/>
          </w:tcPr>
          <w:p>
            <w:pPr>
              <w:jc w:val="center"/>
              <w:ind w:left="31"/>
              <w:spacing w:after="0"/>
              <w:rPr>
                <w:sz w:val="20"/>
                <w:szCs w:val="20"/>
                <w:color w:val="auto"/>
              </w:rPr>
            </w:pPr>
            <w:r>
              <w:rPr>
                <w:rFonts w:ascii="Arial" w:cs="Arial" w:eastAsia="Arial" w:hAnsi="Arial"/>
                <w:sz w:val="18"/>
                <w:szCs w:val="18"/>
                <w:color w:val="auto"/>
                <w:w w:val="95"/>
              </w:rPr>
              <w:t>4.3</w:t>
            </w:r>
          </w:p>
        </w:tc>
        <w:tc>
          <w:tcPr>
            <w:tcW w:w="1420" w:type="dxa"/>
            <w:vAlign w:val="bottom"/>
          </w:tcPr>
          <w:p>
            <w:pPr>
              <w:jc w:val="center"/>
              <w:ind w:left="11"/>
              <w:spacing w:after="0"/>
              <w:rPr>
                <w:sz w:val="20"/>
                <w:szCs w:val="20"/>
                <w:color w:val="auto"/>
              </w:rPr>
            </w:pPr>
            <w:r>
              <w:rPr>
                <w:rFonts w:ascii="Arial" w:cs="Arial" w:eastAsia="Arial" w:hAnsi="Arial"/>
                <w:sz w:val="18"/>
                <w:szCs w:val="18"/>
                <w:color w:val="auto"/>
                <w:w w:val="88"/>
              </w:rPr>
              <w:t>September 18,</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0" w:type="dxa"/>
            <w:vAlign w:val="bottom"/>
            <w:gridSpan w:val="22"/>
          </w:tcPr>
          <w:p>
            <w:pPr>
              <w:spacing w:after="0" w:line="196" w:lineRule="exact"/>
              <w:rPr>
                <w:rFonts w:ascii="Arial" w:cs="Arial" w:eastAsia="Arial" w:hAnsi="Arial"/>
                <w:sz w:val="18"/>
                <w:szCs w:val="18"/>
                <w:color w:val="0000FF"/>
              </w:rPr>
            </w:pPr>
            <w:hyperlink r:id="rId426">
              <w:r>
                <w:rPr>
                  <w:rFonts w:ascii="Arial" w:cs="Arial" w:eastAsia="Arial" w:hAnsi="Arial"/>
                  <w:sz w:val="18"/>
                  <w:szCs w:val="18"/>
                  <w:color w:val="0000FF"/>
                </w:rPr>
                <w:t>Bank, dated September 23, 2019</w:t>
              </w:r>
            </w:hyperlink>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jc w:val="center"/>
              <w:ind w:left="51"/>
              <w:spacing w:after="0" w:line="196" w:lineRule="exact"/>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8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40" w:type="dxa"/>
            <w:vAlign w:val="bottom"/>
          </w:tcPr>
          <w:p>
            <w:pPr>
              <w:spacing w:after="0"/>
              <w:rPr>
                <w:sz w:val="24"/>
                <w:szCs w:val="24"/>
                <w:color w:val="auto"/>
              </w:rPr>
            </w:pPr>
          </w:p>
        </w:tc>
        <w:tc>
          <w:tcPr>
            <w:tcW w:w="3420" w:type="dxa"/>
            <w:vAlign w:val="bottom"/>
            <w:tcBorders>
              <w:bottom w:val="single" w:sz="8" w:color="0000EE"/>
            </w:tcBorders>
            <w:gridSpan w:val="9"/>
          </w:tcPr>
          <w:p>
            <w:pPr>
              <w:spacing w:after="0"/>
              <w:rPr>
                <w:rFonts w:ascii="Arial" w:cs="Arial" w:eastAsia="Arial" w:hAnsi="Arial"/>
                <w:sz w:val="18"/>
                <w:szCs w:val="18"/>
                <w:color w:val="0000FF"/>
                <w:w w:val="92"/>
              </w:rPr>
            </w:pPr>
            <w:hyperlink r:id="rId427">
              <w:r>
                <w:rPr>
                  <w:rFonts w:ascii="Arial" w:cs="Arial" w:eastAsia="Arial" w:hAnsi="Arial"/>
                  <w:sz w:val="18"/>
                  <w:szCs w:val="18"/>
                  <w:color w:val="0000FF"/>
                  <w:w w:val="92"/>
                </w:rPr>
                <w:t>Description of Common Stock of the registrant</w:t>
              </w:r>
            </w:hyperlink>
          </w:p>
        </w:tc>
        <w:tc>
          <w:tcPr>
            <w:tcW w:w="1780" w:type="dxa"/>
            <w:vAlign w:val="bottom"/>
            <w:gridSpan w:val="13"/>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jc w:val="center"/>
              <w:ind w:left="11"/>
              <w:spacing w:after="0"/>
              <w:rPr>
                <w:sz w:val="20"/>
                <w:szCs w:val="20"/>
                <w:color w:val="auto"/>
              </w:rPr>
            </w:pPr>
            <w:r>
              <w:rPr>
                <w:rFonts w:ascii="Arial" w:cs="Arial" w:eastAsia="Arial" w:hAnsi="Arial"/>
                <w:sz w:val="18"/>
                <w:szCs w:val="18"/>
                <w:color w:val="auto"/>
                <w:w w:val="94"/>
              </w:rPr>
              <w:t>10-K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001-39594</w:t>
            </w:r>
          </w:p>
        </w:tc>
        <w:tc>
          <w:tcPr>
            <w:tcW w:w="840" w:type="dxa"/>
            <w:vAlign w:val="bottom"/>
          </w:tcPr>
          <w:p>
            <w:pPr>
              <w:jc w:val="center"/>
              <w:ind w:left="31"/>
              <w:spacing w:after="0"/>
              <w:rPr>
                <w:sz w:val="20"/>
                <w:szCs w:val="20"/>
                <w:color w:val="auto"/>
              </w:rPr>
            </w:pPr>
            <w:r>
              <w:rPr>
                <w:rFonts w:ascii="Arial" w:cs="Arial" w:eastAsia="Arial" w:hAnsi="Arial"/>
                <w:sz w:val="18"/>
                <w:szCs w:val="18"/>
                <w:color w:val="auto"/>
                <w:w w:val="95"/>
              </w:rPr>
              <w:t>4.4</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2"/>
              </w:rPr>
              <w:t>March 22, 2021</w:t>
            </w:r>
          </w:p>
        </w:tc>
        <w:tc>
          <w:tcPr>
            <w:tcW w:w="0" w:type="dxa"/>
            <w:vAlign w:val="bottom"/>
          </w:tcPr>
          <w:p>
            <w:pPr>
              <w:spacing w:after="0"/>
              <w:rPr>
                <w:sz w:val="1"/>
                <w:szCs w:val="1"/>
                <w:color w:val="auto"/>
              </w:rPr>
            </w:pPr>
          </w:p>
        </w:tc>
      </w:tr>
      <w:tr>
        <w:trPr>
          <w:trHeight w:val="277"/>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40" w:type="dxa"/>
            <w:vAlign w:val="bottom"/>
          </w:tcPr>
          <w:p>
            <w:pPr>
              <w:spacing w:after="0"/>
              <w:rPr>
                <w:sz w:val="24"/>
                <w:szCs w:val="24"/>
                <w:color w:val="auto"/>
              </w:rPr>
            </w:pPr>
          </w:p>
        </w:tc>
        <w:tc>
          <w:tcPr>
            <w:tcW w:w="4140" w:type="dxa"/>
            <w:vAlign w:val="bottom"/>
            <w:tcBorders>
              <w:bottom w:val="single" w:sz="8" w:color="0000FF"/>
            </w:tcBorders>
            <w:gridSpan w:val="13"/>
          </w:tcPr>
          <w:p>
            <w:pPr>
              <w:spacing w:after="0"/>
              <w:rPr>
                <w:rFonts w:ascii="Arial" w:cs="Arial" w:eastAsia="Arial" w:hAnsi="Arial"/>
                <w:sz w:val="18"/>
                <w:szCs w:val="18"/>
                <w:color w:val="0000FF"/>
                <w:w w:val="89"/>
              </w:rPr>
            </w:pPr>
            <w:hyperlink r:id="rId428">
              <w:r>
                <w:rPr>
                  <w:rFonts w:ascii="Arial" w:cs="Arial" w:eastAsia="Arial" w:hAnsi="Arial"/>
                  <w:sz w:val="18"/>
                  <w:szCs w:val="18"/>
                  <w:color w:val="0000FF"/>
                  <w:w w:val="89"/>
                </w:rPr>
                <w:t>Form of Pre-Funded Warrant to Purchase Common Stock</w:t>
              </w:r>
            </w:hyperlink>
          </w:p>
        </w:tc>
        <w:tc>
          <w:tcPr>
            <w:tcW w:w="1060" w:type="dxa"/>
            <w:vAlign w:val="bottom"/>
            <w:gridSpan w:val="9"/>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jc w:val="center"/>
              <w:ind w:left="11"/>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001-39594</w:t>
            </w:r>
          </w:p>
        </w:tc>
        <w:tc>
          <w:tcPr>
            <w:tcW w:w="840" w:type="dxa"/>
            <w:vAlign w:val="bottom"/>
          </w:tcPr>
          <w:p>
            <w:pPr>
              <w:jc w:val="center"/>
              <w:ind w:left="31"/>
              <w:spacing w:after="0"/>
              <w:rPr>
                <w:sz w:val="20"/>
                <w:szCs w:val="20"/>
                <w:color w:val="auto"/>
              </w:rPr>
            </w:pPr>
            <w:r>
              <w:rPr>
                <w:rFonts w:ascii="Arial" w:cs="Arial" w:eastAsia="Arial" w:hAnsi="Arial"/>
                <w:sz w:val="18"/>
                <w:szCs w:val="18"/>
                <w:color w:val="auto"/>
                <w:w w:val="95"/>
              </w:rPr>
              <w:t>4.1</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0"/>
              </w:rPr>
              <w:t>February 9, 2023</w:t>
            </w:r>
          </w:p>
        </w:tc>
        <w:tc>
          <w:tcPr>
            <w:tcW w:w="0" w:type="dxa"/>
            <w:vAlign w:val="bottom"/>
          </w:tcPr>
          <w:p>
            <w:pPr>
              <w:spacing w:after="0"/>
              <w:rPr>
                <w:sz w:val="1"/>
                <w:szCs w:val="1"/>
                <w:color w:val="auto"/>
              </w:rPr>
            </w:pPr>
          </w:p>
        </w:tc>
      </w:tr>
      <w:tr>
        <w:trPr>
          <w:trHeight w:val="277"/>
        </w:trPr>
        <w:tc>
          <w:tcPr>
            <w:tcW w:w="102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40" w:type="dxa"/>
            <w:vAlign w:val="bottom"/>
          </w:tcPr>
          <w:p>
            <w:pPr>
              <w:spacing w:after="0"/>
              <w:rPr>
                <w:sz w:val="24"/>
                <w:szCs w:val="24"/>
                <w:color w:val="auto"/>
              </w:rPr>
            </w:pPr>
          </w:p>
        </w:tc>
        <w:tc>
          <w:tcPr>
            <w:tcW w:w="5200" w:type="dxa"/>
            <w:vAlign w:val="bottom"/>
            <w:gridSpan w:val="22"/>
          </w:tcPr>
          <w:p>
            <w:pPr>
              <w:spacing w:after="0"/>
              <w:rPr>
                <w:rFonts w:ascii="Arial" w:cs="Arial" w:eastAsia="Arial" w:hAnsi="Arial"/>
                <w:sz w:val="18"/>
                <w:szCs w:val="18"/>
                <w:color w:val="0000FF"/>
              </w:rPr>
            </w:pPr>
            <w:hyperlink r:id="rId429">
              <w:r>
                <w:rPr>
                  <w:rFonts w:ascii="Arial" w:cs="Arial" w:eastAsia="Arial" w:hAnsi="Arial"/>
                  <w:sz w:val="18"/>
                  <w:szCs w:val="18"/>
                  <w:color w:val="0000FF"/>
                </w:rPr>
                <w:t>Form of Common Stock Purchase Warrant</w:t>
              </w:r>
            </w:hyperlink>
          </w:p>
        </w:tc>
        <w:tc>
          <w:tcPr>
            <w:tcW w:w="60" w:type="dxa"/>
            <w:vAlign w:val="bottom"/>
          </w:tcPr>
          <w:p>
            <w:pPr>
              <w:spacing w:after="0"/>
              <w:rPr>
                <w:sz w:val="24"/>
                <w:szCs w:val="24"/>
                <w:color w:val="auto"/>
              </w:rPr>
            </w:pPr>
          </w:p>
        </w:tc>
        <w:tc>
          <w:tcPr>
            <w:tcW w:w="1140" w:type="dxa"/>
            <w:vAlign w:val="bottom"/>
          </w:tcPr>
          <w:p>
            <w:pPr>
              <w:jc w:val="center"/>
              <w:ind w:left="11"/>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001-39594</w:t>
            </w:r>
          </w:p>
        </w:tc>
        <w:tc>
          <w:tcPr>
            <w:tcW w:w="840" w:type="dxa"/>
            <w:vAlign w:val="bottom"/>
          </w:tcPr>
          <w:p>
            <w:pPr>
              <w:jc w:val="center"/>
              <w:ind w:left="31"/>
              <w:spacing w:after="0"/>
              <w:rPr>
                <w:sz w:val="20"/>
                <w:szCs w:val="20"/>
                <w:color w:val="auto"/>
              </w:rPr>
            </w:pPr>
            <w:r>
              <w:rPr>
                <w:rFonts w:ascii="Arial" w:cs="Arial" w:eastAsia="Arial" w:hAnsi="Arial"/>
                <w:sz w:val="18"/>
                <w:szCs w:val="18"/>
                <w:color w:val="auto"/>
                <w:w w:val="95"/>
              </w:rPr>
              <w:t>4.2</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90"/>
              </w:rPr>
              <w:t>February 9, 2023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0" w:type="dxa"/>
            <w:vAlign w:val="bottom"/>
            <w:tcBorders>
              <w:right w:val="single" w:sz="8" w:color="0000EE"/>
            </w:tcBorders>
            <w:gridSpan w:val="5"/>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w:t>
            </w:r>
          </w:p>
        </w:tc>
        <w:tc>
          <w:tcPr>
            <w:tcW w:w="140" w:type="dxa"/>
            <w:vAlign w:val="bottom"/>
          </w:tcPr>
          <w:p>
            <w:pPr>
              <w:spacing w:after="0"/>
              <w:rPr>
                <w:sz w:val="24"/>
                <w:szCs w:val="24"/>
                <w:color w:val="auto"/>
              </w:rPr>
            </w:pPr>
          </w:p>
        </w:tc>
        <w:tc>
          <w:tcPr>
            <w:tcW w:w="5160" w:type="dxa"/>
            <w:vAlign w:val="bottom"/>
            <w:tcBorders>
              <w:bottom w:val="single" w:sz="8" w:color="0000FF"/>
            </w:tcBorders>
            <w:gridSpan w:val="20"/>
          </w:tcPr>
          <w:p>
            <w:pPr>
              <w:spacing w:after="0"/>
              <w:rPr>
                <w:rFonts w:ascii="Arial" w:cs="Arial" w:eastAsia="Arial" w:hAnsi="Arial"/>
                <w:sz w:val="18"/>
                <w:szCs w:val="18"/>
                <w:color w:val="0000FF"/>
                <w:w w:val="90"/>
              </w:rPr>
            </w:pPr>
            <w:hyperlink r:id="rId430">
              <w:r>
                <w:rPr>
                  <w:rFonts w:ascii="Arial" w:cs="Arial" w:eastAsia="Arial" w:hAnsi="Arial"/>
                  <w:sz w:val="18"/>
                  <w:szCs w:val="18"/>
                  <w:color w:val="0000FF"/>
                  <w:w w:val="90"/>
                </w:rPr>
                <w:t>Spruce Biosciences, Inc. Amended and Restated 2016 Equity Incentive</w:t>
              </w:r>
            </w:hyperlink>
          </w:p>
        </w:tc>
        <w:tc>
          <w:tcPr>
            <w:tcW w:w="4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jc w:val="center"/>
              <w:ind w:left="11"/>
              <w:spacing w:after="0"/>
              <w:rPr>
                <w:sz w:val="20"/>
                <w:szCs w:val="20"/>
                <w:color w:val="auto"/>
              </w:rPr>
            </w:pPr>
            <w:r>
              <w:rPr>
                <w:rFonts w:ascii="Arial" w:cs="Arial" w:eastAsia="Arial" w:hAnsi="Arial"/>
                <w:sz w:val="18"/>
                <w:szCs w:val="18"/>
                <w:color w:val="auto"/>
                <w:w w:val="85"/>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333-248924</w:t>
            </w:r>
          </w:p>
        </w:tc>
        <w:tc>
          <w:tcPr>
            <w:tcW w:w="840" w:type="dxa"/>
            <w:vAlign w:val="bottom"/>
          </w:tcPr>
          <w:p>
            <w:pPr>
              <w:jc w:val="center"/>
              <w:ind w:left="31"/>
              <w:spacing w:after="0"/>
              <w:rPr>
                <w:sz w:val="20"/>
                <w:szCs w:val="20"/>
                <w:color w:val="auto"/>
              </w:rPr>
            </w:pPr>
            <w:r>
              <w:rPr>
                <w:rFonts w:ascii="Arial" w:cs="Arial" w:eastAsia="Arial" w:hAnsi="Arial"/>
                <w:sz w:val="18"/>
                <w:szCs w:val="18"/>
                <w:color w:val="auto"/>
                <w:w w:val="91"/>
              </w:rPr>
              <w:t>10.1</w:t>
            </w:r>
          </w:p>
        </w:tc>
        <w:tc>
          <w:tcPr>
            <w:tcW w:w="1420" w:type="dxa"/>
            <w:vAlign w:val="bottom"/>
          </w:tcPr>
          <w:p>
            <w:pPr>
              <w:jc w:val="center"/>
              <w:ind w:left="11"/>
              <w:spacing w:after="0"/>
              <w:rPr>
                <w:sz w:val="20"/>
                <w:szCs w:val="20"/>
                <w:color w:val="auto"/>
              </w:rPr>
            </w:pPr>
            <w:r>
              <w:rPr>
                <w:rFonts w:ascii="Arial" w:cs="Arial" w:eastAsia="Arial" w:hAnsi="Arial"/>
                <w:sz w:val="18"/>
                <w:szCs w:val="18"/>
                <w:color w:val="auto"/>
                <w:w w:val="88"/>
              </w:rPr>
              <w:t>September 18,</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bottom w:val="single" w:sz="8" w:color="0000FF"/>
            </w:tcBorders>
          </w:tcPr>
          <w:p>
            <w:pPr>
              <w:spacing w:after="0" w:line="196" w:lineRule="exact"/>
              <w:rPr>
                <w:rFonts w:ascii="Arial" w:cs="Arial" w:eastAsia="Arial" w:hAnsi="Arial"/>
                <w:sz w:val="18"/>
                <w:szCs w:val="18"/>
                <w:color w:val="0000FF"/>
                <w:w w:val="83"/>
              </w:rPr>
            </w:pPr>
            <w:hyperlink r:id="rId430">
              <w:r>
                <w:rPr>
                  <w:rFonts w:ascii="Arial" w:cs="Arial" w:eastAsia="Arial" w:hAnsi="Arial"/>
                  <w:sz w:val="18"/>
                  <w:szCs w:val="18"/>
                  <w:color w:val="0000FF"/>
                  <w:w w:val="83"/>
                </w:rPr>
                <w:t>Plan</w:t>
              </w:r>
            </w:hyperlink>
          </w:p>
        </w:tc>
        <w:tc>
          <w:tcPr>
            <w:tcW w:w="40" w:type="dxa"/>
            <w:vAlign w:val="bottom"/>
            <w:tcBorders>
              <w:bottom w:val="single" w:sz="8" w:color="0000EE"/>
            </w:tcBorders>
          </w:tcPr>
          <w:p>
            <w:pPr>
              <w:spacing w:after="0"/>
              <w:rPr>
                <w:sz w:val="17"/>
                <w:szCs w:val="17"/>
                <w:color w:val="auto"/>
              </w:rPr>
            </w:pPr>
          </w:p>
        </w:tc>
        <w:tc>
          <w:tcPr>
            <w:tcW w:w="4840" w:type="dxa"/>
            <w:vAlign w:val="bottom"/>
            <w:gridSpan w:val="20"/>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jc w:val="center"/>
              <w:ind w:left="51"/>
              <w:spacing w:after="0" w:line="196" w:lineRule="exact"/>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77"/>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10.2+</w:t>
            </w:r>
          </w:p>
        </w:tc>
        <w:tc>
          <w:tcPr>
            <w:tcW w:w="140" w:type="dxa"/>
            <w:vAlign w:val="bottom"/>
          </w:tcPr>
          <w:p>
            <w:pPr>
              <w:spacing w:after="0"/>
              <w:rPr>
                <w:sz w:val="24"/>
                <w:szCs w:val="24"/>
                <w:color w:val="auto"/>
              </w:rPr>
            </w:pPr>
          </w:p>
        </w:tc>
        <w:tc>
          <w:tcPr>
            <w:tcW w:w="5200" w:type="dxa"/>
            <w:vAlign w:val="bottom"/>
            <w:tcBorders>
              <w:bottom w:val="single" w:sz="8" w:color="0000FF"/>
            </w:tcBorders>
            <w:gridSpan w:val="22"/>
          </w:tcPr>
          <w:p>
            <w:pPr>
              <w:spacing w:after="0"/>
              <w:rPr>
                <w:rFonts w:ascii="Arial" w:cs="Arial" w:eastAsia="Arial" w:hAnsi="Arial"/>
                <w:sz w:val="18"/>
                <w:szCs w:val="18"/>
                <w:color w:val="0000FF"/>
                <w:w w:val="91"/>
              </w:rPr>
            </w:pPr>
            <w:hyperlink r:id="rId431">
              <w:r>
                <w:rPr>
                  <w:rFonts w:ascii="Arial" w:cs="Arial" w:eastAsia="Arial" w:hAnsi="Arial"/>
                  <w:sz w:val="18"/>
                  <w:szCs w:val="18"/>
                  <w:color w:val="0000FF"/>
                  <w:w w:val="91"/>
                </w:rPr>
                <w:t>Forms of Grant Notice, Stock Option Agreement and Notice of Exercise</w:t>
              </w:r>
            </w:hyperlink>
          </w:p>
        </w:tc>
        <w:tc>
          <w:tcPr>
            <w:tcW w:w="60" w:type="dxa"/>
            <w:vAlign w:val="bottom"/>
            <w:tcBorders>
              <w:bottom w:val="single" w:sz="8" w:color="0000FF"/>
            </w:tcBorders>
          </w:tcPr>
          <w:p>
            <w:pPr>
              <w:spacing w:after="0"/>
              <w:rPr>
                <w:sz w:val="24"/>
                <w:szCs w:val="24"/>
                <w:color w:val="auto"/>
              </w:rPr>
            </w:pPr>
          </w:p>
        </w:tc>
        <w:tc>
          <w:tcPr>
            <w:tcW w:w="1140" w:type="dxa"/>
            <w:vAlign w:val="bottom"/>
          </w:tcPr>
          <w:p>
            <w:pPr>
              <w:jc w:val="center"/>
              <w:ind w:left="11"/>
              <w:spacing w:after="0"/>
              <w:rPr>
                <w:sz w:val="20"/>
                <w:szCs w:val="20"/>
                <w:color w:val="auto"/>
              </w:rPr>
            </w:pPr>
            <w:r>
              <w:rPr>
                <w:rFonts w:ascii="Arial" w:cs="Arial" w:eastAsia="Arial" w:hAnsi="Arial"/>
                <w:sz w:val="18"/>
                <w:szCs w:val="18"/>
                <w:color w:val="auto"/>
                <w:w w:val="85"/>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333-248924</w:t>
            </w:r>
          </w:p>
        </w:tc>
        <w:tc>
          <w:tcPr>
            <w:tcW w:w="840" w:type="dxa"/>
            <w:vAlign w:val="bottom"/>
          </w:tcPr>
          <w:p>
            <w:pPr>
              <w:jc w:val="center"/>
              <w:ind w:left="31"/>
              <w:spacing w:after="0"/>
              <w:rPr>
                <w:sz w:val="20"/>
                <w:szCs w:val="20"/>
                <w:color w:val="auto"/>
              </w:rPr>
            </w:pPr>
            <w:r>
              <w:rPr>
                <w:rFonts w:ascii="Arial" w:cs="Arial" w:eastAsia="Arial" w:hAnsi="Arial"/>
                <w:sz w:val="18"/>
                <w:szCs w:val="18"/>
                <w:color w:val="auto"/>
                <w:w w:val="91"/>
              </w:rPr>
              <w:t>10.2</w:t>
            </w:r>
          </w:p>
        </w:tc>
        <w:tc>
          <w:tcPr>
            <w:tcW w:w="1420" w:type="dxa"/>
            <w:vAlign w:val="bottom"/>
          </w:tcPr>
          <w:p>
            <w:pPr>
              <w:jc w:val="center"/>
              <w:ind w:left="11"/>
              <w:spacing w:after="0"/>
              <w:rPr>
                <w:sz w:val="20"/>
                <w:szCs w:val="20"/>
                <w:color w:val="auto"/>
              </w:rPr>
            </w:pPr>
            <w:r>
              <w:rPr>
                <w:rFonts w:ascii="Arial" w:cs="Arial" w:eastAsia="Arial" w:hAnsi="Arial"/>
                <w:sz w:val="18"/>
                <w:szCs w:val="18"/>
                <w:color w:val="auto"/>
                <w:w w:val="88"/>
              </w:rPr>
              <w:t>September 18,</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8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431">
              <w:r>
                <w:rPr>
                  <w:rFonts w:ascii="Arial" w:cs="Arial" w:eastAsia="Arial" w:hAnsi="Arial"/>
                  <w:sz w:val="18"/>
                  <w:szCs w:val="18"/>
                  <w:color w:val="0000FF"/>
                  <w:w w:val="90"/>
                </w:rPr>
                <w:t>under the Spruce Biosciences, Inc. Amended and Restated 2016 Equity</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jc w:val="center"/>
              <w:ind w:left="51"/>
              <w:spacing w:after="0" w:line="196" w:lineRule="exact"/>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Borders>
              <w:bottom w:val="single" w:sz="8" w:color="0000EE"/>
            </w:tcBorders>
            <w:gridSpan w:val="3"/>
          </w:tcPr>
          <w:p>
            <w:pPr>
              <w:spacing w:after="0" w:line="196" w:lineRule="exact"/>
              <w:rPr>
                <w:rFonts w:ascii="Arial" w:cs="Arial" w:eastAsia="Arial" w:hAnsi="Arial"/>
                <w:sz w:val="18"/>
                <w:szCs w:val="18"/>
                <w:color w:val="0000FF"/>
                <w:w w:val="93"/>
              </w:rPr>
            </w:pPr>
            <w:hyperlink r:id="rId431">
              <w:r>
                <w:rPr>
                  <w:rFonts w:ascii="Arial" w:cs="Arial" w:eastAsia="Arial" w:hAnsi="Arial"/>
                  <w:sz w:val="18"/>
                  <w:szCs w:val="18"/>
                  <w:color w:val="0000FF"/>
                  <w:w w:val="93"/>
                </w:rPr>
                <w:t>Incentive Plan</w:t>
              </w:r>
            </w:hyperlink>
          </w:p>
        </w:tc>
        <w:tc>
          <w:tcPr>
            <w:tcW w:w="4120" w:type="dxa"/>
            <w:vAlign w:val="bottom"/>
            <w:gridSpan w:val="19"/>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10.3+</w:t>
            </w:r>
          </w:p>
        </w:tc>
        <w:tc>
          <w:tcPr>
            <w:tcW w:w="140" w:type="dxa"/>
            <w:vAlign w:val="bottom"/>
          </w:tcPr>
          <w:p>
            <w:pPr>
              <w:spacing w:after="0"/>
              <w:rPr>
                <w:sz w:val="24"/>
                <w:szCs w:val="24"/>
                <w:color w:val="auto"/>
              </w:rPr>
            </w:pPr>
          </w:p>
        </w:tc>
        <w:tc>
          <w:tcPr>
            <w:tcW w:w="3780" w:type="dxa"/>
            <w:vAlign w:val="bottom"/>
            <w:tcBorders>
              <w:bottom w:val="single" w:sz="8" w:color="0000FF"/>
            </w:tcBorders>
            <w:gridSpan w:val="11"/>
          </w:tcPr>
          <w:p>
            <w:pPr>
              <w:spacing w:after="0"/>
              <w:rPr>
                <w:rFonts w:ascii="Arial" w:cs="Arial" w:eastAsia="Arial" w:hAnsi="Arial"/>
                <w:sz w:val="18"/>
                <w:szCs w:val="18"/>
                <w:color w:val="0000FF"/>
                <w:w w:val="90"/>
              </w:rPr>
            </w:pPr>
            <w:hyperlink r:id="rId432">
              <w:r>
                <w:rPr>
                  <w:rFonts w:ascii="Arial" w:cs="Arial" w:eastAsia="Arial" w:hAnsi="Arial"/>
                  <w:sz w:val="18"/>
                  <w:szCs w:val="18"/>
                  <w:color w:val="0000FF"/>
                  <w:w w:val="90"/>
                </w:rPr>
                <w:t>Spruce Biosciences, Inc. 2020 Equity Incentive Plan</w:t>
              </w:r>
            </w:hyperlink>
          </w:p>
        </w:tc>
        <w:tc>
          <w:tcPr>
            <w:tcW w:w="20" w:type="dxa"/>
            <w:vAlign w:val="bottom"/>
            <w:tcBorders>
              <w:bottom w:val="single" w:sz="8" w:color="0000EE"/>
            </w:tcBorders>
          </w:tcPr>
          <w:p>
            <w:pPr>
              <w:spacing w:after="0"/>
              <w:rPr>
                <w:sz w:val="24"/>
                <w:szCs w:val="24"/>
                <w:color w:val="auto"/>
              </w:rPr>
            </w:pPr>
          </w:p>
        </w:tc>
        <w:tc>
          <w:tcPr>
            <w:tcW w:w="1400" w:type="dxa"/>
            <w:vAlign w:val="bottom"/>
            <w:gridSpan w:val="10"/>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jc w:val="center"/>
              <w:ind w:left="11"/>
              <w:spacing w:after="0"/>
              <w:rPr>
                <w:sz w:val="20"/>
                <w:szCs w:val="20"/>
                <w:color w:val="auto"/>
              </w:rPr>
            </w:pPr>
            <w:r>
              <w:rPr>
                <w:rFonts w:ascii="Arial" w:cs="Arial" w:eastAsia="Arial" w:hAnsi="Arial"/>
                <w:sz w:val="18"/>
                <w:szCs w:val="18"/>
                <w:color w:val="auto"/>
                <w:w w:val="97"/>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333-248924</w:t>
            </w:r>
          </w:p>
        </w:tc>
        <w:tc>
          <w:tcPr>
            <w:tcW w:w="840" w:type="dxa"/>
            <w:vAlign w:val="bottom"/>
          </w:tcPr>
          <w:p>
            <w:pPr>
              <w:jc w:val="center"/>
              <w:ind w:left="31"/>
              <w:spacing w:after="0"/>
              <w:rPr>
                <w:sz w:val="20"/>
                <w:szCs w:val="20"/>
                <w:color w:val="auto"/>
              </w:rPr>
            </w:pPr>
            <w:r>
              <w:rPr>
                <w:rFonts w:ascii="Arial" w:cs="Arial" w:eastAsia="Arial" w:hAnsi="Arial"/>
                <w:sz w:val="18"/>
                <w:szCs w:val="18"/>
                <w:color w:val="auto"/>
                <w:w w:val="91"/>
              </w:rPr>
              <w:t>10.3</w:t>
            </w:r>
          </w:p>
        </w:tc>
        <w:tc>
          <w:tcPr>
            <w:tcW w:w="1420" w:type="dxa"/>
            <w:vAlign w:val="bottom"/>
          </w:tcPr>
          <w:p>
            <w:pPr>
              <w:jc w:val="center"/>
              <w:ind w:left="51"/>
              <w:spacing w:after="0"/>
              <w:rPr>
                <w:sz w:val="20"/>
                <w:szCs w:val="20"/>
                <w:color w:val="auto"/>
              </w:rPr>
            </w:pPr>
            <w:r>
              <w:rPr>
                <w:rFonts w:ascii="Arial" w:cs="Arial" w:eastAsia="Arial" w:hAnsi="Arial"/>
                <w:sz w:val="18"/>
                <w:szCs w:val="18"/>
                <w:color w:val="auto"/>
                <w:w w:val="89"/>
              </w:rPr>
              <w:t>October 5, 2020</w:t>
            </w:r>
          </w:p>
        </w:tc>
        <w:tc>
          <w:tcPr>
            <w:tcW w:w="0" w:type="dxa"/>
            <w:vAlign w:val="bottom"/>
          </w:tcPr>
          <w:p>
            <w:pPr>
              <w:spacing w:after="0"/>
              <w:rPr>
                <w:sz w:val="1"/>
                <w:szCs w:val="1"/>
                <w:color w:val="auto"/>
              </w:rPr>
            </w:pPr>
          </w:p>
        </w:tc>
      </w:tr>
      <w:tr>
        <w:trPr>
          <w:trHeight w:val="277"/>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10.4+</w:t>
            </w:r>
          </w:p>
        </w:tc>
        <w:tc>
          <w:tcPr>
            <w:tcW w:w="140" w:type="dxa"/>
            <w:vAlign w:val="bottom"/>
          </w:tcPr>
          <w:p>
            <w:pPr>
              <w:spacing w:after="0"/>
              <w:rPr>
                <w:sz w:val="24"/>
                <w:szCs w:val="24"/>
                <w:color w:val="auto"/>
              </w:rPr>
            </w:pPr>
          </w:p>
        </w:tc>
        <w:tc>
          <w:tcPr>
            <w:tcW w:w="5200" w:type="dxa"/>
            <w:vAlign w:val="bottom"/>
            <w:tcBorders>
              <w:bottom w:val="single" w:sz="8" w:color="0000FF"/>
            </w:tcBorders>
            <w:gridSpan w:val="22"/>
          </w:tcPr>
          <w:p>
            <w:pPr>
              <w:spacing w:after="0"/>
              <w:rPr>
                <w:rFonts w:ascii="Arial" w:cs="Arial" w:eastAsia="Arial" w:hAnsi="Arial"/>
                <w:sz w:val="18"/>
                <w:szCs w:val="18"/>
                <w:color w:val="0000FF"/>
                <w:w w:val="91"/>
              </w:rPr>
            </w:pPr>
            <w:hyperlink r:id="rId433">
              <w:r>
                <w:rPr>
                  <w:rFonts w:ascii="Arial" w:cs="Arial" w:eastAsia="Arial" w:hAnsi="Arial"/>
                  <w:sz w:val="18"/>
                  <w:szCs w:val="18"/>
                  <w:color w:val="0000FF"/>
                  <w:w w:val="91"/>
                </w:rPr>
                <w:t>Forms of Grant Notice, Stock Option Agreement and Notice of Exercise</w:t>
              </w:r>
            </w:hyperlink>
          </w:p>
        </w:tc>
        <w:tc>
          <w:tcPr>
            <w:tcW w:w="60" w:type="dxa"/>
            <w:vAlign w:val="bottom"/>
            <w:tcBorders>
              <w:bottom w:val="single" w:sz="8" w:color="0000FF"/>
            </w:tcBorders>
          </w:tcPr>
          <w:p>
            <w:pPr>
              <w:spacing w:after="0"/>
              <w:rPr>
                <w:sz w:val="24"/>
                <w:szCs w:val="24"/>
                <w:color w:val="auto"/>
              </w:rPr>
            </w:pPr>
          </w:p>
        </w:tc>
        <w:tc>
          <w:tcPr>
            <w:tcW w:w="1140" w:type="dxa"/>
            <w:vAlign w:val="bottom"/>
          </w:tcPr>
          <w:p>
            <w:pPr>
              <w:jc w:val="center"/>
              <w:ind w:left="11"/>
              <w:spacing w:after="0"/>
              <w:rPr>
                <w:sz w:val="20"/>
                <w:szCs w:val="20"/>
                <w:color w:val="auto"/>
              </w:rPr>
            </w:pPr>
            <w:r>
              <w:rPr>
                <w:rFonts w:ascii="Arial" w:cs="Arial" w:eastAsia="Arial" w:hAnsi="Arial"/>
                <w:sz w:val="18"/>
                <w:szCs w:val="18"/>
                <w:color w:val="auto"/>
                <w:w w:val="85"/>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333-248924</w:t>
            </w:r>
          </w:p>
        </w:tc>
        <w:tc>
          <w:tcPr>
            <w:tcW w:w="840" w:type="dxa"/>
            <w:vAlign w:val="bottom"/>
          </w:tcPr>
          <w:p>
            <w:pPr>
              <w:jc w:val="center"/>
              <w:ind w:left="31"/>
              <w:spacing w:after="0"/>
              <w:rPr>
                <w:sz w:val="20"/>
                <w:szCs w:val="20"/>
                <w:color w:val="auto"/>
              </w:rPr>
            </w:pPr>
            <w:r>
              <w:rPr>
                <w:rFonts w:ascii="Arial" w:cs="Arial" w:eastAsia="Arial" w:hAnsi="Arial"/>
                <w:sz w:val="18"/>
                <w:szCs w:val="18"/>
                <w:color w:val="auto"/>
                <w:w w:val="91"/>
              </w:rPr>
              <w:t>10.4</w:t>
            </w:r>
          </w:p>
        </w:tc>
        <w:tc>
          <w:tcPr>
            <w:tcW w:w="1420" w:type="dxa"/>
            <w:vAlign w:val="bottom"/>
          </w:tcPr>
          <w:p>
            <w:pPr>
              <w:jc w:val="center"/>
              <w:ind w:left="11"/>
              <w:spacing w:after="0"/>
              <w:rPr>
                <w:sz w:val="20"/>
                <w:szCs w:val="20"/>
                <w:color w:val="auto"/>
              </w:rPr>
            </w:pPr>
            <w:r>
              <w:rPr>
                <w:rFonts w:ascii="Arial" w:cs="Arial" w:eastAsia="Arial" w:hAnsi="Arial"/>
                <w:sz w:val="18"/>
                <w:szCs w:val="18"/>
                <w:color w:val="auto"/>
                <w:w w:val="88"/>
              </w:rPr>
              <w:t>September 18,</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40" w:type="dxa"/>
            <w:vAlign w:val="bottom"/>
            <w:tcBorders>
              <w:bottom w:val="single" w:sz="8" w:color="0000EE"/>
            </w:tcBorders>
            <w:gridSpan w:val="16"/>
          </w:tcPr>
          <w:p>
            <w:pPr>
              <w:spacing w:after="0" w:line="196" w:lineRule="exact"/>
              <w:rPr>
                <w:rFonts w:ascii="Arial" w:cs="Arial" w:eastAsia="Arial" w:hAnsi="Arial"/>
                <w:sz w:val="18"/>
                <w:szCs w:val="18"/>
                <w:color w:val="0000FF"/>
                <w:w w:val="91"/>
              </w:rPr>
            </w:pPr>
            <w:hyperlink r:id="rId433">
              <w:r>
                <w:rPr>
                  <w:rFonts w:ascii="Arial" w:cs="Arial" w:eastAsia="Arial" w:hAnsi="Arial"/>
                  <w:sz w:val="18"/>
                  <w:szCs w:val="18"/>
                  <w:color w:val="0000FF"/>
                  <w:w w:val="91"/>
                </w:rPr>
                <w:t>under the Spruce Biosciences, Inc. 2020 Equity Incentive Plan</w:t>
              </w:r>
            </w:hyperlink>
          </w:p>
        </w:tc>
        <w:tc>
          <w:tcPr>
            <w:tcW w:w="660" w:type="dxa"/>
            <w:vAlign w:val="bottom"/>
            <w:gridSpan w:val="6"/>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jc w:val="center"/>
              <w:ind w:left="51"/>
              <w:spacing w:after="0" w:line="196" w:lineRule="exact"/>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77"/>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10.5+</w:t>
            </w:r>
          </w:p>
        </w:tc>
        <w:tc>
          <w:tcPr>
            <w:tcW w:w="140" w:type="dxa"/>
            <w:vAlign w:val="bottom"/>
          </w:tcPr>
          <w:p>
            <w:pPr>
              <w:spacing w:after="0"/>
              <w:rPr>
                <w:sz w:val="24"/>
                <w:szCs w:val="24"/>
                <w:color w:val="auto"/>
              </w:rPr>
            </w:pPr>
          </w:p>
        </w:tc>
        <w:tc>
          <w:tcPr>
            <w:tcW w:w="494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2"/>
              </w:rPr>
              <w:t>Forms of Restricted Stock Unit Grant Notice and Award Agreement</w:t>
            </w:r>
          </w:p>
        </w:tc>
        <w:tc>
          <w:tcPr>
            <w:tcW w:w="26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60" w:type="dxa"/>
            <w:vAlign w:val="bottom"/>
            <w:gridSpan w:val="2"/>
            <w:vMerge w:val="restart"/>
          </w:tcPr>
          <w:p>
            <w:pPr>
              <w:ind w:left="820"/>
              <w:spacing w:after="0"/>
              <w:rPr>
                <w:sz w:val="20"/>
                <w:szCs w:val="20"/>
                <w:color w:val="auto"/>
              </w:rPr>
            </w:pPr>
            <w:r>
              <w:rPr>
                <w:rFonts w:ascii="Arial" w:cs="Arial" w:eastAsia="Arial" w:hAnsi="Arial"/>
                <w:sz w:val="18"/>
                <w:szCs w:val="18"/>
                <w:color w:val="auto"/>
              </w:rPr>
              <w:t>Filed herewith</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500" w:type="dxa"/>
            <w:vAlign w:val="bottom"/>
            <w:gridSpan w:val="14"/>
            <w:vMerge w:val="restart"/>
          </w:tcPr>
          <w:p>
            <w:pPr>
              <w:spacing w:after="0" w:line="196" w:lineRule="exact"/>
              <w:rPr>
                <w:sz w:val="20"/>
                <w:szCs w:val="20"/>
                <w:color w:val="auto"/>
              </w:rPr>
            </w:pPr>
            <w:r>
              <w:rPr>
                <w:rFonts w:ascii="Arial" w:cs="Arial" w:eastAsia="Arial" w:hAnsi="Arial"/>
                <w:sz w:val="18"/>
                <w:szCs w:val="18"/>
                <w:color w:val="0000FF"/>
                <w:w w:val="90"/>
              </w:rPr>
              <w:t>under the Spruce Biosciences, Inc. 2020 Equity Incentive Plan</w:t>
            </w:r>
          </w:p>
        </w:tc>
        <w:tc>
          <w:tcPr>
            <w:tcW w:w="20" w:type="dxa"/>
            <w:vAlign w:val="bottom"/>
            <w:vMerge w:val="restart"/>
          </w:tcPr>
          <w:p>
            <w:pPr>
              <w:spacing w:after="0"/>
              <w:rPr>
                <w:sz w:val="7"/>
                <w:szCs w:val="7"/>
                <w:color w:val="auto"/>
              </w:rPr>
            </w:pPr>
          </w:p>
        </w:tc>
        <w:tc>
          <w:tcPr>
            <w:tcW w:w="680" w:type="dxa"/>
            <w:vAlign w:val="bottom"/>
            <w:gridSpan w:val="7"/>
            <w:vMerge w:val="restart"/>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60" w:type="dxa"/>
            <w:vAlign w:val="bottom"/>
            <w:gridSpan w:val="2"/>
            <w:vMerge w:val="continue"/>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500" w:type="dxa"/>
            <w:vAlign w:val="bottom"/>
            <w:tcBorders>
              <w:bottom w:val="single" w:sz="8" w:color="0000FF"/>
            </w:tcBorders>
            <w:gridSpan w:val="14"/>
            <w:vMerge w:val="continue"/>
          </w:tcPr>
          <w:p>
            <w:pPr>
              <w:spacing w:after="0"/>
              <w:rPr>
                <w:sz w:val="9"/>
                <w:szCs w:val="9"/>
                <w:color w:val="auto"/>
              </w:rPr>
            </w:pPr>
          </w:p>
        </w:tc>
        <w:tc>
          <w:tcPr>
            <w:tcW w:w="20" w:type="dxa"/>
            <w:vAlign w:val="bottom"/>
            <w:tcBorders>
              <w:bottom w:val="single" w:sz="8" w:color="0000EE"/>
            </w:tcBorders>
            <w:vMerge w:val="continue"/>
          </w:tcPr>
          <w:p>
            <w:pPr>
              <w:spacing w:after="0"/>
              <w:rPr>
                <w:sz w:val="9"/>
                <w:szCs w:val="9"/>
                <w:color w:val="auto"/>
              </w:rPr>
            </w:pPr>
          </w:p>
        </w:tc>
        <w:tc>
          <w:tcPr>
            <w:tcW w:w="680" w:type="dxa"/>
            <w:vAlign w:val="bottom"/>
            <w:gridSpan w:val="7"/>
            <w:vMerge w:val="continue"/>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3"/>
        </w:trPr>
        <w:tc>
          <w:tcPr>
            <w:tcW w:w="1020" w:type="dxa"/>
            <w:vAlign w:val="bottom"/>
          </w:tcPr>
          <w:p>
            <w:pPr>
              <w:spacing w:after="0"/>
              <w:rPr>
                <w:sz w:val="24"/>
                <w:szCs w:val="24"/>
                <w:color w:val="auto"/>
              </w:rPr>
            </w:pPr>
          </w:p>
        </w:tc>
        <w:tc>
          <w:tcPr>
            <w:tcW w:w="4920" w:type="dxa"/>
            <w:vAlign w:val="bottom"/>
            <w:gridSpan w:val="18"/>
          </w:tcPr>
          <w:p>
            <w:pPr>
              <w:jc w:val="right"/>
              <w:ind w:right="180"/>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46" w:lineRule="exact"/>
        <w:rPr>
          <w:sz w:val="20"/>
          <w:szCs w:val="20"/>
          <w:color w:val="auto"/>
        </w:rPr>
      </w:pPr>
    </w:p>
    <w:p>
      <w:pPr>
        <w:ind w:left="300"/>
        <w:spacing w:after="0"/>
        <w:tabs>
          <w:tab w:leader="none" w:pos="1140" w:val="left"/>
        </w:tabs>
        <w:rPr>
          <w:rFonts w:ascii="Arial" w:cs="Arial" w:eastAsia="Arial" w:hAnsi="Arial"/>
          <w:sz w:val="16"/>
          <w:szCs w:val="16"/>
          <w:u w:val="single" w:color="auto"/>
          <w:color w:val="0000FF"/>
        </w:rPr>
      </w:pPr>
      <w:r>
        <w:rPr>
          <w:rFonts w:ascii="Arial" w:cs="Arial" w:eastAsia="Arial" w:hAnsi="Arial"/>
          <w:sz w:val="18"/>
          <w:szCs w:val="18"/>
          <w:color w:val="auto"/>
        </w:rPr>
        <w:t>10.6+</w:t>
      </w:r>
      <w:r>
        <w:rPr>
          <w:sz w:val="20"/>
          <w:szCs w:val="20"/>
          <w:color w:val="auto"/>
        </w:rPr>
        <w:tab/>
      </w:r>
      <w:hyperlink r:id="rId437">
        <w:r>
          <w:rPr>
            <w:rFonts w:ascii="Arial" w:cs="Arial" w:eastAsia="Arial" w:hAnsi="Arial"/>
            <w:sz w:val="16"/>
            <w:szCs w:val="16"/>
            <w:u w:val="single" w:color="auto"/>
            <w:color w:val="0000FF"/>
          </w:rPr>
          <w:t>Spruce Biosciences, Inc. 2020 Employee Stock Purchase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-10160</wp:posOffset>
            </wp:positionV>
            <wp:extent cx="286194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8">
                      <a:extLst>
                        <a:ext uri="{28A0092B-C50C-407E-A947-70E740481C1C}"/>
                      </a:extLst>
                    </a:blip>
                    <a:srcRect/>
                    <a:stretch>
                      <a:fillRect/>
                    </a:stretch>
                  </pic:blipFill>
                  <pic:spPr bwMode="auto">
                    <a:xfrm>
                      <a:off x="0" y="0"/>
                      <a:ext cx="2861945" cy="8255"/>
                    </a:xfrm>
                    <a:prstGeom prst="rect">
                      <a:avLst/>
                    </a:prstGeom>
                    <a:noFill/>
                  </pic:spPr>
                </pic:pic>
              </a:graphicData>
            </a:graphic>
          </wp:anchor>
        </w:drawing>
      </w:r>
    </w:p>
    <w:p>
      <w:pPr>
        <w:spacing w:after="0" w:line="70" w:lineRule="exact"/>
        <w:rPr>
          <w:sz w:val="20"/>
          <w:szCs w:val="20"/>
          <w:color w:val="auto"/>
        </w:rPr>
      </w:pPr>
    </w:p>
    <w:p>
      <w:pPr>
        <w:ind w:left="1160" w:right="160" w:hanging="848"/>
        <w:spacing w:after="0" w:line="277"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10.7+</w:t>
      </w:r>
      <w:r>
        <w:rPr>
          <w:sz w:val="20"/>
          <w:szCs w:val="20"/>
          <w:color w:val="auto"/>
        </w:rPr>
        <w:tab/>
      </w:r>
      <w:hyperlink r:id="rId439">
        <w:r>
          <w:rPr>
            <w:rFonts w:ascii="Arial" w:cs="Arial" w:eastAsia="Arial" w:hAnsi="Arial"/>
            <w:sz w:val="18"/>
            <w:szCs w:val="18"/>
            <w:u w:val="single" w:color="auto"/>
            <w:color w:val="0000FF"/>
          </w:rPr>
          <w:t>Spruce Biosciences, Inc. 2020 Employee Stock Purchase Plan Offering</w:t>
        </w:r>
      </w:hyperlink>
      <w:r>
        <w:rPr>
          <w:rFonts w:ascii="Arial" w:cs="Arial" w:eastAsia="Arial" w:hAnsi="Arial"/>
          <w:sz w:val="18"/>
          <w:szCs w:val="18"/>
          <w:u w:val="single" w:color="auto"/>
          <w:color w:val="0000FF"/>
        </w:rPr>
        <w:t xml:space="preserve"> </w:t>
      </w:r>
      <w:hyperlink r:id="rId439">
        <w:r>
          <w:rPr>
            <w:rFonts w:ascii="Arial" w:cs="Arial" w:eastAsia="Arial" w:hAnsi="Arial"/>
            <w:sz w:val="18"/>
            <w:szCs w:val="18"/>
            <w:u w:val="single" w:color="auto"/>
            <w:color w:val="0000FF"/>
          </w:rPr>
          <w:t>Document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-182245</wp:posOffset>
            </wp:positionV>
            <wp:extent cx="32816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0">
                      <a:extLst>
                        <a:ext uri="{28A0092B-C50C-407E-A947-70E740481C1C}"/>
                      </a:extLst>
                    </a:blip>
                    <a:srcRect/>
                    <a:stretch>
                      <a:fillRect/>
                    </a:stretch>
                  </pic:blipFill>
                  <pic:spPr bwMode="auto">
                    <a:xfrm>
                      <a:off x="0" y="0"/>
                      <a:ext cx="328168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-45085</wp:posOffset>
            </wp:positionV>
            <wp:extent cx="5041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1">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15" w:lineRule="exact"/>
        <w:rPr>
          <w:sz w:val="20"/>
          <w:szCs w:val="20"/>
          <w:color w:val="auto"/>
        </w:rPr>
      </w:pPr>
    </w:p>
    <w:p>
      <w:pPr>
        <w:jc w:val="both"/>
        <w:ind w:left="1160" w:right="180" w:hanging="848"/>
        <w:spacing w:after="0" w:line="263"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442">
        <w:r>
          <w:rPr>
            <w:rFonts w:ascii="Arial" w:cs="Arial" w:eastAsia="Arial" w:hAnsi="Arial"/>
            <w:sz w:val="18"/>
            <w:szCs w:val="18"/>
            <w:u w:val="single" w:color="auto"/>
            <w:color w:val="0000FF"/>
          </w:rPr>
          <w:t>Form of Stock Option Grant Notice, Option Agreement and Notice of</w:t>
        </w:r>
      </w:hyperlink>
      <w:r>
        <w:rPr>
          <w:rFonts w:ascii="Arial" w:cs="Arial" w:eastAsia="Arial" w:hAnsi="Arial"/>
          <w:sz w:val="18"/>
          <w:szCs w:val="18"/>
          <w:u w:val="single" w:color="auto"/>
          <w:color w:val="0000FF"/>
        </w:rPr>
        <w:t xml:space="preserve"> </w:t>
      </w:r>
      <w:hyperlink r:id="rId442">
        <w:r>
          <w:rPr>
            <w:rFonts w:ascii="Arial" w:cs="Arial" w:eastAsia="Arial" w:hAnsi="Arial"/>
            <w:sz w:val="18"/>
            <w:szCs w:val="18"/>
            <w:u w:val="single" w:color="auto"/>
            <w:color w:val="0000FF"/>
          </w:rPr>
          <w:t>Exercise for Inducement Grant Outside of the Spruce Biosciences, Inc.</w:t>
        </w:r>
      </w:hyperlink>
      <w:r>
        <w:rPr>
          <w:rFonts w:ascii="Arial" w:cs="Arial" w:eastAsia="Arial" w:hAnsi="Arial"/>
          <w:sz w:val="18"/>
          <w:szCs w:val="18"/>
          <w:u w:val="single" w:color="auto"/>
          <w:color w:val="0000FF"/>
        </w:rPr>
        <w:t xml:space="preserve"> </w:t>
      </w:r>
      <w:hyperlink r:id="rId442">
        <w:r>
          <w:rPr>
            <w:rFonts w:ascii="Arial" w:cs="Arial" w:eastAsia="Arial" w:hAnsi="Arial"/>
            <w:sz w:val="18"/>
            <w:szCs w:val="18"/>
            <w:u w:val="single" w:color="auto"/>
            <w:color w:val="0000FF"/>
          </w:rPr>
          <w:t>2020 Equity Incentive Plan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733425</wp:posOffset>
            </wp:positionH>
            <wp:positionV relativeFrom="paragraph">
              <wp:posOffset>-311150</wp:posOffset>
            </wp:positionV>
            <wp:extent cx="321754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3">
                      <a:extLst>
                        <a:ext uri="{28A0092B-C50C-407E-A947-70E740481C1C}"/>
                      </a:extLst>
                    </a:blip>
                    <a:srcRect/>
                    <a:stretch>
                      <a:fillRect/>
                    </a:stretch>
                  </pic:blipFill>
                  <pic:spPr bwMode="auto">
                    <a:xfrm>
                      <a:off x="0" y="0"/>
                      <a:ext cx="3217545"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-173990</wp:posOffset>
            </wp:positionV>
            <wp:extent cx="326771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4">
                      <a:extLst>
                        <a:ext uri="{28A0092B-C50C-407E-A947-70E740481C1C}"/>
                      </a:extLst>
                    </a:blip>
                    <a:srcRect/>
                    <a:stretch>
                      <a:fillRect/>
                    </a:stretch>
                  </pic:blipFill>
                  <pic:spPr bwMode="auto">
                    <a:xfrm>
                      <a:off x="0" y="0"/>
                      <a:ext cx="326771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-36830</wp:posOffset>
            </wp:positionV>
            <wp:extent cx="124714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5">
                      <a:extLst>
                        <a:ext uri="{28A0092B-C50C-407E-A947-70E740481C1C}"/>
                      </a:extLst>
                    </a:blip>
                    <a:srcRect/>
                    <a:stretch>
                      <a:fillRect/>
                    </a:stretch>
                  </pic:blipFill>
                  <pic:spPr bwMode="auto">
                    <a:xfrm>
                      <a:off x="0" y="0"/>
                      <a:ext cx="1247140" cy="8890"/>
                    </a:xfrm>
                    <a:prstGeom prst="rect">
                      <a:avLst/>
                    </a:prstGeom>
                    <a:noFill/>
                  </pic:spPr>
                </pic:pic>
              </a:graphicData>
            </a:graphic>
          </wp:anchor>
        </w:drawing>
      </w:r>
    </w:p>
    <w:p>
      <w:pPr>
        <w:spacing w:after="0" w:line="29" w:lineRule="exact"/>
        <w:rPr>
          <w:rFonts w:ascii="Arial" w:cs="Arial" w:eastAsia="Arial" w:hAnsi="Arial"/>
          <w:sz w:val="18"/>
          <w:szCs w:val="18"/>
          <w:u w:val="single" w:color="auto"/>
          <w:color w:val="0000FF"/>
        </w:rPr>
      </w:pPr>
    </w:p>
    <w:p>
      <w:pPr>
        <w:ind w:left="1160" w:right="240" w:hanging="848"/>
        <w:spacing w:after="0" w:line="277"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446">
        <w:r>
          <w:rPr>
            <w:rFonts w:ascii="Arial" w:cs="Arial" w:eastAsia="Arial" w:hAnsi="Arial"/>
            <w:sz w:val="18"/>
            <w:szCs w:val="18"/>
            <w:u w:val="single" w:color="auto"/>
            <w:color w:val="0000FF"/>
          </w:rPr>
          <w:t>Spruce Biosciences, Inc. 2020 Non-Employee Director Compensation</w:t>
        </w:r>
      </w:hyperlink>
      <w:r>
        <w:rPr>
          <w:rFonts w:ascii="Arial" w:cs="Arial" w:eastAsia="Arial" w:hAnsi="Arial"/>
          <w:sz w:val="18"/>
          <w:szCs w:val="18"/>
          <w:u w:val="single" w:color="auto"/>
          <w:color w:val="0000FF"/>
        </w:rPr>
        <w:t xml:space="preserve"> </w:t>
      </w:r>
      <w:hyperlink r:id="rId446">
        <w:r>
          <w:rPr>
            <w:rFonts w:ascii="Arial" w:cs="Arial" w:eastAsia="Arial" w:hAnsi="Arial"/>
            <w:sz w:val="18"/>
            <w:szCs w:val="18"/>
            <w:u w:val="single" w:color="auto"/>
            <w:color w:val="0000FF"/>
          </w:rPr>
          <w:t>Policy, as amended on April 6,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-182245</wp:posOffset>
            </wp:positionV>
            <wp:extent cx="323342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7">
                      <a:extLst>
                        <a:ext uri="{28A0092B-C50C-407E-A947-70E740481C1C}"/>
                      </a:extLst>
                    </a:blip>
                    <a:srcRect/>
                    <a:stretch>
                      <a:fillRect/>
                    </a:stretch>
                  </pic:blipFill>
                  <pic:spPr bwMode="auto">
                    <a:xfrm>
                      <a:off x="0" y="0"/>
                      <a:ext cx="323342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-45085</wp:posOffset>
            </wp:positionV>
            <wp:extent cx="166179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8">
                      <a:extLst>
                        <a:ext uri="{28A0092B-C50C-407E-A947-70E740481C1C}"/>
                      </a:extLst>
                    </a:blip>
                    <a:srcRect/>
                    <a:stretch>
                      <a:fillRect/>
                    </a:stretch>
                  </pic:blipFill>
                  <pic:spPr bwMode="auto">
                    <a:xfrm>
                      <a:off x="0" y="0"/>
                      <a:ext cx="1661795" cy="8255"/>
                    </a:xfrm>
                    <a:prstGeom prst="rect">
                      <a:avLst/>
                    </a:prstGeom>
                    <a:noFill/>
                  </pic:spPr>
                </pic:pic>
              </a:graphicData>
            </a:graphic>
          </wp:anchor>
        </w:drawing>
      </w:r>
    </w:p>
    <w:p>
      <w:pPr>
        <w:spacing w:after="0" w:line="15" w:lineRule="exact"/>
        <w:rPr>
          <w:sz w:val="20"/>
          <w:szCs w:val="20"/>
          <w:color w:val="auto"/>
        </w:rPr>
      </w:pPr>
    </w:p>
    <w:p>
      <w:pPr>
        <w:ind w:left="1160" w:right="200" w:hanging="893"/>
        <w:spacing w:after="0" w:line="277"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449">
        <w:r>
          <w:rPr>
            <w:rFonts w:ascii="Arial" w:cs="Arial" w:eastAsia="Arial" w:hAnsi="Arial"/>
            <w:sz w:val="18"/>
            <w:szCs w:val="18"/>
            <w:u w:val="single" w:color="auto"/>
            <w:color w:val="0000FF"/>
          </w:rPr>
          <w:t>Form of Indemnification Agreement by and between the registrant and</w:t>
        </w:r>
      </w:hyperlink>
      <w:r>
        <w:rPr>
          <w:rFonts w:ascii="Arial" w:cs="Arial" w:eastAsia="Arial" w:hAnsi="Arial"/>
          <w:sz w:val="18"/>
          <w:szCs w:val="18"/>
          <w:u w:val="single" w:color="auto"/>
          <w:color w:val="0000FF"/>
        </w:rPr>
        <w:t xml:space="preserve"> </w:t>
      </w:r>
      <w:hyperlink r:id="rId449">
        <w:r>
          <w:rPr>
            <w:rFonts w:ascii="Arial" w:cs="Arial" w:eastAsia="Arial" w:hAnsi="Arial"/>
            <w:sz w:val="18"/>
            <w:szCs w:val="18"/>
            <w:u w:val="single" w:color="auto"/>
            <w:color w:val="0000FF"/>
          </w:rPr>
          <w:t>its directors and executive officers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-182245</wp:posOffset>
            </wp:positionV>
            <wp:extent cx="326136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0">
                      <a:extLst>
                        <a:ext uri="{28A0092B-C50C-407E-A947-70E740481C1C}"/>
                      </a:extLst>
                    </a:blip>
                    <a:srcRect/>
                    <a:stretch>
                      <a:fillRect/>
                    </a:stretch>
                  </pic:blipFill>
                  <pic:spPr bwMode="auto">
                    <a:xfrm>
                      <a:off x="0" y="0"/>
                      <a:ext cx="326136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-45085</wp:posOffset>
            </wp:positionV>
            <wp:extent cx="157162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1">
                      <a:extLst>
                        <a:ext uri="{28A0092B-C50C-407E-A947-70E740481C1C}"/>
                      </a:extLst>
                    </a:blip>
                    <a:srcRect/>
                    <a:stretch>
                      <a:fillRect/>
                    </a:stretch>
                  </pic:blipFill>
                  <pic:spPr bwMode="auto">
                    <a:xfrm>
                      <a:off x="0" y="0"/>
                      <a:ext cx="1571625" cy="8255"/>
                    </a:xfrm>
                    <a:prstGeom prst="rect">
                      <a:avLst/>
                    </a:prstGeom>
                    <a:noFill/>
                  </pic:spPr>
                </pic:pic>
              </a:graphicData>
            </a:graphic>
          </wp:anchor>
        </w:drawing>
      </w:r>
    </w:p>
    <w:p>
      <w:pPr>
        <w:spacing w:after="0" w:line="15" w:lineRule="exact"/>
        <w:rPr>
          <w:sz w:val="20"/>
          <w:szCs w:val="20"/>
          <w:color w:val="auto"/>
        </w:rPr>
      </w:pPr>
    </w:p>
    <w:p>
      <w:pPr>
        <w:ind w:left="260"/>
        <w:spacing w:after="0"/>
        <w:tabs>
          <w:tab w:leader="none" w:pos="1140" w:val="left"/>
        </w:tabs>
        <w:rPr>
          <w:rFonts w:ascii="Arial" w:cs="Arial" w:eastAsia="Arial" w:hAnsi="Arial"/>
          <w:sz w:val="16"/>
          <w:szCs w:val="16"/>
          <w:u w:val="single" w:color="auto"/>
          <w:color w:val="0000FF"/>
        </w:rPr>
      </w:pPr>
      <w:r>
        <w:rPr>
          <w:rFonts w:ascii="Arial" w:cs="Arial" w:eastAsia="Arial" w:hAnsi="Arial"/>
          <w:sz w:val="18"/>
          <w:szCs w:val="18"/>
          <w:color w:val="auto"/>
        </w:rPr>
        <w:t>10.11+</w:t>
      </w:r>
      <w:r>
        <w:rPr>
          <w:sz w:val="20"/>
          <w:szCs w:val="20"/>
          <w:color w:val="auto"/>
        </w:rPr>
        <w:tab/>
      </w:r>
      <w:hyperlink r:id="rId452">
        <w:r>
          <w:rPr>
            <w:rFonts w:ascii="Arial" w:cs="Arial" w:eastAsia="Arial" w:hAnsi="Arial"/>
            <w:sz w:val="16"/>
            <w:szCs w:val="16"/>
            <w:u w:val="single" w:color="auto"/>
            <w:color w:val="0000FF"/>
          </w:rPr>
          <w:t>Spruce Biosciences, Inc. Severance and Change in Control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-10160</wp:posOffset>
            </wp:positionV>
            <wp:extent cx="294767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3">
                      <a:extLst>
                        <a:ext uri="{28A0092B-C50C-407E-A947-70E740481C1C}"/>
                      </a:extLst>
                    </a:blip>
                    <a:srcRect/>
                    <a:stretch>
                      <a:fillRect/>
                    </a:stretch>
                  </pic:blipFill>
                  <pic:spPr bwMode="auto">
                    <a:xfrm>
                      <a:off x="0" y="0"/>
                      <a:ext cx="2947670" cy="8255"/>
                    </a:xfrm>
                    <a:prstGeom prst="rect">
                      <a:avLst/>
                    </a:prstGeom>
                    <a:noFill/>
                  </pic:spPr>
                </pic:pic>
              </a:graphicData>
            </a:graphic>
          </wp:anchor>
        </w:drawing>
      </w:r>
    </w:p>
    <w:p>
      <w:pPr>
        <w:spacing w:after="0" w:line="286" w:lineRule="exact"/>
        <w:rPr>
          <w:sz w:val="20"/>
          <w:szCs w:val="20"/>
          <w:color w:val="auto"/>
        </w:rPr>
      </w:pPr>
    </w:p>
    <w:p>
      <w:pPr>
        <w:ind w:left="220"/>
        <w:spacing w:after="0"/>
        <w:tabs>
          <w:tab w:leader="none" w:pos="1140" w:val="left"/>
        </w:tabs>
        <w:rPr>
          <w:rFonts w:ascii="Arial" w:cs="Arial" w:eastAsia="Arial" w:hAnsi="Arial"/>
          <w:sz w:val="16"/>
          <w:szCs w:val="16"/>
          <w:u w:val="single" w:color="auto"/>
          <w:color w:val="0000FF"/>
        </w:rPr>
      </w:pPr>
      <w:r>
        <w:rPr>
          <w:rFonts w:ascii="Arial" w:cs="Arial" w:eastAsia="Arial" w:hAnsi="Arial"/>
          <w:sz w:val="18"/>
          <w:szCs w:val="18"/>
          <w:color w:val="auto"/>
        </w:rPr>
        <w:t>10.12+¥</w:t>
      </w:r>
      <w:r>
        <w:rPr>
          <w:sz w:val="20"/>
          <w:szCs w:val="20"/>
          <w:color w:val="auto"/>
        </w:rPr>
        <w:tab/>
      </w:r>
      <w:hyperlink r:id="rId454">
        <w:r>
          <w:rPr>
            <w:rFonts w:ascii="Arial" w:cs="Arial" w:eastAsia="Arial" w:hAnsi="Arial"/>
            <w:sz w:val="16"/>
            <w:szCs w:val="16"/>
            <w:u w:val="single" w:color="auto"/>
            <w:color w:val="0000FF"/>
          </w:rPr>
          <w:t>Offer Letter, by and between the registrant and Samir Gharib, dated April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-10160</wp:posOffset>
            </wp:positionV>
            <wp:extent cx="336105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5">
                      <a:extLst>
                        <a:ext uri="{28A0092B-C50C-407E-A947-70E740481C1C}"/>
                      </a:extLst>
                    </a:blip>
                    <a:srcRect/>
                    <a:stretch>
                      <a:fillRect/>
                    </a:stretch>
                  </pic:blipFill>
                  <pic:spPr bwMode="auto">
                    <a:xfrm>
                      <a:off x="0" y="0"/>
                      <a:ext cx="3361055" cy="8890"/>
                    </a:xfrm>
                    <a:prstGeom prst="rect">
                      <a:avLst/>
                    </a:prstGeom>
                    <a:noFill/>
                  </pic:spPr>
                </pic:pic>
              </a:graphicData>
            </a:graphic>
          </wp:anchor>
        </w:drawing>
      </w:r>
    </w:p>
    <w:p>
      <w:pPr>
        <w:spacing w:after="0" w:line="3" w:lineRule="exact"/>
        <w:rPr>
          <w:sz w:val="20"/>
          <w:szCs w:val="20"/>
          <w:color w:val="auto"/>
        </w:rPr>
      </w:pPr>
    </w:p>
    <w:p>
      <w:pPr>
        <w:ind w:left="1160"/>
        <w:spacing w:after="0"/>
        <w:rPr>
          <w:rFonts w:ascii="Arial" w:cs="Arial" w:eastAsia="Arial" w:hAnsi="Arial"/>
          <w:sz w:val="18"/>
          <w:szCs w:val="18"/>
          <w:u w:val="single" w:color="auto"/>
          <w:color w:val="0000FF"/>
        </w:rPr>
      </w:pPr>
      <w:hyperlink r:id="rId454">
        <w:r>
          <w:rPr>
            <w:rFonts w:ascii="Arial" w:cs="Arial" w:eastAsia="Arial" w:hAnsi="Arial"/>
            <w:sz w:val="18"/>
            <w:szCs w:val="18"/>
            <w:u w:val="single" w:color="auto"/>
            <w:color w:val="0000FF"/>
          </w:rPr>
          <w:t>8, 2020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-19050</wp:posOffset>
            </wp:positionV>
            <wp:extent cx="34290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6">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56" w:lineRule="exact"/>
        <w:rPr>
          <w:sz w:val="20"/>
          <w:szCs w:val="20"/>
          <w:color w:val="auto"/>
        </w:rPr>
      </w:pPr>
    </w:p>
    <w:p>
      <w:pPr>
        <w:ind w:left="1160" w:right="620" w:hanging="938"/>
        <w:spacing w:after="0" w:line="277"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457">
        <w:r>
          <w:rPr>
            <w:rFonts w:ascii="Arial" w:cs="Arial" w:eastAsia="Arial" w:hAnsi="Arial"/>
            <w:sz w:val="18"/>
            <w:szCs w:val="18"/>
            <w:u w:val="single" w:color="auto"/>
            <w:color w:val="0000FF"/>
          </w:rPr>
          <w:t>Offer Letter, by and between the registrant and Rosh Dias, M.D.,</w:t>
        </w:r>
      </w:hyperlink>
      <w:r>
        <w:rPr>
          <w:rFonts w:ascii="Arial" w:cs="Arial" w:eastAsia="Arial" w:hAnsi="Arial"/>
          <w:sz w:val="18"/>
          <w:szCs w:val="18"/>
          <w:u w:val="single" w:color="auto"/>
          <w:color w:val="0000FF"/>
        </w:rPr>
        <w:t xml:space="preserve"> </w:t>
      </w:r>
      <w:hyperlink r:id="rId457">
        <w:r>
          <w:rPr>
            <w:rFonts w:ascii="Arial" w:cs="Arial" w:eastAsia="Arial" w:hAnsi="Arial"/>
            <w:sz w:val="18"/>
            <w:szCs w:val="18"/>
            <w:u w:val="single" w:color="auto"/>
            <w:color w:val="0000FF"/>
          </w:rPr>
          <w:t>M.R.C.P., dated July 28,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-182245</wp:posOffset>
            </wp:positionV>
            <wp:extent cx="299466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8">
                      <a:extLst>
                        <a:ext uri="{28A0092B-C50C-407E-A947-70E740481C1C}"/>
                      </a:extLst>
                    </a:blip>
                    <a:srcRect/>
                    <a:stretch>
                      <a:fillRect/>
                    </a:stretch>
                  </pic:blipFill>
                  <pic:spPr bwMode="auto">
                    <a:xfrm>
                      <a:off x="0" y="0"/>
                      <a:ext cx="299466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-45085</wp:posOffset>
            </wp:positionV>
            <wp:extent cx="139954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9">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15" w:lineRule="exact"/>
        <w:rPr>
          <w:sz w:val="20"/>
          <w:szCs w:val="20"/>
          <w:color w:val="auto"/>
        </w:rPr>
      </w:pPr>
    </w:p>
    <w:p>
      <w:pPr>
        <w:ind w:left="1160" w:right="420" w:hanging="893"/>
        <w:spacing w:after="0" w:line="277"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460">
        <w:r>
          <w:rPr>
            <w:rFonts w:ascii="Arial" w:cs="Arial" w:eastAsia="Arial" w:hAnsi="Arial"/>
            <w:sz w:val="18"/>
            <w:szCs w:val="18"/>
            <w:u w:val="single" w:color="auto"/>
            <w:color w:val="0000FF"/>
          </w:rPr>
          <w:t>Letter Agreement, by and between the registrant and Michael Grey,</w:t>
        </w:r>
      </w:hyperlink>
      <w:r>
        <w:rPr>
          <w:rFonts w:ascii="Arial" w:cs="Arial" w:eastAsia="Arial" w:hAnsi="Arial"/>
          <w:sz w:val="18"/>
          <w:szCs w:val="18"/>
          <w:u w:val="single" w:color="auto"/>
          <w:color w:val="0000FF"/>
        </w:rPr>
        <w:t xml:space="preserve"> </w:t>
      </w:r>
      <w:hyperlink r:id="rId460">
        <w:r>
          <w:rPr>
            <w:rFonts w:ascii="Arial" w:cs="Arial" w:eastAsia="Arial" w:hAnsi="Arial"/>
            <w:sz w:val="18"/>
            <w:szCs w:val="18"/>
            <w:u w:val="single" w:color="auto"/>
            <w:color w:val="0000FF"/>
          </w:rPr>
          <w:t>dated March 24,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-182245</wp:posOffset>
            </wp:positionV>
            <wp:extent cx="311404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1">
                      <a:extLst>
                        <a:ext uri="{28A0092B-C50C-407E-A947-70E740481C1C}"/>
                      </a:extLst>
                    </a:blip>
                    <a:srcRect/>
                    <a:stretch>
                      <a:fillRect/>
                    </a:stretch>
                  </pic:blipFill>
                  <pic:spPr bwMode="auto">
                    <a:xfrm>
                      <a:off x="0" y="0"/>
                      <a:ext cx="311404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-45085</wp:posOffset>
            </wp:positionV>
            <wp:extent cx="103124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2">
                      <a:extLst>
                        <a:ext uri="{28A0092B-C50C-407E-A947-70E740481C1C}"/>
                      </a:extLst>
                    </a:blip>
                    <a:srcRect/>
                    <a:stretch>
                      <a:fillRect/>
                    </a:stretch>
                  </pic:blipFill>
                  <pic:spPr bwMode="auto">
                    <a:xfrm>
                      <a:off x="0" y="0"/>
                      <a:ext cx="1031240" cy="8255"/>
                    </a:xfrm>
                    <a:prstGeom prst="rect">
                      <a:avLst/>
                    </a:prstGeom>
                    <a:noFill/>
                  </pic:spPr>
                </pic:pic>
              </a:graphicData>
            </a:graphic>
          </wp:anchor>
        </w:drawing>
      </w:r>
    </w:p>
    <w:p>
      <w:pPr>
        <w:spacing w:after="0" w:line="15" w:lineRule="exact"/>
        <w:rPr>
          <w:sz w:val="20"/>
          <w:szCs w:val="20"/>
          <w:color w:val="auto"/>
        </w:rPr>
      </w:pPr>
    </w:p>
    <w:p>
      <w:pPr>
        <w:ind w:left="1160" w:right="680" w:hanging="893"/>
        <w:spacing w:after="0" w:line="277"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463">
        <w:r>
          <w:rPr>
            <w:rFonts w:ascii="Arial" w:cs="Arial" w:eastAsia="Arial" w:hAnsi="Arial"/>
            <w:sz w:val="18"/>
            <w:szCs w:val="18"/>
            <w:u w:val="single" w:color="auto"/>
            <w:color w:val="0000FF"/>
          </w:rPr>
          <w:t>Letter Agreement, by and between the registrant and Camilla V.</w:t>
        </w:r>
      </w:hyperlink>
      <w:r>
        <w:rPr>
          <w:rFonts w:ascii="Arial" w:cs="Arial" w:eastAsia="Arial" w:hAnsi="Arial"/>
          <w:sz w:val="18"/>
          <w:szCs w:val="18"/>
          <w:u w:val="single" w:color="auto"/>
          <w:color w:val="0000FF"/>
        </w:rPr>
        <w:t xml:space="preserve"> </w:t>
      </w:r>
      <w:hyperlink r:id="rId463">
        <w:r>
          <w:rPr>
            <w:rFonts w:ascii="Arial" w:cs="Arial" w:eastAsia="Arial" w:hAnsi="Arial"/>
            <w:sz w:val="18"/>
            <w:szCs w:val="18"/>
            <w:u w:val="single" w:color="auto"/>
            <w:color w:val="0000FF"/>
          </w:rPr>
          <w:t>Simpson, dated October 11,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-182245</wp:posOffset>
            </wp:positionV>
            <wp:extent cx="294830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4">
                      <a:extLst>
                        <a:ext uri="{28A0092B-C50C-407E-A947-70E740481C1C}"/>
                      </a:extLst>
                    </a:blip>
                    <a:srcRect/>
                    <a:stretch>
                      <a:fillRect/>
                    </a:stretch>
                  </pic:blipFill>
                  <pic:spPr bwMode="auto">
                    <a:xfrm>
                      <a:off x="0" y="0"/>
                      <a:ext cx="2948305"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-45085</wp:posOffset>
            </wp:positionV>
            <wp:extent cx="155384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5">
                      <a:extLst>
                        <a:ext uri="{28A0092B-C50C-407E-A947-70E740481C1C}"/>
                      </a:extLst>
                    </a:blip>
                    <a:srcRect/>
                    <a:stretch>
                      <a:fillRect/>
                    </a:stretch>
                  </pic:blipFill>
                  <pic:spPr bwMode="auto">
                    <a:xfrm>
                      <a:off x="0" y="0"/>
                      <a:ext cx="1553845" cy="8890"/>
                    </a:xfrm>
                    <a:prstGeom prst="rect">
                      <a:avLst/>
                    </a:prstGeom>
                    <a:noFill/>
                  </pic:spPr>
                </pic:pic>
              </a:graphicData>
            </a:graphic>
          </wp:anchor>
        </w:drawing>
      </w:r>
    </w:p>
    <w:p>
      <w:pPr>
        <w:spacing w:after="0" w:line="15" w:lineRule="exact"/>
        <w:rPr>
          <w:sz w:val="20"/>
          <w:szCs w:val="20"/>
          <w:color w:val="auto"/>
        </w:rPr>
      </w:pPr>
    </w:p>
    <w:p>
      <w:pPr>
        <w:ind w:left="1160" w:right="40" w:hanging="893"/>
        <w:spacing w:after="0" w:line="277"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466">
        <w:r>
          <w:rPr>
            <w:rFonts w:ascii="Arial" w:cs="Arial" w:eastAsia="Arial" w:hAnsi="Arial"/>
            <w:sz w:val="18"/>
            <w:szCs w:val="18"/>
            <w:u w:val="single" w:color="auto"/>
            <w:color w:val="0000FF"/>
          </w:rPr>
          <w:t>Letter Agreement, by and between the registrant and Daniel Spiegelman,</w:t>
        </w:r>
      </w:hyperlink>
      <w:r>
        <w:rPr>
          <w:rFonts w:ascii="Arial" w:cs="Arial" w:eastAsia="Arial" w:hAnsi="Arial"/>
          <w:sz w:val="18"/>
          <w:szCs w:val="18"/>
          <w:u w:val="single" w:color="auto"/>
          <w:color w:val="0000FF"/>
        </w:rPr>
        <w:t xml:space="preserve"> </w:t>
      </w:r>
      <w:hyperlink r:id="rId466">
        <w:r>
          <w:rPr>
            <w:rFonts w:ascii="Arial" w:cs="Arial" w:eastAsia="Arial" w:hAnsi="Arial"/>
            <w:sz w:val="18"/>
            <w:szCs w:val="18"/>
            <w:u w:val="single" w:color="auto"/>
            <w:color w:val="0000FF"/>
          </w:rPr>
          <w:t>dated August 31,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-182245</wp:posOffset>
            </wp:positionV>
            <wp:extent cx="33610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7">
                      <a:extLst>
                        <a:ext uri="{28A0092B-C50C-407E-A947-70E740481C1C}"/>
                      </a:extLst>
                    </a:blip>
                    <a:srcRect/>
                    <a:stretch>
                      <a:fillRect/>
                    </a:stretch>
                  </pic:blipFill>
                  <pic:spPr bwMode="auto">
                    <a:xfrm>
                      <a:off x="0" y="0"/>
                      <a:ext cx="3361055"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-45085</wp:posOffset>
            </wp:positionV>
            <wp:extent cx="103441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8">
                      <a:extLst>
                        <a:ext uri="{28A0092B-C50C-407E-A947-70E740481C1C}"/>
                      </a:extLst>
                    </a:blip>
                    <a:srcRect/>
                    <a:stretch>
                      <a:fillRect/>
                    </a:stretch>
                  </pic:blipFill>
                  <pic:spPr bwMode="auto">
                    <a:xfrm>
                      <a:off x="0" y="0"/>
                      <a:ext cx="1034415" cy="8255"/>
                    </a:xfrm>
                    <a:prstGeom prst="rect">
                      <a:avLst/>
                    </a:prstGeom>
                    <a:noFill/>
                  </pic:spPr>
                </pic:pic>
              </a:graphicData>
            </a:graphic>
          </wp:anchor>
        </w:drawing>
      </w:r>
    </w:p>
    <w:p>
      <w:pPr>
        <w:spacing w:after="0" w:line="15" w:lineRule="exact"/>
        <w:rPr>
          <w:sz w:val="20"/>
          <w:szCs w:val="20"/>
          <w:color w:val="auto"/>
        </w:rPr>
      </w:pPr>
    </w:p>
    <w:p>
      <w:pPr>
        <w:ind w:left="1160" w:right="40" w:hanging="893"/>
        <w:spacing w:after="0" w:line="277"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469">
        <w:r>
          <w:rPr>
            <w:rFonts w:ascii="Arial" w:cs="Arial" w:eastAsia="Arial" w:hAnsi="Arial"/>
            <w:sz w:val="18"/>
            <w:szCs w:val="18"/>
            <w:u w:val="single" w:color="auto"/>
            <w:color w:val="0000FF"/>
          </w:rPr>
          <w:t>Offer Letter, by and between the registrant and Javier Szwarcberg, M.D.,</w:t>
        </w:r>
      </w:hyperlink>
      <w:r>
        <w:rPr>
          <w:rFonts w:ascii="Arial" w:cs="Arial" w:eastAsia="Arial" w:hAnsi="Arial"/>
          <w:sz w:val="18"/>
          <w:szCs w:val="18"/>
          <w:u w:val="single" w:color="auto"/>
          <w:color w:val="0000FF"/>
        </w:rPr>
        <w:t xml:space="preserve"> </w:t>
      </w:r>
      <w:hyperlink r:id="rId469">
        <w:r>
          <w:rPr>
            <w:rFonts w:ascii="Arial" w:cs="Arial" w:eastAsia="Arial" w:hAnsi="Arial"/>
            <w:sz w:val="18"/>
            <w:szCs w:val="18"/>
            <w:u w:val="single" w:color="auto"/>
            <w:color w:val="0000FF"/>
          </w:rPr>
          <w:t>MPH, dated December 29,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-182245</wp:posOffset>
            </wp:positionV>
            <wp:extent cx="336042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0">
                      <a:extLst>
                        <a:ext uri="{28A0092B-C50C-407E-A947-70E740481C1C}"/>
                      </a:extLst>
                    </a:blip>
                    <a:srcRect/>
                    <a:stretch>
                      <a:fillRect/>
                    </a:stretch>
                  </pic:blipFill>
                  <pic:spPr bwMode="auto">
                    <a:xfrm>
                      <a:off x="0" y="0"/>
                      <a:ext cx="336042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-45085</wp:posOffset>
            </wp:positionV>
            <wp:extent cx="147891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1">
                      <a:extLst>
                        <a:ext uri="{28A0092B-C50C-407E-A947-70E740481C1C}"/>
                      </a:extLst>
                    </a:blip>
                    <a:srcRect/>
                    <a:stretch>
                      <a:fillRect/>
                    </a:stretch>
                  </pic:blipFill>
                  <pic:spPr bwMode="auto">
                    <a:xfrm>
                      <a:off x="0" y="0"/>
                      <a:ext cx="1478915" cy="8255"/>
                    </a:xfrm>
                    <a:prstGeom prst="rect">
                      <a:avLst/>
                    </a:prstGeom>
                    <a:noFill/>
                  </pic:spPr>
                </pic:pic>
              </a:graphicData>
            </a:graphic>
          </wp:anchor>
        </w:drawing>
      </w:r>
    </w:p>
    <w:p>
      <w:pPr>
        <w:spacing w:after="0" w:line="15" w:lineRule="exact"/>
        <w:rPr>
          <w:sz w:val="20"/>
          <w:szCs w:val="20"/>
          <w:color w:val="auto"/>
        </w:rPr>
      </w:pPr>
    </w:p>
    <w:p>
      <w:pPr>
        <w:ind w:left="1160" w:right="320" w:hanging="893"/>
        <w:spacing w:after="0" w:line="277"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472">
        <w:r>
          <w:rPr>
            <w:rFonts w:ascii="Arial" w:cs="Arial" w:eastAsia="Arial" w:hAnsi="Arial"/>
            <w:sz w:val="18"/>
            <w:szCs w:val="18"/>
            <w:u w:val="single" w:color="auto"/>
            <w:color w:val="0000FF"/>
          </w:rPr>
          <w:t>Amendment to Offer Letter, by and between the registrant and Javier</w:t>
        </w:r>
      </w:hyperlink>
      <w:r>
        <w:rPr>
          <w:rFonts w:ascii="Arial" w:cs="Arial" w:eastAsia="Arial" w:hAnsi="Arial"/>
          <w:sz w:val="18"/>
          <w:szCs w:val="18"/>
          <w:u w:val="single" w:color="auto"/>
          <w:color w:val="0000FF"/>
        </w:rPr>
        <w:t xml:space="preserve"> </w:t>
      </w:r>
      <w:hyperlink r:id="rId472">
        <w:r>
          <w:rPr>
            <w:rFonts w:ascii="Arial" w:cs="Arial" w:eastAsia="Arial" w:hAnsi="Arial"/>
            <w:sz w:val="18"/>
            <w:szCs w:val="18"/>
            <w:u w:val="single" w:color="auto"/>
            <w:color w:val="0000FF"/>
          </w:rPr>
          <w:t>Szwarcberg, M.D., MPH, dated April 6,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-182245</wp:posOffset>
            </wp:positionV>
            <wp:extent cx="317881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3">
                      <a:extLst>
                        <a:ext uri="{28A0092B-C50C-407E-A947-70E740481C1C}"/>
                      </a:extLst>
                    </a:blip>
                    <a:srcRect/>
                    <a:stretch>
                      <a:fillRect/>
                    </a:stretch>
                  </pic:blipFill>
                  <pic:spPr bwMode="auto">
                    <a:xfrm>
                      <a:off x="0" y="0"/>
                      <a:ext cx="317881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-45085</wp:posOffset>
            </wp:positionV>
            <wp:extent cx="208597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4">
                      <a:extLst>
                        <a:ext uri="{28A0092B-C50C-407E-A947-70E740481C1C}"/>
                      </a:extLst>
                    </a:blip>
                    <a:srcRect/>
                    <a:stretch>
                      <a:fillRect/>
                    </a:stretch>
                  </pic:blipFill>
                  <pic:spPr bwMode="auto">
                    <a:xfrm>
                      <a:off x="0" y="0"/>
                      <a:ext cx="2085975" cy="8255"/>
                    </a:xfrm>
                    <a:prstGeom prst="rect">
                      <a:avLst/>
                    </a:prstGeom>
                    <a:noFill/>
                  </pic:spPr>
                </pic:pic>
              </a:graphicData>
            </a:graphic>
          </wp:anchor>
        </w:drawing>
      </w:r>
    </w:p>
    <w:p>
      <w:pPr>
        <w:spacing w:after="0" w:line="15" w:lineRule="exact"/>
        <w:rPr>
          <w:sz w:val="20"/>
          <w:szCs w:val="20"/>
          <w:color w:val="auto"/>
        </w:rPr>
      </w:pPr>
    </w:p>
    <w:p>
      <w:pPr>
        <w:ind w:left="1160" w:right="420" w:hanging="887"/>
        <w:spacing w:after="0" w:line="277"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475">
        <w:r>
          <w:rPr>
            <w:rFonts w:ascii="Arial" w:cs="Arial" w:eastAsia="Arial" w:hAnsi="Arial"/>
            <w:sz w:val="18"/>
            <w:szCs w:val="18"/>
            <w:u w:val="single" w:color="auto"/>
            <w:color w:val="0000FF"/>
          </w:rPr>
          <w:t>License Agreement, by and between the registrant and Eli Lilly and</w:t>
        </w:r>
      </w:hyperlink>
      <w:r>
        <w:rPr>
          <w:rFonts w:ascii="Arial" w:cs="Arial" w:eastAsia="Arial" w:hAnsi="Arial"/>
          <w:sz w:val="18"/>
          <w:szCs w:val="18"/>
          <w:u w:val="single" w:color="auto"/>
          <w:color w:val="0000FF"/>
        </w:rPr>
        <w:t xml:space="preserve"> </w:t>
      </w:r>
      <w:hyperlink r:id="rId475">
        <w:r>
          <w:rPr>
            <w:rFonts w:ascii="Arial" w:cs="Arial" w:eastAsia="Arial" w:hAnsi="Arial"/>
            <w:sz w:val="18"/>
            <w:szCs w:val="18"/>
            <w:u w:val="single" w:color="auto"/>
            <w:color w:val="0000FF"/>
          </w:rPr>
          <w:t>Company, dated May 2,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-182245</wp:posOffset>
            </wp:positionV>
            <wp:extent cx="312166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6">
                      <a:extLst>
                        <a:ext uri="{28A0092B-C50C-407E-A947-70E740481C1C}"/>
                      </a:extLst>
                    </a:blip>
                    <a:srcRect/>
                    <a:stretch>
                      <a:fillRect/>
                    </a:stretch>
                  </pic:blipFill>
                  <pic:spPr bwMode="auto">
                    <a:xfrm>
                      <a:off x="0" y="0"/>
                      <a:ext cx="312166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-45085</wp:posOffset>
            </wp:positionV>
            <wp:extent cx="135064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7">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spacing w:after="0" w:line="15" w:lineRule="exact"/>
        <w:rPr>
          <w:sz w:val="20"/>
          <w:szCs w:val="20"/>
          <w:color w:val="auto"/>
        </w:rPr>
      </w:pPr>
    </w:p>
    <w:p>
      <w:pPr>
        <w:ind w:left="1160" w:right="60" w:hanging="842"/>
        <w:spacing w:after="0" w:line="277"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478">
        <w:r>
          <w:rPr>
            <w:rFonts w:ascii="Arial" w:cs="Arial" w:eastAsia="Arial" w:hAnsi="Arial"/>
            <w:sz w:val="18"/>
            <w:szCs w:val="18"/>
            <w:u w:val="single" w:color="auto"/>
            <w:color w:val="0000FF"/>
          </w:rPr>
          <w:t>Loan and Security Agreement, by and between the registrant and Silicon</w:t>
        </w:r>
      </w:hyperlink>
      <w:r>
        <w:rPr>
          <w:rFonts w:ascii="Arial" w:cs="Arial" w:eastAsia="Arial" w:hAnsi="Arial"/>
          <w:sz w:val="18"/>
          <w:szCs w:val="18"/>
          <w:u w:val="single" w:color="auto"/>
          <w:color w:val="0000FF"/>
        </w:rPr>
        <w:t xml:space="preserve"> </w:t>
      </w:r>
      <w:hyperlink r:id="rId478">
        <w:r>
          <w:rPr>
            <w:rFonts w:ascii="Arial" w:cs="Arial" w:eastAsia="Arial" w:hAnsi="Arial"/>
            <w:sz w:val="18"/>
            <w:szCs w:val="18"/>
            <w:u w:val="single" w:color="auto"/>
            <w:color w:val="0000FF"/>
          </w:rPr>
          <w:t>Valley Bank, dated September 23,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-182245</wp:posOffset>
            </wp:positionV>
            <wp:extent cx="335026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9">
                      <a:extLst>
                        <a:ext uri="{28A0092B-C50C-407E-A947-70E740481C1C}"/>
                      </a:extLst>
                    </a:blip>
                    <a:srcRect/>
                    <a:stretch>
                      <a:fillRect/>
                    </a:stretch>
                  </pic:blipFill>
                  <pic:spPr bwMode="auto">
                    <a:xfrm>
                      <a:off x="0" y="0"/>
                      <a:ext cx="335026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-45085</wp:posOffset>
            </wp:positionV>
            <wp:extent cx="184023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0">
                      <a:extLst>
                        <a:ext uri="{28A0092B-C50C-407E-A947-70E740481C1C}"/>
                      </a:extLst>
                    </a:blip>
                    <a:srcRect/>
                    <a:stretch>
                      <a:fillRect/>
                    </a:stretch>
                  </pic:blipFill>
                  <pic:spPr bwMode="auto">
                    <a:xfrm>
                      <a:off x="0" y="0"/>
                      <a:ext cx="1840230" cy="8890"/>
                    </a:xfrm>
                    <a:prstGeom prst="rect">
                      <a:avLst/>
                    </a:prstGeom>
                    <a:noFill/>
                  </pic:spPr>
                </pic:pic>
              </a:graphicData>
            </a:graphic>
          </wp:anchor>
        </w:drawing>
      </w:r>
    </w:p>
    <w:p>
      <w:pPr>
        <w:spacing w:after="0" w:line="15" w:lineRule="exact"/>
        <w:rPr>
          <w:sz w:val="20"/>
          <w:szCs w:val="20"/>
          <w:color w:val="auto"/>
        </w:rPr>
      </w:pPr>
    </w:p>
    <w:p>
      <w:pPr>
        <w:ind w:left="1160" w:right="140" w:hanging="842"/>
        <w:spacing w:after="0" w:line="308" w:lineRule="auto"/>
        <w:tabs>
          <w:tab w:leader="none" w:pos="1140" w:val="left"/>
        </w:tabs>
        <w:rPr>
          <w:rFonts w:ascii="Arial" w:cs="Arial" w:eastAsia="Arial" w:hAnsi="Arial"/>
          <w:sz w:val="17"/>
          <w:szCs w:val="17"/>
          <w:u w:val="single" w:color="auto"/>
          <w:color w:val="0000FF"/>
        </w:rPr>
      </w:pPr>
      <w:r>
        <w:rPr>
          <w:rFonts w:ascii="Arial" w:cs="Arial" w:eastAsia="Arial" w:hAnsi="Arial"/>
          <w:sz w:val="18"/>
          <w:szCs w:val="18"/>
          <w:color w:val="auto"/>
        </w:rPr>
        <w:t>10.21</w:t>
      </w:r>
      <w:r>
        <w:rPr>
          <w:sz w:val="20"/>
          <w:szCs w:val="20"/>
          <w:color w:val="auto"/>
        </w:rPr>
        <w:tab/>
      </w:r>
      <w:hyperlink r:id="rId481">
        <w:r>
          <w:rPr>
            <w:rFonts w:ascii="Arial" w:cs="Arial" w:eastAsia="Arial" w:hAnsi="Arial"/>
            <w:sz w:val="17"/>
            <w:szCs w:val="17"/>
            <w:u w:val="single" w:color="auto"/>
            <w:color w:val="0000FF"/>
          </w:rPr>
          <w:t>First Amendment to Loan and Security Agreement, by and between the</w:t>
        </w:r>
      </w:hyperlink>
      <w:r>
        <w:rPr>
          <w:rFonts w:ascii="Arial" w:cs="Arial" w:eastAsia="Arial" w:hAnsi="Arial"/>
          <w:sz w:val="17"/>
          <w:szCs w:val="17"/>
          <w:u w:val="single" w:color="auto"/>
          <w:color w:val="0000FF"/>
        </w:rPr>
        <w:t xml:space="preserve"> </w:t>
      </w:r>
      <w:hyperlink r:id="rId481">
        <w:r>
          <w:rPr>
            <w:rFonts w:ascii="Arial" w:cs="Arial" w:eastAsia="Arial" w:hAnsi="Arial"/>
            <w:sz w:val="17"/>
            <w:szCs w:val="17"/>
            <w:u w:val="single" w:color="auto"/>
            <w:color w:val="0000FF"/>
          </w:rPr>
          <w:t>registrant and Silicon Valley Bank dated March 19,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-197485</wp:posOffset>
            </wp:positionV>
            <wp:extent cx="329374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2">
                      <a:extLst>
                        <a:ext uri="{28A0092B-C50C-407E-A947-70E740481C1C}"/>
                      </a:extLst>
                    </a:blip>
                    <a:srcRect/>
                    <a:stretch>
                      <a:fillRect/>
                    </a:stretch>
                  </pic:blipFill>
                  <pic:spPr bwMode="auto">
                    <a:xfrm>
                      <a:off x="0" y="0"/>
                      <a:ext cx="3293745"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-60325</wp:posOffset>
            </wp:positionV>
            <wp:extent cx="259842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260"/>
        <w:spacing w:after="0"/>
        <w:tabs>
          <w:tab w:leader="none" w:pos="1140" w:val="left"/>
        </w:tabs>
        <w:rPr>
          <w:rFonts w:ascii="Arial" w:cs="Arial" w:eastAsia="Arial" w:hAnsi="Arial"/>
          <w:sz w:val="16"/>
          <w:szCs w:val="16"/>
          <w:u w:val="single" w:color="auto"/>
          <w:color w:val="0000FF"/>
        </w:rPr>
      </w:pPr>
      <w:r>
        <w:rPr>
          <w:rFonts w:ascii="Arial" w:cs="Arial" w:eastAsia="Arial" w:hAnsi="Arial"/>
          <w:sz w:val="18"/>
          <w:szCs w:val="18"/>
          <w:color w:val="auto"/>
        </w:rPr>
        <w:t>10.22#</w:t>
      </w:r>
      <w:r>
        <w:rPr>
          <w:sz w:val="20"/>
          <w:szCs w:val="20"/>
          <w:color w:val="auto"/>
        </w:rPr>
        <w:tab/>
      </w:r>
      <w:hyperlink r:id="rId484">
        <w:r>
          <w:rPr>
            <w:rFonts w:ascii="Arial" w:cs="Arial" w:eastAsia="Arial" w:hAnsi="Arial"/>
            <w:sz w:val="16"/>
            <w:szCs w:val="16"/>
            <w:u w:val="single" w:color="auto"/>
            <w:color w:val="0000FF"/>
          </w:rPr>
          <w:t>Second Amendment to Loan and Security Agreement, by and between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-10160</wp:posOffset>
            </wp:positionV>
            <wp:extent cx="32518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5">
                      <a:extLst>
                        <a:ext uri="{28A0092B-C50C-407E-A947-70E740481C1C}"/>
                      </a:extLst>
                    </a:blip>
                    <a:srcRect/>
                    <a:stretch>
                      <a:fillRect/>
                    </a:stretch>
                  </pic:blipFill>
                  <pic:spPr bwMode="auto">
                    <a:xfrm>
                      <a:off x="0" y="0"/>
                      <a:ext cx="3251835" cy="8255"/>
                    </a:xfrm>
                    <a:prstGeom prst="rect">
                      <a:avLst/>
                    </a:prstGeom>
                    <a:noFill/>
                  </pic:spPr>
                </pic:pic>
              </a:graphicData>
            </a:graphic>
          </wp:anchor>
        </w:drawing>
      </w:r>
    </w:p>
    <w:p>
      <w:pPr>
        <w:spacing w:after="0" w:line="3" w:lineRule="exact"/>
        <w:rPr>
          <w:sz w:val="20"/>
          <w:szCs w:val="20"/>
          <w:color w:val="auto"/>
        </w:rPr>
      </w:pPr>
    </w:p>
    <w:p>
      <w:pPr>
        <w:ind w:left="1160"/>
        <w:spacing w:after="0"/>
        <w:rPr>
          <w:rFonts w:ascii="Arial" w:cs="Arial" w:eastAsia="Arial" w:hAnsi="Arial"/>
          <w:sz w:val="18"/>
          <w:szCs w:val="18"/>
          <w:u w:val="single" w:color="auto"/>
          <w:color w:val="0000FF"/>
        </w:rPr>
      </w:pPr>
      <w:hyperlink r:id="rId484">
        <w:r>
          <w:rPr>
            <w:rFonts w:ascii="Arial" w:cs="Arial" w:eastAsia="Arial" w:hAnsi="Arial"/>
            <w:sz w:val="18"/>
            <w:szCs w:val="18"/>
            <w:u w:val="single" w:color="auto"/>
            <w:color w:val="0000FF"/>
          </w:rPr>
          <w:t>the registrant and Silicon Valley Bank dated May 10,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-19050</wp:posOffset>
            </wp:positionV>
            <wp:extent cx="267779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6">
                      <a:extLst>
                        <a:ext uri="{28A0092B-C50C-407E-A947-70E740481C1C}"/>
                      </a:extLst>
                    </a:blip>
                    <a:srcRect/>
                    <a:stretch>
                      <a:fillRect/>
                    </a:stretch>
                  </pic:blipFill>
                  <pic:spPr bwMode="auto">
                    <a:xfrm>
                      <a:off x="0" y="0"/>
                      <a:ext cx="2677795" cy="8890"/>
                    </a:xfrm>
                    <a:prstGeom prst="rect">
                      <a:avLst/>
                    </a:prstGeom>
                    <a:noFill/>
                  </pic:spPr>
                </pic:pic>
              </a:graphicData>
            </a:graphic>
          </wp:anchor>
        </w:drawing>
      </w:r>
    </w:p>
    <w:p>
      <w:pPr>
        <w:spacing w:after="0" w:line="20" w:lineRule="exact"/>
        <w:rPr>
          <w:sz w:val="20"/>
          <w:szCs w:val="20"/>
          <w:color w:val="auto"/>
        </w:rPr>
      </w:pPr>
    </w:p>
    <w:p>
      <w:pPr>
        <w:ind w:left="1160" w:right="440" w:hanging="842"/>
        <w:spacing w:after="0" w:line="239"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487">
        <w:r>
          <w:rPr>
            <w:rFonts w:ascii="Arial" w:cs="Arial" w:eastAsia="Arial" w:hAnsi="Arial"/>
            <w:sz w:val="18"/>
            <w:szCs w:val="18"/>
            <w:u w:val="single" w:color="auto"/>
            <w:color w:val="0000FF"/>
          </w:rPr>
          <w:t>Open Market Sale Agreement</w:t>
        </w:r>
        <w:r>
          <w:rPr>
            <w:rFonts w:ascii="Arial" w:cs="Arial" w:eastAsia="Arial" w:hAnsi="Arial"/>
            <w:sz w:val="24"/>
            <w:szCs w:val="24"/>
            <w:u w:val="single" w:color="auto"/>
            <w:color w:val="0000FF"/>
            <w:vertAlign w:val="superscript"/>
          </w:rPr>
          <w:t>SM</w:t>
        </w:r>
        <w:r>
          <w:rPr>
            <w:rFonts w:ascii="Arial" w:cs="Arial" w:eastAsia="Arial" w:hAnsi="Arial"/>
            <w:sz w:val="18"/>
            <w:szCs w:val="18"/>
            <w:u w:val="single" w:color="auto"/>
            <w:color w:val="0000FF"/>
          </w:rPr>
          <w:t>, by and between the registrant and</w:t>
        </w:r>
      </w:hyperlink>
      <w:r>
        <w:rPr>
          <w:rFonts w:ascii="Arial" w:cs="Arial" w:eastAsia="Arial" w:hAnsi="Arial"/>
          <w:sz w:val="18"/>
          <w:szCs w:val="18"/>
          <w:u w:val="single" w:color="auto"/>
          <w:color w:val="0000FF"/>
        </w:rPr>
        <w:t xml:space="preserve"> </w:t>
      </w:r>
      <w:hyperlink r:id="rId487">
        <w:r>
          <w:rPr>
            <w:rFonts w:ascii="Arial" w:cs="Arial" w:eastAsia="Arial" w:hAnsi="Arial"/>
            <w:sz w:val="18"/>
            <w:szCs w:val="18"/>
            <w:u w:val="single" w:color="auto"/>
            <w:color w:val="0000FF"/>
          </w:rPr>
          <w:t>Jefferies LLC, dated February 25,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-161925</wp:posOffset>
            </wp:positionV>
            <wp:extent cx="310197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8">
                      <a:extLst>
                        <a:ext uri="{28A0092B-C50C-407E-A947-70E740481C1C}"/>
                      </a:extLst>
                    </a:blip>
                    <a:srcRect/>
                    <a:stretch>
                      <a:fillRect/>
                    </a:stretch>
                  </pic:blipFill>
                  <pic:spPr bwMode="auto">
                    <a:xfrm>
                      <a:off x="0" y="0"/>
                      <a:ext cx="3101975"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-24765</wp:posOffset>
            </wp:positionV>
            <wp:extent cx="18034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9">
                      <a:extLst>
                        <a:ext uri="{28A0092B-C50C-407E-A947-70E740481C1C}"/>
                      </a:extLst>
                    </a:blip>
                    <a:srcRect/>
                    <a:stretch>
                      <a:fillRect/>
                    </a:stretch>
                  </pic:blipFill>
                  <pic:spPr bwMode="auto">
                    <a:xfrm>
                      <a:off x="0" y="0"/>
                      <a:ext cx="1803400" cy="8890"/>
                    </a:xfrm>
                    <a:prstGeom prst="rect">
                      <a:avLst/>
                    </a:prstGeom>
                    <a:noFill/>
                  </pic:spPr>
                </pic:pic>
              </a:graphicData>
            </a:graphic>
          </wp:anchor>
        </w:drawing>
        <w:drawing>
          <wp:anchor simplePos="0" relativeHeight="251657728" behindDoc="1" locked="0" layoutInCell="0" allowOverlap="1">
            <wp:simplePos x="0" y="0"/>
            <wp:positionH relativeFrom="column">
              <wp:posOffset>2101215</wp:posOffset>
            </wp:positionH>
            <wp:positionV relativeFrom="paragraph">
              <wp:posOffset>-221615</wp:posOffset>
            </wp:positionV>
            <wp:extent cx="11049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0">
                      <a:extLst>
                        <a:ext uri="{28A0092B-C50C-407E-A947-70E740481C1C}"/>
                      </a:extLst>
                    </a:blip>
                    <a:srcRect/>
                    <a:stretch>
                      <a:fillRect/>
                    </a:stretch>
                  </pic:blipFill>
                  <pic:spPr bwMode="auto">
                    <a:xfrm>
                      <a:off x="0" y="0"/>
                      <a:ext cx="110490" cy="8890"/>
                    </a:xfrm>
                    <a:prstGeom prst="rect">
                      <a:avLst/>
                    </a:prstGeom>
                    <a:noFill/>
                  </pic:spPr>
                </pic:pic>
              </a:graphicData>
            </a:graphic>
          </wp:anchor>
        </w:drawing>
      </w:r>
    </w:p>
    <w:p>
      <w:pPr>
        <w:spacing w:after="0" w:line="48" w:lineRule="exact"/>
        <w:rPr>
          <w:sz w:val="20"/>
          <w:szCs w:val="20"/>
          <w:color w:val="auto"/>
        </w:rPr>
      </w:pPr>
    </w:p>
    <w:p>
      <w:pPr>
        <w:ind w:left="260"/>
        <w:spacing w:after="0"/>
        <w:tabs>
          <w:tab w:leader="none" w:pos="1140" w:val="left"/>
        </w:tabs>
        <w:rPr>
          <w:rFonts w:ascii="Arial" w:cs="Arial" w:eastAsia="Arial" w:hAnsi="Arial"/>
          <w:sz w:val="16"/>
          <w:szCs w:val="16"/>
          <w:u w:val="single" w:color="auto"/>
          <w:color w:val="0000FF"/>
        </w:rPr>
      </w:pPr>
      <w:r>
        <w:rPr>
          <w:rFonts w:ascii="Arial" w:cs="Arial" w:eastAsia="Arial" w:hAnsi="Arial"/>
          <w:sz w:val="18"/>
          <w:szCs w:val="18"/>
          <w:color w:val="auto"/>
        </w:rPr>
        <w:t>10.24+</w:t>
      </w:r>
      <w:r>
        <w:rPr>
          <w:sz w:val="20"/>
          <w:szCs w:val="20"/>
          <w:color w:val="auto"/>
        </w:rPr>
        <w:tab/>
      </w:r>
      <w:hyperlink r:id="rId491">
        <w:r>
          <w:rPr>
            <w:rFonts w:ascii="Arial" w:cs="Arial" w:eastAsia="Arial" w:hAnsi="Arial"/>
            <w:sz w:val="16"/>
            <w:szCs w:val="16"/>
            <w:u w:val="single" w:color="auto"/>
            <w:color w:val="0000FF"/>
          </w:rPr>
          <w:t>Separation and Release Agreement, dated March 11, 2022, by and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-10160</wp:posOffset>
            </wp:positionV>
            <wp:extent cx="305117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2">
                      <a:extLst>
                        <a:ext uri="{28A0092B-C50C-407E-A947-70E740481C1C}"/>
                      </a:extLst>
                    </a:blip>
                    <a:srcRect/>
                    <a:stretch>
                      <a:fillRect/>
                    </a:stretch>
                  </pic:blipFill>
                  <pic:spPr bwMode="auto">
                    <a:xfrm>
                      <a:off x="0" y="0"/>
                      <a:ext cx="3051175" cy="8890"/>
                    </a:xfrm>
                    <a:prstGeom prst="rect">
                      <a:avLst/>
                    </a:prstGeom>
                    <a:noFill/>
                  </pic:spPr>
                </pic:pic>
              </a:graphicData>
            </a:graphic>
          </wp:anchor>
        </w:drawing>
      </w:r>
    </w:p>
    <w:p>
      <w:pPr>
        <w:spacing w:after="0" w:line="3" w:lineRule="exact"/>
        <w:rPr>
          <w:sz w:val="20"/>
          <w:szCs w:val="20"/>
          <w:color w:val="auto"/>
        </w:rPr>
      </w:pPr>
    </w:p>
    <w:p>
      <w:pPr>
        <w:ind w:left="1160"/>
        <w:spacing w:after="0"/>
        <w:rPr>
          <w:rFonts w:ascii="Arial" w:cs="Arial" w:eastAsia="Arial" w:hAnsi="Arial"/>
          <w:sz w:val="18"/>
          <w:szCs w:val="18"/>
          <w:u w:val="single" w:color="auto"/>
          <w:color w:val="0000FF"/>
        </w:rPr>
      </w:pPr>
      <w:hyperlink r:id="rId491">
        <w:r>
          <w:rPr>
            <w:rFonts w:ascii="Arial" w:cs="Arial" w:eastAsia="Arial" w:hAnsi="Arial"/>
            <w:sz w:val="18"/>
            <w:szCs w:val="18"/>
            <w:u w:val="single" w:color="auto"/>
            <w:color w:val="0000FF"/>
          </w:rPr>
          <w:t>between the registrant and Rosh Dias, M.D., M.R.C.P.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-19050</wp:posOffset>
            </wp:positionV>
            <wp:extent cx="247840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3">
                      <a:extLst>
                        <a:ext uri="{28A0092B-C50C-407E-A947-70E740481C1C}"/>
                      </a:extLst>
                    </a:blip>
                    <a:srcRect/>
                    <a:stretch>
                      <a:fillRect/>
                    </a:stretch>
                  </pic:blipFill>
                  <pic:spPr bwMode="auto">
                    <a:xfrm>
                      <a:off x="0" y="0"/>
                      <a:ext cx="2478405" cy="8255"/>
                    </a:xfrm>
                    <a:prstGeom prst="rect">
                      <a:avLst/>
                    </a:prstGeom>
                    <a:noFill/>
                  </pic:spPr>
                </pic:pic>
              </a:graphicData>
            </a:graphic>
          </wp:anchor>
        </w:drawing>
      </w:r>
    </w:p>
    <w:p>
      <w:pPr>
        <w:spacing w:after="0" w:line="56" w:lineRule="exact"/>
        <w:rPr>
          <w:sz w:val="20"/>
          <w:szCs w:val="20"/>
          <w:color w:val="auto"/>
        </w:rPr>
      </w:pPr>
    </w:p>
    <w:p>
      <w:pPr>
        <w:ind w:left="1160" w:right="140" w:hanging="893"/>
        <w:spacing w:after="0" w:line="277"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494">
        <w:r>
          <w:rPr>
            <w:rFonts w:ascii="Arial" w:cs="Arial" w:eastAsia="Arial" w:hAnsi="Arial"/>
            <w:sz w:val="18"/>
            <w:szCs w:val="18"/>
            <w:u w:val="single" w:color="auto"/>
            <w:color w:val="0000FF"/>
          </w:rPr>
          <w:t>Offer Letter, by and between the registrant and Ralph William Charlton</w:t>
        </w:r>
      </w:hyperlink>
      <w:r>
        <w:rPr>
          <w:rFonts w:ascii="Arial" w:cs="Arial" w:eastAsia="Arial" w:hAnsi="Arial"/>
          <w:sz w:val="18"/>
          <w:szCs w:val="18"/>
          <w:u w:val="single" w:color="auto"/>
          <w:color w:val="0000FF"/>
        </w:rPr>
        <w:t xml:space="preserve"> </w:t>
      </w:r>
      <w:hyperlink r:id="rId494">
        <w:r>
          <w:rPr>
            <w:rFonts w:ascii="Arial" w:cs="Arial" w:eastAsia="Arial" w:hAnsi="Arial"/>
            <w:sz w:val="18"/>
            <w:szCs w:val="18"/>
            <w:u w:val="single" w:color="auto"/>
            <w:color w:val="0000FF"/>
          </w:rPr>
          <w:t>III, M.D., M.A.S., dated March 14,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-182245</wp:posOffset>
            </wp:positionV>
            <wp:extent cx="329438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5">
                      <a:extLst>
                        <a:ext uri="{28A0092B-C50C-407E-A947-70E740481C1C}"/>
                      </a:extLst>
                    </a:blip>
                    <a:srcRect/>
                    <a:stretch>
                      <a:fillRect/>
                    </a:stretch>
                  </pic:blipFill>
                  <pic:spPr bwMode="auto">
                    <a:xfrm>
                      <a:off x="0" y="0"/>
                      <a:ext cx="329438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-45085</wp:posOffset>
            </wp:positionV>
            <wp:extent cx="186245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6">
                      <a:extLst>
                        <a:ext uri="{28A0092B-C50C-407E-A947-70E740481C1C}"/>
                      </a:extLst>
                    </a:blip>
                    <a:srcRect/>
                    <a:stretch>
                      <a:fillRect/>
                    </a:stretch>
                  </pic:blipFill>
                  <pic:spPr bwMode="auto">
                    <a:xfrm>
                      <a:off x="0" y="0"/>
                      <a:ext cx="1862455" cy="8255"/>
                    </a:xfrm>
                    <a:prstGeom prst="rect">
                      <a:avLst/>
                    </a:prstGeom>
                    <a:noFill/>
                  </pic:spPr>
                </pic:pic>
              </a:graphicData>
            </a:graphic>
          </wp:anchor>
        </w:drawing>
      </w:r>
    </w:p>
    <w:p>
      <w:pPr>
        <w:spacing w:after="0" w:line="19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7"/>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333-248924</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340" w:type="dxa"/>
            <w:vAlign w:val="bottom"/>
          </w:tcPr>
          <w:p>
            <w:pPr>
              <w:jc w:val="center"/>
              <w:ind w:left="90"/>
              <w:spacing w:after="0"/>
              <w:rPr>
                <w:sz w:val="20"/>
                <w:szCs w:val="20"/>
                <w:color w:val="auto"/>
              </w:rPr>
            </w:pPr>
            <w:r>
              <w:rPr>
                <w:rFonts w:ascii="Arial" w:cs="Arial" w:eastAsia="Arial" w:hAnsi="Arial"/>
                <w:sz w:val="18"/>
                <w:szCs w:val="18"/>
                <w:color w:val="auto"/>
                <w:w w:val="89"/>
              </w:rPr>
              <w:t>October 5, 2020</w:t>
            </w:r>
          </w:p>
        </w:tc>
      </w:tr>
      <w:tr>
        <w:trPr>
          <w:trHeight w:val="297"/>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4"/>
              </w:rPr>
              <w:t>10-K</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001-39594</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340" w:type="dxa"/>
            <w:vAlign w:val="bottom"/>
          </w:tcPr>
          <w:p>
            <w:pPr>
              <w:jc w:val="center"/>
              <w:ind w:left="90"/>
              <w:spacing w:after="0"/>
              <w:rPr>
                <w:sz w:val="20"/>
                <w:szCs w:val="20"/>
                <w:color w:val="auto"/>
              </w:rPr>
            </w:pPr>
            <w:r>
              <w:rPr>
                <w:rFonts w:ascii="Arial" w:cs="Arial" w:eastAsia="Arial" w:hAnsi="Arial"/>
                <w:sz w:val="18"/>
                <w:szCs w:val="18"/>
                <w:color w:val="auto"/>
                <w:w w:val="92"/>
              </w:rPr>
              <w:t>March 22, 2021</w:t>
            </w:r>
          </w:p>
        </w:tc>
      </w:tr>
      <w:tr>
        <w:trPr>
          <w:trHeight w:val="513"/>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001-39594</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340" w:type="dxa"/>
            <w:vAlign w:val="bottom"/>
          </w:tcPr>
          <w:p>
            <w:pPr>
              <w:jc w:val="center"/>
              <w:ind w:left="90"/>
              <w:spacing w:after="0"/>
              <w:rPr>
                <w:sz w:val="20"/>
                <w:szCs w:val="20"/>
                <w:color w:val="auto"/>
              </w:rPr>
            </w:pPr>
            <w:r>
              <w:rPr>
                <w:rFonts w:ascii="Arial" w:cs="Arial" w:eastAsia="Arial" w:hAnsi="Arial"/>
                <w:sz w:val="18"/>
                <w:szCs w:val="18"/>
                <w:color w:val="auto"/>
                <w:w w:val="89"/>
              </w:rPr>
              <w:t>January 5, 2022</w:t>
            </w:r>
          </w:p>
        </w:tc>
      </w:tr>
      <w:tr>
        <w:trPr>
          <w:trHeight w:val="729"/>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89"/>
              </w:rPr>
              <w:t>10-Q</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001-39594</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340" w:type="dxa"/>
            <w:vAlign w:val="bottom"/>
          </w:tcPr>
          <w:p>
            <w:pPr>
              <w:jc w:val="center"/>
              <w:ind w:left="90"/>
              <w:spacing w:after="0"/>
              <w:rPr>
                <w:sz w:val="20"/>
                <w:szCs w:val="20"/>
                <w:color w:val="auto"/>
              </w:rPr>
            </w:pPr>
            <w:r>
              <w:rPr>
                <w:rFonts w:ascii="Arial" w:cs="Arial" w:eastAsia="Arial" w:hAnsi="Arial"/>
                <w:sz w:val="18"/>
                <w:szCs w:val="18"/>
                <w:color w:val="auto"/>
                <w:w w:val="91"/>
              </w:rPr>
              <w:t>May 11, 2022</w:t>
            </w:r>
          </w:p>
        </w:tc>
      </w:tr>
      <w:tr>
        <w:trPr>
          <w:trHeight w:val="499"/>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85"/>
              </w:rPr>
              <w:t>S-1</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333-248924</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340" w:type="dxa"/>
            <w:vAlign w:val="bottom"/>
          </w:tcPr>
          <w:p>
            <w:pPr>
              <w:jc w:val="center"/>
              <w:ind w:left="50"/>
              <w:spacing w:after="0"/>
              <w:rPr>
                <w:sz w:val="20"/>
                <w:szCs w:val="20"/>
                <w:color w:val="auto"/>
              </w:rPr>
            </w:pPr>
            <w:r>
              <w:rPr>
                <w:rFonts w:ascii="Arial" w:cs="Arial" w:eastAsia="Arial" w:hAnsi="Arial"/>
                <w:sz w:val="18"/>
                <w:szCs w:val="18"/>
                <w:color w:val="auto"/>
                <w:w w:val="88"/>
              </w:rPr>
              <w:t>September 18,</w:t>
            </w:r>
          </w:p>
        </w:tc>
      </w:tr>
      <w:tr>
        <w:trPr>
          <w:trHeight w:val="230"/>
        </w:trPr>
        <w:tc>
          <w:tcPr>
            <w:tcW w:w="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tcPr>
          <w:p>
            <w:pPr>
              <w:jc w:val="center"/>
              <w:ind w:left="90"/>
              <w:spacing w:after="0"/>
              <w:rPr>
                <w:sz w:val="20"/>
                <w:szCs w:val="20"/>
                <w:color w:val="auto"/>
              </w:rPr>
            </w:pPr>
            <w:r>
              <w:rPr>
                <w:rFonts w:ascii="Arial" w:cs="Arial" w:eastAsia="Arial" w:hAnsi="Arial"/>
                <w:sz w:val="18"/>
                <w:szCs w:val="18"/>
                <w:color w:val="auto"/>
                <w:w w:val="89"/>
              </w:rPr>
              <w:t>2020</w:t>
            </w:r>
          </w:p>
        </w:tc>
      </w:tr>
      <w:tr>
        <w:trPr>
          <w:trHeight w:val="283"/>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85"/>
              </w:rPr>
              <w:t>S-1</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333-248924</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340" w:type="dxa"/>
            <w:vAlign w:val="bottom"/>
          </w:tcPr>
          <w:p>
            <w:pPr>
              <w:jc w:val="center"/>
              <w:ind w:left="50"/>
              <w:spacing w:after="0"/>
              <w:rPr>
                <w:sz w:val="20"/>
                <w:szCs w:val="20"/>
                <w:color w:val="auto"/>
              </w:rPr>
            </w:pPr>
            <w:r>
              <w:rPr>
                <w:rFonts w:ascii="Arial" w:cs="Arial" w:eastAsia="Arial" w:hAnsi="Arial"/>
                <w:sz w:val="18"/>
                <w:szCs w:val="18"/>
                <w:color w:val="auto"/>
                <w:w w:val="88"/>
              </w:rPr>
              <w:t>September 18,</w:t>
            </w:r>
          </w:p>
        </w:tc>
      </w:tr>
      <w:tr>
        <w:trPr>
          <w:trHeight w:val="230"/>
        </w:trPr>
        <w:tc>
          <w:tcPr>
            <w:tcW w:w="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tcPr>
          <w:p>
            <w:pPr>
              <w:jc w:val="center"/>
              <w:ind w:left="90"/>
              <w:spacing w:after="0"/>
              <w:rPr>
                <w:sz w:val="20"/>
                <w:szCs w:val="20"/>
                <w:color w:val="auto"/>
              </w:rPr>
            </w:pPr>
            <w:r>
              <w:rPr>
                <w:rFonts w:ascii="Arial" w:cs="Arial" w:eastAsia="Arial" w:hAnsi="Arial"/>
                <w:sz w:val="18"/>
                <w:szCs w:val="18"/>
                <w:color w:val="auto"/>
                <w:w w:val="89"/>
              </w:rPr>
              <w:t>2020</w:t>
            </w:r>
          </w:p>
        </w:tc>
      </w:tr>
      <w:tr>
        <w:trPr>
          <w:trHeight w:val="283"/>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85"/>
              </w:rPr>
              <w:t>S-1</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333-248924</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340" w:type="dxa"/>
            <w:vAlign w:val="bottom"/>
          </w:tcPr>
          <w:p>
            <w:pPr>
              <w:jc w:val="center"/>
              <w:ind w:left="50"/>
              <w:spacing w:after="0"/>
              <w:rPr>
                <w:sz w:val="20"/>
                <w:szCs w:val="20"/>
                <w:color w:val="auto"/>
              </w:rPr>
            </w:pPr>
            <w:r>
              <w:rPr>
                <w:rFonts w:ascii="Arial" w:cs="Arial" w:eastAsia="Arial" w:hAnsi="Arial"/>
                <w:sz w:val="18"/>
                <w:szCs w:val="18"/>
                <w:color w:val="auto"/>
                <w:w w:val="88"/>
              </w:rPr>
              <w:t>September 18,</w:t>
            </w:r>
          </w:p>
        </w:tc>
      </w:tr>
      <w:tr>
        <w:trPr>
          <w:trHeight w:val="230"/>
        </w:trPr>
        <w:tc>
          <w:tcPr>
            <w:tcW w:w="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tcPr>
          <w:p>
            <w:pPr>
              <w:jc w:val="center"/>
              <w:ind w:left="90"/>
              <w:spacing w:after="0"/>
              <w:rPr>
                <w:sz w:val="20"/>
                <w:szCs w:val="20"/>
                <w:color w:val="auto"/>
              </w:rPr>
            </w:pPr>
            <w:r>
              <w:rPr>
                <w:rFonts w:ascii="Arial" w:cs="Arial" w:eastAsia="Arial" w:hAnsi="Arial"/>
                <w:sz w:val="18"/>
                <w:szCs w:val="18"/>
                <w:color w:val="auto"/>
                <w:w w:val="89"/>
              </w:rPr>
              <w:t>2020</w:t>
            </w:r>
          </w:p>
        </w:tc>
      </w:tr>
      <w:tr>
        <w:trPr>
          <w:trHeight w:val="283"/>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85"/>
              </w:rPr>
              <w:t>S-1</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333-248924</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340" w:type="dxa"/>
            <w:vAlign w:val="bottom"/>
          </w:tcPr>
          <w:p>
            <w:pPr>
              <w:jc w:val="center"/>
              <w:ind w:left="50"/>
              <w:spacing w:after="0"/>
              <w:rPr>
                <w:sz w:val="20"/>
                <w:szCs w:val="20"/>
                <w:color w:val="auto"/>
              </w:rPr>
            </w:pPr>
            <w:r>
              <w:rPr>
                <w:rFonts w:ascii="Arial" w:cs="Arial" w:eastAsia="Arial" w:hAnsi="Arial"/>
                <w:sz w:val="18"/>
                <w:szCs w:val="18"/>
                <w:color w:val="auto"/>
                <w:w w:val="88"/>
              </w:rPr>
              <w:t>September 18,</w:t>
            </w:r>
          </w:p>
        </w:tc>
      </w:tr>
      <w:tr>
        <w:trPr>
          <w:trHeight w:val="230"/>
        </w:trPr>
        <w:tc>
          <w:tcPr>
            <w:tcW w:w="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tcPr>
          <w:p>
            <w:pPr>
              <w:jc w:val="center"/>
              <w:ind w:left="90"/>
              <w:spacing w:after="0"/>
              <w:rPr>
                <w:sz w:val="20"/>
                <w:szCs w:val="20"/>
                <w:color w:val="auto"/>
              </w:rPr>
            </w:pPr>
            <w:r>
              <w:rPr>
                <w:rFonts w:ascii="Arial" w:cs="Arial" w:eastAsia="Arial" w:hAnsi="Arial"/>
                <w:sz w:val="18"/>
                <w:szCs w:val="18"/>
                <w:color w:val="auto"/>
                <w:w w:val="89"/>
              </w:rPr>
              <w:t>2020</w:t>
            </w:r>
          </w:p>
        </w:tc>
      </w:tr>
      <w:tr>
        <w:trPr>
          <w:trHeight w:val="283"/>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85"/>
              </w:rPr>
              <w:t>S-1</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333-248924</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340" w:type="dxa"/>
            <w:vAlign w:val="bottom"/>
          </w:tcPr>
          <w:p>
            <w:pPr>
              <w:jc w:val="center"/>
              <w:ind w:left="50"/>
              <w:spacing w:after="0"/>
              <w:rPr>
                <w:sz w:val="20"/>
                <w:szCs w:val="20"/>
                <w:color w:val="auto"/>
              </w:rPr>
            </w:pPr>
            <w:r>
              <w:rPr>
                <w:rFonts w:ascii="Arial" w:cs="Arial" w:eastAsia="Arial" w:hAnsi="Arial"/>
                <w:sz w:val="18"/>
                <w:szCs w:val="18"/>
                <w:color w:val="auto"/>
                <w:w w:val="88"/>
              </w:rPr>
              <w:t>September 18,</w:t>
            </w:r>
          </w:p>
        </w:tc>
      </w:tr>
      <w:tr>
        <w:trPr>
          <w:trHeight w:val="230"/>
        </w:trPr>
        <w:tc>
          <w:tcPr>
            <w:tcW w:w="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tcPr>
          <w:p>
            <w:pPr>
              <w:jc w:val="center"/>
              <w:ind w:left="90"/>
              <w:spacing w:after="0"/>
              <w:rPr>
                <w:sz w:val="20"/>
                <w:szCs w:val="20"/>
                <w:color w:val="auto"/>
              </w:rPr>
            </w:pPr>
            <w:r>
              <w:rPr>
                <w:rFonts w:ascii="Arial" w:cs="Arial" w:eastAsia="Arial" w:hAnsi="Arial"/>
                <w:sz w:val="18"/>
                <w:szCs w:val="18"/>
                <w:color w:val="auto"/>
                <w:w w:val="89"/>
              </w:rPr>
              <w:t>2020</w:t>
            </w:r>
          </w:p>
        </w:tc>
      </w:tr>
      <w:tr>
        <w:trPr>
          <w:trHeight w:val="283"/>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85"/>
              </w:rPr>
              <w:t>S-1</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333-248924</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340" w:type="dxa"/>
            <w:vAlign w:val="bottom"/>
          </w:tcPr>
          <w:p>
            <w:pPr>
              <w:jc w:val="center"/>
              <w:ind w:left="50"/>
              <w:spacing w:after="0"/>
              <w:rPr>
                <w:sz w:val="20"/>
                <w:szCs w:val="20"/>
                <w:color w:val="auto"/>
              </w:rPr>
            </w:pPr>
            <w:r>
              <w:rPr>
                <w:rFonts w:ascii="Arial" w:cs="Arial" w:eastAsia="Arial" w:hAnsi="Arial"/>
                <w:sz w:val="18"/>
                <w:szCs w:val="18"/>
                <w:color w:val="auto"/>
                <w:w w:val="88"/>
              </w:rPr>
              <w:t>September 18,</w:t>
            </w:r>
          </w:p>
        </w:tc>
      </w:tr>
      <w:tr>
        <w:trPr>
          <w:trHeight w:val="230"/>
        </w:trPr>
        <w:tc>
          <w:tcPr>
            <w:tcW w:w="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tcPr>
          <w:p>
            <w:pPr>
              <w:jc w:val="center"/>
              <w:ind w:left="90"/>
              <w:spacing w:after="0"/>
              <w:rPr>
                <w:sz w:val="20"/>
                <w:szCs w:val="20"/>
                <w:color w:val="auto"/>
              </w:rPr>
            </w:pPr>
            <w:r>
              <w:rPr>
                <w:rFonts w:ascii="Arial" w:cs="Arial" w:eastAsia="Arial" w:hAnsi="Arial"/>
                <w:sz w:val="18"/>
                <w:szCs w:val="18"/>
                <w:color w:val="auto"/>
                <w:w w:val="89"/>
              </w:rPr>
              <w:t>2020</w:t>
            </w:r>
          </w:p>
        </w:tc>
      </w:tr>
      <w:tr>
        <w:trPr>
          <w:trHeight w:val="283"/>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85"/>
              </w:rPr>
              <w:t>S-1</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333-248924</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340" w:type="dxa"/>
            <w:vAlign w:val="bottom"/>
          </w:tcPr>
          <w:p>
            <w:pPr>
              <w:jc w:val="center"/>
              <w:ind w:left="50"/>
              <w:spacing w:after="0"/>
              <w:rPr>
                <w:sz w:val="20"/>
                <w:szCs w:val="20"/>
                <w:color w:val="auto"/>
              </w:rPr>
            </w:pPr>
            <w:r>
              <w:rPr>
                <w:rFonts w:ascii="Arial" w:cs="Arial" w:eastAsia="Arial" w:hAnsi="Arial"/>
                <w:sz w:val="18"/>
                <w:szCs w:val="18"/>
                <w:color w:val="auto"/>
                <w:w w:val="88"/>
              </w:rPr>
              <w:t>September 18,</w:t>
            </w:r>
          </w:p>
        </w:tc>
      </w:tr>
      <w:tr>
        <w:trPr>
          <w:trHeight w:val="230"/>
        </w:trPr>
        <w:tc>
          <w:tcPr>
            <w:tcW w:w="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tcPr>
          <w:p>
            <w:pPr>
              <w:jc w:val="center"/>
              <w:ind w:left="90"/>
              <w:spacing w:after="0"/>
              <w:rPr>
                <w:sz w:val="20"/>
                <w:szCs w:val="20"/>
                <w:color w:val="auto"/>
              </w:rPr>
            </w:pPr>
            <w:r>
              <w:rPr>
                <w:rFonts w:ascii="Arial" w:cs="Arial" w:eastAsia="Arial" w:hAnsi="Arial"/>
                <w:sz w:val="18"/>
                <w:szCs w:val="18"/>
                <w:color w:val="auto"/>
                <w:w w:val="89"/>
              </w:rPr>
              <w:t>2020</w:t>
            </w:r>
          </w:p>
        </w:tc>
      </w:tr>
      <w:tr>
        <w:trPr>
          <w:trHeight w:val="297"/>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001-39594</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340" w:type="dxa"/>
            <w:vAlign w:val="bottom"/>
          </w:tcPr>
          <w:p>
            <w:pPr>
              <w:jc w:val="center"/>
              <w:ind w:left="90"/>
              <w:spacing w:after="0"/>
              <w:rPr>
                <w:sz w:val="20"/>
                <w:szCs w:val="20"/>
                <w:color w:val="auto"/>
              </w:rPr>
            </w:pPr>
            <w:r>
              <w:rPr>
                <w:rFonts w:ascii="Arial" w:cs="Arial" w:eastAsia="Arial" w:hAnsi="Arial"/>
                <w:sz w:val="18"/>
                <w:szCs w:val="18"/>
                <w:color w:val="auto"/>
                <w:w w:val="89"/>
              </w:rPr>
              <w:t>January 5, 2022</w:t>
            </w:r>
          </w:p>
        </w:tc>
      </w:tr>
      <w:tr>
        <w:trPr>
          <w:trHeight w:val="513"/>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001-39594</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340" w:type="dxa"/>
            <w:vAlign w:val="bottom"/>
          </w:tcPr>
          <w:p>
            <w:pPr>
              <w:jc w:val="center"/>
              <w:ind w:left="90"/>
              <w:spacing w:after="0"/>
              <w:rPr>
                <w:sz w:val="20"/>
                <w:szCs w:val="20"/>
                <w:color w:val="auto"/>
              </w:rPr>
            </w:pPr>
            <w:r>
              <w:rPr>
                <w:rFonts w:ascii="Arial" w:cs="Arial" w:eastAsia="Arial" w:hAnsi="Arial"/>
                <w:sz w:val="18"/>
                <w:szCs w:val="18"/>
                <w:color w:val="auto"/>
                <w:w w:val="94"/>
              </w:rPr>
              <w:t>April 8, 2022</w:t>
            </w:r>
          </w:p>
        </w:tc>
      </w:tr>
      <w:tr>
        <w:trPr>
          <w:trHeight w:val="499"/>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85"/>
              </w:rPr>
              <w:t>S-1</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333-248924</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340" w:type="dxa"/>
            <w:vAlign w:val="bottom"/>
          </w:tcPr>
          <w:p>
            <w:pPr>
              <w:jc w:val="center"/>
              <w:ind w:left="50"/>
              <w:spacing w:after="0"/>
              <w:rPr>
                <w:sz w:val="20"/>
                <w:szCs w:val="20"/>
                <w:color w:val="auto"/>
              </w:rPr>
            </w:pPr>
            <w:r>
              <w:rPr>
                <w:rFonts w:ascii="Arial" w:cs="Arial" w:eastAsia="Arial" w:hAnsi="Arial"/>
                <w:sz w:val="18"/>
                <w:szCs w:val="18"/>
                <w:color w:val="auto"/>
                <w:w w:val="88"/>
              </w:rPr>
              <w:t>September 18,</w:t>
            </w:r>
          </w:p>
        </w:tc>
      </w:tr>
      <w:tr>
        <w:trPr>
          <w:trHeight w:val="230"/>
        </w:trPr>
        <w:tc>
          <w:tcPr>
            <w:tcW w:w="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tcPr>
          <w:p>
            <w:pPr>
              <w:jc w:val="center"/>
              <w:ind w:left="90"/>
              <w:spacing w:after="0"/>
              <w:rPr>
                <w:sz w:val="20"/>
                <w:szCs w:val="20"/>
                <w:color w:val="auto"/>
              </w:rPr>
            </w:pPr>
            <w:r>
              <w:rPr>
                <w:rFonts w:ascii="Arial" w:cs="Arial" w:eastAsia="Arial" w:hAnsi="Arial"/>
                <w:sz w:val="18"/>
                <w:szCs w:val="18"/>
                <w:color w:val="auto"/>
                <w:w w:val="89"/>
              </w:rPr>
              <w:t>2020</w:t>
            </w:r>
          </w:p>
        </w:tc>
      </w:tr>
      <w:tr>
        <w:trPr>
          <w:trHeight w:val="283"/>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85"/>
              </w:rPr>
              <w:t>S-1</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333-248924</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340" w:type="dxa"/>
            <w:vAlign w:val="bottom"/>
          </w:tcPr>
          <w:p>
            <w:pPr>
              <w:jc w:val="center"/>
              <w:ind w:left="50"/>
              <w:spacing w:after="0"/>
              <w:rPr>
                <w:sz w:val="20"/>
                <w:szCs w:val="20"/>
                <w:color w:val="auto"/>
              </w:rPr>
            </w:pPr>
            <w:r>
              <w:rPr>
                <w:rFonts w:ascii="Arial" w:cs="Arial" w:eastAsia="Arial" w:hAnsi="Arial"/>
                <w:sz w:val="18"/>
                <w:szCs w:val="18"/>
                <w:color w:val="auto"/>
                <w:w w:val="88"/>
              </w:rPr>
              <w:t>September 18,</w:t>
            </w:r>
          </w:p>
        </w:tc>
      </w:tr>
      <w:tr>
        <w:trPr>
          <w:trHeight w:val="230"/>
        </w:trPr>
        <w:tc>
          <w:tcPr>
            <w:tcW w:w="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tcPr>
          <w:p>
            <w:pPr>
              <w:jc w:val="center"/>
              <w:ind w:left="90"/>
              <w:spacing w:after="0"/>
              <w:rPr>
                <w:sz w:val="20"/>
                <w:szCs w:val="20"/>
                <w:color w:val="auto"/>
              </w:rPr>
            </w:pPr>
            <w:r>
              <w:rPr>
                <w:rFonts w:ascii="Arial" w:cs="Arial" w:eastAsia="Arial" w:hAnsi="Arial"/>
                <w:sz w:val="18"/>
                <w:szCs w:val="18"/>
                <w:color w:val="auto"/>
                <w:w w:val="89"/>
              </w:rPr>
              <w:t>2020</w:t>
            </w:r>
          </w:p>
        </w:tc>
      </w:tr>
      <w:tr>
        <w:trPr>
          <w:trHeight w:val="297"/>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4"/>
              </w:rPr>
              <w:t>10-K</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001-39594</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340" w:type="dxa"/>
            <w:vAlign w:val="bottom"/>
          </w:tcPr>
          <w:p>
            <w:pPr>
              <w:jc w:val="center"/>
              <w:ind w:left="90"/>
              <w:spacing w:after="0"/>
              <w:rPr>
                <w:sz w:val="20"/>
                <w:szCs w:val="20"/>
                <w:color w:val="auto"/>
              </w:rPr>
            </w:pPr>
            <w:r>
              <w:rPr>
                <w:rFonts w:ascii="Arial" w:cs="Arial" w:eastAsia="Arial" w:hAnsi="Arial"/>
                <w:sz w:val="18"/>
                <w:szCs w:val="18"/>
                <w:color w:val="auto"/>
                <w:w w:val="92"/>
              </w:rPr>
              <w:t>March 22, 2021</w:t>
            </w:r>
          </w:p>
        </w:tc>
      </w:tr>
      <w:tr>
        <w:trPr>
          <w:trHeight w:val="513"/>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89"/>
              </w:rPr>
              <w:t>10-Q</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001-39594</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340" w:type="dxa"/>
            <w:vAlign w:val="bottom"/>
          </w:tcPr>
          <w:p>
            <w:pPr>
              <w:jc w:val="center"/>
              <w:ind w:left="90"/>
              <w:spacing w:after="0"/>
              <w:rPr>
                <w:sz w:val="20"/>
                <w:szCs w:val="20"/>
                <w:color w:val="auto"/>
              </w:rPr>
            </w:pPr>
            <w:r>
              <w:rPr>
                <w:rFonts w:ascii="Arial" w:cs="Arial" w:eastAsia="Arial" w:hAnsi="Arial"/>
                <w:sz w:val="18"/>
                <w:szCs w:val="18"/>
                <w:color w:val="auto"/>
                <w:w w:val="91"/>
              </w:rPr>
              <w:t>May 11, 2022</w:t>
            </w:r>
          </w:p>
        </w:tc>
      </w:tr>
      <w:tr>
        <w:trPr>
          <w:trHeight w:val="513"/>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4"/>
              </w:rPr>
              <w:t>10-K</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001-39594</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340" w:type="dxa"/>
            <w:vAlign w:val="bottom"/>
          </w:tcPr>
          <w:p>
            <w:pPr>
              <w:jc w:val="center"/>
              <w:ind w:left="90"/>
              <w:spacing w:after="0"/>
              <w:rPr>
                <w:sz w:val="20"/>
                <w:szCs w:val="20"/>
                <w:color w:val="auto"/>
              </w:rPr>
            </w:pPr>
            <w:r>
              <w:rPr>
                <w:rFonts w:ascii="Arial" w:cs="Arial" w:eastAsia="Arial" w:hAnsi="Arial"/>
                <w:sz w:val="18"/>
                <w:szCs w:val="18"/>
                <w:color w:val="auto"/>
                <w:w w:val="92"/>
              </w:rPr>
              <w:t>March 14, 2022</w:t>
            </w:r>
          </w:p>
        </w:tc>
      </w:tr>
      <w:tr>
        <w:trPr>
          <w:trHeight w:val="513"/>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4"/>
              </w:rPr>
              <w:t>10-K</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001-39594</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340" w:type="dxa"/>
            <w:vAlign w:val="bottom"/>
          </w:tcPr>
          <w:p>
            <w:pPr>
              <w:jc w:val="center"/>
              <w:ind w:left="90"/>
              <w:spacing w:after="0"/>
              <w:rPr>
                <w:sz w:val="20"/>
                <w:szCs w:val="20"/>
                <w:color w:val="auto"/>
              </w:rPr>
            </w:pPr>
            <w:r>
              <w:rPr>
                <w:rFonts w:ascii="Arial" w:cs="Arial" w:eastAsia="Arial" w:hAnsi="Arial"/>
                <w:sz w:val="18"/>
                <w:szCs w:val="18"/>
                <w:color w:val="auto"/>
                <w:w w:val="92"/>
              </w:rPr>
              <w:t>March 14, 2022</w:t>
            </w:r>
          </w:p>
        </w:tc>
      </w:tr>
      <w:tr>
        <w:trPr>
          <w:trHeight w:val="513"/>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4"/>
              </w:rPr>
              <w:t>10-K</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001-39594</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1340" w:type="dxa"/>
            <w:vAlign w:val="bottom"/>
          </w:tcPr>
          <w:p>
            <w:pPr>
              <w:jc w:val="center"/>
              <w:ind w:left="90"/>
              <w:spacing w:after="0"/>
              <w:rPr>
                <w:sz w:val="20"/>
                <w:szCs w:val="20"/>
                <w:color w:val="auto"/>
              </w:rPr>
            </w:pPr>
            <w:r>
              <w:rPr>
                <w:rFonts w:ascii="Arial" w:cs="Arial" w:eastAsia="Arial" w:hAnsi="Arial"/>
                <w:sz w:val="18"/>
                <w:szCs w:val="18"/>
                <w:color w:val="auto"/>
                <w:w w:val="92"/>
              </w:rPr>
              <w:t>March 14, 2022</w:t>
            </w:r>
          </w:p>
        </w:tc>
      </w:tr>
    </w:tbl>
    <w:p>
      <w:pPr>
        <w:sectPr>
          <w:pgSz w:w="11900" w:h="16838" w:orient="portrait"/>
          <w:cols w:equalWidth="0" w:num="2">
            <w:col w:w="6440" w:space="380"/>
            <w:col w:w="4360"/>
          </w:cols>
          <w:pgMar w:left="320" w:top="125" w:right="399" w:bottom="1440" w:gutter="0" w:footer="0" w:header="0"/>
        </w:sectPr>
      </w:pPr>
    </w:p>
    <w:bookmarkStart w:id="142" w:name="page143"/>
    <w:bookmarkEnd w:id="1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gridSpan w:val="6"/>
          </w:tcPr>
          <w:p>
            <w:pPr>
              <w:spacing w:after="0"/>
              <w:rPr>
                <w:sz w:val="20"/>
                <w:szCs w:val="20"/>
                <w:color w:val="auto"/>
              </w:rPr>
            </w:pPr>
            <w:r>
              <w:rPr>
                <w:rFonts w:ascii="Arial" w:cs="Arial" w:eastAsia="Arial" w:hAnsi="Arial"/>
                <w:sz w:val="18"/>
                <w:szCs w:val="18"/>
                <w:color w:val="0000FF"/>
              </w:rPr>
              <w:t>Table of Contents</w:t>
            </w:r>
          </w:p>
        </w:tc>
        <w:tc>
          <w:tcPr>
            <w:tcW w:w="1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80" w:type="dxa"/>
            <w:vAlign w:val="bottom"/>
          </w:tcPr>
          <w:p>
            <w:pPr>
              <w:jc w:val="right"/>
              <w:ind w:right="370"/>
              <w:spacing w:after="0"/>
              <w:rPr>
                <w:sz w:val="20"/>
                <w:szCs w:val="20"/>
                <w:color w:val="auto"/>
              </w:rPr>
            </w:pPr>
            <w:r>
              <w:rPr>
                <w:rFonts w:ascii="Arial" w:cs="Arial" w:eastAsia="Arial" w:hAnsi="Arial"/>
                <w:sz w:val="18"/>
                <w:szCs w:val="18"/>
                <w:color w:val="auto"/>
              </w:rPr>
              <w:t>10.26</w:t>
            </w:r>
          </w:p>
        </w:tc>
        <w:tc>
          <w:tcPr>
            <w:tcW w:w="5260" w:type="dxa"/>
            <w:vAlign w:val="bottom"/>
            <w:gridSpan w:val="5"/>
          </w:tcPr>
          <w:p>
            <w:pPr>
              <w:spacing w:after="0"/>
              <w:rPr>
                <w:rFonts w:ascii="Arial" w:cs="Arial" w:eastAsia="Arial" w:hAnsi="Arial"/>
                <w:sz w:val="18"/>
                <w:szCs w:val="18"/>
                <w:color w:val="0000FF"/>
                <w:w w:val="97"/>
              </w:rPr>
            </w:pPr>
            <w:hyperlink r:id="rId498">
              <w:r>
                <w:rPr>
                  <w:rFonts w:ascii="Arial" w:cs="Arial" w:eastAsia="Arial" w:hAnsi="Arial"/>
                  <w:sz w:val="18"/>
                  <w:szCs w:val="18"/>
                  <w:color w:val="0000FF"/>
                  <w:w w:val="97"/>
                </w:rPr>
                <w:t>Lease Agreement, by and between the registrant and 611 Gateway</w:t>
              </w:r>
            </w:hyperlink>
          </w:p>
        </w:tc>
        <w:tc>
          <w:tcPr>
            <w:tcW w:w="1100" w:type="dxa"/>
            <w:vAlign w:val="bottom"/>
          </w:tcPr>
          <w:p>
            <w:pPr>
              <w:ind w:left="460"/>
              <w:spacing w:after="0"/>
              <w:rPr>
                <w:sz w:val="20"/>
                <w:szCs w:val="20"/>
                <w:color w:val="auto"/>
              </w:rPr>
            </w:pPr>
            <w:r>
              <w:rPr>
                <w:rFonts w:ascii="Arial" w:cs="Arial" w:eastAsia="Arial" w:hAnsi="Arial"/>
                <w:sz w:val="18"/>
                <w:szCs w:val="18"/>
                <w:color w:val="auto"/>
              </w:rPr>
              <w:t>8-K</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001-39594</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10.1</w:t>
            </w:r>
          </w:p>
        </w:tc>
        <w:tc>
          <w:tcPr>
            <w:tcW w:w="1180" w:type="dxa"/>
            <w:vAlign w:val="bottom"/>
          </w:tcPr>
          <w:p>
            <w:pPr>
              <w:jc w:val="center"/>
              <w:ind w:left="170"/>
              <w:spacing w:after="0"/>
              <w:rPr>
                <w:sz w:val="20"/>
                <w:szCs w:val="20"/>
                <w:color w:val="auto"/>
              </w:rPr>
            </w:pPr>
            <w:r>
              <w:rPr>
                <w:rFonts w:ascii="Arial" w:cs="Arial" w:eastAsia="Arial" w:hAnsi="Arial"/>
                <w:sz w:val="18"/>
                <w:szCs w:val="18"/>
                <w:color w:val="auto"/>
                <w:w w:val="89"/>
              </w:rPr>
              <w:t>December 2,</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560" w:type="dxa"/>
            <w:vAlign w:val="bottom"/>
            <w:tcBorders>
              <w:right w:val="single" w:sz="8" w:color="0000FF"/>
            </w:tcBorders>
            <w:gridSpan w:val="2"/>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260" w:type="dxa"/>
            <w:vAlign w:val="bottom"/>
            <w:gridSpan w:val="5"/>
          </w:tcPr>
          <w:p>
            <w:pPr>
              <w:spacing w:after="0" w:line="196" w:lineRule="exact"/>
              <w:rPr>
                <w:rFonts w:ascii="Arial" w:cs="Arial" w:eastAsia="Arial" w:hAnsi="Arial"/>
                <w:sz w:val="18"/>
                <w:szCs w:val="18"/>
                <w:color w:val="0000FF"/>
              </w:rPr>
            </w:pPr>
            <w:hyperlink r:id="rId498">
              <w:r>
                <w:rPr>
                  <w:rFonts w:ascii="Arial" w:cs="Arial" w:eastAsia="Arial" w:hAnsi="Arial"/>
                  <w:sz w:val="18"/>
                  <w:szCs w:val="18"/>
                  <w:color w:val="0000FF"/>
                </w:rPr>
                <w:t>Center LP, dated December 1, 2022</w:t>
              </w:r>
            </w:hyperlink>
          </w:p>
        </w:tc>
        <w:tc>
          <w:tcPr>
            <w:tcW w:w="1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560" w:type="dxa"/>
            <w:vAlign w:val="bottom"/>
            <w:tcBorders>
              <w:right w:val="single" w:sz="8" w:color="0000EE"/>
            </w:tcBorders>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80" w:type="dxa"/>
            <w:vAlign w:val="bottom"/>
          </w:tcPr>
          <w:p>
            <w:pPr>
              <w:jc w:val="right"/>
              <w:ind w:right="330"/>
              <w:spacing w:after="0"/>
              <w:rPr>
                <w:sz w:val="20"/>
                <w:szCs w:val="20"/>
                <w:color w:val="auto"/>
              </w:rPr>
            </w:pPr>
            <w:r>
              <w:rPr>
                <w:rFonts w:ascii="Arial" w:cs="Arial" w:eastAsia="Arial" w:hAnsi="Arial"/>
                <w:sz w:val="18"/>
                <w:szCs w:val="18"/>
                <w:color w:val="auto"/>
              </w:rPr>
              <w:t>10.27#</w:t>
            </w:r>
          </w:p>
        </w:tc>
        <w:tc>
          <w:tcPr>
            <w:tcW w:w="5260" w:type="dxa"/>
            <w:vAlign w:val="bottom"/>
            <w:gridSpan w:val="5"/>
          </w:tcPr>
          <w:p>
            <w:pPr>
              <w:spacing w:after="0"/>
              <w:rPr>
                <w:sz w:val="20"/>
                <w:szCs w:val="20"/>
                <w:color w:val="auto"/>
              </w:rPr>
            </w:pPr>
            <w:r>
              <w:rPr>
                <w:rFonts w:ascii="Arial" w:cs="Arial" w:eastAsia="Arial" w:hAnsi="Arial"/>
                <w:sz w:val="18"/>
                <w:szCs w:val="18"/>
                <w:color w:val="0000FF"/>
                <w:w w:val="89"/>
              </w:rPr>
              <w:t>Collaboration and License Agreement, by and between the registrant and</w:t>
            </w:r>
          </w:p>
        </w:tc>
        <w:tc>
          <w:tcPr>
            <w:tcW w:w="1100" w:type="dxa"/>
            <w:vAlign w:val="bottom"/>
          </w:tcPr>
          <w:p>
            <w:pPr>
              <w:spacing w:after="0"/>
              <w:rPr>
                <w:sz w:val="24"/>
                <w:szCs w:val="24"/>
                <w:color w:val="auto"/>
              </w:rPr>
            </w:pPr>
          </w:p>
        </w:tc>
        <w:tc>
          <w:tcPr>
            <w:tcW w:w="2320" w:type="dxa"/>
            <w:vAlign w:val="bottom"/>
            <w:gridSpan w:val="2"/>
            <w:vMerge w:val="restart"/>
          </w:tcPr>
          <w:p>
            <w:pPr>
              <w:jc w:val="right"/>
              <w:ind w:right="330"/>
              <w:spacing w:after="0"/>
              <w:rPr>
                <w:sz w:val="20"/>
                <w:szCs w:val="20"/>
                <w:color w:val="auto"/>
              </w:rPr>
            </w:pPr>
            <w:r>
              <w:rPr>
                <w:rFonts w:ascii="Arial" w:cs="Arial" w:eastAsia="Arial" w:hAnsi="Arial"/>
                <w:sz w:val="18"/>
                <w:szCs w:val="18"/>
                <w:color w:val="auto"/>
              </w:rPr>
              <w:t>Filed herewith</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20" w:type="dxa"/>
            <w:vAlign w:val="bottom"/>
            <w:gridSpan w:val="2"/>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180" w:type="dxa"/>
            <w:vAlign w:val="bottom"/>
          </w:tcPr>
          <w:p>
            <w:pPr>
              <w:spacing w:after="0"/>
              <w:rPr>
                <w:sz w:val="7"/>
                <w:szCs w:val="7"/>
                <w:color w:val="auto"/>
              </w:rPr>
            </w:pPr>
          </w:p>
        </w:tc>
        <w:tc>
          <w:tcPr>
            <w:tcW w:w="5260" w:type="dxa"/>
            <w:vAlign w:val="bottom"/>
            <w:gridSpan w:val="5"/>
            <w:vMerge w:val="restart"/>
          </w:tcPr>
          <w:p>
            <w:pPr>
              <w:spacing w:after="0" w:line="196" w:lineRule="exact"/>
              <w:rPr>
                <w:sz w:val="20"/>
                <w:szCs w:val="20"/>
                <w:color w:val="auto"/>
              </w:rPr>
            </w:pPr>
            <w:r>
              <w:rPr>
                <w:rFonts w:ascii="Arial" w:cs="Arial" w:eastAsia="Arial" w:hAnsi="Arial"/>
                <w:sz w:val="18"/>
                <w:szCs w:val="18"/>
                <w:color w:val="0000FF"/>
              </w:rPr>
              <w:t>Kaken Pharmaceutical Co., LTD., dated January 5, 2023</w:t>
            </w:r>
          </w:p>
        </w:tc>
        <w:tc>
          <w:tcPr>
            <w:tcW w:w="1100" w:type="dxa"/>
            <w:vAlign w:val="bottom"/>
          </w:tcPr>
          <w:p>
            <w:pPr>
              <w:spacing w:after="0"/>
              <w:rPr>
                <w:sz w:val="7"/>
                <w:szCs w:val="7"/>
                <w:color w:val="auto"/>
              </w:rPr>
            </w:pPr>
          </w:p>
        </w:tc>
        <w:tc>
          <w:tcPr>
            <w:tcW w:w="2320" w:type="dxa"/>
            <w:vAlign w:val="bottom"/>
            <w:gridSpan w:val="2"/>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5260" w:type="dxa"/>
            <w:vAlign w:val="bottom"/>
            <w:gridSpan w:val="5"/>
            <w:vMerge w:val="continue"/>
          </w:tcPr>
          <w:p>
            <w:pPr>
              <w:spacing w:after="0"/>
              <w:rPr>
                <w:sz w:val="9"/>
                <w:szCs w:val="9"/>
                <w:color w:val="auto"/>
              </w:rPr>
            </w:pPr>
          </w:p>
        </w:tc>
        <w:tc>
          <w:tcPr>
            <w:tcW w:w="1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ectPr>
          <w:pgSz w:w="11900" w:h="16838" w:orient="portrait"/>
          <w:cols w:equalWidth="0" w:num="1">
            <w:col w:w="11200"/>
          </w:cols>
          <w:pgMar w:left="320" w:top="108" w:right="379" w:bottom="1440" w:gutter="0" w:footer="0" w:header="0"/>
        </w:sectPr>
      </w:pPr>
    </w:p>
    <w:p>
      <w:pPr>
        <w:ind w:left="1160" w:right="1440" w:hanging="797"/>
        <w:spacing w:after="0" w:line="277" w:lineRule="auto"/>
        <w:tabs>
          <w:tab w:leader="none" w:pos="11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u w:val="single" w:color="auto"/>
          <w:color w:val="0000FF"/>
        </w:rPr>
        <w:t>Consent of BDO USA, LLP,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-182245</wp:posOffset>
            </wp:positionV>
            <wp:extent cx="323977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9">
                      <a:extLst>
                        <a:ext uri="{28A0092B-C50C-407E-A947-70E740481C1C}"/>
                      </a:extLst>
                    </a:blip>
                    <a:srcRect/>
                    <a:stretch>
                      <a:fillRect/>
                    </a:stretch>
                  </pic:blipFill>
                  <pic:spPr bwMode="auto">
                    <a:xfrm>
                      <a:off x="0" y="0"/>
                      <a:ext cx="323977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-45085</wp:posOffset>
            </wp:positionV>
            <wp:extent cx="19685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0">
                      <a:extLst>
                        <a:ext uri="{28A0092B-C50C-407E-A947-70E740481C1C}"/>
                      </a:extLst>
                    </a:blip>
                    <a:srcRect/>
                    <a:stretch>
                      <a:fillRect/>
                    </a:stretch>
                  </pic:blipFill>
                  <pic:spPr bwMode="auto">
                    <a:xfrm>
                      <a:off x="0" y="0"/>
                      <a:ext cx="196850" cy="8890"/>
                    </a:xfrm>
                    <a:prstGeom prst="rect">
                      <a:avLst/>
                    </a:prstGeom>
                    <a:noFill/>
                  </pic:spPr>
                </pic:pic>
              </a:graphicData>
            </a:graphic>
          </wp:anchor>
        </w:drawing>
      </w:r>
    </w:p>
    <w:p>
      <w:pPr>
        <w:spacing w:after="0" w:line="15"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u w:val="single" w:color="auto"/>
          <w:color w:val="0000FF"/>
        </w:rPr>
        <w:t>Power of Attorney (see signature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-10160</wp:posOffset>
            </wp:positionV>
            <wp:extent cx="18370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1">
                      <a:extLst>
                        <a:ext uri="{28A0092B-C50C-407E-A947-70E740481C1C}"/>
                      </a:extLst>
                    </a:blip>
                    <a:srcRect/>
                    <a:stretch>
                      <a:fillRect/>
                    </a:stretch>
                  </pic:blipFill>
                  <pic:spPr bwMode="auto">
                    <a:xfrm>
                      <a:off x="0" y="0"/>
                      <a:ext cx="1837055" cy="8255"/>
                    </a:xfrm>
                    <a:prstGeom prst="rect">
                      <a:avLst/>
                    </a:prstGeom>
                    <a:noFill/>
                  </pic:spPr>
                </pic:pic>
              </a:graphicData>
            </a:graphic>
          </wp:anchor>
        </w:drawing>
      </w:r>
    </w:p>
    <w:p>
      <w:pPr>
        <w:spacing w:after="0" w:line="70" w:lineRule="exact"/>
        <w:rPr>
          <w:sz w:val="20"/>
          <w:szCs w:val="20"/>
          <w:color w:val="auto"/>
        </w:rPr>
      </w:pPr>
    </w:p>
    <w:p>
      <w:pPr>
        <w:ind w:left="1160" w:right="1320" w:hanging="797"/>
        <w:spacing w:after="0" w:line="286" w:lineRule="auto"/>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u w:val="single" w:color="auto"/>
          <w:color w:val="0000FF"/>
        </w:rPr>
        <w:t>Certification of Principal Executive Officer Pursuant to Rules 13a-14(a) and 15d-14(a) under the Securities 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-322580</wp:posOffset>
            </wp:positionV>
            <wp:extent cx="33197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2">
                      <a:extLst>
                        <a:ext uri="{28A0092B-C50C-407E-A947-70E740481C1C}"/>
                      </a:extLst>
                    </a:blip>
                    <a:srcRect/>
                    <a:stretch>
                      <a:fillRect/>
                    </a:stretch>
                  </pic:blipFill>
                  <pic:spPr bwMode="auto">
                    <a:xfrm>
                      <a:off x="0" y="0"/>
                      <a:ext cx="331978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-185420</wp:posOffset>
            </wp:positionV>
            <wp:extent cx="323596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3">
                      <a:extLst>
                        <a:ext uri="{28A0092B-C50C-407E-A947-70E740481C1C}"/>
                      </a:extLst>
                    </a:blip>
                    <a:srcRect/>
                    <a:stretch>
                      <a:fillRect/>
                    </a:stretch>
                  </pic:blipFill>
                  <pic:spPr bwMode="auto">
                    <a:xfrm>
                      <a:off x="0" y="0"/>
                      <a:ext cx="323596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-48260</wp:posOffset>
            </wp:positionV>
            <wp:extent cx="27133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4">
                      <a:extLst>
                        <a:ext uri="{28A0092B-C50C-407E-A947-70E740481C1C}"/>
                      </a:extLst>
                    </a:blip>
                    <a:srcRect/>
                    <a:stretch>
                      <a:fillRect/>
                    </a:stretch>
                  </pic:blipFill>
                  <pic:spPr bwMode="auto">
                    <a:xfrm>
                      <a:off x="0" y="0"/>
                      <a:ext cx="27133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448" w:lineRule="exact"/>
        <w:rPr>
          <w:sz w:val="20"/>
          <w:szCs w:val="20"/>
          <w:color w:val="auto"/>
        </w:rPr>
      </w:pPr>
    </w:p>
    <w:p>
      <w:pPr>
        <w:sectPr>
          <w:pgSz w:w="11900" w:h="16838" w:orient="portrait"/>
          <w:cols w:equalWidth="0" w:num="2">
            <w:col w:w="7660" w:space="720"/>
            <w:col w:w="2820"/>
          </w:cols>
          <w:pgMar w:left="320" w:top="108" w:right="379" w:bottom="1440" w:gutter="0" w:footer="0" w:header="0"/>
          <w:type w:val="continuous"/>
        </w:sectPr>
      </w:pPr>
    </w:p>
    <w:tbl>
      <w:tblPr>
        <w:tblLayout w:type="fixed"/>
        <w:tblInd w:w="180" w:type="dxa"/>
        <w:tblCellMar>
          <w:top w:w="0" w:type="dxa"/>
          <w:left w:w="0" w:type="dxa"/>
          <w:bottom w:w="0" w:type="dxa"/>
          <w:right w:w="0" w:type="dxa"/>
        </w:tblCellMar>
      </w:tblPr>
      <w:tr>
        <w:trPr>
          <w:trHeight w:val="207"/>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1"/>
              </w:rPr>
              <w:t>31.2</w:t>
            </w:r>
          </w:p>
        </w:tc>
        <w:tc>
          <w:tcPr>
            <w:tcW w:w="5260" w:type="dxa"/>
            <w:vAlign w:val="bottom"/>
            <w:gridSpan w:val="7"/>
          </w:tcPr>
          <w:p>
            <w:pPr>
              <w:spacing w:after="0"/>
              <w:rPr>
                <w:sz w:val="20"/>
                <w:szCs w:val="20"/>
                <w:color w:val="auto"/>
              </w:rPr>
            </w:pPr>
            <w:r>
              <w:rPr>
                <w:rFonts w:ascii="Arial" w:cs="Arial" w:eastAsia="Arial" w:hAnsi="Arial"/>
                <w:sz w:val="18"/>
                <w:szCs w:val="18"/>
                <w:color w:val="0000FF"/>
                <w:w w:val="94"/>
              </w:rPr>
              <w:t>Certification of Principal Financial Officer Pursuant to Rules 13a-14(a)</w:t>
            </w:r>
          </w:p>
        </w:tc>
        <w:tc>
          <w:tcPr>
            <w:tcW w:w="3000" w:type="dxa"/>
            <w:vAlign w:val="bottom"/>
            <w:vMerge w:val="restart"/>
          </w:tcPr>
          <w:p>
            <w:pPr>
              <w:ind w:left="1940"/>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000" w:type="dxa"/>
            <w:vAlign w:val="bottom"/>
          </w:tcPr>
          <w:p>
            <w:pPr>
              <w:spacing w:after="0"/>
              <w:rPr>
                <w:sz w:val="7"/>
                <w:szCs w:val="7"/>
                <w:color w:val="auto"/>
              </w:rPr>
            </w:pPr>
          </w:p>
        </w:tc>
        <w:tc>
          <w:tcPr>
            <w:tcW w:w="5260" w:type="dxa"/>
            <w:vAlign w:val="bottom"/>
            <w:gridSpan w:val="7"/>
            <w:vMerge w:val="restart"/>
          </w:tcPr>
          <w:p>
            <w:pPr>
              <w:spacing w:after="0" w:line="196" w:lineRule="exact"/>
              <w:rPr>
                <w:sz w:val="20"/>
                <w:szCs w:val="20"/>
                <w:color w:val="auto"/>
              </w:rPr>
            </w:pPr>
            <w:r>
              <w:rPr>
                <w:rFonts w:ascii="Arial" w:cs="Arial" w:eastAsia="Arial" w:hAnsi="Arial"/>
                <w:sz w:val="18"/>
                <w:szCs w:val="18"/>
                <w:color w:val="0000FF"/>
                <w:w w:val="93"/>
              </w:rPr>
              <w:t>and 15d-14(a) under the Securities Exchange Act of 1934, as Adopted</w:t>
            </w:r>
          </w:p>
        </w:tc>
        <w:tc>
          <w:tcPr>
            <w:tcW w:w="3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5260" w:type="dxa"/>
            <w:vAlign w:val="bottom"/>
            <w:gridSpan w:val="7"/>
            <w:vMerge w:val="continue"/>
          </w:tcPr>
          <w:p>
            <w:pPr>
              <w:spacing w:after="0"/>
              <w:rPr>
                <w:sz w:val="9"/>
                <w:szCs w:val="9"/>
                <w:color w:val="auto"/>
              </w:rPr>
            </w:pPr>
          </w:p>
        </w:tc>
        <w:tc>
          <w:tcPr>
            <w:tcW w:w="3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5260" w:type="dxa"/>
            <w:vAlign w:val="bottom"/>
            <w:gridSpan w:val="7"/>
          </w:tcPr>
          <w:p>
            <w:pPr>
              <w:spacing w:after="0" w:line="196" w:lineRule="exact"/>
              <w:rPr>
                <w:sz w:val="20"/>
                <w:szCs w:val="20"/>
                <w:color w:val="auto"/>
              </w:rPr>
            </w:pPr>
            <w:r>
              <w:rPr>
                <w:rFonts w:ascii="Arial" w:cs="Arial" w:eastAsia="Arial" w:hAnsi="Arial"/>
                <w:sz w:val="18"/>
                <w:szCs w:val="18"/>
                <w:color w:val="0000FF"/>
              </w:rPr>
              <w:t>Pursuant to Section 302 of the Sarbanes-Oxley Act of 2002</w:t>
            </w: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88"/>
              </w:rPr>
              <w:t>32.1†</w:t>
            </w:r>
          </w:p>
        </w:tc>
        <w:tc>
          <w:tcPr>
            <w:tcW w:w="5260" w:type="dxa"/>
            <w:vAlign w:val="bottom"/>
            <w:gridSpan w:val="7"/>
          </w:tcPr>
          <w:p>
            <w:pPr>
              <w:spacing w:after="0"/>
              <w:rPr>
                <w:sz w:val="20"/>
                <w:szCs w:val="20"/>
                <w:color w:val="auto"/>
              </w:rPr>
            </w:pPr>
            <w:r>
              <w:rPr>
                <w:rFonts w:ascii="Arial" w:cs="Arial" w:eastAsia="Arial" w:hAnsi="Arial"/>
                <w:sz w:val="18"/>
                <w:szCs w:val="18"/>
                <w:color w:val="0000FF"/>
              </w:rPr>
              <w:t>Certification of Principal Executive Officer Pursuant to 18 U.S.C.</w:t>
            </w:r>
          </w:p>
        </w:tc>
        <w:tc>
          <w:tcPr>
            <w:tcW w:w="3000" w:type="dxa"/>
            <w:vAlign w:val="bottom"/>
            <w:vMerge w:val="restart"/>
          </w:tcPr>
          <w:p>
            <w:pPr>
              <w:ind w:left="1940"/>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000" w:type="dxa"/>
            <w:vAlign w:val="bottom"/>
          </w:tcPr>
          <w:p>
            <w:pPr>
              <w:spacing w:after="0"/>
              <w:rPr>
                <w:sz w:val="7"/>
                <w:szCs w:val="7"/>
                <w:color w:val="auto"/>
              </w:rPr>
            </w:pPr>
          </w:p>
        </w:tc>
        <w:tc>
          <w:tcPr>
            <w:tcW w:w="5260" w:type="dxa"/>
            <w:vAlign w:val="bottom"/>
            <w:gridSpan w:val="7"/>
            <w:vMerge w:val="restart"/>
          </w:tcPr>
          <w:p>
            <w:pPr>
              <w:spacing w:after="0" w:line="196" w:lineRule="exact"/>
              <w:rPr>
                <w:sz w:val="20"/>
                <w:szCs w:val="20"/>
                <w:color w:val="auto"/>
              </w:rPr>
            </w:pPr>
            <w:r>
              <w:rPr>
                <w:rFonts w:ascii="Arial" w:cs="Arial" w:eastAsia="Arial" w:hAnsi="Arial"/>
                <w:sz w:val="18"/>
                <w:szCs w:val="18"/>
                <w:color w:val="0000FF"/>
                <w:w w:val="89"/>
              </w:rPr>
              <w:t>Section 1350, as Adopted Pursuant to Section 906 of the Sarbanes-Oxley</w:t>
            </w:r>
          </w:p>
        </w:tc>
        <w:tc>
          <w:tcPr>
            <w:tcW w:w="3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5260" w:type="dxa"/>
            <w:vAlign w:val="bottom"/>
            <w:gridSpan w:val="7"/>
            <w:vMerge w:val="continue"/>
          </w:tcPr>
          <w:p>
            <w:pPr>
              <w:spacing w:after="0"/>
              <w:rPr>
                <w:sz w:val="9"/>
                <w:szCs w:val="9"/>
                <w:color w:val="auto"/>
              </w:rPr>
            </w:pPr>
          </w:p>
        </w:tc>
        <w:tc>
          <w:tcPr>
            <w:tcW w:w="3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30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5260" w:type="dxa"/>
            <w:vAlign w:val="bottom"/>
            <w:gridSpan w:val="7"/>
          </w:tcPr>
          <w:p>
            <w:pPr>
              <w:spacing w:after="0" w:line="196" w:lineRule="exact"/>
              <w:rPr>
                <w:sz w:val="20"/>
                <w:szCs w:val="20"/>
                <w:color w:val="auto"/>
              </w:rPr>
            </w:pPr>
            <w:r>
              <w:rPr>
                <w:rFonts w:ascii="Arial" w:cs="Arial" w:eastAsia="Arial" w:hAnsi="Arial"/>
                <w:sz w:val="18"/>
                <w:szCs w:val="18"/>
                <w:color w:val="0000FF"/>
              </w:rPr>
              <w:t>Act of 2002</w:t>
            </w: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88"/>
              </w:rPr>
              <w:t>32.2†</w:t>
            </w:r>
          </w:p>
        </w:tc>
        <w:tc>
          <w:tcPr>
            <w:tcW w:w="5260" w:type="dxa"/>
            <w:vAlign w:val="bottom"/>
            <w:gridSpan w:val="7"/>
          </w:tcPr>
          <w:p>
            <w:pPr>
              <w:spacing w:after="0"/>
              <w:rPr>
                <w:sz w:val="20"/>
                <w:szCs w:val="20"/>
                <w:color w:val="auto"/>
              </w:rPr>
            </w:pPr>
            <w:r>
              <w:rPr>
                <w:rFonts w:ascii="Arial" w:cs="Arial" w:eastAsia="Arial" w:hAnsi="Arial"/>
                <w:sz w:val="18"/>
                <w:szCs w:val="18"/>
                <w:color w:val="0000FF"/>
                <w:w w:val="92"/>
              </w:rPr>
              <w:t>Certification of Principal Financial Officer Pursuant to 18 U.S.C. Section</w:t>
            </w:r>
          </w:p>
        </w:tc>
        <w:tc>
          <w:tcPr>
            <w:tcW w:w="3000" w:type="dxa"/>
            <w:vAlign w:val="bottom"/>
            <w:vMerge w:val="restart"/>
          </w:tcPr>
          <w:p>
            <w:pPr>
              <w:ind w:left="1940"/>
              <w:spacing w:after="0"/>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000" w:type="dxa"/>
            <w:vAlign w:val="bottom"/>
          </w:tcPr>
          <w:p>
            <w:pPr>
              <w:spacing w:after="0"/>
              <w:rPr>
                <w:sz w:val="7"/>
                <w:szCs w:val="7"/>
                <w:color w:val="auto"/>
              </w:rPr>
            </w:pPr>
          </w:p>
        </w:tc>
        <w:tc>
          <w:tcPr>
            <w:tcW w:w="5260" w:type="dxa"/>
            <w:vAlign w:val="bottom"/>
            <w:gridSpan w:val="7"/>
            <w:vMerge w:val="restart"/>
          </w:tcPr>
          <w:p>
            <w:pPr>
              <w:spacing w:after="0" w:line="196" w:lineRule="exact"/>
              <w:rPr>
                <w:sz w:val="20"/>
                <w:szCs w:val="20"/>
                <w:color w:val="auto"/>
              </w:rPr>
            </w:pPr>
            <w:r>
              <w:rPr>
                <w:rFonts w:ascii="Arial" w:cs="Arial" w:eastAsia="Arial" w:hAnsi="Arial"/>
                <w:sz w:val="18"/>
                <w:szCs w:val="18"/>
                <w:color w:val="0000FF"/>
                <w:w w:val="91"/>
              </w:rPr>
              <w:t>1350, as Adopted Pursuant to Section 906 of the Sarbanes-Oxley Act of</w:t>
            </w:r>
          </w:p>
        </w:tc>
        <w:tc>
          <w:tcPr>
            <w:tcW w:w="3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5260" w:type="dxa"/>
            <w:vAlign w:val="bottom"/>
            <w:gridSpan w:val="7"/>
            <w:vMerge w:val="continue"/>
          </w:tcPr>
          <w:p>
            <w:pPr>
              <w:spacing w:after="0"/>
              <w:rPr>
                <w:sz w:val="9"/>
                <w:szCs w:val="9"/>
                <w:color w:val="auto"/>
              </w:rPr>
            </w:pPr>
          </w:p>
        </w:tc>
        <w:tc>
          <w:tcPr>
            <w:tcW w:w="3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360" w:type="dxa"/>
            <w:vAlign w:val="bottom"/>
          </w:tcPr>
          <w:p>
            <w:pPr>
              <w:spacing w:after="0" w:line="196" w:lineRule="exact"/>
              <w:rPr>
                <w:sz w:val="20"/>
                <w:szCs w:val="20"/>
                <w:color w:val="auto"/>
              </w:rPr>
            </w:pPr>
            <w:r>
              <w:rPr>
                <w:rFonts w:ascii="Arial" w:cs="Arial" w:eastAsia="Arial" w:hAnsi="Arial"/>
                <w:sz w:val="18"/>
                <w:szCs w:val="18"/>
                <w:color w:val="0000FF"/>
                <w:w w:val="79"/>
              </w:rPr>
              <w:t>2002</w:t>
            </w:r>
          </w:p>
        </w:tc>
        <w:tc>
          <w:tcPr>
            <w:tcW w:w="5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2"/>
              </w:rPr>
              <w:t>101.INS</w:t>
            </w:r>
          </w:p>
        </w:tc>
        <w:tc>
          <w:tcPr>
            <w:tcW w:w="5260" w:type="dxa"/>
            <w:vAlign w:val="bottom"/>
            <w:gridSpan w:val="7"/>
          </w:tcPr>
          <w:p>
            <w:pPr>
              <w:spacing w:after="0"/>
              <w:rPr>
                <w:sz w:val="20"/>
                <w:szCs w:val="20"/>
                <w:color w:val="auto"/>
              </w:rPr>
            </w:pPr>
            <w:r>
              <w:rPr>
                <w:rFonts w:ascii="Arial" w:cs="Arial" w:eastAsia="Arial" w:hAnsi="Arial"/>
                <w:sz w:val="18"/>
                <w:szCs w:val="18"/>
                <w:color w:val="auto"/>
              </w:rPr>
              <w:t>Inline XBRL Instance Document</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90"/>
              </w:rPr>
              <w:t>101.SCH</w:t>
            </w:r>
          </w:p>
        </w:tc>
        <w:tc>
          <w:tcPr>
            <w:tcW w:w="526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7"/>
              </w:rPr>
              <w:t>101.CAL</w:t>
            </w:r>
          </w:p>
        </w:tc>
        <w:tc>
          <w:tcPr>
            <w:tcW w:w="5260" w:type="dxa"/>
            <w:vAlign w:val="bottom"/>
            <w:gridSpan w:val="7"/>
          </w:tcPr>
          <w:p>
            <w:pPr>
              <w:spacing w:after="0"/>
              <w:rPr>
                <w:sz w:val="20"/>
                <w:szCs w:val="20"/>
                <w:color w:val="auto"/>
              </w:rPr>
            </w:pPr>
            <w:r>
              <w:rPr>
                <w:rFonts w:ascii="Arial" w:cs="Arial" w:eastAsia="Arial" w:hAnsi="Arial"/>
                <w:sz w:val="18"/>
                <w:szCs w:val="18"/>
                <w:color w:val="auto"/>
                <w:w w:val="99"/>
              </w:rPr>
              <w:t>Inline XBRL Taxonomy Extension Calculation Linkbase Document</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00" w:type="dxa"/>
            <w:vAlign w:val="bottom"/>
          </w:tcPr>
          <w:p>
            <w:pPr>
              <w:jc w:val="center"/>
              <w:ind w:right="250"/>
              <w:spacing w:after="0"/>
              <w:rPr>
                <w:sz w:val="20"/>
                <w:szCs w:val="20"/>
                <w:color w:val="auto"/>
              </w:rPr>
            </w:pPr>
            <w:r>
              <w:rPr>
                <w:rFonts w:ascii="Arial" w:cs="Arial" w:eastAsia="Arial" w:hAnsi="Arial"/>
                <w:sz w:val="18"/>
                <w:szCs w:val="18"/>
                <w:color w:val="auto"/>
                <w:w w:val="92"/>
              </w:rPr>
              <w:t>101.DEF</w:t>
            </w:r>
          </w:p>
        </w:tc>
        <w:tc>
          <w:tcPr>
            <w:tcW w:w="526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98"/>
              </w:rPr>
              <w:t>101.LAB</w:t>
            </w:r>
          </w:p>
        </w:tc>
        <w:tc>
          <w:tcPr>
            <w:tcW w:w="526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00" w:type="dxa"/>
            <w:vAlign w:val="bottom"/>
          </w:tcPr>
          <w:p>
            <w:pPr>
              <w:jc w:val="center"/>
              <w:ind w:right="230"/>
              <w:spacing w:after="0"/>
              <w:rPr>
                <w:sz w:val="20"/>
                <w:szCs w:val="20"/>
                <w:color w:val="auto"/>
              </w:rPr>
            </w:pPr>
            <w:r>
              <w:rPr>
                <w:rFonts w:ascii="Arial" w:cs="Arial" w:eastAsia="Arial" w:hAnsi="Arial"/>
                <w:sz w:val="18"/>
                <w:szCs w:val="18"/>
                <w:color w:val="auto"/>
                <w:w w:val="88"/>
              </w:rPr>
              <w:t>101.PRE</w:t>
            </w:r>
          </w:p>
        </w:tc>
        <w:tc>
          <w:tcPr>
            <w:tcW w:w="5260" w:type="dxa"/>
            <w:vAlign w:val="bottom"/>
            <w:gridSpan w:val="7"/>
          </w:tcPr>
          <w:p>
            <w:pPr>
              <w:spacing w:after="0"/>
              <w:rPr>
                <w:sz w:val="20"/>
                <w:szCs w:val="20"/>
                <w:color w:val="auto"/>
              </w:rPr>
            </w:pPr>
            <w:r>
              <w:rPr>
                <w:rFonts w:ascii="Arial" w:cs="Arial" w:eastAsia="Arial" w:hAnsi="Arial"/>
                <w:sz w:val="18"/>
                <w:szCs w:val="18"/>
                <w:color w:val="auto"/>
                <w:w w:val="97"/>
              </w:rPr>
              <w:t>Inline XBRL Taxonomy Extension Presentation Linkbase Document</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160" w:right="5400" w:hanging="780"/>
        <w:spacing w:after="0" w:line="277" w:lineRule="auto"/>
        <w:tabs>
          <w:tab w:leader="none" w:pos="11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02" w:lineRule="exact"/>
        <w:rPr>
          <w:rFonts w:ascii="Arial" w:cs="Arial" w:eastAsia="Arial" w:hAnsi="Arial"/>
          <w:sz w:val="18"/>
          <w:szCs w:val="18"/>
          <w:color w:val="auto"/>
        </w:rPr>
      </w:pPr>
    </w:p>
    <w:p>
      <w:pPr>
        <w:ind w:left="160" w:hanging="152"/>
        <w:spacing w:after="0"/>
        <w:tabs>
          <w:tab w:leader="none" w:pos="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17" w:lineRule="exact"/>
        <w:rPr>
          <w:sz w:val="20"/>
          <w:szCs w:val="20"/>
          <w:color w:val="auto"/>
        </w:rPr>
      </w:pPr>
    </w:p>
    <w:p>
      <w:pPr>
        <w:ind w:right="100" w:firstLine="8"/>
        <w:spacing w:after="0" w:line="263" w:lineRule="auto"/>
        <w:tabs>
          <w:tab w:leader="none" w:pos="1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Pursuant to Item 601(b)(10) of Regulation S-K, certain portions of this exhibit have been omitted by means of marking such portions with asterisks because the registrant has determined that the information is the type that the registrant customarily and actually treats as private or confidential and is not material.</w:t>
      </w:r>
    </w:p>
    <w:p>
      <w:pPr>
        <w:spacing w:after="0" w:line="76" w:lineRule="exact"/>
        <w:rPr>
          <w:sz w:val="20"/>
          <w:szCs w:val="20"/>
          <w:color w:val="auto"/>
        </w:rPr>
      </w:pPr>
    </w:p>
    <w:p>
      <w:pPr>
        <w:ind w:right="520" w:firstLine="8"/>
        <w:spacing w:after="0" w:line="277" w:lineRule="auto"/>
        <w:tabs>
          <w:tab w:leader="none" w:pos="1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Schedules have been omitted pursuant to Item 601(a)(5) of Regulation S-K. The registrant undertakes to furnish supplemental copies of any of the omitted schedules upon request by the SEC.</w:t>
      </w:r>
    </w:p>
    <w:p>
      <w:pPr>
        <w:spacing w:after="0" w:line="62" w:lineRule="exact"/>
        <w:rPr>
          <w:sz w:val="20"/>
          <w:szCs w:val="20"/>
          <w:color w:val="auto"/>
        </w:rPr>
      </w:pPr>
    </w:p>
    <w:p>
      <w:pPr>
        <w:ind w:firstLine="8"/>
        <w:spacing w:after="0" w:line="263" w:lineRule="auto"/>
        <w:tabs>
          <w:tab w:leader="none" w:pos="1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in Exhibits 32.1 and 32.2 shall not be deemed “filed” for purposes of Section 18 of the Exchange Act, or otherwise subject to the liabilities of that section, nor shall it be deemed incorporated by reference in any filing under the Securities Act or the Exchange Act (including this Annual Report), unless the Registrant specifically incorporates the foregoing information into those documents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type w:val="continuous"/>
        </w:sectPr>
      </w:pPr>
    </w:p>
    <w:bookmarkStart w:id="143" w:name="page144"/>
    <w:bookmarkEnd w:id="14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7860" w:type="dxa"/>
            <w:vAlign w:val="bottom"/>
            <w:gridSpan w:val="2"/>
          </w:tcPr>
          <w:p>
            <w:pPr>
              <w:ind w:left="2200"/>
              <w:spacing w:after="0"/>
              <w:rPr>
                <w:sz w:val="20"/>
                <w:szCs w:val="20"/>
                <w:color w:val="auto"/>
              </w:rPr>
            </w:pPr>
            <w:r>
              <w:rPr>
                <w:rFonts w:ascii="Arial" w:cs="Arial" w:eastAsia="Arial" w:hAnsi="Arial"/>
                <w:sz w:val="18"/>
                <w:szCs w:val="18"/>
                <w:color w:val="auto"/>
              </w:rPr>
              <w:t>SPRUCE BIOSCIENCES, INC.</w:t>
            </w:r>
          </w:p>
        </w:tc>
      </w:tr>
      <w:tr>
        <w:trPr>
          <w:trHeight w:val="473"/>
        </w:trPr>
        <w:tc>
          <w:tcPr>
            <w:tcW w:w="3360" w:type="dxa"/>
            <w:vAlign w:val="bottom"/>
          </w:tcPr>
          <w:p>
            <w:pPr>
              <w:spacing w:after="0"/>
              <w:rPr>
                <w:sz w:val="20"/>
                <w:szCs w:val="20"/>
                <w:color w:val="auto"/>
              </w:rPr>
            </w:pPr>
            <w:r>
              <w:rPr>
                <w:rFonts w:ascii="Arial" w:cs="Arial" w:eastAsia="Arial" w:hAnsi="Arial"/>
                <w:sz w:val="18"/>
                <w:szCs w:val="18"/>
                <w:color w:val="auto"/>
              </w:rPr>
              <w:t>March 16, 2023</w:t>
            </w:r>
          </w:p>
        </w:tc>
        <w:tc>
          <w:tcPr>
            <w:tcW w:w="2660" w:type="dxa"/>
            <w:vAlign w:val="bottom"/>
          </w:tcPr>
          <w:p>
            <w:pPr>
              <w:ind w:left="220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 Javier Szwarcberg, M.D., MPH</w:t>
            </w:r>
          </w:p>
        </w:tc>
      </w:tr>
      <w:tr>
        <w:trPr>
          <w:trHeight w:val="209"/>
        </w:trPr>
        <w:tc>
          <w:tcPr>
            <w:tcW w:w="3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2"/>
              </w:rPr>
              <w:t>Javier Szwarcberg, M.D., MPH</w:t>
            </w:r>
          </w:p>
        </w:tc>
      </w:tr>
      <w:tr>
        <w:trPr>
          <w:trHeight w:val="230"/>
        </w:trPr>
        <w:tc>
          <w:tcPr>
            <w:tcW w:w="33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80" w:firstLine="629"/>
        <w:spacing w:after="0" w:line="218" w:lineRule="exact"/>
        <w:rPr>
          <w:sz w:val="20"/>
          <w:szCs w:val="20"/>
          <w:color w:val="auto"/>
        </w:rPr>
      </w:pPr>
      <w:r>
        <w:rPr>
          <w:rFonts w:ascii="Arial" w:cs="Arial" w:eastAsia="Arial" w:hAnsi="Arial"/>
          <w:sz w:val="16"/>
          <w:szCs w:val="16"/>
          <w:color w:val="auto"/>
        </w:rPr>
        <w:t>KNOW ALL PERSONS BY THESE PRESENTS, that each person whose signature appears below constitutes and appoints Javier Szwarcberg, M.D., MPH and Samir Gharib and each of them, as his or her true and lawful attorneys-in-fact and agents, each with the full power of substitution, for him or her and in his or her name, place or stead, in any and all capacities, to sign any and all amendments to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or his substitute or substitutes, may lawfully do or cause to be done by virtue hereof.</w:t>
      </w:r>
    </w:p>
    <w:p>
      <w:pPr>
        <w:spacing w:after="0" w:line="96"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62" w:lineRule="exact"/>
        <w:rPr>
          <w:sz w:val="20"/>
          <w:szCs w:val="20"/>
          <w:color w:val="auto"/>
        </w:rPr>
      </w:pPr>
    </w:p>
    <w:p>
      <w:pPr>
        <w:ind w:left="1680"/>
        <w:spacing w:after="0"/>
        <w:tabs>
          <w:tab w:leader="none" w:pos="6120" w:val="left"/>
          <w:tab w:leader="none" w:pos="98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20" w:lineRule="exact"/>
        <w:rPr>
          <w:sz w:val="20"/>
          <w:szCs w:val="20"/>
          <w:color w:val="auto"/>
        </w:rPr>
      </w:pPr>
    </w:p>
    <w:p>
      <w:pPr>
        <w:jc w:val="center"/>
        <w:ind w:left="580"/>
        <w:spacing w:after="0"/>
        <w:rPr>
          <w:sz w:val="20"/>
          <w:szCs w:val="20"/>
          <w:color w:val="auto"/>
        </w:rPr>
      </w:pPr>
      <w:r>
        <w:rPr>
          <w:rFonts w:ascii="Arial" w:cs="Arial" w:eastAsia="Arial" w:hAnsi="Arial"/>
          <w:sz w:val="16"/>
          <w:szCs w:val="16"/>
          <w:i w:val="1"/>
          <w:iCs w:val="1"/>
          <w:color w:val="auto"/>
        </w:rPr>
        <w:t>/s/ Javier Szwarcberg, M.D., MPH</w:t>
      </w:r>
    </w:p>
    <w:p>
      <w:pPr>
        <w:spacing w:after="0" w:line="59"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Javier Szwarcberg, M.D., MPH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5712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8">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30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Samir Gharib</w:t>
      </w:r>
    </w:p>
    <w:p>
      <w:pPr>
        <w:spacing w:after="0" w:line="3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Samir Gharib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5712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0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Grey</w:t>
      </w:r>
    </w:p>
    <w:p>
      <w:pPr>
        <w:spacing w:after="0" w:line="3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Michael Grey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5712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0">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30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Tiba Aynechi, Ph.D.</w:t>
      </w:r>
    </w:p>
    <w:p>
      <w:pPr>
        <w:spacing w:after="0" w:line="3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Tiba Aynechi,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5712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1">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30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Dina Chaya, Ph.D., C.F.A.</w:t>
      </w:r>
    </w:p>
    <w:p>
      <w:pPr>
        <w:spacing w:after="0" w:line="3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Dina Chaya, Ph.D., C.F.A.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5712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0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Bali Muralidhar, M.D, Ph.D.</w:t>
      </w:r>
    </w:p>
    <w:p>
      <w:pPr>
        <w:spacing w:after="0" w:line="3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Bali Muralidhar,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5712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3">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30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Niall O’Donnell, Ph.D.</w:t>
      </w:r>
    </w:p>
    <w:p>
      <w:pPr>
        <w:spacing w:after="0" w:line="3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Niall O’Donnell,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5712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4">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30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Camilla V. Simpson, M.Sc.</w:t>
      </w:r>
    </w:p>
    <w:p>
      <w:pPr>
        <w:spacing w:after="0" w:line="3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Camilla V. Simpson, M.Sc.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5712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0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Daniel Spiegelman</w:t>
      </w:r>
    </w:p>
    <w:p>
      <w:pPr>
        <w:spacing w:after="0" w:line="3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Daniel Spiegelman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5712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6">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9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Kirk Ways, M.D, Ph.D.</w:t>
      </w:r>
    </w:p>
    <w:p>
      <w:pPr>
        <w:spacing w:after="0" w:line="3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Kirk Ways,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35712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7">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680" w:type="dxa"/>
            <w:vAlign w:val="bottom"/>
          </w:tcPr>
          <w:p>
            <w:pPr>
              <w:jc w:val="center"/>
              <w:ind w:left="70"/>
              <w:spacing w:after="0"/>
              <w:rPr>
                <w:sz w:val="20"/>
                <w:szCs w:val="20"/>
                <w:color w:val="auto"/>
              </w:rPr>
            </w:pPr>
            <w:r>
              <w:rPr>
                <w:rFonts w:ascii="Arial" w:cs="Arial" w:eastAsia="Arial" w:hAnsi="Arial"/>
                <w:sz w:val="18"/>
                <w:szCs w:val="18"/>
                <w:color w:val="auto"/>
                <w:w w:val="93"/>
              </w:rPr>
              <w:t>Chief Executive Officer and Director</w:t>
            </w:r>
          </w:p>
        </w:tc>
        <w:tc>
          <w:tcPr>
            <w:tcW w:w="2060" w:type="dxa"/>
            <w:vAlign w:val="bottom"/>
          </w:tcPr>
          <w:p>
            <w:pPr>
              <w:ind w:left="920"/>
              <w:spacing w:after="0"/>
              <w:rPr>
                <w:sz w:val="20"/>
                <w:szCs w:val="20"/>
                <w:color w:val="auto"/>
              </w:rPr>
            </w:pPr>
            <w:r>
              <w:rPr>
                <w:rFonts w:ascii="Arial" w:cs="Arial" w:eastAsia="Arial" w:hAnsi="Arial"/>
                <w:sz w:val="18"/>
                <w:szCs w:val="18"/>
                <w:color w:val="auto"/>
                <w:w w:val="89"/>
              </w:rPr>
              <w:t>March 16, 2023</w:t>
            </w:r>
          </w:p>
        </w:tc>
      </w:tr>
      <w:tr>
        <w:trPr>
          <w:trHeight w:val="230"/>
        </w:trPr>
        <w:tc>
          <w:tcPr>
            <w:tcW w:w="4680" w:type="dxa"/>
            <w:vAlign w:val="bottom"/>
          </w:tcPr>
          <w:p>
            <w:pPr>
              <w:jc w:val="center"/>
              <w:ind w:left="70"/>
              <w:spacing w:after="0"/>
              <w:rPr>
                <w:sz w:val="20"/>
                <w:szCs w:val="20"/>
                <w:color w:val="auto"/>
              </w:rPr>
            </w:pPr>
            <w:r>
              <w:rPr>
                <w:rFonts w:ascii="Arial" w:cs="Arial" w:eastAsia="Arial" w:hAnsi="Arial"/>
                <w:sz w:val="18"/>
                <w:szCs w:val="18"/>
                <w:color w:val="auto"/>
                <w:w w:val="93"/>
              </w:rPr>
              <w:t>(Principal Executive Officer)</w:t>
            </w:r>
          </w:p>
        </w:tc>
        <w:tc>
          <w:tcPr>
            <w:tcW w:w="2060" w:type="dxa"/>
            <w:vAlign w:val="bottom"/>
          </w:tcPr>
          <w:p>
            <w:pPr>
              <w:spacing w:after="0"/>
              <w:rPr>
                <w:sz w:val="20"/>
                <w:szCs w:val="20"/>
                <w:color w:val="auto"/>
              </w:rPr>
            </w:pPr>
          </w:p>
        </w:tc>
      </w:tr>
      <w:tr>
        <w:trPr>
          <w:trHeight w:val="539"/>
        </w:trPr>
        <w:tc>
          <w:tcPr>
            <w:tcW w:w="4680" w:type="dxa"/>
            <w:vAlign w:val="bottom"/>
          </w:tcPr>
          <w:p>
            <w:pPr>
              <w:spacing w:after="0"/>
              <w:rPr>
                <w:sz w:val="20"/>
                <w:szCs w:val="20"/>
                <w:color w:val="auto"/>
              </w:rPr>
            </w:pPr>
            <w:r>
              <w:rPr>
                <w:rFonts w:ascii="Arial" w:cs="Arial" w:eastAsia="Arial" w:hAnsi="Arial"/>
                <w:sz w:val="18"/>
                <w:szCs w:val="18"/>
                <w:color w:val="auto"/>
              </w:rPr>
              <w:t>President and Chief Financial Officer</w:t>
            </w:r>
          </w:p>
        </w:tc>
        <w:tc>
          <w:tcPr>
            <w:tcW w:w="2060" w:type="dxa"/>
            <w:vAlign w:val="bottom"/>
          </w:tcPr>
          <w:p>
            <w:pPr>
              <w:ind w:left="920"/>
              <w:spacing w:after="0"/>
              <w:rPr>
                <w:sz w:val="20"/>
                <w:szCs w:val="20"/>
                <w:color w:val="auto"/>
              </w:rPr>
            </w:pPr>
            <w:r>
              <w:rPr>
                <w:rFonts w:ascii="Arial" w:cs="Arial" w:eastAsia="Arial" w:hAnsi="Arial"/>
                <w:sz w:val="18"/>
                <w:szCs w:val="18"/>
                <w:color w:val="auto"/>
                <w:w w:val="89"/>
              </w:rPr>
              <w:t>March 16, 2023</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2060" w:type="dxa"/>
            <w:vAlign w:val="bottom"/>
          </w:tcPr>
          <w:p>
            <w:pPr>
              <w:spacing w:after="0"/>
              <w:rPr>
                <w:sz w:val="20"/>
                <w:szCs w:val="20"/>
                <w:color w:val="auto"/>
              </w:rPr>
            </w:pPr>
          </w:p>
        </w:tc>
      </w:tr>
      <w:tr>
        <w:trPr>
          <w:trHeight w:val="540"/>
        </w:trPr>
        <w:tc>
          <w:tcPr>
            <w:tcW w:w="4680" w:type="dxa"/>
            <w:vAlign w:val="bottom"/>
          </w:tcPr>
          <w:p>
            <w:pPr>
              <w:jc w:val="center"/>
              <w:ind w:left="70"/>
              <w:spacing w:after="0"/>
              <w:rPr>
                <w:sz w:val="20"/>
                <w:szCs w:val="20"/>
                <w:color w:val="auto"/>
              </w:rPr>
            </w:pPr>
            <w:r>
              <w:rPr>
                <w:rFonts w:ascii="Arial" w:cs="Arial" w:eastAsia="Arial" w:hAnsi="Arial"/>
                <w:sz w:val="18"/>
                <w:szCs w:val="18"/>
                <w:color w:val="auto"/>
                <w:w w:val="91"/>
              </w:rPr>
              <w:t>Executive Chairman</w:t>
            </w:r>
          </w:p>
        </w:tc>
        <w:tc>
          <w:tcPr>
            <w:tcW w:w="2060" w:type="dxa"/>
            <w:vAlign w:val="bottom"/>
          </w:tcPr>
          <w:p>
            <w:pPr>
              <w:ind w:left="920"/>
              <w:spacing w:after="0"/>
              <w:rPr>
                <w:sz w:val="20"/>
                <w:szCs w:val="20"/>
                <w:color w:val="auto"/>
              </w:rPr>
            </w:pPr>
            <w:r>
              <w:rPr>
                <w:rFonts w:ascii="Arial" w:cs="Arial" w:eastAsia="Arial" w:hAnsi="Arial"/>
                <w:sz w:val="18"/>
                <w:szCs w:val="18"/>
                <w:color w:val="auto"/>
                <w:w w:val="89"/>
              </w:rPr>
              <w:t>March 16, 2023</w:t>
            </w:r>
          </w:p>
        </w:tc>
      </w:tr>
      <w:tr>
        <w:trPr>
          <w:trHeight w:val="770"/>
        </w:trPr>
        <w:tc>
          <w:tcPr>
            <w:tcW w:w="4680" w:type="dxa"/>
            <w:vAlign w:val="bottom"/>
          </w:tcPr>
          <w:p>
            <w:pPr>
              <w:jc w:val="center"/>
              <w:ind w:left="7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ind w:left="920"/>
              <w:spacing w:after="0"/>
              <w:rPr>
                <w:sz w:val="20"/>
                <w:szCs w:val="20"/>
                <w:color w:val="auto"/>
              </w:rPr>
            </w:pPr>
            <w:r>
              <w:rPr>
                <w:rFonts w:ascii="Arial" w:cs="Arial" w:eastAsia="Arial" w:hAnsi="Arial"/>
                <w:sz w:val="18"/>
                <w:szCs w:val="18"/>
                <w:color w:val="auto"/>
                <w:w w:val="89"/>
              </w:rPr>
              <w:t>March 16, 2023</w:t>
            </w:r>
          </w:p>
        </w:tc>
      </w:tr>
      <w:tr>
        <w:trPr>
          <w:trHeight w:val="769"/>
        </w:trPr>
        <w:tc>
          <w:tcPr>
            <w:tcW w:w="4680" w:type="dxa"/>
            <w:vAlign w:val="bottom"/>
          </w:tcPr>
          <w:p>
            <w:pPr>
              <w:jc w:val="center"/>
              <w:ind w:left="7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ind w:left="920"/>
              <w:spacing w:after="0"/>
              <w:rPr>
                <w:sz w:val="20"/>
                <w:szCs w:val="20"/>
                <w:color w:val="auto"/>
              </w:rPr>
            </w:pPr>
            <w:r>
              <w:rPr>
                <w:rFonts w:ascii="Arial" w:cs="Arial" w:eastAsia="Arial" w:hAnsi="Arial"/>
                <w:sz w:val="18"/>
                <w:szCs w:val="18"/>
                <w:color w:val="auto"/>
                <w:w w:val="89"/>
              </w:rPr>
              <w:t>March 16, 2023</w:t>
            </w:r>
          </w:p>
        </w:tc>
      </w:tr>
      <w:tr>
        <w:trPr>
          <w:trHeight w:val="770"/>
        </w:trPr>
        <w:tc>
          <w:tcPr>
            <w:tcW w:w="4680" w:type="dxa"/>
            <w:vAlign w:val="bottom"/>
          </w:tcPr>
          <w:p>
            <w:pPr>
              <w:jc w:val="center"/>
              <w:ind w:left="7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ind w:left="920"/>
              <w:spacing w:after="0"/>
              <w:rPr>
                <w:sz w:val="20"/>
                <w:szCs w:val="20"/>
                <w:color w:val="auto"/>
              </w:rPr>
            </w:pPr>
            <w:r>
              <w:rPr>
                <w:rFonts w:ascii="Arial" w:cs="Arial" w:eastAsia="Arial" w:hAnsi="Arial"/>
                <w:sz w:val="18"/>
                <w:szCs w:val="18"/>
                <w:color w:val="auto"/>
                <w:w w:val="89"/>
              </w:rPr>
              <w:t>March 16, 2023</w:t>
            </w:r>
          </w:p>
        </w:tc>
      </w:tr>
      <w:tr>
        <w:trPr>
          <w:trHeight w:val="770"/>
        </w:trPr>
        <w:tc>
          <w:tcPr>
            <w:tcW w:w="4680" w:type="dxa"/>
            <w:vAlign w:val="bottom"/>
          </w:tcPr>
          <w:p>
            <w:pPr>
              <w:jc w:val="center"/>
              <w:ind w:left="7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ind w:left="920"/>
              <w:spacing w:after="0"/>
              <w:rPr>
                <w:sz w:val="20"/>
                <w:szCs w:val="20"/>
                <w:color w:val="auto"/>
              </w:rPr>
            </w:pPr>
            <w:r>
              <w:rPr>
                <w:rFonts w:ascii="Arial" w:cs="Arial" w:eastAsia="Arial" w:hAnsi="Arial"/>
                <w:sz w:val="18"/>
                <w:szCs w:val="18"/>
                <w:color w:val="auto"/>
                <w:w w:val="89"/>
              </w:rPr>
              <w:t>March 16, 2023</w:t>
            </w:r>
          </w:p>
        </w:tc>
      </w:tr>
      <w:tr>
        <w:trPr>
          <w:trHeight w:val="769"/>
        </w:trPr>
        <w:tc>
          <w:tcPr>
            <w:tcW w:w="4680" w:type="dxa"/>
            <w:vAlign w:val="bottom"/>
          </w:tcPr>
          <w:p>
            <w:pPr>
              <w:jc w:val="center"/>
              <w:ind w:left="7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ind w:left="920"/>
              <w:spacing w:after="0"/>
              <w:rPr>
                <w:sz w:val="20"/>
                <w:szCs w:val="20"/>
                <w:color w:val="auto"/>
              </w:rPr>
            </w:pPr>
            <w:r>
              <w:rPr>
                <w:rFonts w:ascii="Arial" w:cs="Arial" w:eastAsia="Arial" w:hAnsi="Arial"/>
                <w:sz w:val="18"/>
                <w:szCs w:val="18"/>
                <w:color w:val="auto"/>
                <w:w w:val="89"/>
              </w:rPr>
              <w:t>March 16, 2023</w:t>
            </w:r>
          </w:p>
        </w:tc>
      </w:tr>
      <w:tr>
        <w:trPr>
          <w:trHeight w:val="770"/>
        </w:trPr>
        <w:tc>
          <w:tcPr>
            <w:tcW w:w="4680" w:type="dxa"/>
            <w:vAlign w:val="bottom"/>
          </w:tcPr>
          <w:p>
            <w:pPr>
              <w:jc w:val="center"/>
              <w:ind w:left="7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ind w:left="920"/>
              <w:spacing w:after="0"/>
              <w:rPr>
                <w:sz w:val="20"/>
                <w:szCs w:val="20"/>
                <w:color w:val="auto"/>
              </w:rPr>
            </w:pPr>
            <w:r>
              <w:rPr>
                <w:rFonts w:ascii="Arial" w:cs="Arial" w:eastAsia="Arial" w:hAnsi="Arial"/>
                <w:sz w:val="18"/>
                <w:szCs w:val="18"/>
                <w:color w:val="auto"/>
                <w:w w:val="89"/>
              </w:rPr>
              <w:t>March 16, 2023</w:t>
            </w:r>
          </w:p>
        </w:tc>
      </w:tr>
      <w:tr>
        <w:trPr>
          <w:trHeight w:val="567"/>
        </w:trPr>
        <w:tc>
          <w:tcPr>
            <w:tcW w:w="4680" w:type="dxa"/>
            <w:vAlign w:val="bottom"/>
          </w:tcPr>
          <w:p>
            <w:pPr>
              <w:jc w:val="center"/>
              <w:ind w:left="7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ind w:left="920"/>
              <w:spacing w:after="0"/>
              <w:rPr>
                <w:sz w:val="20"/>
                <w:szCs w:val="20"/>
                <w:color w:val="auto"/>
              </w:rPr>
            </w:pPr>
            <w:r>
              <w:rPr>
                <w:rFonts w:ascii="Arial" w:cs="Arial" w:eastAsia="Arial" w:hAnsi="Arial"/>
                <w:sz w:val="18"/>
                <w:szCs w:val="18"/>
                <w:color w:val="auto"/>
                <w:w w:val="89"/>
              </w:rPr>
              <w:t>March 16, 2023</w:t>
            </w:r>
          </w:p>
        </w:tc>
      </w:tr>
    </w:tbl>
    <w:p>
      <w:pPr>
        <w:spacing w:after="0" w:line="406" w:lineRule="exact"/>
        <w:rPr>
          <w:sz w:val="20"/>
          <w:szCs w:val="20"/>
          <w:color w:val="auto"/>
        </w:rPr>
      </w:pPr>
    </w:p>
    <w:p>
      <w:pPr>
        <w:sectPr>
          <w:pgSz w:w="11900" w:h="16838" w:orient="portrait"/>
          <w:cols w:equalWidth="0" w:num="2">
            <w:col w:w="3140" w:space="720"/>
            <w:col w:w="7380"/>
          </w:cols>
          <w:pgMar w:left="320" w:top="125" w:right="339" w:bottom="1440" w:gutter="0" w:footer="0" w:header="0"/>
          <w:type w:val="continuous"/>
        </w:sect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4" w:name="page145"/>
    <w:bookmarkEnd w:id="144"/>
    <w:p>
      <w:pPr>
        <w:jc w:val="right"/>
        <w:spacing w:after="0"/>
        <w:rPr>
          <w:sz w:val="20"/>
          <w:szCs w:val="20"/>
          <w:color w:val="auto"/>
        </w:rPr>
      </w:pPr>
      <w:r>
        <w:rPr>
          <w:rFonts w:ascii="Arial" w:cs="Arial" w:eastAsia="Arial" w:hAnsi="Arial"/>
          <w:sz w:val="18"/>
          <w:szCs w:val="18"/>
          <w:color w:val="auto"/>
        </w:rPr>
        <w:t>Exhibit 10.5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w:t>
      </w:r>
      <w:r>
        <w:rPr>
          <w:rFonts w:ascii="Arial" w:cs="Arial" w:eastAsia="Arial" w:hAnsi="Arial"/>
          <w:sz w:val="17"/>
          <w:szCs w:val="17"/>
          <w:b w:val="1"/>
          <w:bCs w:val="1"/>
          <w:color w:val="auto"/>
        </w:rPr>
        <w:t>pruce</w:t>
      </w:r>
      <w:r>
        <w:rPr>
          <w:rFonts w:ascii="Arial" w:cs="Arial" w:eastAsia="Arial" w:hAnsi="Arial"/>
          <w:sz w:val="25"/>
          <w:szCs w:val="25"/>
          <w:b w:val="1"/>
          <w:bCs w:val="1"/>
          <w:color w:val="auto"/>
        </w:rPr>
        <w:t xml:space="preserve"> B</w:t>
      </w:r>
      <w:r>
        <w:rPr>
          <w:rFonts w:ascii="Arial" w:cs="Arial" w:eastAsia="Arial" w:hAnsi="Arial"/>
          <w:sz w:val="17"/>
          <w:szCs w:val="17"/>
          <w:b w:val="1"/>
          <w:bCs w:val="1"/>
          <w:color w:val="auto"/>
        </w:rPr>
        <w:t>iosciences</w:t>
      </w:r>
      <w:r>
        <w:rPr>
          <w:rFonts w:ascii="Arial" w:cs="Arial" w:eastAsia="Arial" w:hAnsi="Arial"/>
          <w:sz w:val="25"/>
          <w:szCs w:val="25"/>
          <w:b w:val="1"/>
          <w:bCs w:val="1"/>
          <w:color w:val="auto"/>
        </w:rPr>
        <w:t>, I</w:t>
      </w:r>
      <w:r>
        <w:rPr>
          <w:rFonts w:ascii="Arial" w:cs="Arial" w:eastAsia="Arial" w:hAnsi="Arial"/>
          <w:sz w:val="17"/>
          <w:szCs w:val="17"/>
          <w:b w:val="1"/>
          <w:bCs w:val="1"/>
          <w:color w:val="auto"/>
        </w:rPr>
        <w:t>nc</w:t>
      </w:r>
      <w:r>
        <w:rPr>
          <w:rFonts w:ascii="Arial" w:cs="Arial" w:eastAsia="Arial" w:hAnsi="Arial"/>
          <w:sz w:val="25"/>
          <w:szCs w:val="25"/>
          <w:b w:val="1"/>
          <w:bCs w:val="1"/>
          <w:color w:val="auto"/>
        </w:rPr>
        <w: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RSU A</w:t>
      </w:r>
      <w:r>
        <w:rPr>
          <w:rFonts w:ascii="Arial" w:cs="Arial" w:eastAsia="Arial" w:hAnsi="Arial"/>
          <w:sz w:val="18"/>
          <w:szCs w:val="18"/>
          <w:b w:val="1"/>
          <w:bCs w:val="1"/>
          <w:color w:val="auto"/>
        </w:rPr>
        <w:t>ward</w:t>
      </w:r>
      <w:r>
        <w:rPr>
          <w:rFonts w:ascii="Arial" w:cs="Arial" w:eastAsia="Arial" w:hAnsi="Arial"/>
          <w:sz w:val="26"/>
          <w:szCs w:val="26"/>
          <w:b w:val="1"/>
          <w:bCs w:val="1"/>
          <w:color w:val="auto"/>
        </w:rPr>
        <w:t xml:space="preserve"> </w:t>
      </w:r>
      <w:r>
        <w:rPr>
          <w:rFonts w:ascii="Arial" w:cs="Arial" w:eastAsia="Arial" w:hAnsi="Arial"/>
          <w:sz w:val="25"/>
          <w:szCs w:val="25"/>
          <w:b w:val="1"/>
          <w:bCs w:val="1"/>
          <w:color w:val="auto"/>
        </w:rPr>
        <w:t>G</w:t>
      </w:r>
      <w:r>
        <w:rPr>
          <w:rFonts w:ascii="Arial" w:cs="Arial" w:eastAsia="Arial" w:hAnsi="Arial"/>
          <w:sz w:val="17"/>
          <w:szCs w:val="17"/>
          <w:b w:val="1"/>
          <w:bCs w:val="1"/>
          <w:color w:val="auto"/>
        </w:rPr>
        <w:t>rant</w:t>
      </w:r>
      <w:r>
        <w:rPr>
          <w:rFonts w:ascii="Arial" w:cs="Arial" w:eastAsia="Arial" w:hAnsi="Arial"/>
          <w:sz w:val="26"/>
          <w:szCs w:val="26"/>
          <w:b w:val="1"/>
          <w:bCs w:val="1"/>
          <w:color w:val="auto"/>
        </w:rPr>
        <w:t xml:space="preserve"> </w:t>
      </w:r>
      <w:r>
        <w:rPr>
          <w:rFonts w:ascii="Arial" w:cs="Arial" w:eastAsia="Arial" w:hAnsi="Arial"/>
          <w:sz w:val="25"/>
          <w:szCs w:val="25"/>
          <w:b w:val="1"/>
          <w:bCs w:val="1"/>
          <w:color w:val="auto"/>
        </w:rPr>
        <w:t>N</w:t>
      </w:r>
      <w:r>
        <w:rPr>
          <w:rFonts w:ascii="Arial" w:cs="Arial" w:eastAsia="Arial" w:hAnsi="Arial"/>
          <w:sz w:val="17"/>
          <w:szCs w:val="17"/>
          <w:b w:val="1"/>
          <w:bCs w:val="1"/>
          <w:color w:val="auto"/>
        </w:rPr>
        <w:t>otice</w:t>
      </w:r>
    </w:p>
    <w:p>
      <w:pPr>
        <w:jc w:val="center"/>
        <w:spacing w:after="0"/>
        <w:rPr>
          <w:sz w:val="20"/>
          <w:szCs w:val="20"/>
          <w:color w:val="auto"/>
        </w:rPr>
      </w:pPr>
      <w:r>
        <w:rPr>
          <w:rFonts w:ascii="Arial" w:cs="Arial" w:eastAsia="Arial" w:hAnsi="Arial"/>
          <w:sz w:val="22"/>
          <w:szCs w:val="22"/>
          <w:b w:val="1"/>
          <w:bCs w:val="1"/>
          <w:color w:val="auto"/>
        </w:rPr>
        <w:t>(2020 E</w:t>
      </w:r>
      <w:r>
        <w:rPr>
          <w:rFonts w:ascii="Arial" w:cs="Arial" w:eastAsia="Arial" w:hAnsi="Arial"/>
          <w:sz w:val="14"/>
          <w:szCs w:val="14"/>
          <w:b w:val="1"/>
          <w:bCs w:val="1"/>
          <w:color w:val="auto"/>
        </w:rPr>
        <w:t>quity</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22"/>
          <w:szCs w:val="22"/>
          <w:b w:val="1"/>
          <w:bCs w:val="1"/>
          <w:color w:val="auto"/>
        </w:rPr>
        <w:t>)</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Spruce Biosciences,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awarded to you (the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the number of restricted stock units specified and on the terms set forth below in consideration of your services (the “</w:t>
      </w:r>
      <w:r>
        <w:rPr>
          <w:rFonts w:ascii="Arial" w:cs="Arial" w:eastAsia="Arial" w:hAnsi="Arial"/>
          <w:sz w:val="18"/>
          <w:szCs w:val="18"/>
          <w:b w:val="1"/>
          <w:bCs w:val="1"/>
          <w:i w:val="1"/>
          <w:iCs w:val="1"/>
          <w:color w:val="auto"/>
        </w:rPr>
        <w:t>RSU Award</w:t>
      </w:r>
      <w:r>
        <w:rPr>
          <w:rFonts w:ascii="Arial" w:cs="Arial" w:eastAsia="Arial" w:hAnsi="Arial"/>
          <w:sz w:val="18"/>
          <w:szCs w:val="18"/>
          <w:color w:val="auto"/>
        </w:rPr>
        <w:t>”). Your RSU Award is subject to all of the terms and conditions as set forth herein and in the Spruce Biosciences, Inc. 2020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the Award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which are attached hereto and incorporated herein in their entirety. Capitalized terms not explicitly defined herein but defined in the Plan or the Agreement shall have the meanings set forth in the Plan or the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of Grant: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Vesting Commencement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 of Restricted Stock Units: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Vesting Schedule</w:t>
      </w:r>
      <w:r>
        <w:rPr>
          <w:rFonts w:ascii="Arial" w:cs="Arial" w:eastAsia="Arial" w:hAnsi="Arial"/>
          <w:sz w:val="16"/>
          <w:szCs w:val="16"/>
          <w:color w:val="auto"/>
        </w:rPr>
        <w:t>: [_____________]. Notwithstanding the foregoing, vesting shall terminate upon the Participant’s termination of Continuous Service.</w:t>
      </w:r>
    </w:p>
    <w:p>
      <w:pPr>
        <w:spacing w:after="0" w:line="248" w:lineRule="exact"/>
        <w:rPr>
          <w:sz w:val="20"/>
          <w:szCs w:val="20"/>
          <w:color w:val="auto"/>
        </w:rPr>
      </w:pPr>
    </w:p>
    <w:p>
      <w:pPr>
        <w:jc w:val="both"/>
        <w:ind w:left="1800" w:right="20" w:hanging="1871"/>
        <w:spacing w:after="0" w:line="277" w:lineRule="auto"/>
        <w:tabs>
          <w:tab w:leader="none" w:pos="1780" w:val="left"/>
        </w:tabs>
        <w:rPr>
          <w:sz w:val="20"/>
          <w:szCs w:val="20"/>
          <w:color w:val="auto"/>
        </w:rPr>
      </w:pPr>
      <w:r>
        <w:rPr>
          <w:rFonts w:ascii="Arial" w:cs="Arial" w:eastAsia="Arial" w:hAnsi="Arial"/>
          <w:sz w:val="18"/>
          <w:szCs w:val="18"/>
          <w:b w:val="1"/>
          <w:bCs w:val="1"/>
          <w:color w:val="auto"/>
        </w:rPr>
        <w:t>Issuance Schedule:</w:t>
      </w:r>
      <w:r>
        <w:rPr>
          <w:sz w:val="20"/>
          <w:szCs w:val="20"/>
          <w:color w:val="auto"/>
        </w:rPr>
        <w:tab/>
      </w:r>
      <w:r>
        <w:rPr>
          <w:rFonts w:ascii="Arial" w:cs="Arial" w:eastAsia="Arial" w:hAnsi="Arial"/>
          <w:sz w:val="18"/>
          <w:szCs w:val="18"/>
          <w:color w:val="auto"/>
        </w:rPr>
        <w:t>One share of Common Stock will be issued at the time set forth in Section 5 of the Agreement for each restricted stock unit which vests.</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Participant Acknowledgements: </w:t>
      </w:r>
      <w:r>
        <w:rPr>
          <w:rFonts w:ascii="Arial" w:cs="Arial" w:eastAsia="Arial" w:hAnsi="Arial"/>
          <w:sz w:val="18"/>
          <w:szCs w:val="18"/>
          <w:color w:val="auto"/>
        </w:rPr>
        <w:t>By your signature below or by electronic acceptance or authentication in a form authorized by the Company, you</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 and agree that:</w:t>
      </w:r>
    </w:p>
    <w:p>
      <w:pPr>
        <w:spacing w:after="0" w:line="58" w:lineRule="exact"/>
        <w:rPr>
          <w:sz w:val="20"/>
          <w:szCs w:val="20"/>
          <w:color w:val="auto"/>
        </w:rPr>
      </w:pPr>
    </w:p>
    <w:p>
      <w:pPr>
        <w:jc w:val="both"/>
        <w:ind w:left="760" w:hanging="378"/>
        <w:spacing w:after="0" w:line="311" w:lineRule="auto"/>
        <w:tabs>
          <w:tab w:leader="none" w:pos="7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RSU Award is governed by this RSU Award Grant Notice (the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and the provisions of the Plan and the Agreement, all of which are made a part of this document. Unless otherwise provided in the Plan, this Grant Notice and the Agreement (together, the “</w:t>
      </w:r>
      <w:r>
        <w:rPr>
          <w:rFonts w:ascii="Arial" w:cs="Arial" w:eastAsia="Arial" w:hAnsi="Arial"/>
          <w:sz w:val="16"/>
          <w:szCs w:val="16"/>
          <w:b w:val="1"/>
          <w:bCs w:val="1"/>
          <w:i w:val="1"/>
          <w:iCs w:val="1"/>
          <w:color w:val="auto"/>
        </w:rPr>
        <w:t>RSU Award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may not be modified, amended or revised except in a writing signed by you and a duly authorized officer of the Company.</w:t>
      </w:r>
    </w:p>
    <w:p>
      <w:pPr>
        <w:spacing w:after="0" w:line="40" w:lineRule="exact"/>
        <w:rPr>
          <w:rFonts w:ascii="Arial" w:cs="Arial" w:eastAsia="Arial" w:hAnsi="Arial"/>
          <w:sz w:val="16"/>
          <w:szCs w:val="16"/>
          <w:color w:val="auto"/>
        </w:rPr>
      </w:pPr>
    </w:p>
    <w:p>
      <w:pPr>
        <w:ind w:left="760" w:hanging="378"/>
        <w:spacing w:after="0" w:line="308" w:lineRule="auto"/>
        <w:tabs>
          <w:tab w:leader="none" w:pos="7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You have read and are familiar with the provisions of the Plan, the RSU Award Agreement and the Prospectus. In the event of any conflict between the provisions in the RSU Award Agreement, or the Prospectus and the terms of the Plan, the terms of the Plan shall control.</w:t>
      </w:r>
    </w:p>
    <w:p>
      <w:pPr>
        <w:spacing w:after="0" w:line="38" w:lineRule="exact"/>
        <w:rPr>
          <w:rFonts w:ascii="Arial" w:cs="Arial" w:eastAsia="Arial" w:hAnsi="Arial"/>
          <w:sz w:val="17"/>
          <w:szCs w:val="17"/>
          <w:color w:val="auto"/>
        </w:rPr>
      </w:pPr>
    </w:p>
    <w:p>
      <w:pPr>
        <w:jc w:val="both"/>
        <w:ind w:left="760" w:hanging="378"/>
        <w:spacing w:after="0" w:line="279" w:lineRule="auto"/>
        <w:tabs>
          <w:tab w:leader="none" w:pos="7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spacing w:after="0" w:line="167"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pruce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iosciences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tab/>
        <w:t>P</w:t>
      </w:r>
      <w:r>
        <w:rPr>
          <w:rFonts w:ascii="Arial" w:cs="Arial" w:eastAsia="Arial" w:hAnsi="Arial"/>
          <w:sz w:val="12"/>
          <w:szCs w:val="12"/>
          <w:b w:val="1"/>
          <w:bCs w:val="1"/>
          <w:color w:val="auto"/>
        </w:rPr>
        <w:t>articipant</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Signature Signature</w:t>
      </w:r>
    </w:p>
    <w:p>
      <w:pPr>
        <w:spacing w:after="0" w:line="21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1"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ttachments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Award Agreement, 2020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25"/>
          <w:szCs w:val="25"/>
          <w:b w:val="1"/>
          <w:bCs w:val="1"/>
          <w:color w:val="auto"/>
        </w:rPr>
        <w:t>A</w:t>
      </w:r>
      <w:r>
        <w:rPr>
          <w:rFonts w:ascii="Arial" w:cs="Arial" w:eastAsia="Arial" w:hAnsi="Arial"/>
          <w:sz w:val="17"/>
          <w:szCs w:val="17"/>
          <w:b w:val="1"/>
          <w:bCs w:val="1"/>
          <w:color w:val="auto"/>
        </w:rPr>
        <w:t>ttachment</w:t>
      </w:r>
      <w:r>
        <w:rPr>
          <w:rFonts w:ascii="Arial" w:cs="Arial" w:eastAsia="Arial" w:hAnsi="Arial"/>
          <w:sz w:val="25"/>
          <w:szCs w:val="25"/>
          <w:b w:val="1"/>
          <w:bCs w:val="1"/>
          <w:color w:val="auto"/>
        </w:rPr>
        <w:t xml:space="preserve"> I</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w:t>
      </w:r>
      <w:r>
        <w:rPr>
          <w:rFonts w:ascii="Arial" w:cs="Arial" w:eastAsia="Arial" w:hAnsi="Arial"/>
          <w:sz w:val="17"/>
          <w:szCs w:val="17"/>
          <w:b w:val="1"/>
          <w:bCs w:val="1"/>
          <w:color w:val="auto"/>
        </w:rPr>
        <w:t>ward</w:t>
      </w:r>
      <w:r>
        <w:rPr>
          <w:rFonts w:ascii="Arial" w:cs="Arial" w:eastAsia="Arial" w:hAnsi="Arial"/>
          <w:sz w:val="25"/>
          <w:szCs w:val="25"/>
          <w:b w:val="1"/>
          <w:bCs w:val="1"/>
          <w:color w:val="auto"/>
        </w:rPr>
        <w:t xml:space="preserve"> A</w:t>
      </w:r>
      <w:r>
        <w:rPr>
          <w:rFonts w:ascii="Arial" w:cs="Arial" w:eastAsia="Arial" w:hAnsi="Arial"/>
          <w:sz w:val="17"/>
          <w:szCs w:val="17"/>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847725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75" w:right="1440" w:bottom="1440" w:gutter="0" w:footer="0" w:header="0"/>
        </w:sectPr>
      </w:pPr>
    </w:p>
    <w:bookmarkStart w:id="146" w:name="page147"/>
    <w:bookmarkEnd w:id="146"/>
    <w:p>
      <w:pPr>
        <w:jc w:val="center"/>
        <w:spacing w:after="0"/>
        <w:rPr>
          <w:sz w:val="20"/>
          <w:szCs w:val="20"/>
          <w:color w:val="auto"/>
        </w:rPr>
      </w:pPr>
      <w:r>
        <w:rPr>
          <w:rFonts w:ascii="Arial" w:cs="Arial" w:eastAsia="Arial" w:hAnsi="Arial"/>
          <w:sz w:val="25"/>
          <w:szCs w:val="25"/>
          <w:b w:val="1"/>
          <w:bCs w:val="1"/>
          <w:color w:val="auto"/>
        </w:rPr>
        <w:t>S</w:t>
      </w:r>
      <w:r>
        <w:rPr>
          <w:rFonts w:ascii="Arial" w:cs="Arial" w:eastAsia="Arial" w:hAnsi="Arial"/>
          <w:sz w:val="17"/>
          <w:szCs w:val="17"/>
          <w:b w:val="1"/>
          <w:bCs w:val="1"/>
          <w:color w:val="auto"/>
        </w:rPr>
        <w:t>pruce</w:t>
      </w:r>
      <w:r>
        <w:rPr>
          <w:rFonts w:ascii="Arial" w:cs="Arial" w:eastAsia="Arial" w:hAnsi="Arial"/>
          <w:sz w:val="25"/>
          <w:szCs w:val="25"/>
          <w:b w:val="1"/>
          <w:bCs w:val="1"/>
          <w:color w:val="auto"/>
        </w:rPr>
        <w:t xml:space="preserve"> B</w:t>
      </w:r>
      <w:r>
        <w:rPr>
          <w:rFonts w:ascii="Arial" w:cs="Arial" w:eastAsia="Arial" w:hAnsi="Arial"/>
          <w:sz w:val="17"/>
          <w:szCs w:val="17"/>
          <w:b w:val="1"/>
          <w:bCs w:val="1"/>
          <w:color w:val="auto"/>
        </w:rPr>
        <w:t>iosciences</w:t>
      </w:r>
      <w:r>
        <w:rPr>
          <w:rFonts w:ascii="Arial" w:cs="Arial" w:eastAsia="Arial" w:hAnsi="Arial"/>
          <w:sz w:val="25"/>
          <w:szCs w:val="25"/>
          <w:b w:val="1"/>
          <w:bCs w:val="1"/>
          <w:color w:val="auto"/>
        </w:rPr>
        <w:t>, I</w:t>
      </w:r>
      <w:r>
        <w:rPr>
          <w:rFonts w:ascii="Arial" w:cs="Arial" w:eastAsia="Arial" w:hAnsi="Arial"/>
          <w:sz w:val="17"/>
          <w:szCs w:val="17"/>
          <w:b w:val="1"/>
          <w:bCs w:val="1"/>
          <w:color w:val="auto"/>
        </w:rPr>
        <w:t>nc</w:t>
      </w:r>
      <w:r>
        <w:rPr>
          <w:rFonts w:ascii="Arial" w:cs="Arial" w:eastAsia="Arial" w:hAnsi="Arial"/>
          <w:sz w:val="25"/>
          <w:szCs w:val="25"/>
          <w:b w:val="1"/>
          <w:bCs w:val="1"/>
          <w:color w:val="auto"/>
        </w:rPr>
        <w: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w:t>
      </w:r>
      <w:r>
        <w:rPr>
          <w:rFonts w:ascii="Arial" w:cs="Arial" w:eastAsia="Arial" w:hAnsi="Arial"/>
          <w:sz w:val="17"/>
          <w:szCs w:val="17"/>
          <w:b w:val="1"/>
          <w:bCs w:val="1"/>
          <w:color w:val="auto"/>
        </w:rPr>
        <w:t>ward</w:t>
      </w:r>
      <w:r>
        <w:rPr>
          <w:rFonts w:ascii="Arial" w:cs="Arial" w:eastAsia="Arial" w:hAnsi="Arial"/>
          <w:sz w:val="25"/>
          <w:szCs w:val="25"/>
          <w:b w:val="1"/>
          <w:bCs w:val="1"/>
          <w:color w:val="auto"/>
        </w:rPr>
        <w:t xml:space="preserve"> A</w:t>
      </w:r>
      <w:r>
        <w:rPr>
          <w:rFonts w:ascii="Arial" w:cs="Arial" w:eastAsia="Arial" w:hAnsi="Arial"/>
          <w:sz w:val="17"/>
          <w:szCs w:val="17"/>
          <w:b w:val="1"/>
          <w:bCs w:val="1"/>
          <w:color w:val="auto"/>
        </w:rPr>
        <w:t>greement</w:t>
      </w:r>
      <w:r>
        <w:rPr>
          <w:rFonts w:ascii="Arial" w:cs="Arial" w:eastAsia="Arial" w:hAnsi="Arial"/>
          <w:sz w:val="25"/>
          <w:szCs w:val="25"/>
          <w:b w:val="1"/>
          <w:bCs w:val="1"/>
          <w:color w:val="auto"/>
        </w:rPr>
        <w:t xml:space="preserve"> (RSU A</w:t>
      </w:r>
      <w:r>
        <w:rPr>
          <w:rFonts w:ascii="Arial" w:cs="Arial" w:eastAsia="Arial" w:hAnsi="Arial"/>
          <w:sz w:val="17"/>
          <w:szCs w:val="17"/>
          <w:b w:val="1"/>
          <w:bCs w:val="1"/>
          <w:color w:val="auto"/>
        </w:rPr>
        <w:t>ward</w:t>
      </w:r>
      <w:r>
        <w:rPr>
          <w:rFonts w:ascii="Arial" w:cs="Arial" w:eastAsia="Arial" w:hAnsi="Arial"/>
          <w:sz w:val="25"/>
          <w:szCs w:val="25"/>
          <w:b w:val="1"/>
          <w:bCs w:val="1"/>
          <w:color w:val="auto"/>
        </w:rPr>
        <w: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(2020 E</w:t>
      </w:r>
      <w:r>
        <w:rPr>
          <w:rFonts w:ascii="Arial" w:cs="Arial" w:eastAsia="Arial" w:hAnsi="Arial"/>
          <w:sz w:val="17"/>
          <w:szCs w:val="17"/>
          <w:b w:val="1"/>
          <w:bCs w:val="1"/>
          <w:color w:val="auto"/>
        </w:rPr>
        <w:t>quity</w:t>
      </w:r>
      <w:r>
        <w:rPr>
          <w:rFonts w:ascii="Arial" w:cs="Arial" w:eastAsia="Arial" w:hAnsi="Arial"/>
          <w:sz w:val="25"/>
          <w:szCs w:val="25"/>
          <w:b w:val="1"/>
          <w:bCs w:val="1"/>
          <w:color w:val="auto"/>
        </w:rPr>
        <w:t xml:space="preserve"> I</w:t>
      </w:r>
      <w:r>
        <w:rPr>
          <w:rFonts w:ascii="Arial" w:cs="Arial" w:eastAsia="Arial" w:hAnsi="Arial"/>
          <w:sz w:val="17"/>
          <w:szCs w:val="17"/>
          <w:b w:val="1"/>
          <w:bCs w:val="1"/>
          <w:color w:val="auto"/>
        </w:rPr>
        <w:t>ncentive</w:t>
      </w:r>
      <w:r>
        <w:rPr>
          <w:rFonts w:ascii="Arial" w:cs="Arial" w:eastAsia="Arial" w:hAnsi="Arial"/>
          <w:sz w:val="25"/>
          <w:szCs w:val="25"/>
          <w:b w:val="1"/>
          <w:bCs w:val="1"/>
          <w:color w:val="auto"/>
        </w:rPr>
        <w:t xml:space="preserve"> P</w:t>
      </w:r>
      <w:r>
        <w:rPr>
          <w:rFonts w:ascii="Arial" w:cs="Arial" w:eastAsia="Arial" w:hAnsi="Arial"/>
          <w:sz w:val="17"/>
          <w:szCs w:val="17"/>
          <w:b w:val="1"/>
          <w:bCs w:val="1"/>
          <w:color w:val="auto"/>
        </w:rPr>
        <w:t>lan</w:t>
      </w:r>
      <w:r>
        <w:rPr>
          <w:rFonts w:ascii="Arial" w:cs="Arial" w:eastAsia="Arial" w:hAnsi="Arial"/>
          <w:sz w:val="25"/>
          <w:szCs w:val="25"/>
          <w:b w:val="1"/>
          <w:bCs w:val="1"/>
          <w:color w:val="auto"/>
        </w:rPr>
        <w:t>)</w:t>
      </w:r>
    </w:p>
    <w:p>
      <w:pPr>
        <w:spacing w:after="0" w:line="200" w:lineRule="exact"/>
        <w:rPr>
          <w:sz w:val="20"/>
          <w:szCs w:val="20"/>
          <w:color w:val="auto"/>
        </w:rPr>
      </w:pPr>
    </w:p>
    <w:p>
      <w:pPr>
        <w:spacing w:after="0" w:line="21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As reflected by your RSU Award Grant Notice (“</w:t>
      </w:r>
      <w:r>
        <w:rPr>
          <w:rFonts w:ascii="Arial" w:cs="Arial" w:eastAsia="Arial" w:hAnsi="Arial"/>
          <w:sz w:val="22"/>
          <w:szCs w:val="22"/>
          <w:b w:val="1"/>
          <w:bCs w:val="1"/>
          <w:i w:val="1"/>
          <w:iCs w:val="1"/>
          <w:color w:val="auto"/>
        </w:rPr>
        <w:t>Grant Notice</w:t>
      </w:r>
      <w:r>
        <w:rPr>
          <w:rFonts w:ascii="Arial" w:cs="Arial" w:eastAsia="Arial" w:hAnsi="Arial"/>
          <w:sz w:val="22"/>
          <w:szCs w:val="22"/>
          <w:color w:val="auto"/>
        </w:rPr>
        <w:t>”) Spruce Biosciences,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granted you a RSU Award under the Spruce Biosciences, Inc. 2020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for the number of restricted stock units as indicated in your Grant Notice (the “</w:t>
      </w:r>
      <w:r>
        <w:rPr>
          <w:rFonts w:ascii="Arial" w:cs="Arial" w:eastAsia="Arial" w:hAnsi="Arial"/>
          <w:sz w:val="22"/>
          <w:szCs w:val="22"/>
          <w:b w:val="1"/>
          <w:bCs w:val="1"/>
          <w:i w:val="1"/>
          <w:iCs w:val="1"/>
          <w:color w:val="auto"/>
        </w:rPr>
        <w:t>RSU Award</w:t>
      </w:r>
      <w:r>
        <w:rPr>
          <w:rFonts w:ascii="Arial" w:cs="Arial" w:eastAsia="Arial" w:hAnsi="Arial"/>
          <w:sz w:val="22"/>
          <w:szCs w:val="22"/>
          <w:color w:val="auto"/>
        </w:rPr>
        <w:t>”). The terms of your RSU Award as specified in this Award Agreement for your RSU Award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and the Grant Notice constitute your “</w:t>
      </w:r>
      <w:r>
        <w:rPr>
          <w:rFonts w:ascii="Arial" w:cs="Arial" w:eastAsia="Arial" w:hAnsi="Arial"/>
          <w:sz w:val="22"/>
          <w:szCs w:val="22"/>
          <w:b w:val="1"/>
          <w:bCs w:val="1"/>
          <w:i w:val="1"/>
          <w:iCs w:val="1"/>
          <w:color w:val="auto"/>
        </w:rPr>
        <w:t>RSU Award Agreement</w:t>
      </w:r>
      <w:r>
        <w:rPr>
          <w:rFonts w:ascii="Arial" w:cs="Arial" w:eastAsia="Arial" w:hAnsi="Arial"/>
          <w:sz w:val="22"/>
          <w:szCs w:val="22"/>
          <w:color w:val="auto"/>
        </w:rPr>
        <w:t>”. Defined terms not explicitly defined in this Agreement but defined in the Grant Notice or the Plan shall have the same definitions as in the Grant Notice or Plan, as applicable.</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The general terms applicable to your RSU Award are as follows:</w:t>
      </w:r>
    </w:p>
    <w:p>
      <w:pPr>
        <w:spacing w:after="0" w:line="200" w:lineRule="exact"/>
        <w:rPr>
          <w:sz w:val="20"/>
          <w:szCs w:val="20"/>
          <w:color w:val="auto"/>
        </w:rPr>
      </w:pPr>
    </w:p>
    <w:p>
      <w:pPr>
        <w:ind w:firstLine="757"/>
        <w:spacing w:after="0" w:line="256" w:lineRule="auto"/>
        <w:tabs>
          <w:tab w:leader="none" w:pos="1498"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G</w:t>
      </w:r>
      <w:r>
        <w:rPr>
          <w:rFonts w:ascii="Arial" w:cs="Arial" w:eastAsia="Arial" w:hAnsi="Arial"/>
          <w:sz w:val="14"/>
          <w:szCs w:val="14"/>
          <w:b w:val="1"/>
          <w:bCs w:val="1"/>
          <w:color w:val="auto"/>
        </w:rPr>
        <w:t>overning</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ocument</w:t>
      </w:r>
      <w:r>
        <w:rPr>
          <w:rFonts w:ascii="Arial" w:cs="Arial" w:eastAsia="Arial" w:hAnsi="Arial"/>
          <w:sz w:val="22"/>
          <w:szCs w:val="22"/>
          <w:b w:val="1"/>
          <w:bCs w:val="1"/>
          <w:color w:val="auto"/>
        </w:rPr>
        <w:t xml:space="preserve">. </w:t>
      </w:r>
      <w:r>
        <w:rPr>
          <w:rFonts w:ascii="Arial" w:cs="Arial" w:eastAsia="Arial" w:hAnsi="Arial"/>
          <w:sz w:val="22"/>
          <w:szCs w:val="22"/>
          <w:color w:val="auto"/>
        </w:rPr>
        <w:t>Your RSU Award is subject to all the provisions of the Plan, including but not</w:t>
      </w:r>
      <w:r>
        <w:rPr>
          <w:rFonts w:ascii="Arial" w:cs="Arial" w:eastAsia="Arial" w:hAnsi="Arial"/>
          <w:sz w:val="22"/>
          <w:szCs w:val="22"/>
          <w:b w:val="1"/>
          <w:bCs w:val="1"/>
          <w:color w:val="auto"/>
        </w:rPr>
        <w:t xml:space="preserve"> </w:t>
      </w:r>
      <w:r>
        <w:rPr>
          <w:rFonts w:ascii="Arial" w:cs="Arial" w:eastAsia="Arial" w:hAnsi="Arial"/>
          <w:sz w:val="22"/>
          <w:szCs w:val="22"/>
          <w:color w:val="auto"/>
        </w:rPr>
        <w:t>limited to the provisions in:</w:t>
      </w:r>
    </w:p>
    <w:p>
      <w:pPr>
        <w:spacing w:after="0" w:line="168" w:lineRule="exact"/>
        <w:rPr>
          <w:rFonts w:ascii="Arial" w:cs="Arial" w:eastAsia="Arial" w:hAnsi="Arial"/>
          <w:sz w:val="22"/>
          <w:szCs w:val="22"/>
          <w:b w:val="1"/>
          <w:bCs w:val="1"/>
          <w:color w:val="auto"/>
        </w:rPr>
      </w:pPr>
    </w:p>
    <w:p>
      <w:pPr>
        <w:ind w:firstLine="1505"/>
        <w:spacing w:after="0" w:line="250" w:lineRule="auto"/>
        <w:tabs>
          <w:tab w:leader="none" w:pos="2995" w:val="left"/>
        </w:tabs>
        <w:numPr>
          <w:ilvl w:val="1"/>
          <w:numId w:val="59"/>
        </w:numPr>
        <w:rPr>
          <w:rFonts w:ascii="Arial" w:cs="Arial" w:eastAsia="Arial" w:hAnsi="Arial"/>
          <w:sz w:val="22"/>
          <w:szCs w:val="22"/>
          <w:b w:val="1"/>
          <w:bCs w:val="1"/>
          <w:color w:val="auto"/>
        </w:rPr>
      </w:pPr>
      <w:r>
        <w:rPr>
          <w:rFonts w:ascii="Arial" w:cs="Arial" w:eastAsia="Arial" w:hAnsi="Arial"/>
          <w:sz w:val="22"/>
          <w:szCs w:val="22"/>
          <w:color w:val="auto"/>
        </w:rPr>
        <w:t>Section 6 of the Plan regarding the impact of a Capitalization Adjustment, dissolution, liquidation, or Corporate Transaction on your RSU Award;</w:t>
      </w:r>
    </w:p>
    <w:p>
      <w:pPr>
        <w:spacing w:after="0" w:line="174" w:lineRule="exact"/>
        <w:rPr>
          <w:rFonts w:ascii="Arial" w:cs="Arial" w:eastAsia="Arial" w:hAnsi="Arial"/>
          <w:sz w:val="22"/>
          <w:szCs w:val="22"/>
          <w:b w:val="1"/>
          <w:bCs w:val="1"/>
          <w:color w:val="auto"/>
        </w:rPr>
      </w:pPr>
    </w:p>
    <w:p>
      <w:pPr>
        <w:ind w:firstLine="1505"/>
        <w:spacing w:after="0" w:line="250" w:lineRule="auto"/>
        <w:tabs>
          <w:tab w:leader="none" w:pos="2995" w:val="left"/>
        </w:tabs>
        <w:numPr>
          <w:ilvl w:val="1"/>
          <w:numId w:val="59"/>
        </w:numPr>
        <w:rPr>
          <w:rFonts w:ascii="Arial" w:cs="Arial" w:eastAsia="Arial" w:hAnsi="Arial"/>
          <w:sz w:val="22"/>
          <w:szCs w:val="22"/>
          <w:b w:val="1"/>
          <w:bCs w:val="1"/>
          <w:color w:val="auto"/>
        </w:rPr>
      </w:pPr>
      <w:r>
        <w:rPr>
          <w:rFonts w:ascii="Arial" w:cs="Arial" w:eastAsia="Arial" w:hAnsi="Arial"/>
          <w:sz w:val="22"/>
          <w:szCs w:val="22"/>
          <w:color w:val="auto"/>
        </w:rPr>
        <w:t>Section 9(e) of the Plan regarding the Company’s retained rights to terminate your Continuous Service notwithstanding the grant of the RSU Award; and</w:t>
      </w:r>
    </w:p>
    <w:p>
      <w:pPr>
        <w:spacing w:after="0" w:line="174" w:lineRule="exact"/>
        <w:rPr>
          <w:rFonts w:ascii="Arial" w:cs="Arial" w:eastAsia="Arial" w:hAnsi="Arial"/>
          <w:sz w:val="22"/>
          <w:szCs w:val="22"/>
          <w:b w:val="1"/>
          <w:bCs w:val="1"/>
          <w:color w:val="auto"/>
        </w:rPr>
      </w:pPr>
    </w:p>
    <w:p>
      <w:pPr>
        <w:ind w:left="3000" w:hanging="1495"/>
        <w:spacing w:after="0"/>
        <w:tabs>
          <w:tab w:leader="none" w:pos="3000" w:val="left"/>
        </w:tabs>
        <w:numPr>
          <w:ilvl w:val="1"/>
          <w:numId w:val="59"/>
        </w:numPr>
        <w:rPr>
          <w:rFonts w:ascii="Arial" w:cs="Arial" w:eastAsia="Arial" w:hAnsi="Arial"/>
          <w:sz w:val="22"/>
          <w:szCs w:val="22"/>
          <w:b w:val="1"/>
          <w:bCs w:val="1"/>
          <w:color w:val="auto"/>
        </w:rPr>
      </w:pPr>
      <w:r>
        <w:rPr>
          <w:rFonts w:ascii="Arial" w:cs="Arial" w:eastAsia="Arial" w:hAnsi="Arial"/>
          <w:sz w:val="22"/>
          <w:szCs w:val="22"/>
          <w:color w:val="auto"/>
        </w:rPr>
        <w:t>Section 8(c) of the Plan regarding the tax consequences of your RSU Award.</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p>
    <w:p>
      <w:pPr>
        <w:spacing w:after="0" w:line="180" w:lineRule="exact"/>
        <w:rPr>
          <w:sz w:val="20"/>
          <w:szCs w:val="20"/>
          <w:color w:val="auto"/>
        </w:rPr>
      </w:pPr>
    </w:p>
    <w:p>
      <w:pPr>
        <w:jc w:val="both"/>
        <w:ind w:firstLine="757"/>
        <w:spacing w:after="0" w:line="262" w:lineRule="auto"/>
        <w:tabs>
          <w:tab w:leader="none" w:pos="1498"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G</w:t>
      </w:r>
      <w:r>
        <w:rPr>
          <w:rFonts w:ascii="Arial" w:cs="Arial" w:eastAsia="Arial" w:hAnsi="Arial"/>
          <w:sz w:val="13"/>
          <w:szCs w:val="13"/>
          <w:b w:val="1"/>
          <w:bCs w:val="1"/>
          <w:color w:val="auto"/>
        </w:rPr>
        <w:t>rant of the</w:t>
      </w:r>
      <w:r>
        <w:rPr>
          <w:rFonts w:ascii="Arial" w:cs="Arial" w:eastAsia="Arial" w:hAnsi="Arial"/>
          <w:sz w:val="20"/>
          <w:szCs w:val="20"/>
          <w:b w:val="1"/>
          <w:bCs w:val="1"/>
          <w:color w:val="auto"/>
        </w:rPr>
        <w:t xml:space="preserve"> RSU A</w:t>
      </w:r>
      <w:r>
        <w:rPr>
          <w:rFonts w:ascii="Arial" w:cs="Arial" w:eastAsia="Arial" w:hAnsi="Arial"/>
          <w:sz w:val="13"/>
          <w:szCs w:val="13"/>
          <w:b w:val="1"/>
          <w:bCs w:val="1"/>
          <w:color w:val="auto"/>
        </w:rPr>
        <w:t>ward</w:t>
      </w:r>
      <w:r>
        <w:rPr>
          <w:rFonts w:ascii="Arial" w:cs="Arial" w:eastAsia="Arial" w:hAnsi="Arial"/>
          <w:sz w:val="20"/>
          <w:szCs w:val="20"/>
          <w:b w:val="1"/>
          <w:bCs w:val="1"/>
          <w:color w:val="auto"/>
        </w:rPr>
        <w:t xml:space="preserve">. </w:t>
      </w:r>
      <w:r>
        <w:rPr>
          <w:rFonts w:ascii="Arial" w:cs="Arial" w:eastAsia="Arial" w:hAnsi="Arial"/>
          <w:sz w:val="20"/>
          <w:szCs w:val="20"/>
          <w:color w:val="auto"/>
        </w:rPr>
        <w:t>This RSU Award represents your right to be issued on a future date the number of</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of the Company’s Common Stock that is equal to the number of restricted stock units indicated in the Grant Notice as modified to reflect any Capitalization Adjustment and subject to your satisfaction of the vesting conditions set forth therein (the “</w:t>
      </w:r>
      <w:r>
        <w:rPr>
          <w:rFonts w:ascii="Arial" w:cs="Arial" w:eastAsia="Arial" w:hAnsi="Arial"/>
          <w:sz w:val="20"/>
          <w:szCs w:val="20"/>
          <w:b w:val="1"/>
          <w:bCs w:val="1"/>
          <w:i w:val="1"/>
          <w:iCs w:val="1"/>
          <w:color w:val="auto"/>
        </w:rPr>
        <w:t>Restricted Stock Units</w:t>
      </w:r>
      <w:r>
        <w:rPr>
          <w:rFonts w:ascii="Arial" w:cs="Arial" w:eastAsia="Arial" w:hAnsi="Arial"/>
          <w:sz w:val="20"/>
          <w:szCs w:val="20"/>
          <w:color w:val="auto"/>
        </w:rPr>
        <w:t>”).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w:t>
      </w:r>
    </w:p>
    <w:p>
      <w:pPr>
        <w:spacing w:after="0" w:line="159" w:lineRule="exact"/>
        <w:rPr>
          <w:rFonts w:ascii="Arial" w:cs="Arial" w:eastAsia="Arial" w:hAnsi="Arial"/>
          <w:sz w:val="20"/>
          <w:szCs w:val="20"/>
          <w:b w:val="1"/>
          <w:bCs w:val="1"/>
          <w:color w:val="auto"/>
        </w:rPr>
      </w:pPr>
    </w:p>
    <w:p>
      <w:pPr>
        <w:jc w:val="both"/>
        <w:ind w:firstLine="757"/>
        <w:spacing w:after="0" w:line="239" w:lineRule="auto"/>
        <w:tabs>
          <w:tab w:leader="none" w:pos="1498"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ividends</w:t>
      </w:r>
      <w:r>
        <w:rPr>
          <w:rFonts w:ascii="Arial" w:cs="Arial" w:eastAsia="Arial" w:hAnsi="Arial"/>
          <w:sz w:val="22"/>
          <w:szCs w:val="22"/>
          <w:b w:val="1"/>
          <w:bCs w:val="1"/>
          <w:color w:val="auto"/>
        </w:rPr>
        <w:t xml:space="preserve">. </w:t>
      </w:r>
      <w:r>
        <w:rPr>
          <w:rFonts w:ascii="Arial" w:cs="Arial" w:eastAsia="Arial" w:hAnsi="Arial"/>
          <w:sz w:val="22"/>
          <w:szCs w:val="22"/>
          <w:color w:val="auto"/>
        </w:rPr>
        <w:t>You shall receive no benefit or adjustment to this RSU Award with respect to any cash dividend,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stock dividend or other distribution that does not result from a Capitalization Adjustment; </w:t>
      </w:r>
      <w:r>
        <w:rPr>
          <w:rFonts w:ascii="Arial" w:cs="Arial" w:eastAsia="Arial" w:hAnsi="Arial"/>
          <w:sz w:val="22"/>
          <w:szCs w:val="22"/>
          <w:i w:val="1"/>
          <w:iCs w:val="1"/>
          <w:color w:val="auto"/>
        </w:rPr>
        <w:t>provided, however</w:t>
      </w:r>
      <w:r>
        <w:rPr>
          <w:rFonts w:ascii="Arial" w:cs="Arial" w:eastAsia="Arial" w:hAnsi="Arial"/>
          <w:sz w:val="22"/>
          <w:szCs w:val="22"/>
          <w:color w:val="auto"/>
        </w:rPr>
        <w:t>, that this sentence will not apply with respect to any shares of Common Stock that are delivered to you in connection with your RSU Award after such shares have been delivered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685165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7" w:name="page148"/>
    <w:bookmarkEnd w:id="147"/>
    <w:p>
      <w:pPr>
        <w:jc w:val="both"/>
        <w:ind w:firstLine="757"/>
        <w:spacing w:after="0" w:line="234" w:lineRule="auto"/>
        <w:tabs>
          <w:tab w:leader="none" w:pos="1498"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ithholding</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bligations</w:t>
      </w:r>
      <w:r>
        <w:rPr>
          <w:rFonts w:ascii="Arial" w:cs="Arial" w:eastAsia="Arial" w:hAnsi="Arial"/>
          <w:sz w:val="22"/>
          <w:szCs w:val="22"/>
          <w:b w:val="1"/>
          <w:bCs w:val="1"/>
          <w:color w:val="auto"/>
        </w:rPr>
        <w:t xml:space="preserve">. </w:t>
      </w:r>
      <w:r>
        <w:rPr>
          <w:rFonts w:ascii="Arial" w:cs="Arial" w:eastAsia="Arial" w:hAnsi="Arial"/>
          <w:sz w:val="22"/>
          <w:szCs w:val="22"/>
          <w:color w:val="auto"/>
        </w:rPr>
        <w:t>As further provided in Section 8 of the Plan, you hereby authorize withholding</w:t>
      </w:r>
      <w:r>
        <w:rPr>
          <w:rFonts w:ascii="Arial" w:cs="Arial" w:eastAsia="Arial" w:hAnsi="Arial"/>
          <w:sz w:val="22"/>
          <w:szCs w:val="22"/>
          <w:b w:val="1"/>
          <w:bCs w:val="1"/>
          <w:color w:val="auto"/>
        </w:rPr>
        <w:t xml:space="preserve"> </w:t>
      </w:r>
      <w:r>
        <w:rPr>
          <w:rFonts w:ascii="Arial" w:cs="Arial" w:eastAsia="Arial" w:hAnsi="Arial"/>
          <w:sz w:val="22"/>
          <w:szCs w:val="22"/>
          <w:color w:val="auto"/>
        </w:rPr>
        <w:t>from payroll and any other amounts payable to you, and otherwise agree to make adequate provision for, any sums required to satisfy the federal, state, local and foreign tax withholding obligations, if any, which arise in connection with your RSU Award (the “</w:t>
      </w:r>
      <w:r>
        <w:rPr>
          <w:rFonts w:ascii="Arial" w:cs="Arial" w:eastAsia="Arial" w:hAnsi="Arial"/>
          <w:sz w:val="22"/>
          <w:szCs w:val="22"/>
          <w:b w:val="1"/>
          <w:bCs w:val="1"/>
          <w:i w:val="1"/>
          <w:iCs w:val="1"/>
          <w:color w:val="auto"/>
        </w:rPr>
        <w:t>Withholding Obligation</w:t>
      </w:r>
      <w:r>
        <w:rPr>
          <w:rFonts w:ascii="Arial" w:cs="Arial" w:eastAsia="Arial" w:hAnsi="Arial"/>
          <w:sz w:val="22"/>
          <w:szCs w:val="22"/>
          <w:color w:val="auto"/>
        </w:rPr>
        <w:t>”) in accordance with the withholding procedures established by the Company. Unless the Withholding Obligation is satisfied, the Company shall have no obligation to deliver to you any Common Stock in respect of the RSU Award. 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pacing w:after="0" w:line="183" w:lineRule="exact"/>
        <w:rPr>
          <w:rFonts w:ascii="Arial" w:cs="Arial" w:eastAsia="Arial" w:hAnsi="Arial"/>
          <w:sz w:val="22"/>
          <w:szCs w:val="22"/>
          <w:b w:val="1"/>
          <w:bCs w:val="1"/>
          <w:color w:val="auto"/>
        </w:rPr>
      </w:pPr>
    </w:p>
    <w:p>
      <w:pPr>
        <w:ind w:left="1500" w:hanging="743"/>
        <w:spacing w:after="0"/>
        <w:tabs>
          <w:tab w:leader="none" w:pos="150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ate of</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ssuance</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jc w:val="both"/>
        <w:ind w:firstLine="1505"/>
        <w:spacing w:after="0" w:line="248" w:lineRule="auto"/>
        <w:tabs>
          <w:tab w:leader="none" w:pos="2995" w:val="left"/>
        </w:tabs>
        <w:numPr>
          <w:ilvl w:val="1"/>
          <w:numId w:val="61"/>
        </w:numPr>
        <w:rPr>
          <w:rFonts w:ascii="Arial" w:cs="Arial" w:eastAsia="Arial" w:hAnsi="Arial"/>
          <w:sz w:val="21"/>
          <w:szCs w:val="21"/>
          <w:b w:val="1"/>
          <w:bCs w:val="1"/>
          <w:color w:val="auto"/>
        </w:rPr>
      </w:pPr>
      <w:r>
        <w:rPr>
          <w:rFonts w:ascii="Arial" w:cs="Arial" w:eastAsia="Arial" w:hAnsi="Arial"/>
          <w:sz w:val="21"/>
          <w:szCs w:val="21"/>
          <w:color w:val="auto"/>
        </w:rPr>
        <w:t>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that vests on the applicable vesting date(s) (subject to any adjustment under Section 3 above, and subject to any different provisions in the Grant Notice). Each issuance date determined by this paragraph is referred to as an “</w:t>
      </w:r>
      <w:r>
        <w:rPr>
          <w:rFonts w:ascii="Arial" w:cs="Arial" w:eastAsia="Arial" w:hAnsi="Arial"/>
          <w:sz w:val="21"/>
          <w:szCs w:val="21"/>
          <w:b w:val="1"/>
          <w:bCs w:val="1"/>
          <w:i w:val="1"/>
          <w:iCs w:val="1"/>
          <w:color w:val="auto"/>
        </w:rPr>
        <w:t>Original Issuance Date</w:t>
      </w:r>
      <w:r>
        <w:rPr>
          <w:rFonts w:ascii="Arial" w:cs="Arial" w:eastAsia="Arial" w:hAnsi="Arial"/>
          <w:sz w:val="21"/>
          <w:szCs w:val="21"/>
          <w:color w:val="auto"/>
        </w:rPr>
        <w:t>.”</w:t>
      </w:r>
    </w:p>
    <w:p>
      <w:pPr>
        <w:spacing w:after="0" w:line="176" w:lineRule="exact"/>
        <w:rPr>
          <w:rFonts w:ascii="Arial" w:cs="Arial" w:eastAsia="Arial" w:hAnsi="Arial"/>
          <w:sz w:val="21"/>
          <w:szCs w:val="21"/>
          <w:b w:val="1"/>
          <w:bCs w:val="1"/>
          <w:color w:val="auto"/>
        </w:rPr>
      </w:pPr>
    </w:p>
    <w:p>
      <w:pPr>
        <w:ind w:firstLine="1505"/>
        <w:spacing w:after="0" w:line="250" w:lineRule="auto"/>
        <w:tabs>
          <w:tab w:leader="none" w:pos="2995" w:val="left"/>
        </w:tabs>
        <w:numPr>
          <w:ilvl w:val="1"/>
          <w:numId w:val="61"/>
        </w:numPr>
        <w:rPr>
          <w:rFonts w:ascii="Arial" w:cs="Arial" w:eastAsia="Arial" w:hAnsi="Arial"/>
          <w:sz w:val="22"/>
          <w:szCs w:val="22"/>
          <w:b w:val="1"/>
          <w:bCs w:val="1"/>
          <w:color w:val="auto"/>
        </w:rPr>
      </w:pPr>
      <w:r>
        <w:rPr>
          <w:rFonts w:ascii="Arial" w:cs="Arial" w:eastAsia="Arial" w:hAnsi="Arial"/>
          <w:sz w:val="22"/>
          <w:szCs w:val="22"/>
          <w:color w:val="auto"/>
        </w:rPr>
        <w:t xml:space="preserve">If the Original Issuance Date falls on a date that is not a business day, delivery shall instead occur on the next following business day. In addition, </w:t>
      </w:r>
      <w:r>
        <w:rPr>
          <w:rFonts w:ascii="Arial" w:cs="Arial" w:eastAsia="Arial" w:hAnsi="Arial"/>
          <w:sz w:val="22"/>
          <w:szCs w:val="22"/>
          <w:u w:val="single" w:color="auto"/>
          <w:color w:val="auto"/>
        </w:rPr>
        <w:t>if</w:t>
      </w:r>
      <w:r>
        <w:rPr>
          <w:rFonts w:ascii="Arial" w:cs="Arial" w:eastAsia="Arial" w:hAnsi="Arial"/>
          <w:sz w:val="22"/>
          <w:szCs w:val="22"/>
          <w:color w:val="auto"/>
        </w:rPr>
        <w:t>:</w:t>
      </w:r>
    </w:p>
    <w:p>
      <w:pPr>
        <w:spacing w:after="0" w:line="169" w:lineRule="exact"/>
        <w:rPr>
          <w:sz w:val="20"/>
          <w:szCs w:val="20"/>
          <w:color w:val="auto"/>
        </w:rPr>
      </w:pPr>
    </w:p>
    <w:p>
      <w:pPr>
        <w:jc w:val="both"/>
        <w:ind w:firstLine="2246"/>
        <w:spacing w:after="0" w:line="236" w:lineRule="auto"/>
        <w:rPr>
          <w:sz w:val="20"/>
          <w:szCs w:val="20"/>
          <w:color w:val="auto"/>
        </w:rPr>
      </w:pPr>
      <w:r>
        <w:rPr>
          <w:rFonts w:ascii="Arial" w:cs="Arial" w:eastAsia="Arial" w:hAnsi="Arial"/>
          <w:sz w:val="22"/>
          <w:szCs w:val="22"/>
          <w:b w:val="1"/>
          <w:bCs w:val="1"/>
          <w:color w:val="auto"/>
        </w:rPr>
        <w:t xml:space="preserve">(i) </w:t>
      </w:r>
      <w:r>
        <w:rPr>
          <w:rFonts w:ascii="Arial" w:cs="Arial" w:eastAsia="Arial" w:hAnsi="Arial"/>
          <w:sz w:val="22"/>
          <w:szCs w:val="22"/>
          <w:color w:val="auto"/>
        </w:rPr>
        <w:t>the Original Issuance Date does not occur (1) during an “open window</w:t>
      </w:r>
      <w:r>
        <w:rPr>
          <w:rFonts w:ascii="Arial" w:cs="Arial" w:eastAsia="Arial" w:hAnsi="Arial"/>
          <w:sz w:val="22"/>
          <w:szCs w:val="22"/>
          <w:b w:val="1"/>
          <w:bCs w:val="1"/>
          <w:color w:val="auto"/>
        </w:rPr>
        <w:t xml:space="preserve"> </w:t>
      </w:r>
      <w:r>
        <w:rPr>
          <w:rFonts w:ascii="Arial" w:cs="Arial" w:eastAsia="Arial" w:hAnsi="Arial"/>
          <w:sz w:val="22"/>
          <w:szCs w:val="22"/>
          <w:color w:val="auto"/>
        </w:rPr>
        <w:t>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Arial" w:cs="Arial" w:eastAsia="Arial" w:hAnsi="Arial"/>
          <w:sz w:val="22"/>
          <w:szCs w:val="22"/>
          <w:b w:val="1"/>
          <w:bCs w:val="1"/>
          <w:i w:val="1"/>
          <w:iCs w:val="1"/>
          <w:color w:val="auto"/>
        </w:rPr>
        <w:t>10b5-1 Arrangement</w:t>
      </w:r>
      <w:r>
        <w:rPr>
          <w:rFonts w:ascii="Arial" w:cs="Arial" w:eastAsia="Arial" w:hAnsi="Arial"/>
          <w:sz w:val="22"/>
          <w:szCs w:val="22"/>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and</w:t>
      </w:r>
    </w:p>
    <w:p>
      <w:pPr>
        <w:spacing w:after="0" w:line="182" w:lineRule="exact"/>
        <w:rPr>
          <w:sz w:val="20"/>
          <w:szCs w:val="20"/>
          <w:color w:val="auto"/>
        </w:rPr>
      </w:pPr>
    </w:p>
    <w:p>
      <w:pPr>
        <w:jc w:val="both"/>
        <w:ind w:firstLine="2246"/>
        <w:spacing w:after="0" w:line="237" w:lineRule="auto"/>
        <w:rPr>
          <w:sz w:val="20"/>
          <w:szCs w:val="20"/>
          <w:color w:val="auto"/>
        </w:rPr>
      </w:pPr>
      <w:r>
        <w:rPr>
          <w:rFonts w:ascii="Arial" w:cs="Arial" w:eastAsia="Arial" w:hAnsi="Arial"/>
          <w:sz w:val="22"/>
          <w:szCs w:val="22"/>
          <w:b w:val="1"/>
          <w:bCs w:val="1"/>
          <w:color w:val="auto"/>
        </w:rPr>
        <w:t xml:space="preserve">(ii) </w:t>
      </w:r>
      <w:r>
        <w:rPr>
          <w:rFonts w:ascii="Arial" w:cs="Arial" w:eastAsia="Arial" w:hAnsi="Arial"/>
          <w:sz w:val="22"/>
          <w:szCs w:val="22"/>
          <w:color w:val="auto"/>
        </w:rPr>
        <w:t>either (1) a Withholding Obligation does not apply, or (2)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Withholding Obligation in cash,</w:t>
      </w:r>
    </w:p>
    <w:p>
      <w:pPr>
        <w:spacing w:after="0" w:line="18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u w:val="single" w:color="auto"/>
          <w:color w:val="auto"/>
        </w:rPr>
        <w:t>then</w:t>
      </w:r>
      <w:r>
        <w:rPr>
          <w:rFonts w:ascii="Arial" w:cs="Arial" w:eastAsia="Arial" w:hAnsi="Arial"/>
          <w:sz w:val="22"/>
          <w:szCs w:val="22"/>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Arial" w:cs="Arial" w:eastAsia="Arial" w:hAnsi="Arial"/>
          <w:sz w:val="22"/>
          <w:szCs w:val="22"/>
          <w:u w:val="single" w:color="auto"/>
          <w:color w:val="auto"/>
        </w:rPr>
        <w:t>if and</w:t>
      </w:r>
      <w:r>
        <w:rPr>
          <w:rFonts w:ascii="Arial" w:cs="Arial" w:eastAsia="Arial" w:hAnsi="Arial"/>
          <w:sz w:val="22"/>
          <w:szCs w:val="22"/>
          <w:color w:val="auto"/>
        </w:rPr>
        <w:t xml:space="preserve"> </w:t>
      </w:r>
      <w:r>
        <w:rPr>
          <w:rFonts w:ascii="Arial" w:cs="Arial" w:eastAsia="Arial" w:hAnsi="Arial"/>
          <w:sz w:val="22"/>
          <w:szCs w:val="22"/>
          <w:u w:val="single" w:color="auto"/>
          <w:color w:val="auto"/>
        </w:rPr>
        <w:t>only if</w:t>
      </w:r>
      <w:r>
        <w:rPr>
          <w:rFonts w:ascii="Arial" w:cs="Arial" w:eastAsia="Arial" w:hAnsi="Arial"/>
          <w:sz w:val="22"/>
          <w:szCs w:val="22"/>
          <w:color w:val="auto"/>
        </w:rPr>
        <w:t xml:space="preserve"> permitted in a manner that complies with Treasury Regulations Section 1.409A-1(b)(4), no later than the date that is the 15th day of the third calendar month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8" w:name="page149"/>
    <w:bookmarkEnd w:id="148"/>
    <w:p>
      <w:pPr>
        <w:spacing w:after="0" w:line="250" w:lineRule="auto"/>
        <w:rPr>
          <w:sz w:val="20"/>
          <w:szCs w:val="20"/>
          <w:color w:val="auto"/>
        </w:rPr>
      </w:pPr>
      <w:r>
        <w:rPr>
          <w:rFonts w:ascii="Arial" w:cs="Arial" w:eastAsia="Arial" w:hAnsi="Arial"/>
          <w:sz w:val="22"/>
          <w:szCs w:val="22"/>
          <w:color w:val="auto"/>
        </w:rPr>
        <w:t>applicable year following the year in which the shares of Common Stock under this Award are no longer subject to a “substantial risk of forfeiture” within the meaning of Treasury Regulations Section 1.409A-1(d).</w:t>
      </w:r>
    </w:p>
    <w:p>
      <w:pPr>
        <w:spacing w:after="0" w:line="175" w:lineRule="exact"/>
        <w:rPr>
          <w:sz w:val="20"/>
          <w:szCs w:val="20"/>
          <w:color w:val="auto"/>
        </w:rPr>
      </w:pPr>
    </w:p>
    <w:p>
      <w:pPr>
        <w:ind w:left="3000" w:hanging="1495"/>
        <w:spacing w:after="0"/>
        <w:tabs>
          <w:tab w:leader="none" w:pos="3000" w:val="left"/>
        </w:tabs>
        <w:numPr>
          <w:ilvl w:val="0"/>
          <w:numId w:val="62"/>
        </w:numPr>
        <w:rPr>
          <w:rFonts w:ascii="Arial" w:cs="Arial" w:eastAsia="Arial" w:hAnsi="Arial"/>
          <w:sz w:val="19"/>
          <w:szCs w:val="19"/>
          <w:b w:val="1"/>
          <w:bCs w:val="1"/>
          <w:color w:val="auto"/>
        </w:rPr>
      </w:pPr>
      <w:r>
        <w:rPr>
          <w:rFonts w:ascii="Arial" w:cs="Arial" w:eastAsia="Arial" w:hAnsi="Arial"/>
          <w:sz w:val="19"/>
          <w:szCs w:val="19"/>
          <w:color w:val="auto"/>
        </w:rPr>
        <w:t>To the extent the RSU Award is a Non-Exempt Award, the provisions of Section 11 of the Plan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shall apply.</w:t>
      </w:r>
    </w:p>
    <w:p>
      <w:pPr>
        <w:spacing w:after="0" w:line="182" w:lineRule="exact"/>
        <w:rPr>
          <w:sz w:val="20"/>
          <w:szCs w:val="20"/>
          <w:color w:val="auto"/>
        </w:rPr>
      </w:pPr>
    </w:p>
    <w:p>
      <w:pPr>
        <w:ind w:right="20" w:firstLine="757"/>
        <w:spacing w:after="0" w:line="256" w:lineRule="auto"/>
        <w:tabs>
          <w:tab w:leader="none" w:pos="1498"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ransferability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otherwise provided in the Plan, your RSU Award is not transferable, except by will</w:t>
      </w:r>
      <w:r>
        <w:rPr>
          <w:rFonts w:ascii="Arial" w:cs="Arial" w:eastAsia="Arial" w:hAnsi="Arial"/>
          <w:sz w:val="22"/>
          <w:szCs w:val="22"/>
          <w:b w:val="1"/>
          <w:bCs w:val="1"/>
          <w:color w:val="auto"/>
        </w:rPr>
        <w:t xml:space="preserve"> </w:t>
      </w:r>
      <w:r>
        <w:rPr>
          <w:rFonts w:ascii="Arial" w:cs="Arial" w:eastAsia="Arial" w:hAnsi="Arial"/>
          <w:sz w:val="22"/>
          <w:szCs w:val="22"/>
          <w:color w:val="auto"/>
        </w:rPr>
        <w:t>or by the applicable laws of descent and distribution.</w:t>
      </w:r>
    </w:p>
    <w:p>
      <w:pPr>
        <w:spacing w:after="0" w:line="162" w:lineRule="exact"/>
        <w:rPr>
          <w:rFonts w:ascii="Arial" w:cs="Arial" w:eastAsia="Arial" w:hAnsi="Arial"/>
          <w:sz w:val="22"/>
          <w:szCs w:val="22"/>
          <w:b w:val="1"/>
          <w:bCs w:val="1"/>
          <w:color w:val="auto"/>
        </w:rPr>
      </w:pPr>
    </w:p>
    <w:p>
      <w:pPr>
        <w:jc w:val="both"/>
        <w:ind w:firstLine="757"/>
        <w:spacing w:after="0" w:line="300" w:lineRule="auto"/>
        <w:tabs>
          <w:tab w:leader="none" w:pos="1498" w:val="left"/>
        </w:tabs>
        <w:numPr>
          <w:ilvl w:val="0"/>
          <w:numId w:val="63"/>
        </w:numPr>
        <w:rPr>
          <w:rFonts w:ascii="Arial" w:cs="Arial" w:eastAsia="Arial" w:hAnsi="Arial"/>
          <w:sz w:val="19"/>
          <w:szCs w:val="19"/>
          <w:b w:val="1"/>
          <w:bCs w:val="1"/>
          <w:color w:val="auto"/>
        </w:rPr>
      </w:pPr>
      <w:r>
        <w:rPr>
          <w:rFonts w:ascii="Arial" w:cs="Arial" w:eastAsia="Arial" w:hAnsi="Arial"/>
          <w:sz w:val="19"/>
          <w:szCs w:val="19"/>
          <w:b w:val="1"/>
          <w:bCs w:val="1"/>
          <w:color w:val="auto"/>
        </w:rPr>
        <w:t>C</w:t>
      </w:r>
      <w:r>
        <w:rPr>
          <w:rFonts w:ascii="Arial" w:cs="Arial" w:eastAsia="Arial" w:hAnsi="Arial"/>
          <w:sz w:val="13"/>
          <w:szCs w:val="13"/>
          <w:b w:val="1"/>
          <w:bCs w:val="1"/>
          <w:color w:val="auto"/>
        </w:rPr>
        <w:t>orporate</w:t>
      </w:r>
      <w:r>
        <w:rPr>
          <w:rFonts w:ascii="Arial" w:cs="Arial" w:eastAsia="Arial" w:hAnsi="Arial"/>
          <w:sz w:val="19"/>
          <w:szCs w:val="19"/>
          <w:b w:val="1"/>
          <w:bCs w:val="1"/>
          <w:color w:val="auto"/>
        </w:rPr>
        <w:t xml:space="preserve"> T</w:t>
      </w:r>
      <w:r>
        <w:rPr>
          <w:rFonts w:ascii="Arial" w:cs="Arial" w:eastAsia="Arial" w:hAnsi="Arial"/>
          <w:sz w:val="13"/>
          <w:szCs w:val="13"/>
          <w:b w:val="1"/>
          <w:bCs w:val="1"/>
          <w:color w:val="auto"/>
        </w:rPr>
        <w:t>ransaction</w:t>
      </w:r>
      <w:r>
        <w:rPr>
          <w:rFonts w:ascii="Arial" w:cs="Arial" w:eastAsia="Arial" w:hAnsi="Arial"/>
          <w:sz w:val="19"/>
          <w:szCs w:val="19"/>
          <w:b w:val="1"/>
          <w:bCs w:val="1"/>
          <w:color w:val="auto"/>
        </w:rPr>
        <w:t xml:space="preserve">. </w:t>
      </w:r>
      <w:r>
        <w:rPr>
          <w:rFonts w:ascii="Arial" w:cs="Arial" w:eastAsia="Arial" w:hAnsi="Arial"/>
          <w:sz w:val="19"/>
          <w:szCs w:val="19"/>
          <w:color w:val="auto"/>
        </w:rPr>
        <w:t>Your RSU Award is subject to the terms of any agreement governing a Corporate</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 involving the Company, including, without limitation, a provision for the appointment of a stockholder representative that is authorized to act on your behalf with respect to any escrow, indemnities and any contingent consideration.</w:t>
      </w:r>
    </w:p>
    <w:p>
      <w:pPr>
        <w:spacing w:after="0" w:line="125" w:lineRule="exact"/>
        <w:rPr>
          <w:rFonts w:ascii="Arial" w:cs="Arial" w:eastAsia="Arial" w:hAnsi="Arial"/>
          <w:sz w:val="19"/>
          <w:szCs w:val="19"/>
          <w:b w:val="1"/>
          <w:bCs w:val="1"/>
          <w:color w:val="auto"/>
        </w:rPr>
      </w:pPr>
    </w:p>
    <w:p>
      <w:pPr>
        <w:jc w:val="both"/>
        <w:ind w:firstLine="757"/>
        <w:spacing w:after="0" w:line="237" w:lineRule="auto"/>
        <w:tabs>
          <w:tab w:leader="none" w:pos="1498"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iability for</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axes</w:t>
      </w:r>
      <w:r>
        <w:rPr>
          <w:rFonts w:ascii="Arial" w:cs="Arial" w:eastAsia="Arial" w:hAnsi="Arial"/>
          <w:sz w:val="22"/>
          <w:szCs w:val="22"/>
          <w:color w:val="auto"/>
        </w:rPr>
        <w:t>. As a condition to accepting the RSU Award, you hereby (a) agree to not make any</w:t>
      </w:r>
      <w:r>
        <w:rPr>
          <w:rFonts w:ascii="Arial" w:cs="Arial" w:eastAsia="Arial" w:hAnsi="Arial"/>
          <w:sz w:val="22"/>
          <w:szCs w:val="22"/>
          <w:b w:val="1"/>
          <w:bCs w:val="1"/>
          <w:color w:val="auto"/>
        </w:rPr>
        <w:t xml:space="preserve"> </w:t>
      </w:r>
      <w:r>
        <w:rPr>
          <w:rFonts w:ascii="Arial" w:cs="Arial" w:eastAsia="Arial" w:hAnsi="Arial"/>
          <w:sz w:val="22"/>
          <w:szCs w:val="22"/>
          <w:color w:val="auto"/>
        </w:rPr>
        <w:t>claim against the 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w:t>
      </w:r>
    </w:p>
    <w:p>
      <w:pPr>
        <w:spacing w:after="0" w:line="181" w:lineRule="exact"/>
        <w:rPr>
          <w:rFonts w:ascii="Arial" w:cs="Arial" w:eastAsia="Arial" w:hAnsi="Arial"/>
          <w:sz w:val="22"/>
          <w:szCs w:val="22"/>
          <w:b w:val="1"/>
          <w:bCs w:val="1"/>
          <w:color w:val="auto"/>
        </w:rPr>
      </w:pPr>
    </w:p>
    <w:p>
      <w:pPr>
        <w:jc w:val="both"/>
        <w:ind w:firstLine="757"/>
        <w:spacing w:after="0" w:line="237" w:lineRule="auto"/>
        <w:tabs>
          <w:tab w:leader="none" w:pos="1498"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everability</w:t>
      </w:r>
      <w:r>
        <w:rPr>
          <w:rFonts w:ascii="Arial" w:cs="Arial" w:eastAsia="Arial" w:hAnsi="Arial"/>
          <w:sz w:val="22"/>
          <w:szCs w:val="22"/>
          <w:color w:val="auto"/>
        </w:rPr>
        <w:t>. If any part of this Agreement or the Plan is declared by any court or governmental authority to be</w:t>
      </w:r>
      <w:r>
        <w:rPr>
          <w:rFonts w:ascii="Arial" w:cs="Arial" w:eastAsia="Arial" w:hAnsi="Arial"/>
          <w:sz w:val="22"/>
          <w:szCs w:val="22"/>
          <w:b w:val="1"/>
          <w:bCs w:val="1"/>
          <w:color w:val="auto"/>
        </w:rPr>
        <w:t xml:space="preserve"> </w:t>
      </w:r>
      <w:r>
        <w:rPr>
          <w:rFonts w:ascii="Arial" w:cs="Arial" w:eastAsia="Arial" w:hAnsi="Arial"/>
          <w:sz w:val="22"/>
          <w:szCs w:val="22"/>
          <w:color w:val="auto"/>
        </w:rPr>
        <w:t>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81" w:lineRule="exact"/>
        <w:rPr>
          <w:rFonts w:ascii="Arial" w:cs="Arial" w:eastAsia="Arial" w:hAnsi="Arial"/>
          <w:sz w:val="22"/>
          <w:szCs w:val="22"/>
          <w:b w:val="1"/>
          <w:bCs w:val="1"/>
          <w:color w:val="auto"/>
        </w:rPr>
      </w:pPr>
    </w:p>
    <w:p>
      <w:pPr>
        <w:jc w:val="both"/>
        <w:ind w:firstLine="757"/>
        <w:spacing w:after="0" w:line="243" w:lineRule="auto"/>
        <w:tabs>
          <w:tab w:leader="none" w:pos="1498"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O</w:t>
      </w:r>
      <w:r>
        <w:rPr>
          <w:rFonts w:ascii="Arial" w:cs="Arial" w:eastAsia="Arial" w:hAnsi="Arial"/>
          <w:sz w:val="14"/>
          <w:szCs w:val="14"/>
          <w:b w:val="1"/>
          <w:bCs w:val="1"/>
          <w:color w:val="auto"/>
        </w:rPr>
        <w:t>ther</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ocuments</w:t>
      </w:r>
      <w:r>
        <w:rPr>
          <w:rFonts w:ascii="Arial" w:cs="Arial" w:eastAsia="Arial" w:hAnsi="Arial"/>
          <w:sz w:val="22"/>
          <w:szCs w:val="22"/>
          <w:b w:val="1"/>
          <w:bCs w:val="1"/>
          <w:color w:val="auto"/>
        </w:rPr>
        <w:t xml:space="preserve">. </w:t>
      </w:r>
      <w:r>
        <w:rPr>
          <w:rFonts w:ascii="Arial" w:cs="Arial" w:eastAsia="Arial" w:hAnsi="Arial"/>
          <w:sz w:val="22"/>
          <w:szCs w:val="22"/>
          <w:color w:val="auto"/>
        </w:rPr>
        <w:t>You hereby acknowledge receipt of or the right to receive a document providing the</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required by Rule 428(b)(1) promulgated under the Securities Act, which includes the Prospectus. In addition, you acknowledge receipt of the Company’s Trading Policy.</w:t>
      </w:r>
    </w:p>
    <w:p>
      <w:pPr>
        <w:spacing w:after="0" w:line="176" w:lineRule="exact"/>
        <w:rPr>
          <w:rFonts w:ascii="Arial" w:cs="Arial" w:eastAsia="Arial" w:hAnsi="Arial"/>
          <w:sz w:val="22"/>
          <w:szCs w:val="22"/>
          <w:b w:val="1"/>
          <w:bCs w:val="1"/>
          <w:color w:val="auto"/>
        </w:rPr>
      </w:pPr>
    </w:p>
    <w:p>
      <w:pPr>
        <w:ind w:firstLine="757"/>
        <w:spacing w:after="0" w:line="256" w:lineRule="auto"/>
        <w:tabs>
          <w:tab w:leader="none" w:pos="1498"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Q</w:t>
      </w:r>
      <w:r>
        <w:rPr>
          <w:rFonts w:ascii="Arial" w:cs="Arial" w:eastAsia="Arial" w:hAnsi="Arial"/>
          <w:sz w:val="14"/>
          <w:szCs w:val="14"/>
          <w:b w:val="1"/>
          <w:bCs w:val="1"/>
          <w:color w:val="auto"/>
        </w:rPr>
        <w:t>uestions</w:t>
      </w:r>
      <w:r>
        <w:rPr>
          <w:rFonts w:ascii="Arial" w:cs="Arial" w:eastAsia="Arial" w:hAnsi="Arial"/>
          <w:sz w:val="22"/>
          <w:szCs w:val="22"/>
          <w:b w:val="1"/>
          <w:bCs w:val="1"/>
          <w:color w:val="auto"/>
        </w:rPr>
        <w:t xml:space="preserve">. </w:t>
      </w:r>
      <w:r>
        <w:rPr>
          <w:rFonts w:ascii="Arial" w:cs="Arial" w:eastAsia="Arial" w:hAnsi="Arial"/>
          <w:sz w:val="22"/>
          <w:szCs w:val="22"/>
          <w:color w:val="auto"/>
        </w:rPr>
        <w:t>If you have questions regarding these or any other terms and conditions applicable to your RSU</w:t>
      </w:r>
      <w:r>
        <w:rPr>
          <w:rFonts w:ascii="Arial" w:cs="Arial" w:eastAsia="Arial" w:hAnsi="Arial"/>
          <w:sz w:val="22"/>
          <w:szCs w:val="22"/>
          <w:b w:val="1"/>
          <w:bCs w:val="1"/>
          <w:color w:val="auto"/>
        </w:rPr>
        <w:t xml:space="preserve"> </w:t>
      </w:r>
      <w:r>
        <w:rPr>
          <w:rFonts w:ascii="Arial" w:cs="Arial" w:eastAsia="Arial" w:hAnsi="Arial"/>
          <w:sz w:val="22"/>
          <w:szCs w:val="22"/>
          <w:color w:val="auto"/>
        </w:rPr>
        <w:t>Award, including a summary of the applicable federal income tax consequences please see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948055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25"/>
          <w:szCs w:val="25"/>
          <w:b w:val="1"/>
          <w:bCs w:val="1"/>
          <w:color w:val="auto"/>
        </w:rPr>
        <w:t>A</w:t>
      </w:r>
      <w:r>
        <w:rPr>
          <w:rFonts w:ascii="Arial" w:cs="Arial" w:eastAsia="Arial" w:hAnsi="Arial"/>
          <w:sz w:val="17"/>
          <w:szCs w:val="17"/>
          <w:b w:val="1"/>
          <w:bCs w:val="1"/>
          <w:color w:val="auto"/>
        </w:rPr>
        <w:t>ttachment</w:t>
      </w:r>
      <w:r>
        <w:rPr>
          <w:rFonts w:ascii="Arial" w:cs="Arial" w:eastAsia="Arial" w:hAnsi="Arial"/>
          <w:sz w:val="25"/>
          <w:szCs w:val="25"/>
          <w:b w:val="1"/>
          <w:bCs w:val="1"/>
          <w:color w:val="auto"/>
        </w:rPr>
        <w:t xml:space="preserve"> II</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2020 E</w:t>
      </w:r>
      <w:r>
        <w:rPr>
          <w:rFonts w:ascii="Arial" w:cs="Arial" w:eastAsia="Arial" w:hAnsi="Arial"/>
          <w:sz w:val="17"/>
          <w:szCs w:val="17"/>
          <w:b w:val="1"/>
          <w:bCs w:val="1"/>
          <w:color w:val="auto"/>
        </w:rPr>
        <w:t>quity</w:t>
      </w:r>
      <w:r>
        <w:rPr>
          <w:rFonts w:ascii="Arial" w:cs="Arial" w:eastAsia="Arial" w:hAnsi="Arial"/>
          <w:sz w:val="25"/>
          <w:szCs w:val="25"/>
          <w:b w:val="1"/>
          <w:bCs w:val="1"/>
          <w:color w:val="auto"/>
        </w:rPr>
        <w:t xml:space="preserve"> I</w:t>
      </w:r>
      <w:r>
        <w:rPr>
          <w:rFonts w:ascii="Arial" w:cs="Arial" w:eastAsia="Arial" w:hAnsi="Arial"/>
          <w:sz w:val="17"/>
          <w:szCs w:val="17"/>
          <w:b w:val="1"/>
          <w:bCs w:val="1"/>
          <w:color w:val="auto"/>
        </w:rPr>
        <w:t>ncentive</w:t>
      </w:r>
      <w:r>
        <w:rPr>
          <w:rFonts w:ascii="Arial" w:cs="Arial" w:eastAsia="Arial" w:hAnsi="Arial"/>
          <w:sz w:val="25"/>
          <w:szCs w:val="25"/>
          <w:b w:val="1"/>
          <w:bCs w:val="1"/>
          <w:color w:val="auto"/>
        </w:rPr>
        <w:t xml:space="preserve"> P</w:t>
      </w:r>
      <w:r>
        <w:rPr>
          <w:rFonts w:ascii="Arial" w:cs="Arial" w:eastAsia="Arial" w:hAnsi="Arial"/>
          <w:sz w:val="17"/>
          <w:szCs w:val="17"/>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984885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75" w:right="1440" w:bottom="1440" w:gutter="0" w:footer="0" w:header="0"/>
        </w:sectPr>
      </w:pPr>
    </w:p>
    <w:bookmarkStart w:id="150" w:name="page151"/>
    <w:bookmarkEnd w:id="150"/>
    <w:p>
      <w:pPr>
        <w:ind w:left="10200"/>
        <w:spacing w:after="0"/>
        <w:rPr>
          <w:sz w:val="20"/>
          <w:szCs w:val="20"/>
          <w:color w:val="auto"/>
        </w:rPr>
      </w:pPr>
      <w:r>
        <w:rPr>
          <w:rFonts w:ascii="Arial" w:cs="Arial" w:eastAsia="Arial" w:hAnsi="Arial"/>
          <w:sz w:val="16"/>
          <w:szCs w:val="16"/>
          <w:color w:val="auto"/>
        </w:rPr>
        <w:t>Exhibit 10.27</w:t>
      </w:r>
    </w:p>
    <w:p>
      <w:pPr>
        <w:spacing w:after="0" w:line="275" w:lineRule="exact"/>
        <w:rPr>
          <w:sz w:val="20"/>
          <w:szCs w:val="20"/>
          <w:color w:val="auto"/>
        </w:rPr>
      </w:pPr>
    </w:p>
    <w:p>
      <w:pPr>
        <w:jc w:val="center"/>
        <w:ind w:right="100"/>
        <w:spacing w:after="0" w:line="308" w:lineRule="auto"/>
        <w:rPr>
          <w:sz w:val="20"/>
          <w:szCs w:val="20"/>
          <w:color w:val="auto"/>
        </w:rPr>
      </w:pPr>
      <w:r>
        <w:rPr>
          <w:rFonts w:ascii="Arial" w:cs="Arial" w:eastAsia="Arial" w:hAnsi="Arial"/>
          <w:sz w:val="17"/>
          <w:szCs w:val="17"/>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r>
        <w:rPr>
          <w:rFonts w:ascii="Arial" w:cs="Arial" w:eastAsia="Arial" w:hAnsi="Arial"/>
          <w:sz w:val="17"/>
          <w:szCs w:val="17"/>
          <w:i w:val="1"/>
          <w:iCs w:val="1"/>
          <w:color w:val="auto"/>
        </w:rPr>
        <w:t>.</w:t>
      </w:r>
    </w:p>
    <w:p>
      <w:pPr>
        <w:spacing w:after="0" w:line="200" w:lineRule="exact"/>
        <w:rPr>
          <w:sz w:val="20"/>
          <w:szCs w:val="20"/>
          <w:color w:val="auto"/>
        </w:rPr>
      </w:pP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COLLABORATION AND LICENSE AGREEMENT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S</w:t>
      </w:r>
      <w:r>
        <w:rPr>
          <w:rFonts w:ascii="Arial" w:cs="Arial" w:eastAsia="Arial" w:hAnsi="Arial"/>
          <w:sz w:val="22"/>
          <w:szCs w:val="22"/>
          <w:b w:val="1"/>
          <w:bCs w:val="1"/>
          <w:color w:val="auto"/>
        </w:rPr>
        <w:t>pruce</w:t>
      </w:r>
      <w:r>
        <w:rPr>
          <w:rFonts w:ascii="Arial" w:cs="Arial" w:eastAsia="Arial" w:hAnsi="Arial"/>
          <w:sz w:val="32"/>
          <w:szCs w:val="32"/>
          <w:b w:val="1"/>
          <w:bCs w:val="1"/>
          <w:color w:val="auto"/>
        </w:rPr>
        <w:t xml:space="preserve"> B</w:t>
      </w:r>
      <w:r>
        <w:rPr>
          <w:rFonts w:ascii="Arial" w:cs="Arial" w:eastAsia="Arial" w:hAnsi="Arial"/>
          <w:sz w:val="22"/>
          <w:szCs w:val="22"/>
          <w:b w:val="1"/>
          <w:bCs w:val="1"/>
          <w:color w:val="auto"/>
        </w:rPr>
        <w:t>iosciences</w:t>
      </w:r>
      <w:r>
        <w:rPr>
          <w:rFonts w:ascii="Arial" w:cs="Arial" w:eastAsia="Arial" w:hAnsi="Arial"/>
          <w:sz w:val="32"/>
          <w:szCs w:val="32"/>
          <w:b w:val="1"/>
          <w:bCs w:val="1"/>
          <w:color w:val="auto"/>
        </w:rPr>
        <w:t>,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K</w:t>
      </w:r>
      <w:r>
        <w:rPr>
          <w:rFonts w:ascii="Arial" w:cs="Arial" w:eastAsia="Arial" w:hAnsi="Arial"/>
          <w:sz w:val="22"/>
          <w:szCs w:val="22"/>
          <w:b w:val="1"/>
          <w:bCs w:val="1"/>
          <w:color w:val="auto"/>
        </w:rPr>
        <w:t>aken</w:t>
      </w:r>
      <w:r>
        <w:rPr>
          <w:rFonts w:ascii="Arial" w:cs="Arial" w:eastAsia="Arial" w:hAnsi="Arial"/>
          <w:sz w:val="32"/>
          <w:szCs w:val="32"/>
          <w:b w:val="1"/>
          <w:bCs w:val="1"/>
          <w:color w:val="auto"/>
        </w:rPr>
        <w:t xml:space="preserve"> P</w:t>
      </w:r>
      <w:r>
        <w:rPr>
          <w:rFonts w:ascii="Arial" w:cs="Arial" w:eastAsia="Arial" w:hAnsi="Arial"/>
          <w:sz w:val="22"/>
          <w:szCs w:val="22"/>
          <w:b w:val="1"/>
          <w:bCs w:val="1"/>
          <w:color w:val="auto"/>
        </w:rPr>
        <w:t>harmaceutical</w:t>
      </w:r>
      <w:r>
        <w:rPr>
          <w:rFonts w:ascii="Arial" w:cs="Arial" w:eastAsia="Arial" w:hAnsi="Arial"/>
          <w:sz w:val="32"/>
          <w:szCs w:val="32"/>
          <w:b w:val="1"/>
          <w:bCs w:val="1"/>
          <w:color w:val="auto"/>
        </w:rPr>
        <w:t xml:space="preserve"> C</w:t>
      </w:r>
      <w:r>
        <w:rPr>
          <w:rFonts w:ascii="Arial" w:cs="Arial" w:eastAsia="Arial" w:hAnsi="Arial"/>
          <w:sz w:val="22"/>
          <w:szCs w:val="22"/>
          <w:b w:val="1"/>
          <w:bCs w:val="1"/>
          <w:color w:val="auto"/>
        </w:rPr>
        <w:t>o</w:t>
      </w:r>
      <w:r>
        <w:rPr>
          <w:rFonts w:ascii="Arial" w:cs="Arial" w:eastAsia="Arial" w:hAnsi="Arial"/>
          <w:sz w:val="32"/>
          <w:szCs w:val="32"/>
          <w:b w:val="1"/>
          <w:bCs w:val="1"/>
          <w:color w:val="auto"/>
        </w:rPr>
        <w:t>., LTD.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27"/>
          <w:szCs w:val="27"/>
          <w:b w:val="1"/>
          <w:bCs w:val="1"/>
          <w:color w:val="auto"/>
        </w:rPr>
        <w:t>January 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965200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125" w:right="339" w:bottom="1440" w:gutter="0" w:footer="0" w:header="0"/>
        </w:sectPr>
      </w:pPr>
    </w:p>
    <w:bookmarkStart w:id="151" w:name="page152"/>
    <w:bookmarkEnd w:id="151"/>
    <w:tbl>
      <w:tblPr>
        <w:tblLayout w:type="fixed"/>
        <w:tblInd w:w="20" w:type="dxa"/>
        <w:tblCellMar>
          <w:top w:w="0" w:type="dxa"/>
          <w:left w:w="0" w:type="dxa"/>
          <w:bottom w:w="0" w:type="dxa"/>
          <w:right w:w="0" w:type="dxa"/>
        </w:tblCellMar>
      </w:tblPr>
      <w:tr>
        <w:trPr>
          <w:trHeight w:val="280"/>
        </w:trPr>
        <w:tc>
          <w:tcPr>
            <w:tcW w:w="8760" w:type="dxa"/>
            <w:vAlign w:val="bottom"/>
          </w:tcPr>
          <w:p>
            <w:pPr>
              <w:ind w:left="4440"/>
              <w:spacing w:after="0"/>
              <w:rPr>
                <w:sz w:val="20"/>
                <w:szCs w:val="20"/>
                <w:color w:val="auto"/>
              </w:rPr>
            </w:pPr>
            <w:r>
              <w:rPr>
                <w:rFonts w:ascii="Arial" w:cs="Arial" w:eastAsia="Arial" w:hAnsi="Arial"/>
                <w:sz w:val="22"/>
                <w:szCs w:val="22"/>
                <w:b w:val="1"/>
                <w:bCs w:val="1"/>
                <w:color w:val="auto"/>
              </w:rPr>
              <w:t>TABLE OF CONTENTS</w:t>
            </w:r>
          </w:p>
        </w:tc>
        <w:tc>
          <w:tcPr>
            <w:tcW w:w="2460" w:type="dxa"/>
            <w:vAlign w:val="bottom"/>
          </w:tcPr>
          <w:p>
            <w:pPr>
              <w:spacing w:after="0"/>
              <w:rPr>
                <w:sz w:val="24"/>
                <w:szCs w:val="24"/>
                <w:color w:val="auto"/>
              </w:rPr>
            </w:pPr>
          </w:p>
        </w:tc>
      </w:tr>
      <w:tr>
        <w:trPr>
          <w:trHeight w:val="459"/>
        </w:trPr>
        <w:tc>
          <w:tcPr>
            <w:tcW w:w="876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543"/>
        </w:trPr>
        <w:tc>
          <w:tcPr>
            <w:tcW w:w="8760" w:type="dxa"/>
            <w:vAlign w:val="bottom"/>
          </w:tcPr>
          <w:p>
            <w:pPr>
              <w:spacing w:after="0"/>
              <w:rPr>
                <w:sz w:val="20"/>
                <w:szCs w:val="20"/>
                <w:color w:val="auto"/>
              </w:rPr>
            </w:pPr>
            <w:r>
              <w:rPr>
                <w:rFonts w:ascii="Arial" w:cs="Arial" w:eastAsia="Arial" w:hAnsi="Arial"/>
                <w:sz w:val="18"/>
                <w:szCs w:val="18"/>
                <w:b w:val="1"/>
                <w:bCs w:val="1"/>
                <w:color w:val="0000FF"/>
              </w:rPr>
              <w:t>ARTICLE 1 DEFINITIONS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446"/>
        </w:trPr>
        <w:tc>
          <w:tcPr>
            <w:tcW w:w="8760" w:type="dxa"/>
            <w:vAlign w:val="bottom"/>
          </w:tcPr>
          <w:p>
            <w:pPr>
              <w:spacing w:after="0"/>
              <w:rPr>
                <w:sz w:val="20"/>
                <w:szCs w:val="20"/>
                <w:color w:val="auto"/>
              </w:rPr>
            </w:pPr>
            <w:r>
              <w:rPr>
                <w:rFonts w:ascii="Arial" w:cs="Arial" w:eastAsia="Arial" w:hAnsi="Arial"/>
                <w:sz w:val="18"/>
                <w:szCs w:val="18"/>
                <w:b w:val="1"/>
                <w:bCs w:val="1"/>
                <w:color w:val="0000FF"/>
              </w:rPr>
              <w:t>ARTICLE 2 LICENSE</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445"/>
        </w:trPr>
        <w:tc>
          <w:tcPr>
            <w:tcW w:w="8760" w:type="dxa"/>
            <w:vAlign w:val="bottom"/>
          </w:tcPr>
          <w:p>
            <w:pPr>
              <w:spacing w:after="0"/>
              <w:rPr>
                <w:sz w:val="20"/>
                <w:szCs w:val="20"/>
                <w:color w:val="auto"/>
              </w:rPr>
            </w:pPr>
            <w:r>
              <w:rPr>
                <w:rFonts w:ascii="Arial" w:cs="Arial" w:eastAsia="Arial" w:hAnsi="Arial"/>
                <w:sz w:val="18"/>
                <w:szCs w:val="18"/>
                <w:b w:val="1"/>
                <w:bCs w:val="1"/>
                <w:color w:val="0000FF"/>
              </w:rPr>
              <w:t>ARTICLE 3 GOVERNANCE</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446"/>
        </w:trPr>
        <w:tc>
          <w:tcPr>
            <w:tcW w:w="8760" w:type="dxa"/>
            <w:vAlign w:val="bottom"/>
          </w:tcPr>
          <w:p>
            <w:pPr>
              <w:spacing w:after="0"/>
              <w:rPr>
                <w:sz w:val="20"/>
                <w:szCs w:val="20"/>
                <w:color w:val="auto"/>
              </w:rPr>
            </w:pPr>
            <w:r>
              <w:rPr>
                <w:rFonts w:ascii="Arial" w:cs="Arial" w:eastAsia="Arial" w:hAnsi="Arial"/>
                <w:sz w:val="18"/>
                <w:szCs w:val="18"/>
                <w:b w:val="1"/>
                <w:bCs w:val="1"/>
                <w:color w:val="0000FF"/>
              </w:rPr>
              <w:t>ARTICLE 4 DEVELOPMENT</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445"/>
        </w:trPr>
        <w:tc>
          <w:tcPr>
            <w:tcW w:w="8760" w:type="dxa"/>
            <w:vAlign w:val="bottom"/>
          </w:tcPr>
          <w:p>
            <w:pPr>
              <w:spacing w:after="0"/>
              <w:rPr>
                <w:sz w:val="20"/>
                <w:szCs w:val="20"/>
                <w:color w:val="auto"/>
              </w:rPr>
            </w:pPr>
            <w:r>
              <w:rPr>
                <w:rFonts w:ascii="Arial" w:cs="Arial" w:eastAsia="Arial" w:hAnsi="Arial"/>
                <w:sz w:val="18"/>
                <w:szCs w:val="18"/>
                <w:b w:val="1"/>
                <w:bCs w:val="1"/>
                <w:color w:val="0000FF"/>
              </w:rPr>
              <w:t>ARTICLE 5 REGULATORY MATTERS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446"/>
        </w:trPr>
        <w:tc>
          <w:tcPr>
            <w:tcW w:w="8760" w:type="dxa"/>
            <w:vAlign w:val="bottom"/>
          </w:tcPr>
          <w:p>
            <w:pPr>
              <w:spacing w:after="0"/>
              <w:rPr>
                <w:sz w:val="20"/>
                <w:szCs w:val="20"/>
                <w:color w:val="auto"/>
              </w:rPr>
            </w:pPr>
            <w:r>
              <w:rPr>
                <w:rFonts w:ascii="Arial" w:cs="Arial" w:eastAsia="Arial" w:hAnsi="Arial"/>
                <w:sz w:val="18"/>
                <w:szCs w:val="18"/>
                <w:b w:val="1"/>
                <w:bCs w:val="1"/>
                <w:color w:val="0000FF"/>
              </w:rPr>
              <w:t>ARTICLE 6 COMMERCIALIZATION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446"/>
        </w:trPr>
        <w:tc>
          <w:tcPr>
            <w:tcW w:w="8760" w:type="dxa"/>
            <w:vAlign w:val="bottom"/>
          </w:tcPr>
          <w:p>
            <w:pPr>
              <w:spacing w:after="0"/>
              <w:rPr>
                <w:sz w:val="20"/>
                <w:szCs w:val="20"/>
                <w:color w:val="auto"/>
              </w:rPr>
            </w:pPr>
            <w:r>
              <w:rPr>
                <w:rFonts w:ascii="Arial" w:cs="Arial" w:eastAsia="Arial" w:hAnsi="Arial"/>
                <w:sz w:val="18"/>
                <w:szCs w:val="18"/>
                <w:b w:val="1"/>
                <w:bCs w:val="1"/>
                <w:color w:val="0000FF"/>
              </w:rPr>
              <w:t>ARTICLE 7 MANUFACTURE AND SUPPLY</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445"/>
        </w:trPr>
        <w:tc>
          <w:tcPr>
            <w:tcW w:w="8760" w:type="dxa"/>
            <w:vAlign w:val="bottom"/>
          </w:tcPr>
          <w:p>
            <w:pPr>
              <w:spacing w:after="0"/>
              <w:rPr>
                <w:sz w:val="20"/>
                <w:szCs w:val="20"/>
                <w:color w:val="auto"/>
              </w:rPr>
            </w:pPr>
            <w:r>
              <w:rPr>
                <w:rFonts w:ascii="Arial" w:cs="Arial" w:eastAsia="Arial" w:hAnsi="Arial"/>
                <w:sz w:val="18"/>
                <w:szCs w:val="18"/>
                <w:b w:val="1"/>
                <w:bCs w:val="1"/>
                <w:color w:val="0000FF"/>
              </w:rPr>
              <w:t>ARTICLE 8 COMPENSATION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446"/>
        </w:trPr>
        <w:tc>
          <w:tcPr>
            <w:tcW w:w="8760" w:type="dxa"/>
            <w:vAlign w:val="bottom"/>
          </w:tcPr>
          <w:p>
            <w:pPr>
              <w:spacing w:after="0"/>
              <w:rPr>
                <w:sz w:val="20"/>
                <w:szCs w:val="20"/>
                <w:color w:val="auto"/>
              </w:rPr>
            </w:pPr>
            <w:r>
              <w:rPr>
                <w:rFonts w:ascii="Arial" w:cs="Arial" w:eastAsia="Arial" w:hAnsi="Arial"/>
                <w:sz w:val="18"/>
                <w:szCs w:val="18"/>
                <w:b w:val="1"/>
                <w:bCs w:val="1"/>
                <w:color w:val="0000FF"/>
              </w:rPr>
              <w:t>ARTICLE 9 INTELLECTUAL PROPERTY MATTERS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r>
        <w:trPr>
          <w:trHeight w:val="445"/>
        </w:trPr>
        <w:tc>
          <w:tcPr>
            <w:tcW w:w="8760" w:type="dxa"/>
            <w:vAlign w:val="bottom"/>
          </w:tcPr>
          <w:p>
            <w:pPr>
              <w:spacing w:after="0"/>
              <w:rPr>
                <w:sz w:val="20"/>
                <w:szCs w:val="20"/>
                <w:color w:val="auto"/>
              </w:rPr>
            </w:pPr>
            <w:r>
              <w:rPr>
                <w:rFonts w:ascii="Arial" w:cs="Arial" w:eastAsia="Arial" w:hAnsi="Arial"/>
                <w:sz w:val="18"/>
                <w:szCs w:val="18"/>
                <w:b w:val="1"/>
                <w:bCs w:val="1"/>
                <w:color w:val="0000FF"/>
              </w:rPr>
              <w:t>ARTICLE 10 REPRESENTATIONS AND WARRANTIES; COVENANTS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50</w:t>
            </w:r>
          </w:p>
        </w:tc>
      </w:tr>
      <w:tr>
        <w:trPr>
          <w:trHeight w:val="446"/>
        </w:trPr>
        <w:tc>
          <w:tcPr>
            <w:tcW w:w="8760" w:type="dxa"/>
            <w:vAlign w:val="bottom"/>
          </w:tcPr>
          <w:p>
            <w:pPr>
              <w:spacing w:after="0"/>
              <w:rPr>
                <w:sz w:val="20"/>
                <w:szCs w:val="20"/>
                <w:color w:val="auto"/>
              </w:rPr>
            </w:pPr>
            <w:r>
              <w:rPr>
                <w:rFonts w:ascii="Arial" w:cs="Arial" w:eastAsia="Arial" w:hAnsi="Arial"/>
                <w:sz w:val="18"/>
                <w:szCs w:val="18"/>
                <w:b w:val="1"/>
                <w:bCs w:val="1"/>
                <w:color w:val="0000FF"/>
              </w:rPr>
              <w:t>ARTICLE 11 INDEMNIFICATION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55</w:t>
            </w:r>
          </w:p>
        </w:tc>
      </w:tr>
      <w:tr>
        <w:trPr>
          <w:trHeight w:val="445"/>
        </w:trPr>
        <w:tc>
          <w:tcPr>
            <w:tcW w:w="8760" w:type="dxa"/>
            <w:vAlign w:val="bottom"/>
          </w:tcPr>
          <w:p>
            <w:pPr>
              <w:spacing w:after="0"/>
              <w:rPr>
                <w:sz w:val="20"/>
                <w:szCs w:val="20"/>
                <w:color w:val="auto"/>
              </w:rPr>
            </w:pPr>
            <w:r>
              <w:rPr>
                <w:rFonts w:ascii="Arial" w:cs="Arial" w:eastAsia="Arial" w:hAnsi="Arial"/>
                <w:sz w:val="18"/>
                <w:szCs w:val="18"/>
                <w:b w:val="1"/>
                <w:bCs w:val="1"/>
                <w:color w:val="0000FF"/>
              </w:rPr>
              <w:t>ARTICLE 12 CONFIDENTIALITY</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57</w:t>
            </w:r>
          </w:p>
        </w:tc>
      </w:tr>
      <w:tr>
        <w:trPr>
          <w:trHeight w:val="446"/>
        </w:trPr>
        <w:tc>
          <w:tcPr>
            <w:tcW w:w="8760" w:type="dxa"/>
            <w:vAlign w:val="bottom"/>
          </w:tcPr>
          <w:p>
            <w:pPr>
              <w:spacing w:after="0"/>
              <w:rPr>
                <w:sz w:val="20"/>
                <w:szCs w:val="20"/>
                <w:color w:val="auto"/>
              </w:rPr>
            </w:pPr>
            <w:r>
              <w:rPr>
                <w:rFonts w:ascii="Arial" w:cs="Arial" w:eastAsia="Arial" w:hAnsi="Arial"/>
                <w:sz w:val="18"/>
                <w:szCs w:val="18"/>
                <w:b w:val="1"/>
                <w:bCs w:val="1"/>
                <w:color w:val="0000FF"/>
              </w:rPr>
              <w:t>ARTICLE 13 TERM AND TERMINATION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60</w:t>
            </w:r>
          </w:p>
        </w:tc>
      </w:tr>
      <w:tr>
        <w:trPr>
          <w:trHeight w:val="445"/>
        </w:trPr>
        <w:tc>
          <w:tcPr>
            <w:tcW w:w="8760" w:type="dxa"/>
            <w:vAlign w:val="bottom"/>
          </w:tcPr>
          <w:p>
            <w:pPr>
              <w:spacing w:after="0"/>
              <w:rPr>
                <w:sz w:val="20"/>
                <w:szCs w:val="20"/>
                <w:color w:val="auto"/>
              </w:rPr>
            </w:pPr>
            <w:r>
              <w:rPr>
                <w:rFonts w:ascii="Arial" w:cs="Arial" w:eastAsia="Arial" w:hAnsi="Arial"/>
                <w:sz w:val="18"/>
                <w:szCs w:val="18"/>
                <w:b w:val="1"/>
                <w:bCs w:val="1"/>
                <w:color w:val="0000FF"/>
              </w:rPr>
              <w:t>ARTICLE 14 DISPUTE RESOLUTION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64</w:t>
            </w:r>
          </w:p>
        </w:tc>
      </w:tr>
      <w:tr>
        <w:trPr>
          <w:trHeight w:val="445"/>
        </w:trPr>
        <w:tc>
          <w:tcPr>
            <w:tcW w:w="8760" w:type="dxa"/>
            <w:vAlign w:val="bottom"/>
          </w:tcPr>
          <w:p>
            <w:pPr>
              <w:spacing w:after="0"/>
              <w:rPr>
                <w:sz w:val="20"/>
                <w:szCs w:val="20"/>
                <w:color w:val="auto"/>
              </w:rPr>
            </w:pPr>
            <w:r>
              <w:rPr>
                <w:rFonts w:ascii="Arial" w:cs="Arial" w:eastAsia="Arial" w:hAnsi="Arial"/>
                <w:sz w:val="18"/>
                <w:szCs w:val="18"/>
                <w:b w:val="1"/>
                <w:bCs w:val="1"/>
                <w:color w:val="0000FF"/>
              </w:rPr>
              <w:t>ARTICLE 15 MISCELLANEOUS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65</w:t>
            </w:r>
          </w:p>
        </w:tc>
      </w:tr>
    </w:tbl>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List of Exhibits and Schedules</w:t>
      </w:r>
    </w:p>
    <w:p>
      <w:pPr>
        <w:spacing w:after="0" w:line="104"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Spruce Licensed Patents</w:t>
      </w:r>
    </w:p>
    <w:p>
      <w:pPr>
        <w:spacing w:after="0" w:line="9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Structure of Tildacerfont</w:t>
      </w:r>
    </w:p>
    <w:p>
      <w:pPr>
        <w:spacing w:after="0" w:line="9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Exhibit C</w:t>
      </w:r>
      <w:r>
        <w:rPr>
          <w:sz w:val="20"/>
          <w:szCs w:val="20"/>
          <w:color w:val="auto"/>
        </w:rPr>
        <w:tab/>
      </w:r>
      <w:r>
        <w:rPr>
          <w:rFonts w:ascii="Arial" w:cs="Arial" w:eastAsia="Arial" w:hAnsi="Arial"/>
          <w:sz w:val="19"/>
          <w:szCs w:val="19"/>
          <w:color w:val="auto"/>
        </w:rPr>
        <w:t>Initial Technology Transfer Plan</w:t>
      </w:r>
    </w:p>
    <w:p>
      <w:pPr>
        <w:spacing w:after="0" w:line="9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Exhibit D</w:t>
      </w:r>
      <w:r>
        <w:rPr>
          <w:sz w:val="20"/>
          <w:szCs w:val="20"/>
          <w:color w:val="auto"/>
        </w:rPr>
        <w:tab/>
      </w:r>
      <w:r>
        <w:rPr>
          <w:rFonts w:ascii="Arial" w:cs="Arial" w:eastAsia="Arial" w:hAnsi="Arial"/>
          <w:sz w:val="19"/>
          <w:szCs w:val="19"/>
          <w:color w:val="auto"/>
        </w:rPr>
        <w:t>Initial Development Plan</w:t>
      </w:r>
    </w:p>
    <w:p>
      <w:pPr>
        <w:spacing w:after="0" w:line="9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Exhibit E</w:t>
      </w:r>
      <w:r>
        <w:rPr>
          <w:sz w:val="20"/>
          <w:szCs w:val="20"/>
          <w:color w:val="auto"/>
        </w:rPr>
        <w:tab/>
      </w:r>
      <w:r>
        <w:rPr>
          <w:rFonts w:ascii="Arial" w:cs="Arial" w:eastAsia="Arial" w:hAnsi="Arial"/>
          <w:sz w:val="19"/>
          <w:szCs w:val="19"/>
          <w:color w:val="auto"/>
        </w:rPr>
        <w:t>Upstream Agreement</w:t>
      </w:r>
    </w:p>
    <w:p>
      <w:pPr>
        <w:spacing w:after="0" w:line="98" w:lineRule="exact"/>
        <w:rPr>
          <w:sz w:val="20"/>
          <w:szCs w:val="20"/>
          <w:color w:val="auto"/>
        </w:rPr>
      </w:pPr>
    </w:p>
    <w:p>
      <w:pPr>
        <w:spacing w:after="0"/>
        <w:tabs>
          <w:tab w:leader="none" w:pos="1720" w:val="left"/>
        </w:tabs>
        <w:rPr>
          <w:sz w:val="20"/>
          <w:szCs w:val="20"/>
          <w:color w:val="auto"/>
        </w:rPr>
      </w:pPr>
      <w:r>
        <w:rPr>
          <w:rFonts w:ascii="Arial" w:cs="Arial" w:eastAsia="Arial" w:hAnsi="Arial"/>
          <w:sz w:val="22"/>
          <w:szCs w:val="22"/>
          <w:color w:val="auto"/>
        </w:rPr>
        <w:t>Schedule 6.6</w:t>
      </w:r>
      <w:r>
        <w:rPr>
          <w:sz w:val="20"/>
          <w:szCs w:val="20"/>
          <w:color w:val="auto"/>
        </w:rPr>
        <w:tab/>
      </w:r>
      <w:r>
        <w:rPr>
          <w:rFonts w:ascii="Arial" w:cs="Arial" w:eastAsia="Arial" w:hAnsi="Arial"/>
          <w:sz w:val="19"/>
          <w:szCs w:val="19"/>
          <w:color w:val="auto"/>
        </w:rPr>
        <w:t>Additional Expansion Territories</w:t>
      </w:r>
    </w:p>
    <w:p>
      <w:pPr>
        <w:spacing w:after="0" w:line="98" w:lineRule="exact"/>
        <w:rPr>
          <w:sz w:val="20"/>
          <w:szCs w:val="20"/>
          <w:color w:val="auto"/>
        </w:rPr>
      </w:pPr>
    </w:p>
    <w:p>
      <w:pPr>
        <w:spacing w:after="0"/>
        <w:tabs>
          <w:tab w:leader="none" w:pos="1720" w:val="left"/>
        </w:tabs>
        <w:rPr>
          <w:sz w:val="20"/>
          <w:szCs w:val="20"/>
          <w:color w:val="auto"/>
        </w:rPr>
      </w:pPr>
      <w:r>
        <w:rPr>
          <w:rFonts w:ascii="Arial" w:cs="Arial" w:eastAsia="Arial" w:hAnsi="Arial"/>
          <w:sz w:val="22"/>
          <w:szCs w:val="22"/>
          <w:color w:val="auto"/>
        </w:rPr>
        <w:t>Schedule 10.2(a)</w:t>
      </w:r>
      <w:r>
        <w:rPr>
          <w:sz w:val="20"/>
          <w:szCs w:val="20"/>
          <w:color w:val="auto"/>
        </w:rPr>
        <w:tab/>
      </w:r>
      <w:r>
        <w:rPr>
          <w:rFonts w:ascii="Arial" w:cs="Arial" w:eastAsia="Arial" w:hAnsi="Arial"/>
          <w:sz w:val="19"/>
          <w:szCs w:val="19"/>
          <w:color w:val="auto"/>
        </w:rPr>
        <w:t>Additional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645795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22"/>
          <w:szCs w:val="22"/>
          <w:b w:val="1"/>
          <w:bCs w:val="1"/>
          <w:color w:val="auto"/>
        </w:rPr>
        <w:t>COLLABORATION AND LICENSE AGREEMENT</w:t>
      </w:r>
    </w:p>
    <w:p>
      <w:pPr>
        <w:spacing w:after="0" w:line="20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C</w:t>
      </w:r>
      <w:r>
        <w:rPr>
          <w:rFonts w:ascii="Arial" w:cs="Arial" w:eastAsia="Arial" w:hAnsi="Arial"/>
          <w:sz w:val="14"/>
          <w:szCs w:val="14"/>
          <w:b w:val="1"/>
          <w:bCs w:val="1"/>
          <w:color w:val="auto"/>
        </w:rPr>
        <w:t>ollaboration and</w:t>
      </w:r>
      <w:r>
        <w:rPr>
          <w:rFonts w:ascii="Arial" w:cs="Arial" w:eastAsia="Arial" w:hAnsi="Arial"/>
          <w:sz w:val="22"/>
          <w:szCs w:val="22"/>
          <w:color w:val="auto"/>
        </w:rPr>
        <w:t xml:space="preserve"> </w:t>
      </w:r>
      <w:r>
        <w:rPr>
          <w:rFonts w:ascii="Arial" w:cs="Arial" w:eastAsia="Arial" w:hAnsi="Arial"/>
          <w:sz w:val="22"/>
          <w:szCs w:val="22"/>
          <w:b w:val="1"/>
          <w:bCs w:val="1"/>
          <w:color w:val="auto"/>
        </w:rPr>
        <w:t>L</w:t>
      </w:r>
      <w:r>
        <w:rPr>
          <w:rFonts w:ascii="Arial" w:cs="Arial" w:eastAsia="Arial" w:hAnsi="Arial"/>
          <w:sz w:val="14"/>
          <w:szCs w:val="14"/>
          <w:b w:val="1"/>
          <w:bCs w:val="1"/>
          <w:color w:val="auto"/>
        </w:rPr>
        <w:t>icense</w:t>
      </w:r>
      <w:r>
        <w:rPr>
          <w:rFonts w:ascii="Arial" w:cs="Arial" w:eastAsia="Arial" w:hAnsi="Arial"/>
          <w:sz w:val="22"/>
          <w:szCs w:val="22"/>
          <w:color w:val="auto"/>
        </w:rPr>
        <w:t xml:space="preserve"> </w:t>
      </w:r>
      <w:r>
        <w:rPr>
          <w:rFonts w:ascii="Arial" w:cs="Arial" w:eastAsia="Arial" w:hAnsi="Arial"/>
          <w:sz w:val="22"/>
          <w:szCs w:val="22"/>
          <w:b w:val="1"/>
          <w:bCs w:val="1"/>
          <w:color w:val="auto"/>
        </w:rPr>
        <w:t>A</w:t>
      </w:r>
      <w:r>
        <w:rPr>
          <w:rFonts w:ascii="Arial" w:cs="Arial" w:eastAsia="Arial" w:hAnsi="Arial"/>
          <w:sz w:val="14"/>
          <w:szCs w:val="14"/>
          <w:b w:val="1"/>
          <w:bCs w:val="1"/>
          <w:color w:val="auto"/>
        </w:rPr>
        <w:t>greement</w:t>
      </w:r>
      <w:r>
        <w:rPr>
          <w:rFonts w:ascii="Arial" w:cs="Arial" w:eastAsia="Arial" w:hAnsi="Arial"/>
          <w:sz w:val="22"/>
          <w:szCs w:val="22"/>
          <w:color w:val="auto"/>
        </w:rPr>
        <w:t xml:space="preserve"> (the “</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as of January 5, 2023 (the “</w:t>
      </w:r>
      <w:r>
        <w:rPr>
          <w:rFonts w:ascii="Arial" w:cs="Arial" w:eastAsia="Arial" w:hAnsi="Arial"/>
          <w:sz w:val="22"/>
          <w:szCs w:val="22"/>
          <w:b w:val="1"/>
          <w:bCs w:val="1"/>
          <w:color w:val="auto"/>
        </w:rPr>
        <w:t>Effective</w:t>
      </w:r>
      <w:r>
        <w:rPr>
          <w:rFonts w:ascii="Arial" w:cs="Arial" w:eastAsia="Arial" w:hAnsi="Arial"/>
          <w:sz w:val="22"/>
          <w:szCs w:val="22"/>
          <w:color w:val="auto"/>
        </w:rPr>
        <w:t xml:space="preserve"> </w:t>
      </w:r>
      <w:r>
        <w:rPr>
          <w:rFonts w:ascii="Arial" w:cs="Arial" w:eastAsia="Arial" w:hAnsi="Arial"/>
          <w:sz w:val="22"/>
          <w:szCs w:val="22"/>
          <w:b w:val="1"/>
          <w:bCs w:val="1"/>
          <w:color w:val="auto"/>
        </w:rPr>
        <w:t>Date</w:t>
      </w:r>
      <w:r>
        <w:rPr>
          <w:rFonts w:ascii="Arial" w:cs="Arial" w:eastAsia="Arial" w:hAnsi="Arial"/>
          <w:sz w:val="22"/>
          <w:szCs w:val="22"/>
          <w:color w:val="auto"/>
        </w:rPr>
        <w:t>”) by and between</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pruce</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iosciences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 xml:space="preserve">., </w:t>
      </w:r>
      <w:r>
        <w:rPr>
          <w:rFonts w:ascii="Arial" w:cs="Arial" w:eastAsia="Arial" w:hAnsi="Arial"/>
          <w:sz w:val="22"/>
          <w:szCs w:val="22"/>
          <w:color w:val="auto"/>
        </w:rPr>
        <w:t>a corporation organized and existing under the laws of Delaware and having a</w:t>
      </w:r>
      <w:r>
        <w:rPr>
          <w:rFonts w:ascii="Arial" w:cs="Arial" w:eastAsia="Arial" w:hAnsi="Arial"/>
          <w:sz w:val="22"/>
          <w:szCs w:val="22"/>
          <w:b w:val="1"/>
          <w:bCs w:val="1"/>
          <w:color w:val="auto"/>
        </w:rPr>
        <w:t xml:space="preserve"> </w:t>
      </w:r>
      <w:r>
        <w:rPr>
          <w:rFonts w:ascii="Arial" w:cs="Arial" w:eastAsia="Arial" w:hAnsi="Arial"/>
          <w:sz w:val="22"/>
          <w:szCs w:val="22"/>
          <w:color w:val="auto"/>
        </w:rPr>
        <w:t>place of business at 611 Gateway Boulevard, Suite 740, South San Francisco, CA 94080, USA (“</w:t>
      </w:r>
      <w:r>
        <w:rPr>
          <w:rFonts w:ascii="Arial" w:cs="Arial" w:eastAsia="Arial" w:hAnsi="Arial"/>
          <w:sz w:val="22"/>
          <w:szCs w:val="22"/>
          <w:b w:val="1"/>
          <w:bCs w:val="1"/>
          <w:color w:val="auto"/>
        </w:rPr>
        <w:t>Spruce</w:t>
      </w:r>
      <w:r>
        <w:rPr>
          <w:rFonts w:ascii="Arial" w:cs="Arial" w:eastAsia="Arial" w:hAnsi="Arial"/>
          <w:sz w:val="22"/>
          <w:szCs w:val="22"/>
          <w:color w:val="auto"/>
        </w:rPr>
        <w:t xml:space="preserve">”), and </w:t>
      </w:r>
      <w:r>
        <w:rPr>
          <w:rFonts w:ascii="Arial" w:cs="Arial" w:eastAsia="Arial" w:hAnsi="Arial"/>
          <w:sz w:val="22"/>
          <w:szCs w:val="22"/>
          <w:b w:val="1"/>
          <w:bCs w:val="1"/>
          <w:color w:val="auto"/>
        </w:rPr>
        <w:t>K</w:t>
      </w:r>
      <w:r>
        <w:rPr>
          <w:rFonts w:ascii="Arial" w:cs="Arial" w:eastAsia="Arial" w:hAnsi="Arial"/>
          <w:sz w:val="14"/>
          <w:szCs w:val="14"/>
          <w:b w:val="1"/>
          <w:bCs w:val="1"/>
          <w:color w:val="auto"/>
        </w:rPr>
        <w:t>aken</w:t>
      </w:r>
      <w:r>
        <w:rPr>
          <w:rFonts w:ascii="Arial" w:cs="Arial" w:eastAsia="Arial" w:hAnsi="Arial"/>
          <w:sz w:val="22"/>
          <w:szCs w:val="22"/>
          <w:color w:val="auto"/>
        </w:rPr>
        <w:t xml:space="preserve"> </w:t>
      </w:r>
      <w:r>
        <w:rPr>
          <w:rFonts w:ascii="Arial" w:cs="Arial" w:eastAsia="Arial" w:hAnsi="Arial"/>
          <w:sz w:val="22"/>
          <w:szCs w:val="22"/>
          <w:b w:val="1"/>
          <w:bCs w:val="1"/>
          <w:color w:val="auto"/>
        </w:rPr>
        <w:t>P</w:t>
      </w:r>
      <w:r>
        <w:rPr>
          <w:rFonts w:ascii="Arial" w:cs="Arial" w:eastAsia="Arial" w:hAnsi="Arial"/>
          <w:sz w:val="14"/>
          <w:szCs w:val="14"/>
          <w:b w:val="1"/>
          <w:bCs w:val="1"/>
          <w:color w:val="auto"/>
        </w:rPr>
        <w:t>harmaceutical</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w:t>
      </w:r>
      <w:r>
        <w:rPr>
          <w:rFonts w:ascii="Arial" w:cs="Arial" w:eastAsia="Arial" w:hAnsi="Arial"/>
          <w:sz w:val="22"/>
          <w:szCs w:val="22"/>
          <w:b w:val="1"/>
          <w:bCs w:val="1"/>
          <w:color w:val="auto"/>
        </w:rPr>
        <w:t>., LTD.</w:t>
      </w:r>
      <w:r>
        <w:rPr>
          <w:rFonts w:ascii="Arial" w:cs="Arial" w:eastAsia="Arial" w:hAnsi="Arial"/>
          <w:sz w:val="22"/>
          <w:szCs w:val="22"/>
          <w:color w:val="auto"/>
        </w:rPr>
        <w:t>, a corporation organized and existing under the laws of Japan and having a place of business at 28-8,</w:t>
      </w:r>
      <w:r>
        <w:rPr>
          <w:rFonts w:ascii="Arial" w:cs="Arial" w:eastAsia="Arial" w:hAnsi="Arial"/>
          <w:sz w:val="22"/>
          <w:szCs w:val="22"/>
          <w:b w:val="1"/>
          <w:bCs w:val="1"/>
          <w:color w:val="auto"/>
        </w:rPr>
        <w:t xml:space="preserve"> </w:t>
      </w:r>
      <w:r>
        <w:rPr>
          <w:rFonts w:ascii="Arial" w:cs="Arial" w:eastAsia="Arial" w:hAnsi="Arial"/>
          <w:sz w:val="22"/>
          <w:szCs w:val="22"/>
          <w:color w:val="auto"/>
        </w:rPr>
        <w:t>Honkomagome 2-chome, Bunkyo-ku, Tokyo 113-8650, Japan (“</w:t>
      </w:r>
      <w:r>
        <w:rPr>
          <w:rFonts w:ascii="Arial" w:cs="Arial" w:eastAsia="Arial" w:hAnsi="Arial"/>
          <w:sz w:val="22"/>
          <w:szCs w:val="22"/>
          <w:b w:val="1"/>
          <w:bCs w:val="1"/>
          <w:color w:val="auto"/>
        </w:rPr>
        <w:t>Kaken</w:t>
      </w:r>
      <w:r>
        <w:rPr>
          <w:rFonts w:ascii="Arial" w:cs="Arial" w:eastAsia="Arial" w:hAnsi="Arial"/>
          <w:sz w:val="22"/>
          <w:szCs w:val="22"/>
          <w:color w:val="auto"/>
        </w:rPr>
        <w:t>”). Spruce and Kaken are sometimes referred to herein individually as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29"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Spruce is currently conducting research and development of its lead product candidate, tildacerfont, a CRF</w:t>
      </w:r>
      <w:r>
        <w:rPr>
          <w:rFonts w:ascii="Arial" w:cs="Arial" w:eastAsia="Arial" w:hAnsi="Arial"/>
          <w:sz w:val="28"/>
          <w:szCs w:val="28"/>
          <w:color w:val="auto"/>
          <w:vertAlign w:val="subscript"/>
        </w:rPr>
        <w:t>1</w:t>
      </w:r>
      <w:r>
        <w:rPr>
          <w:rFonts w:ascii="Arial" w:cs="Arial" w:eastAsia="Arial" w:hAnsi="Arial"/>
          <w:sz w:val="22"/>
          <w:szCs w:val="22"/>
          <w:b w:val="1"/>
          <w:bCs w:val="1"/>
          <w:color w:val="auto"/>
        </w:rPr>
        <w:t xml:space="preserve"> </w:t>
      </w:r>
      <w:r>
        <w:rPr>
          <w:rFonts w:ascii="Arial" w:cs="Arial" w:eastAsia="Arial" w:hAnsi="Arial"/>
          <w:sz w:val="22"/>
          <w:szCs w:val="22"/>
          <w:color w:val="auto"/>
        </w:rPr>
        <w:t>receptor antagonist designed to inhibit excessive production of adrenocorticotropic hormone;</w:t>
      </w:r>
    </w:p>
    <w:p>
      <w:pPr>
        <w:spacing w:after="0" w:line="148"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Kaken is a pharmaceutical company with experience in developing pharmaceutical products in, among other</w:t>
      </w:r>
      <w:r>
        <w:rPr>
          <w:rFonts w:ascii="Arial" w:cs="Arial" w:eastAsia="Arial" w:hAnsi="Arial"/>
          <w:sz w:val="22"/>
          <w:szCs w:val="22"/>
          <w:b w:val="1"/>
          <w:bCs w:val="1"/>
          <w:color w:val="auto"/>
        </w:rPr>
        <w:t xml:space="preserve"> </w:t>
      </w:r>
      <w:r>
        <w:rPr>
          <w:rFonts w:ascii="Arial" w:cs="Arial" w:eastAsia="Arial" w:hAnsi="Arial"/>
          <w:sz w:val="22"/>
          <w:szCs w:val="22"/>
          <w:color w:val="auto"/>
        </w:rPr>
        <w:t>regions, Japan; and</w:t>
      </w:r>
    </w:p>
    <w:p>
      <w:pPr>
        <w:spacing w:after="0" w:line="16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Kaken desires to obtain from Spruce an exclusive license to Develop, Manufacture and Commercialize the</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Products in the Kaken Territory (with each capitalized term as respectively defined below), and Spruce is willing to grant such license to Kaken, all under the terms and conditions hereof.</w:t>
      </w:r>
    </w:p>
    <w:p>
      <w:pPr>
        <w:spacing w:after="0" w:line="177" w:lineRule="exact"/>
        <w:rPr>
          <w:sz w:val="20"/>
          <w:szCs w:val="20"/>
          <w:color w:val="auto"/>
        </w:rPr>
      </w:pPr>
    </w:p>
    <w:p>
      <w:pPr>
        <w:jc w:val="both"/>
        <w:ind w:right="20" w:firstLine="749"/>
        <w:spacing w:after="0" w:line="256" w:lineRule="auto"/>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ow</w:t>
      </w:r>
      <w:r>
        <w:rPr>
          <w:rFonts w:ascii="Arial" w:cs="Arial" w:eastAsia="Arial" w:hAnsi="Arial"/>
          <w:sz w:val="22"/>
          <w:szCs w:val="22"/>
          <w:b w:val="1"/>
          <w:bCs w:val="1"/>
          <w:color w:val="auto"/>
        </w:rPr>
        <w:t>, T</w:t>
      </w:r>
      <w:r>
        <w:rPr>
          <w:rFonts w:ascii="Arial" w:cs="Arial" w:eastAsia="Arial" w:hAnsi="Arial"/>
          <w:sz w:val="14"/>
          <w:szCs w:val="14"/>
          <w:b w:val="1"/>
          <w:bCs w:val="1"/>
          <w:color w:val="auto"/>
        </w:rPr>
        <w:t>herefore</w:t>
      </w:r>
      <w:r>
        <w:rPr>
          <w:rFonts w:ascii="Arial" w:cs="Arial" w:eastAsia="Arial" w:hAnsi="Arial"/>
          <w:sz w:val="22"/>
          <w:szCs w:val="22"/>
          <w:color w:val="auto"/>
        </w:rPr>
        <w:t>, in consideration of the foregoing premises and the mutual promises, covenants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contained in this Agreement, the Parties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82"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9"/>
          <w:szCs w:val="19"/>
          <w:b w:val="1"/>
          <w:bCs w:val="1"/>
          <w:color w:val="auto"/>
        </w:rPr>
        <w:t xml:space="preserve">1.1 </w:t>
      </w:r>
      <w:r>
        <w:rPr>
          <w:rFonts w:ascii="Arial" w:cs="Arial" w:eastAsia="Arial" w:hAnsi="Arial"/>
          <w:sz w:val="19"/>
          <w:szCs w:val="19"/>
          <w:color w:val="auto"/>
        </w:rPr>
        <w:t>“</w:t>
      </w:r>
      <w:r>
        <w:rPr>
          <w:rFonts w:ascii="Arial" w:cs="Arial" w:eastAsia="Arial" w:hAnsi="Arial"/>
          <w:sz w:val="19"/>
          <w:szCs w:val="19"/>
          <w:b w:val="1"/>
          <w:bCs w:val="1"/>
          <w:color w:val="auto"/>
        </w:rPr>
        <w:t>Accounting Standards</w:t>
      </w:r>
      <w:r>
        <w:rPr>
          <w:rFonts w:ascii="Arial" w:cs="Arial" w:eastAsia="Arial" w:hAnsi="Arial"/>
          <w:sz w:val="19"/>
          <w:szCs w:val="19"/>
          <w:color w:val="auto"/>
        </w:rPr>
        <w:t>” means U.S. generally accepted accounting principles (“</w:t>
      </w:r>
      <w:r>
        <w:rPr>
          <w:rFonts w:ascii="Arial" w:cs="Arial" w:eastAsia="Arial" w:hAnsi="Arial"/>
          <w:sz w:val="19"/>
          <w:szCs w:val="19"/>
          <w:b w:val="1"/>
          <w:bCs w:val="1"/>
          <w:color w:val="auto"/>
        </w:rPr>
        <w:t>GAAP</w:t>
      </w:r>
      <w:r>
        <w:rPr>
          <w:rFonts w:ascii="Arial" w:cs="Arial" w:eastAsia="Arial" w:hAnsi="Arial"/>
          <w:sz w:val="19"/>
          <w:szCs w:val="19"/>
          <w:color w:val="auto"/>
        </w:rPr>
        <w:t>”) with respect to Spruce</w:t>
      </w:r>
      <w:r>
        <w:rPr>
          <w:rFonts w:ascii="Arial" w:cs="Arial" w:eastAsia="Arial" w:hAnsi="Arial"/>
          <w:sz w:val="19"/>
          <w:szCs w:val="19"/>
          <w:b w:val="1"/>
          <w:bCs w:val="1"/>
          <w:color w:val="auto"/>
        </w:rPr>
        <w:t xml:space="preserve"> </w:t>
      </w:r>
      <w:r>
        <w:rPr>
          <w:rFonts w:ascii="Arial" w:cs="Arial" w:eastAsia="Arial" w:hAnsi="Arial"/>
          <w:sz w:val="19"/>
          <w:szCs w:val="19"/>
          <w:color w:val="auto"/>
        </w:rPr>
        <w:t>and generally accepted accounting principles in Japan (“</w:t>
      </w:r>
      <w:r>
        <w:rPr>
          <w:rFonts w:ascii="Arial" w:cs="Arial" w:eastAsia="Arial" w:hAnsi="Arial"/>
          <w:sz w:val="19"/>
          <w:szCs w:val="19"/>
          <w:b w:val="1"/>
          <w:bCs w:val="1"/>
          <w:color w:val="auto"/>
        </w:rPr>
        <w:t>JGAAP</w:t>
      </w:r>
      <w:r>
        <w:rPr>
          <w:rFonts w:ascii="Arial" w:cs="Arial" w:eastAsia="Arial" w:hAnsi="Arial"/>
          <w:sz w:val="19"/>
          <w:szCs w:val="19"/>
          <w:color w:val="auto"/>
        </w:rPr>
        <w:t>”) with respect to Kaken, in either case consistently applied. Each Party shall promptly notify the other in the event that it changes the Accounting Standards pursuant to which it maintains its records, it being understood that each Party may only use internationally recognized accounting principles.</w:t>
      </w:r>
    </w:p>
    <w:p>
      <w:pPr>
        <w:spacing w:after="0" w:line="136"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21"/>
          <w:szCs w:val="21"/>
          <w:b w:val="1"/>
          <w:bCs w:val="1"/>
          <w:color w:val="auto"/>
        </w:rPr>
        <w:t xml:space="preserve">1.2 </w:t>
      </w:r>
      <w:r>
        <w:rPr>
          <w:rFonts w:ascii="Arial" w:cs="Arial" w:eastAsia="Arial" w:hAnsi="Arial"/>
          <w:sz w:val="21"/>
          <w:szCs w:val="21"/>
          <w:color w:val="auto"/>
        </w:rPr>
        <w:t>“</w:t>
      </w:r>
      <w:r>
        <w:rPr>
          <w:rFonts w:ascii="Arial" w:cs="Arial" w:eastAsia="Arial" w:hAnsi="Arial"/>
          <w:sz w:val="21"/>
          <w:szCs w:val="21"/>
          <w:b w:val="1"/>
          <w:bCs w:val="1"/>
          <w:color w:val="auto"/>
        </w:rPr>
        <w:t>Act</w:t>
      </w:r>
      <w:r>
        <w:rPr>
          <w:rFonts w:ascii="Arial" w:cs="Arial" w:eastAsia="Arial" w:hAnsi="Arial"/>
          <w:sz w:val="21"/>
          <w:szCs w:val="21"/>
          <w:color w:val="auto"/>
        </w:rPr>
        <w:t>” shall mean, as applicable, the United States Federal Food, Drug and Cosmetic Act, 21 U.S.C. §§301 et seq.,</w:t>
      </w:r>
      <w:r>
        <w:rPr>
          <w:rFonts w:ascii="Arial" w:cs="Arial" w:eastAsia="Arial" w:hAnsi="Arial"/>
          <w:sz w:val="21"/>
          <w:szCs w:val="21"/>
          <w:b w:val="1"/>
          <w:bCs w:val="1"/>
          <w:color w:val="auto"/>
        </w:rPr>
        <w:t xml:space="preserve"> </w:t>
      </w:r>
      <w:r>
        <w:rPr>
          <w:rFonts w:ascii="Arial" w:cs="Arial" w:eastAsia="Arial" w:hAnsi="Arial"/>
          <w:sz w:val="21"/>
          <w:szCs w:val="21"/>
          <w:color w:val="auto"/>
        </w:rPr>
        <w:t>and/or the Public Health Service Act, 42 U.S.C. §§262 et seq., as such may be amended from time to time.</w:t>
      </w:r>
    </w:p>
    <w:p>
      <w:pPr>
        <w:spacing w:after="0" w:line="139" w:lineRule="exact"/>
        <w:rPr>
          <w:sz w:val="20"/>
          <w:szCs w:val="20"/>
          <w:color w:val="auto"/>
        </w:rPr>
      </w:pPr>
    </w:p>
    <w:p>
      <w:pPr>
        <w:ind w:left="760"/>
        <w:spacing w:after="0"/>
        <w:tabs>
          <w:tab w:leader="none" w:pos="118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Additional Indications</w:t>
      </w:r>
      <w:r>
        <w:rPr>
          <w:rFonts w:ascii="Arial" w:cs="Arial" w:eastAsia="Arial" w:hAnsi="Arial"/>
          <w:sz w:val="19"/>
          <w:szCs w:val="19"/>
          <w:color w:val="auto"/>
        </w:rPr>
        <w:t>” means any Indication that the Parties agree to include in the Field pursuant to Section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6.6.</w:t>
      </w:r>
    </w:p>
    <w:p>
      <w:pPr>
        <w:spacing w:after="0" w:line="18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 xml:space="preserve">1.4 </w:t>
      </w:r>
      <w:r>
        <w:rPr>
          <w:rFonts w:ascii="Arial" w:cs="Arial" w:eastAsia="Arial" w:hAnsi="Arial"/>
          <w:sz w:val="22"/>
          <w:szCs w:val="22"/>
          <w:color w:val="auto"/>
        </w:rPr>
        <w:t>“</w:t>
      </w:r>
      <w:r>
        <w:rPr>
          <w:rFonts w:ascii="Arial" w:cs="Arial" w:eastAsia="Arial" w:hAnsi="Arial"/>
          <w:sz w:val="22"/>
          <w:szCs w:val="22"/>
          <w:b w:val="1"/>
          <w:bCs w:val="1"/>
          <w:color w:val="auto"/>
        </w:rPr>
        <w:t>Adverse Risk</w:t>
      </w:r>
      <w:r>
        <w:rPr>
          <w:rFonts w:ascii="Arial" w:cs="Arial" w:eastAsia="Arial" w:hAnsi="Arial"/>
          <w:sz w:val="22"/>
          <w:szCs w:val="22"/>
          <w:color w:val="auto"/>
        </w:rPr>
        <w:t>” means a [***] risk of an adverse effect on the Development, procurement or maintenance of</w:t>
      </w:r>
      <w:r>
        <w:rPr>
          <w:rFonts w:ascii="Arial" w:cs="Arial" w:eastAsia="Arial" w:hAnsi="Arial"/>
          <w:sz w:val="22"/>
          <w:szCs w:val="22"/>
          <w:b w:val="1"/>
          <w:bCs w:val="1"/>
          <w:color w:val="auto"/>
        </w:rPr>
        <w:t xml:space="preserve"> </w:t>
      </w:r>
      <w:r>
        <w:rPr>
          <w:rFonts w:ascii="Arial" w:cs="Arial" w:eastAsia="Arial" w:hAnsi="Arial"/>
          <w:sz w:val="22"/>
          <w:szCs w:val="22"/>
          <w:color w:val="auto"/>
        </w:rPr>
        <w:t>Regulatory Approval, Manufacture or Commercialization of Licensed Products.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3" w:name="page154"/>
    <w:bookmarkEnd w:id="153"/>
    <w:p>
      <w:pPr>
        <w:jc w:val="both"/>
        <w:ind w:firstLine="749"/>
        <w:spacing w:after="0" w:line="278" w:lineRule="auto"/>
        <w:rPr>
          <w:sz w:val="20"/>
          <w:szCs w:val="20"/>
          <w:color w:val="auto"/>
        </w:rPr>
      </w:pPr>
      <w:r>
        <w:rPr>
          <w:rFonts w:ascii="Arial" w:cs="Arial" w:eastAsia="Arial" w:hAnsi="Arial"/>
          <w:sz w:val="19"/>
          <w:szCs w:val="19"/>
          <w:b w:val="1"/>
          <w:bCs w:val="1"/>
          <w:color w:val="auto"/>
        </w:rPr>
        <w:t xml:space="preserve">1.5 </w:t>
      </w: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means, with respect to a particular Party, a Person that controls, is controlled by or is under common</w:t>
      </w:r>
      <w:r>
        <w:rPr>
          <w:rFonts w:ascii="Arial" w:cs="Arial" w:eastAsia="Arial" w:hAnsi="Arial"/>
          <w:sz w:val="19"/>
          <w:szCs w:val="19"/>
          <w:b w:val="1"/>
          <w:bCs w:val="1"/>
          <w:color w:val="auto"/>
        </w:rPr>
        <w:t xml:space="preserve"> </w:t>
      </w:r>
      <w:r>
        <w:rPr>
          <w:rFonts w:ascii="Arial" w:cs="Arial" w:eastAsia="Arial" w:hAnsi="Arial"/>
          <w:sz w:val="19"/>
          <w:szCs w:val="19"/>
          <w:color w:val="auto"/>
        </w:rPr>
        <w:t>control with such Party. For the purposes of this definition, the word “control” (including, with correlative meaning, the terms “controlled by” or “under common control with”) means the actual power, either directly or indirectly through one or more intermediaries, to direct or cause the direction of the management and policies of such entity, whether by the ownership of fifty percent (50%) or more of the voting stock of such entity, or by contract or otherwise. For clarity, once a Person ceases to be an Affiliate of a Party, then, without any further action, such Person shall cease to have any rights, including license and sublicense rights, under this Agreement by reason of being an Affiliate of such Party.</w:t>
      </w:r>
    </w:p>
    <w:p>
      <w:pPr>
        <w:spacing w:after="0" w:line="145"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b w:val="1"/>
          <w:bCs w:val="1"/>
          <w:color w:val="auto"/>
        </w:rPr>
        <w:t xml:space="preserve">1.6 </w:t>
      </w:r>
      <w:r>
        <w:rPr>
          <w:rFonts w:ascii="Arial" w:cs="Arial" w:eastAsia="Arial" w:hAnsi="Arial"/>
          <w:sz w:val="22"/>
          <w:szCs w:val="22"/>
          <w:color w:val="auto"/>
        </w:rPr>
        <w:t>“</w:t>
      </w:r>
      <w:r>
        <w:rPr>
          <w:rFonts w:ascii="Arial" w:cs="Arial" w:eastAsia="Arial" w:hAnsi="Arial"/>
          <w:sz w:val="22"/>
          <w:szCs w:val="22"/>
          <w:b w:val="1"/>
          <w:bCs w:val="1"/>
          <w:color w:val="auto"/>
        </w:rPr>
        <w:t>Anti-Corruption Laws</w:t>
      </w:r>
      <w:r>
        <w:rPr>
          <w:rFonts w:ascii="Arial" w:cs="Arial" w:eastAsia="Arial" w:hAnsi="Arial"/>
          <w:sz w:val="22"/>
          <w:szCs w:val="22"/>
          <w:color w:val="auto"/>
        </w:rPr>
        <w:t>” means laws, regulations, or orders prohibiting the provision of a financial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advantage for a corrupt purpose or otherwise in connection with the improper performance of a relevant function, including without limitation, to the extent applicable, the </w:t>
      </w:r>
      <w:r>
        <w:rPr>
          <w:rFonts w:ascii="Arial" w:cs="Arial" w:eastAsia="Arial" w:hAnsi="Arial"/>
          <w:sz w:val="22"/>
          <w:szCs w:val="22"/>
          <w:i w:val="1"/>
          <w:iCs w:val="1"/>
          <w:color w:val="auto"/>
        </w:rPr>
        <w:t>Corruption of Foreign Public Officials Act (CFPOA)</w:t>
      </w:r>
      <w:r>
        <w:rPr>
          <w:rFonts w:ascii="Arial" w:cs="Arial" w:eastAsia="Arial" w:hAnsi="Arial"/>
          <w:sz w:val="22"/>
          <w:szCs w:val="22"/>
          <w:color w:val="auto"/>
        </w:rPr>
        <w:t xml:space="preserve">, the </w:t>
      </w:r>
      <w:r>
        <w:rPr>
          <w:rFonts w:ascii="Arial" w:cs="Arial" w:eastAsia="Arial" w:hAnsi="Arial"/>
          <w:sz w:val="22"/>
          <w:szCs w:val="22"/>
          <w:i w:val="1"/>
          <w:iCs w:val="1"/>
          <w:color w:val="auto"/>
        </w:rPr>
        <w:t>US Foreign Corrupt</w:t>
      </w:r>
      <w:r>
        <w:rPr>
          <w:rFonts w:ascii="Arial" w:cs="Arial" w:eastAsia="Arial" w:hAnsi="Arial"/>
          <w:sz w:val="22"/>
          <w:szCs w:val="22"/>
          <w:color w:val="auto"/>
        </w:rPr>
        <w:t xml:space="preserve"> </w:t>
      </w:r>
      <w:r>
        <w:rPr>
          <w:rFonts w:ascii="Arial" w:cs="Arial" w:eastAsia="Arial" w:hAnsi="Arial"/>
          <w:sz w:val="22"/>
          <w:szCs w:val="22"/>
          <w:i w:val="1"/>
          <w:iCs w:val="1"/>
          <w:color w:val="auto"/>
        </w:rPr>
        <w:t>Practices Act (FCPA)</w:t>
      </w:r>
      <w:r>
        <w:rPr>
          <w:rFonts w:ascii="Arial" w:cs="Arial" w:eastAsia="Arial" w:hAnsi="Arial"/>
          <w:sz w:val="22"/>
          <w:szCs w:val="22"/>
          <w:color w:val="auto"/>
        </w:rPr>
        <w:t>, the</w:t>
      </w:r>
      <w:r>
        <w:rPr>
          <w:rFonts w:ascii="Arial" w:cs="Arial" w:eastAsia="Arial" w:hAnsi="Arial"/>
          <w:sz w:val="22"/>
          <w:szCs w:val="22"/>
          <w:i w:val="1"/>
          <w:iCs w:val="1"/>
          <w:color w:val="auto"/>
        </w:rPr>
        <w:t xml:space="preserve"> UK Bribery Act 2010</w:t>
      </w:r>
      <w:r>
        <w:rPr>
          <w:rFonts w:ascii="Arial" w:cs="Arial" w:eastAsia="Arial" w:hAnsi="Arial"/>
          <w:sz w:val="22"/>
          <w:szCs w:val="22"/>
          <w:color w:val="auto"/>
        </w:rPr>
        <w:t>, and similar laws governing corruption and bribery, whether public, commercial</w:t>
      </w:r>
      <w:r>
        <w:rPr>
          <w:rFonts w:ascii="Arial" w:cs="Arial" w:eastAsia="Arial" w:hAnsi="Arial"/>
          <w:sz w:val="22"/>
          <w:szCs w:val="22"/>
          <w:i w:val="1"/>
          <w:iCs w:val="1"/>
          <w:color w:val="auto"/>
        </w:rPr>
        <w:t xml:space="preserve"> </w:t>
      </w:r>
      <w:r>
        <w:rPr>
          <w:rFonts w:ascii="Arial" w:cs="Arial" w:eastAsia="Arial" w:hAnsi="Arial"/>
          <w:sz w:val="22"/>
          <w:szCs w:val="22"/>
          <w:color w:val="auto"/>
        </w:rPr>
        <w:t>or both, to the extent applicable.</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1.7  </w:t>
      </w:r>
      <w:r>
        <w:rPr>
          <w:rFonts w:ascii="Arial" w:cs="Arial" w:eastAsia="Arial" w:hAnsi="Arial"/>
          <w:sz w:val="22"/>
          <w:szCs w:val="22"/>
          <w:color w:val="auto"/>
        </w:rPr>
        <w:t>“</w:t>
      </w:r>
      <w:r>
        <w:rPr>
          <w:rFonts w:ascii="Arial" w:cs="Arial" w:eastAsia="Arial" w:hAnsi="Arial"/>
          <w:sz w:val="22"/>
          <w:szCs w:val="22"/>
          <w:b w:val="1"/>
          <w:bCs w:val="1"/>
          <w:color w:val="auto"/>
        </w:rPr>
        <w:t>API</w:t>
      </w:r>
      <w:r>
        <w:rPr>
          <w:rFonts w:ascii="Arial" w:cs="Arial" w:eastAsia="Arial" w:hAnsi="Arial"/>
          <w:sz w:val="22"/>
          <w:szCs w:val="22"/>
          <w:color w:val="auto"/>
        </w:rPr>
        <w:t>” means an active pharmaceutical ingredient.</w:t>
      </w:r>
    </w:p>
    <w:p>
      <w:pPr>
        <w:spacing w:after="0" w:line="206" w:lineRule="exact"/>
        <w:rPr>
          <w:sz w:val="20"/>
          <w:szCs w:val="20"/>
          <w:color w:val="auto"/>
        </w:rPr>
      </w:pPr>
    </w:p>
    <w:p>
      <w:pPr>
        <w:jc w:val="both"/>
        <w:ind w:right="20" w:firstLine="749"/>
        <w:spacing w:after="0" w:line="256" w:lineRule="auto"/>
        <w:rPr>
          <w:sz w:val="20"/>
          <w:szCs w:val="20"/>
          <w:color w:val="auto"/>
        </w:rPr>
      </w:pPr>
      <w:r>
        <w:rPr>
          <w:rFonts w:ascii="Arial" w:cs="Arial" w:eastAsia="Arial" w:hAnsi="Arial"/>
          <w:sz w:val="22"/>
          <w:szCs w:val="22"/>
          <w:b w:val="1"/>
          <w:bCs w:val="1"/>
          <w:color w:val="auto"/>
        </w:rPr>
        <w:t xml:space="preserve">1.8 </w:t>
      </w: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 day other than Saturday, Sunday or any day that banks in Tokyo, Japan or San Francisco,</w:t>
      </w:r>
      <w:r>
        <w:rPr>
          <w:rFonts w:ascii="Arial" w:cs="Arial" w:eastAsia="Arial" w:hAnsi="Arial"/>
          <w:sz w:val="22"/>
          <w:szCs w:val="22"/>
          <w:b w:val="1"/>
          <w:bCs w:val="1"/>
          <w:color w:val="auto"/>
        </w:rPr>
        <w:t xml:space="preserve"> </w:t>
      </w:r>
      <w:r>
        <w:rPr>
          <w:rFonts w:ascii="Arial" w:cs="Arial" w:eastAsia="Arial" w:hAnsi="Arial"/>
          <w:sz w:val="22"/>
          <w:szCs w:val="22"/>
          <w:color w:val="auto"/>
        </w:rPr>
        <w:t>California, are required or permitted to be closed.</w:t>
      </w:r>
    </w:p>
    <w:p>
      <w:pPr>
        <w:spacing w:after="0" w:line="16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 xml:space="preserve">1.9 </w:t>
      </w:r>
      <w:r>
        <w:rPr>
          <w:rFonts w:ascii="Arial" w:cs="Arial" w:eastAsia="Arial" w:hAnsi="Arial"/>
          <w:sz w:val="22"/>
          <w:szCs w:val="22"/>
          <w:color w:val="auto"/>
        </w:rPr>
        <w:t>“</w:t>
      </w:r>
      <w:r>
        <w:rPr>
          <w:rFonts w:ascii="Arial" w:cs="Arial" w:eastAsia="Arial" w:hAnsi="Arial"/>
          <w:sz w:val="22"/>
          <w:szCs w:val="22"/>
          <w:b w:val="1"/>
          <w:bCs w:val="1"/>
          <w:color w:val="auto"/>
        </w:rPr>
        <w:t>Calendar Quarter</w:t>
      </w:r>
      <w:r>
        <w:rPr>
          <w:rFonts w:ascii="Arial" w:cs="Arial" w:eastAsia="Arial" w:hAnsi="Arial"/>
          <w:sz w:val="22"/>
          <w:szCs w:val="22"/>
          <w:color w:val="auto"/>
        </w:rPr>
        <w:t>” means each successive period of three (3) consecutive calendar months ending on March 31,</w:t>
      </w:r>
      <w:r>
        <w:rPr>
          <w:rFonts w:ascii="Arial" w:cs="Arial" w:eastAsia="Arial" w:hAnsi="Arial"/>
          <w:sz w:val="22"/>
          <w:szCs w:val="22"/>
          <w:b w:val="1"/>
          <w:bCs w:val="1"/>
          <w:color w:val="auto"/>
        </w:rPr>
        <w:t xml:space="preserve"> </w:t>
      </w:r>
      <w:r>
        <w:rPr>
          <w:rFonts w:ascii="Arial" w:cs="Arial" w:eastAsia="Arial" w:hAnsi="Arial"/>
          <w:sz w:val="22"/>
          <w:szCs w:val="22"/>
          <w:color w:val="auto"/>
        </w:rPr>
        <w:t>June 30, September 30, or December 31.</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21"/>
          <w:szCs w:val="21"/>
          <w:b w:val="1"/>
          <w:bCs w:val="1"/>
          <w:color w:val="auto"/>
        </w:rPr>
        <w:t xml:space="preserve">1.10 </w:t>
      </w:r>
      <w:r>
        <w:rPr>
          <w:rFonts w:ascii="Arial" w:cs="Arial" w:eastAsia="Arial" w:hAnsi="Arial"/>
          <w:sz w:val="21"/>
          <w:szCs w:val="21"/>
          <w:color w:val="auto"/>
        </w:rPr>
        <w:t>“</w:t>
      </w:r>
      <w:r>
        <w:rPr>
          <w:rFonts w:ascii="Arial" w:cs="Arial" w:eastAsia="Arial" w:hAnsi="Arial"/>
          <w:sz w:val="21"/>
          <w:szCs w:val="21"/>
          <w:b w:val="1"/>
          <w:bCs w:val="1"/>
          <w:color w:val="auto"/>
        </w:rPr>
        <w:t>Change of Control</w:t>
      </w:r>
      <w:r>
        <w:rPr>
          <w:rFonts w:ascii="Arial" w:cs="Arial" w:eastAsia="Arial" w:hAnsi="Arial"/>
          <w:sz w:val="21"/>
          <w:szCs w:val="21"/>
          <w:color w:val="auto"/>
        </w:rPr>
        <w:t>” means with respect to either Party: (a) the sale of all or substantially all of such Party’s assets</w:t>
      </w:r>
      <w:r>
        <w:rPr>
          <w:rFonts w:ascii="Arial" w:cs="Arial" w:eastAsia="Arial" w:hAnsi="Arial"/>
          <w:sz w:val="21"/>
          <w:szCs w:val="21"/>
          <w:b w:val="1"/>
          <w:bCs w:val="1"/>
          <w:color w:val="auto"/>
        </w:rPr>
        <w:t xml:space="preserve"> </w:t>
      </w:r>
      <w:r>
        <w:rPr>
          <w:rFonts w:ascii="Arial" w:cs="Arial" w:eastAsia="Arial" w:hAnsi="Arial"/>
          <w:sz w:val="21"/>
          <w:szCs w:val="21"/>
          <w:color w:val="auto"/>
        </w:rPr>
        <w:t>or business relating to this Agreement (other than to an Affiliate of such Party); (b) a merger, reorganization or consolidation involving such Party in which the voting securities of such Party outstanding immediately prior thereto cease to represent at least fifty percent (50%) of the combined voting power of the surviving entity immediately after such merger, reorganization or consolidation; or (c) a Person, or group of Persons, acting in concert acquire more than fifty percent (50%) of the voting equity securities or management control of such Party. Notwithstanding the foregoing to the contrary, that a transaction or series of transactions in which working capital is raised through the issuance of equity in either Party to third party investors shall not constitute a “Change of Control”.</w:t>
      </w:r>
    </w:p>
    <w:p>
      <w:pPr>
        <w:spacing w:after="0" w:line="172" w:lineRule="exact"/>
        <w:rPr>
          <w:sz w:val="20"/>
          <w:szCs w:val="20"/>
          <w:color w:val="auto"/>
        </w:rPr>
      </w:pPr>
    </w:p>
    <w:p>
      <w:pPr>
        <w:jc w:val="both"/>
        <w:ind w:right="20" w:firstLine="749"/>
        <w:spacing w:after="0" w:line="256" w:lineRule="auto"/>
        <w:rPr>
          <w:sz w:val="20"/>
          <w:szCs w:val="20"/>
          <w:color w:val="auto"/>
        </w:rPr>
      </w:pPr>
      <w:r>
        <w:rPr>
          <w:rFonts w:ascii="Arial" w:cs="Arial" w:eastAsia="Arial" w:hAnsi="Arial"/>
          <w:sz w:val="22"/>
          <w:szCs w:val="22"/>
          <w:b w:val="1"/>
          <w:bCs w:val="1"/>
          <w:color w:val="auto"/>
        </w:rPr>
        <w:t xml:space="preserve">1.11 </w:t>
      </w:r>
      <w:r>
        <w:rPr>
          <w:rFonts w:ascii="Arial" w:cs="Arial" w:eastAsia="Arial" w:hAnsi="Arial"/>
          <w:sz w:val="22"/>
          <w:szCs w:val="22"/>
          <w:color w:val="auto"/>
        </w:rPr>
        <w:t>“</w:t>
      </w:r>
      <w:r>
        <w:rPr>
          <w:rFonts w:ascii="Arial" w:cs="Arial" w:eastAsia="Arial" w:hAnsi="Arial"/>
          <w:sz w:val="22"/>
          <w:szCs w:val="22"/>
          <w:b w:val="1"/>
          <w:bCs w:val="1"/>
          <w:color w:val="auto"/>
        </w:rPr>
        <w:t>China</w:t>
      </w:r>
      <w:r>
        <w:rPr>
          <w:rFonts w:ascii="Arial" w:cs="Arial" w:eastAsia="Arial" w:hAnsi="Arial"/>
          <w:sz w:val="22"/>
          <w:szCs w:val="22"/>
          <w:color w:val="auto"/>
        </w:rPr>
        <w:t>” means, collectively, mainland China, Taiwan, the Hong Kong Special Administrative Region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Macau Special Administrative Region.</w:t>
      </w:r>
    </w:p>
    <w:p>
      <w:pPr>
        <w:spacing w:after="0" w:line="16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 xml:space="preserve">1.12 </w:t>
      </w:r>
      <w:r>
        <w:rPr>
          <w:rFonts w:ascii="Arial" w:cs="Arial" w:eastAsia="Arial" w:hAnsi="Arial"/>
          <w:sz w:val="22"/>
          <w:szCs w:val="22"/>
          <w:color w:val="auto"/>
        </w:rPr>
        <w:t>“</w:t>
      </w:r>
      <w:r>
        <w:rPr>
          <w:rFonts w:ascii="Arial" w:cs="Arial" w:eastAsia="Arial" w:hAnsi="Arial"/>
          <w:sz w:val="22"/>
          <w:szCs w:val="22"/>
          <w:b w:val="1"/>
          <w:bCs w:val="1"/>
          <w:color w:val="auto"/>
        </w:rPr>
        <w:t>Clinical Trial</w:t>
      </w:r>
      <w:r>
        <w:rPr>
          <w:rFonts w:ascii="Arial" w:cs="Arial" w:eastAsia="Arial" w:hAnsi="Arial"/>
          <w:sz w:val="22"/>
          <w:szCs w:val="22"/>
          <w:color w:val="auto"/>
        </w:rPr>
        <w:t>” means a Phase 1 Clinical Trial, a Phase 2 Clinical Trial, a Phase 3 Clinical Trial or a Phase 4</w:t>
      </w:r>
      <w:r>
        <w:rPr>
          <w:rFonts w:ascii="Arial" w:cs="Arial" w:eastAsia="Arial" w:hAnsi="Arial"/>
          <w:sz w:val="22"/>
          <w:szCs w:val="22"/>
          <w:b w:val="1"/>
          <w:bCs w:val="1"/>
          <w:color w:val="auto"/>
        </w:rPr>
        <w:t xml:space="preserve"> </w:t>
      </w:r>
      <w:r>
        <w:rPr>
          <w:rFonts w:ascii="Arial" w:cs="Arial" w:eastAsia="Arial" w:hAnsi="Arial"/>
          <w:sz w:val="22"/>
          <w:szCs w:val="22"/>
          <w:color w:val="auto"/>
        </w:rPr>
        <w:t>Clinical Trial, or any other clinical trial (including a Pivotal Clinical Trial or non-interventional clinical trial) in human to obtain information regarding the Licensed Products, including information related to the safety, tolerability, pharmacological activity, pharmacokinetics, dose ranging, or efficacy of such Licensed Products.</w:t>
      </w:r>
    </w:p>
    <w:p>
      <w:pPr>
        <w:spacing w:after="0" w:line="180"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 xml:space="preserve">1.13 </w:t>
      </w:r>
      <w:r>
        <w:rPr>
          <w:rFonts w:ascii="Arial" w:cs="Arial" w:eastAsia="Arial" w:hAnsi="Arial"/>
          <w:sz w:val="22"/>
          <w:szCs w:val="22"/>
          <w:color w:val="auto"/>
        </w:rPr>
        <w:t>“</w:t>
      </w:r>
      <w:r>
        <w:rPr>
          <w:rFonts w:ascii="Arial" w:cs="Arial" w:eastAsia="Arial" w:hAnsi="Arial"/>
          <w:sz w:val="22"/>
          <w:szCs w:val="22"/>
          <w:b w:val="1"/>
          <w:bCs w:val="1"/>
          <w:color w:val="auto"/>
        </w:rPr>
        <w:t>CMC</w:t>
      </w:r>
      <w:r>
        <w:rPr>
          <w:rFonts w:ascii="Arial" w:cs="Arial" w:eastAsia="Arial" w:hAnsi="Arial"/>
          <w:sz w:val="22"/>
          <w:szCs w:val="22"/>
          <w:color w:val="auto"/>
        </w:rPr>
        <w:t>” means chemistry, manufacturing and controls with respect to a Licensed Product, which includes (a)</w:t>
      </w:r>
      <w:r>
        <w:rPr>
          <w:rFonts w:ascii="Arial" w:cs="Arial" w:eastAsia="Arial" w:hAnsi="Arial"/>
          <w:sz w:val="22"/>
          <w:szCs w:val="22"/>
          <w:b w:val="1"/>
          <w:bCs w:val="1"/>
          <w:color w:val="auto"/>
        </w:rPr>
        <w:t xml:space="preserve"> </w:t>
      </w:r>
      <w:r>
        <w:rPr>
          <w:rFonts w:ascii="Arial" w:cs="Arial" w:eastAsia="Arial" w:hAnsi="Arial"/>
          <w:sz w:val="22"/>
          <w:szCs w:val="22"/>
          <w:color w:val="auto"/>
        </w:rPr>
        <w:t>manufacturing process development records for such Licensed Product, (b) all chemistry, manufacturing and control procedures necessary or reasonably useful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4" w:name="page155"/>
    <w:bookmarkEnd w:id="154"/>
    <w:p>
      <w:pPr>
        <w:jc w:val="both"/>
        <w:spacing w:after="0" w:line="250" w:lineRule="auto"/>
        <w:rPr>
          <w:sz w:val="20"/>
          <w:szCs w:val="20"/>
          <w:color w:val="auto"/>
        </w:rPr>
      </w:pPr>
      <w:r>
        <w:rPr>
          <w:rFonts w:ascii="Arial" w:cs="Arial" w:eastAsia="Arial" w:hAnsi="Arial"/>
          <w:sz w:val="22"/>
          <w:szCs w:val="22"/>
          <w:color w:val="auto"/>
        </w:rPr>
        <w:t>for the Manufacture of a Licensed Product, and (c) sourcing and testing of all raw materials and components used in the Manufacture of a Licensed Product.</w:t>
      </w:r>
    </w:p>
    <w:p>
      <w:pPr>
        <w:spacing w:after="0" w:line="169" w:lineRule="exact"/>
        <w:rPr>
          <w:sz w:val="20"/>
          <w:szCs w:val="20"/>
          <w:color w:val="auto"/>
        </w:rPr>
      </w:pPr>
    </w:p>
    <w:p>
      <w:pPr>
        <w:jc w:val="both"/>
        <w:ind w:right="20" w:firstLine="749"/>
        <w:spacing w:after="0" w:line="243" w:lineRule="auto"/>
        <w:rPr>
          <w:sz w:val="20"/>
          <w:szCs w:val="20"/>
          <w:color w:val="auto"/>
        </w:rPr>
      </w:pPr>
      <w:r>
        <w:rPr>
          <w:rFonts w:ascii="Arial" w:cs="Arial" w:eastAsia="Arial" w:hAnsi="Arial"/>
          <w:sz w:val="22"/>
          <w:szCs w:val="22"/>
          <w:b w:val="1"/>
          <w:bCs w:val="1"/>
          <w:color w:val="auto"/>
        </w:rPr>
        <w:t xml:space="preserve">1.14 </w:t>
      </w:r>
      <w:r>
        <w:rPr>
          <w:rFonts w:ascii="Arial" w:cs="Arial" w:eastAsia="Arial" w:hAnsi="Arial"/>
          <w:sz w:val="22"/>
          <w:szCs w:val="22"/>
          <w:color w:val="auto"/>
        </w:rPr>
        <w:t>“</w:t>
      </w:r>
      <w:r>
        <w:rPr>
          <w:rFonts w:ascii="Arial" w:cs="Arial" w:eastAsia="Arial" w:hAnsi="Arial"/>
          <w:sz w:val="22"/>
          <w:szCs w:val="22"/>
          <w:b w:val="1"/>
          <w:bCs w:val="1"/>
          <w:color w:val="auto"/>
        </w:rPr>
        <w:t>CMC Activities</w:t>
      </w:r>
      <w:r>
        <w:rPr>
          <w:rFonts w:ascii="Arial" w:cs="Arial" w:eastAsia="Arial" w:hAnsi="Arial"/>
          <w:sz w:val="22"/>
          <w:szCs w:val="22"/>
          <w:color w:val="auto"/>
        </w:rPr>
        <w:t>” means those formulation development, process development and other CMC related activities,</w:t>
      </w:r>
      <w:r>
        <w:rPr>
          <w:rFonts w:ascii="Arial" w:cs="Arial" w:eastAsia="Arial" w:hAnsi="Arial"/>
          <w:sz w:val="22"/>
          <w:szCs w:val="22"/>
          <w:b w:val="1"/>
          <w:bCs w:val="1"/>
          <w:color w:val="auto"/>
        </w:rPr>
        <w:t xml:space="preserve"> </w:t>
      </w:r>
      <w:r>
        <w:rPr>
          <w:rFonts w:ascii="Arial" w:cs="Arial" w:eastAsia="Arial" w:hAnsi="Arial"/>
          <w:sz w:val="22"/>
          <w:szCs w:val="22"/>
          <w:color w:val="auto"/>
        </w:rPr>
        <w:t>Manufacturing activities and regulatory activities designed to support preparation of the CMC sections of any Regulatory Materials or Regulatory Approval.</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1.15 </w:t>
      </w:r>
      <w:r>
        <w:rPr>
          <w:rFonts w:ascii="Arial" w:cs="Arial" w:eastAsia="Arial" w:hAnsi="Arial"/>
          <w:sz w:val="22"/>
          <w:szCs w:val="22"/>
          <w:color w:val="auto"/>
        </w:rPr>
        <w:t>“</w:t>
      </w:r>
      <w:r>
        <w:rPr>
          <w:rFonts w:ascii="Arial" w:cs="Arial" w:eastAsia="Arial" w:hAnsi="Arial"/>
          <w:sz w:val="22"/>
          <w:szCs w:val="22"/>
          <w:b w:val="1"/>
          <w:bCs w:val="1"/>
          <w:color w:val="auto"/>
        </w:rPr>
        <w:t>CMC Information</w:t>
      </w:r>
      <w:r>
        <w:rPr>
          <w:rFonts w:ascii="Arial" w:cs="Arial" w:eastAsia="Arial" w:hAnsi="Arial"/>
          <w:sz w:val="22"/>
          <w:szCs w:val="22"/>
          <w:color w:val="auto"/>
        </w:rPr>
        <w:t>” means Information related to CMC Activities.</w:t>
      </w:r>
    </w:p>
    <w:p>
      <w:pPr>
        <w:spacing w:after="0" w:line="20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b w:val="1"/>
          <w:bCs w:val="1"/>
          <w:color w:val="auto"/>
        </w:rPr>
        <w:t xml:space="preserve">1.16 </w:t>
      </w:r>
      <w:r>
        <w:rPr>
          <w:rFonts w:ascii="Arial" w:cs="Arial" w:eastAsia="Arial" w:hAnsi="Arial"/>
          <w:sz w:val="22"/>
          <w:szCs w:val="22"/>
          <w:color w:val="auto"/>
        </w:rPr>
        <w:t>“</w:t>
      </w:r>
      <w:r>
        <w:rPr>
          <w:rFonts w:ascii="Arial" w:cs="Arial" w:eastAsia="Arial" w:hAnsi="Arial"/>
          <w:sz w:val="22"/>
          <w:szCs w:val="22"/>
          <w:b w:val="1"/>
          <w:bCs w:val="1"/>
          <w:color w:val="auto"/>
        </w:rPr>
        <w:t>Commercialization</w:t>
      </w:r>
      <w:r>
        <w:rPr>
          <w:rFonts w:ascii="Arial" w:cs="Arial" w:eastAsia="Arial" w:hAnsi="Arial"/>
          <w:sz w:val="22"/>
          <w:szCs w:val="22"/>
          <w:color w:val="auto"/>
        </w:rPr>
        <w:t>” means all activities undertaken before and after obtaining Regulatory Approvals relating</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specifically to the pre-launch, launch, promotion, detailing, medical education and medical liaison activities, marketing, sale, and distribution of Licensed Products, including strategic marketing, sales force detailing, advertising, market Licensed Product support, all customer support, Licensed Product distribution and invoicing and sales activities; </w:t>
      </w:r>
      <w:r>
        <w:rPr>
          <w:rFonts w:ascii="Arial" w:cs="Arial" w:eastAsia="Arial" w:hAnsi="Arial"/>
          <w:sz w:val="22"/>
          <w:szCs w:val="22"/>
          <w:i w:val="1"/>
          <w:iCs w:val="1"/>
          <w:color w:val="auto"/>
        </w:rPr>
        <w:t>provided, however</w:t>
      </w:r>
      <w:r>
        <w:rPr>
          <w:rFonts w:ascii="Arial" w:cs="Arial" w:eastAsia="Arial" w:hAnsi="Arial"/>
          <w:sz w:val="22"/>
          <w:szCs w:val="22"/>
          <w:color w:val="auto"/>
        </w:rPr>
        <w:t>, “</w:t>
      </w:r>
      <w:r>
        <w:rPr>
          <w:rFonts w:ascii="Arial" w:cs="Arial" w:eastAsia="Arial" w:hAnsi="Arial"/>
          <w:sz w:val="22"/>
          <w:szCs w:val="22"/>
          <w:b w:val="1"/>
          <w:bCs w:val="1"/>
          <w:color w:val="auto"/>
        </w:rPr>
        <w:t>Commercialization</w:t>
      </w:r>
      <w:r>
        <w:rPr>
          <w:rFonts w:ascii="Arial" w:cs="Arial" w:eastAsia="Arial" w:hAnsi="Arial"/>
          <w:sz w:val="22"/>
          <w:szCs w:val="22"/>
          <w:color w:val="auto"/>
        </w:rPr>
        <w:t>” shall exclude any activities relating to the Development or Manufacture of Licensed Product. “</w:t>
      </w:r>
      <w:r>
        <w:rPr>
          <w:rFonts w:ascii="Arial" w:cs="Arial" w:eastAsia="Arial" w:hAnsi="Arial"/>
          <w:sz w:val="22"/>
          <w:szCs w:val="22"/>
          <w:b w:val="1"/>
          <w:bCs w:val="1"/>
          <w:color w:val="auto"/>
        </w:rPr>
        <w:t>Commercialize</w:t>
      </w:r>
      <w:r>
        <w:rPr>
          <w:rFonts w:ascii="Arial" w:cs="Arial" w:eastAsia="Arial" w:hAnsi="Arial"/>
          <w:sz w:val="22"/>
          <w:szCs w:val="22"/>
          <w:color w:val="auto"/>
        </w:rPr>
        <w:t>” and “</w:t>
      </w:r>
      <w:r>
        <w:rPr>
          <w:rFonts w:ascii="Arial" w:cs="Arial" w:eastAsia="Arial" w:hAnsi="Arial"/>
          <w:sz w:val="22"/>
          <w:szCs w:val="22"/>
          <w:b w:val="1"/>
          <w:bCs w:val="1"/>
          <w:color w:val="auto"/>
        </w:rPr>
        <w:t>Commercializing</w:t>
      </w:r>
      <w:r>
        <w:rPr>
          <w:rFonts w:ascii="Arial" w:cs="Arial" w:eastAsia="Arial" w:hAnsi="Arial"/>
          <w:sz w:val="22"/>
          <w:szCs w:val="22"/>
          <w:color w:val="auto"/>
        </w:rPr>
        <w:t>” shall have the correlative meanings.</w:t>
      </w:r>
    </w:p>
    <w:p>
      <w:pPr>
        <w:spacing w:after="0" w:line="18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 xml:space="preserve">1.17 </w:t>
      </w:r>
      <w:r>
        <w:rPr>
          <w:rFonts w:ascii="Arial" w:cs="Arial" w:eastAsia="Arial" w:hAnsi="Arial"/>
          <w:sz w:val="22"/>
          <w:szCs w:val="22"/>
          <w:color w:val="auto"/>
        </w:rPr>
        <w:t>“</w:t>
      </w:r>
      <w:r>
        <w:rPr>
          <w:rFonts w:ascii="Arial" w:cs="Arial" w:eastAsia="Arial" w:hAnsi="Arial"/>
          <w:sz w:val="22"/>
          <w:szCs w:val="22"/>
          <w:b w:val="1"/>
          <w:bCs w:val="1"/>
          <w:color w:val="auto"/>
        </w:rPr>
        <w:t>Commercially Reasonable Efforts</w:t>
      </w:r>
      <w:r>
        <w:rPr>
          <w:rFonts w:ascii="Arial" w:cs="Arial" w:eastAsia="Arial" w:hAnsi="Arial"/>
          <w:sz w:val="22"/>
          <w:szCs w:val="22"/>
          <w:color w:val="auto"/>
        </w:rPr>
        <w:t>” means, with respect to either Party’s obligations under this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carrying out of such obligations with a level of efforts and resources consistent with [***] for the active and diligent commercialization of a similarly situated branded pharmaceutical product as the Licensed Product at a similar stage of commercialization, taking into account [***].</w:t>
      </w:r>
    </w:p>
    <w:p>
      <w:pPr>
        <w:spacing w:after="0" w:line="180"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 xml:space="preserve">1.18 </w:t>
      </w:r>
      <w:r>
        <w:rPr>
          <w:rFonts w:ascii="Arial" w:cs="Arial" w:eastAsia="Arial" w:hAnsi="Arial"/>
          <w:sz w:val="22"/>
          <w:szCs w:val="22"/>
          <w:color w:val="auto"/>
        </w:rPr>
        <w:t>“</w:t>
      </w:r>
      <w:r>
        <w:rPr>
          <w:rFonts w:ascii="Arial" w:cs="Arial" w:eastAsia="Arial" w:hAnsi="Arial"/>
          <w:sz w:val="22"/>
          <w:szCs w:val="22"/>
          <w:b w:val="1"/>
          <w:bCs w:val="1"/>
          <w:color w:val="auto"/>
        </w:rPr>
        <w:t>Common Technical Document</w:t>
      </w:r>
      <w:r>
        <w:rPr>
          <w:rFonts w:ascii="Arial" w:cs="Arial" w:eastAsia="Arial" w:hAnsi="Arial"/>
          <w:sz w:val="22"/>
          <w:szCs w:val="22"/>
          <w:color w:val="auto"/>
        </w:rPr>
        <w:t>” or “</w:t>
      </w:r>
      <w:r>
        <w:rPr>
          <w:rFonts w:ascii="Arial" w:cs="Arial" w:eastAsia="Arial" w:hAnsi="Arial"/>
          <w:sz w:val="22"/>
          <w:szCs w:val="22"/>
          <w:b w:val="1"/>
          <w:bCs w:val="1"/>
          <w:color w:val="auto"/>
        </w:rPr>
        <w:t>CTD</w:t>
      </w:r>
      <w:r>
        <w:rPr>
          <w:rFonts w:ascii="Arial" w:cs="Arial" w:eastAsia="Arial" w:hAnsi="Arial"/>
          <w:sz w:val="22"/>
          <w:szCs w:val="22"/>
          <w:color w:val="auto"/>
        </w:rPr>
        <w:t>” means a set of specifications for application dossier adopted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ICH for organizing applications of pharmaceuticals for human use to regulatory authorities.</w:t>
      </w:r>
    </w:p>
    <w:p>
      <w:pPr>
        <w:spacing w:after="0" w:line="16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 xml:space="preserve">1.19 </w:t>
      </w:r>
      <w:r>
        <w:rPr>
          <w:rFonts w:ascii="Arial" w:cs="Arial" w:eastAsia="Arial" w:hAnsi="Arial"/>
          <w:sz w:val="22"/>
          <w:szCs w:val="22"/>
          <w:color w:val="auto"/>
        </w:rPr>
        <w:t>“</w:t>
      </w:r>
      <w:r>
        <w:rPr>
          <w:rFonts w:ascii="Arial" w:cs="Arial" w:eastAsia="Arial" w:hAnsi="Arial"/>
          <w:sz w:val="22"/>
          <w:szCs w:val="22"/>
          <w:b w:val="1"/>
          <w:bCs w:val="1"/>
          <w:color w:val="auto"/>
        </w:rPr>
        <w:t>Competing Product</w:t>
      </w:r>
      <w:r>
        <w:rPr>
          <w:rFonts w:ascii="Arial" w:cs="Arial" w:eastAsia="Arial" w:hAnsi="Arial"/>
          <w:sz w:val="22"/>
          <w:szCs w:val="22"/>
          <w:color w:val="auto"/>
        </w:rPr>
        <w:t>” means any product or compound, other than a Licensed Compound or Licensed Product,</w:t>
      </w:r>
      <w:r>
        <w:rPr>
          <w:rFonts w:ascii="Arial" w:cs="Arial" w:eastAsia="Arial" w:hAnsi="Arial"/>
          <w:sz w:val="22"/>
          <w:szCs w:val="22"/>
          <w:b w:val="1"/>
          <w:bCs w:val="1"/>
          <w:color w:val="auto"/>
        </w:rPr>
        <w:t xml:space="preserve"> </w:t>
      </w:r>
      <w:r>
        <w:rPr>
          <w:rFonts w:ascii="Arial" w:cs="Arial" w:eastAsia="Arial" w:hAnsi="Arial"/>
          <w:sz w:val="22"/>
          <w:szCs w:val="22"/>
          <w:color w:val="auto"/>
        </w:rPr>
        <w:t>that [***].</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21"/>
          <w:szCs w:val="21"/>
          <w:b w:val="1"/>
          <w:bCs w:val="1"/>
          <w:color w:val="auto"/>
        </w:rPr>
        <w:t xml:space="preserve">1.20 </w:t>
      </w:r>
      <w:r>
        <w:rPr>
          <w:rFonts w:ascii="Arial" w:cs="Arial" w:eastAsia="Arial" w:hAnsi="Arial"/>
          <w:sz w:val="21"/>
          <w:szCs w:val="21"/>
          <w:color w:val="auto"/>
        </w:rPr>
        <w:t>“</w:t>
      </w:r>
      <w:r>
        <w:rPr>
          <w:rFonts w:ascii="Arial" w:cs="Arial" w:eastAsia="Arial" w:hAnsi="Arial"/>
          <w:sz w:val="21"/>
          <w:szCs w:val="21"/>
          <w:b w:val="1"/>
          <w:bCs w:val="1"/>
          <w:color w:val="auto"/>
        </w:rPr>
        <w:t>Confidential Information</w:t>
      </w:r>
      <w:r>
        <w:rPr>
          <w:rFonts w:ascii="Arial" w:cs="Arial" w:eastAsia="Arial" w:hAnsi="Arial"/>
          <w:sz w:val="21"/>
          <w:szCs w:val="21"/>
          <w:color w:val="auto"/>
        </w:rPr>
        <w:t>” of a Party means any and all Information of such Party or its Affiliates that is</w:t>
      </w:r>
      <w:r>
        <w:rPr>
          <w:rFonts w:ascii="Arial" w:cs="Arial" w:eastAsia="Arial" w:hAnsi="Arial"/>
          <w:sz w:val="21"/>
          <w:szCs w:val="21"/>
          <w:b w:val="1"/>
          <w:bCs w:val="1"/>
          <w:color w:val="auto"/>
        </w:rPr>
        <w:t xml:space="preserve"> </w:t>
      </w:r>
      <w:r>
        <w:rPr>
          <w:rFonts w:ascii="Arial" w:cs="Arial" w:eastAsia="Arial" w:hAnsi="Arial"/>
          <w:sz w:val="21"/>
          <w:szCs w:val="21"/>
          <w:color w:val="auto"/>
        </w:rPr>
        <w:t>disclosed to the other Party or its Affiliates under this Agreement, whether in oral, written, graphic, or electronic form. In addition, all Information disclosed by a Party or its Affiliates pursuant to the Mutual Nondisclosure Agreement between the Parties dated February 25, 2022 (the “</w:t>
      </w:r>
      <w:r>
        <w:rPr>
          <w:rFonts w:ascii="Arial" w:cs="Arial" w:eastAsia="Arial" w:hAnsi="Arial"/>
          <w:sz w:val="21"/>
          <w:szCs w:val="21"/>
          <w:b w:val="1"/>
          <w:bCs w:val="1"/>
          <w:color w:val="auto"/>
        </w:rPr>
        <w:t>Confidentiality Agreement</w:t>
      </w:r>
      <w:r>
        <w:rPr>
          <w:rFonts w:ascii="Arial" w:cs="Arial" w:eastAsia="Arial" w:hAnsi="Arial"/>
          <w:sz w:val="21"/>
          <w:szCs w:val="21"/>
          <w:color w:val="auto"/>
        </w:rPr>
        <w:t xml:space="preserve">”) shall be deemed to be Confidential Information of such Party disclosed hereunder;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any use or disclosure of any such Information that is authorized under Article 12 shall not be restricted by, or be deemed a violation of, the Confidentiality Agreement. For clarity, Spruce Licensed Know-How shall be deemed Confidential Information of Spruce.</w:t>
      </w:r>
    </w:p>
    <w:p>
      <w:pPr>
        <w:spacing w:after="0" w:line="177"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b w:val="1"/>
          <w:bCs w:val="1"/>
          <w:color w:val="auto"/>
        </w:rPr>
        <w:t xml:space="preserve">1.21 </w:t>
      </w: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means, with respect to any material, Information, Patent or other intellectual property right, possession</w:t>
      </w:r>
      <w:r>
        <w:rPr>
          <w:rFonts w:ascii="Arial" w:cs="Arial" w:eastAsia="Arial" w:hAnsi="Arial"/>
          <w:sz w:val="22"/>
          <w:szCs w:val="22"/>
          <w:b w:val="1"/>
          <w:bCs w:val="1"/>
          <w:color w:val="auto"/>
        </w:rPr>
        <w:t xml:space="preserve"> </w:t>
      </w:r>
      <w:r>
        <w:rPr>
          <w:rFonts w:ascii="Arial" w:cs="Arial" w:eastAsia="Arial" w:hAnsi="Arial"/>
          <w:sz w:val="22"/>
          <w:szCs w:val="22"/>
          <w:color w:val="auto"/>
        </w:rPr>
        <w:t>of the right, whether directly or indirectly, and whether by ownership, license, sublicense or otherwise (other than by a license, sublicense or other right granted pursuant to this Agreement), to grant a license, sublicense, or other right to or under, such material, Information, Patent, or intellectual property right without violating the terms of any existing agreement or other arrangement with any Third Party; provided that, (i) [***] and (ii) in case of a Change of Control of Spruce none of the intellectual property rights of any acquiring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5" w:name="page156"/>
    <w:bookmarkEnd w:id="155"/>
    <w:p>
      <w:pPr>
        <w:jc w:val="both"/>
        <w:spacing w:after="0" w:line="250" w:lineRule="auto"/>
        <w:rPr>
          <w:sz w:val="20"/>
          <w:szCs w:val="20"/>
          <w:color w:val="auto"/>
        </w:rPr>
      </w:pPr>
      <w:r>
        <w:rPr>
          <w:rFonts w:ascii="Arial" w:cs="Arial" w:eastAsia="Arial" w:hAnsi="Arial"/>
          <w:sz w:val="22"/>
          <w:szCs w:val="22"/>
          <w:color w:val="auto"/>
        </w:rPr>
        <w:t>Person or other Person involved in such Change of Control shall be or be deemed Spruce Technology for purposes of this Agreement.</w:t>
      </w:r>
    </w:p>
    <w:p>
      <w:pPr>
        <w:spacing w:after="0" w:line="169"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9"/>
          <w:szCs w:val="19"/>
          <w:b w:val="1"/>
          <w:bCs w:val="1"/>
          <w:color w:val="auto"/>
        </w:rPr>
        <w:t xml:space="preserve">1.22 </w:t>
      </w:r>
      <w:r>
        <w:rPr>
          <w:rFonts w:ascii="Arial" w:cs="Arial" w:eastAsia="Arial" w:hAnsi="Arial"/>
          <w:sz w:val="19"/>
          <w:szCs w:val="19"/>
          <w:color w:val="auto"/>
        </w:rPr>
        <w:t>“</w:t>
      </w:r>
      <w:r>
        <w:rPr>
          <w:rFonts w:ascii="Arial" w:cs="Arial" w:eastAsia="Arial" w:hAnsi="Arial"/>
          <w:sz w:val="19"/>
          <w:szCs w:val="19"/>
          <w:b w:val="1"/>
          <w:bCs w:val="1"/>
          <w:color w:val="auto"/>
        </w:rPr>
        <w:t>Cover</w:t>
      </w:r>
      <w:r>
        <w:rPr>
          <w:rFonts w:ascii="Arial" w:cs="Arial" w:eastAsia="Arial" w:hAnsi="Arial"/>
          <w:sz w:val="19"/>
          <w:szCs w:val="19"/>
          <w:color w:val="auto"/>
        </w:rPr>
        <w:t>” means, with respect to a Patent and a Licensed Product, that the Manufacture, use, offer for sale, sale or</w:t>
      </w:r>
      <w:r>
        <w:rPr>
          <w:rFonts w:ascii="Arial" w:cs="Arial" w:eastAsia="Arial" w:hAnsi="Arial"/>
          <w:sz w:val="19"/>
          <w:szCs w:val="19"/>
          <w:b w:val="1"/>
          <w:bCs w:val="1"/>
          <w:color w:val="auto"/>
        </w:rPr>
        <w:t xml:space="preserve"> </w:t>
      </w:r>
      <w:r>
        <w:rPr>
          <w:rFonts w:ascii="Arial" w:cs="Arial" w:eastAsia="Arial" w:hAnsi="Arial"/>
          <w:sz w:val="19"/>
          <w:szCs w:val="19"/>
          <w:color w:val="auto"/>
        </w:rPr>
        <w:t>importation of such Licensed Product by an unlicensed Third Party would infringe a Valid Claim in such Patent; provided, however, that in determining whether a claim of a pending Patent application would be infringed, it shall be treated as if issued in the form then currently being prosecuted. “</w:t>
      </w:r>
      <w:r>
        <w:rPr>
          <w:rFonts w:ascii="Arial" w:cs="Arial" w:eastAsia="Arial" w:hAnsi="Arial"/>
          <w:sz w:val="19"/>
          <w:szCs w:val="19"/>
          <w:b w:val="1"/>
          <w:bCs w:val="1"/>
          <w:color w:val="auto"/>
        </w:rPr>
        <w:t>Covered</w:t>
      </w:r>
      <w:r>
        <w:rPr>
          <w:rFonts w:ascii="Arial" w:cs="Arial" w:eastAsia="Arial" w:hAnsi="Arial"/>
          <w:sz w:val="19"/>
          <w:szCs w:val="19"/>
          <w:color w:val="auto"/>
        </w:rPr>
        <w:t>” and “</w:t>
      </w:r>
      <w:r>
        <w:rPr>
          <w:rFonts w:ascii="Arial" w:cs="Arial" w:eastAsia="Arial" w:hAnsi="Arial"/>
          <w:sz w:val="19"/>
          <w:szCs w:val="19"/>
          <w:b w:val="1"/>
          <w:bCs w:val="1"/>
          <w:color w:val="auto"/>
        </w:rPr>
        <w:t>Covering</w:t>
      </w:r>
      <w:r>
        <w:rPr>
          <w:rFonts w:ascii="Arial" w:cs="Arial" w:eastAsia="Arial" w:hAnsi="Arial"/>
          <w:sz w:val="19"/>
          <w:szCs w:val="19"/>
          <w:color w:val="auto"/>
        </w:rPr>
        <w:t>” shall have the correlative meanings.</w:t>
      </w:r>
    </w:p>
    <w:p>
      <w:pPr>
        <w:spacing w:after="0" w:line="13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 xml:space="preserve">1.23 </w:t>
      </w:r>
      <w:r>
        <w:rPr>
          <w:rFonts w:ascii="Arial" w:cs="Arial" w:eastAsia="Arial" w:hAnsi="Arial"/>
          <w:sz w:val="22"/>
          <w:szCs w:val="22"/>
          <w:color w:val="auto"/>
        </w:rPr>
        <w:t>“</w:t>
      </w:r>
      <w:r>
        <w:rPr>
          <w:rFonts w:ascii="Arial" w:cs="Arial" w:eastAsia="Arial" w:hAnsi="Arial"/>
          <w:sz w:val="22"/>
          <w:szCs w:val="22"/>
          <w:b w:val="1"/>
          <w:bCs w:val="1"/>
          <w:color w:val="auto"/>
        </w:rPr>
        <w:t>Data</w:t>
      </w:r>
      <w:r>
        <w:rPr>
          <w:rFonts w:ascii="Arial" w:cs="Arial" w:eastAsia="Arial" w:hAnsi="Arial"/>
          <w:sz w:val="22"/>
          <w:szCs w:val="22"/>
          <w:color w:val="auto"/>
        </w:rPr>
        <w:t>” means all data, including CMC Information, non-clinical data and Clinical Trial data, generated by or on</w:t>
      </w:r>
      <w:r>
        <w:rPr>
          <w:rFonts w:ascii="Arial" w:cs="Arial" w:eastAsia="Arial" w:hAnsi="Arial"/>
          <w:sz w:val="22"/>
          <w:szCs w:val="22"/>
          <w:b w:val="1"/>
          <w:bCs w:val="1"/>
          <w:color w:val="auto"/>
        </w:rPr>
        <w:t xml:space="preserve"> </w:t>
      </w:r>
      <w:r>
        <w:rPr>
          <w:rFonts w:ascii="Arial" w:cs="Arial" w:eastAsia="Arial" w:hAnsi="Arial"/>
          <w:sz w:val="22"/>
          <w:szCs w:val="22"/>
          <w:color w:val="auto"/>
        </w:rPr>
        <w:t>behalf of a Party or its Affiliates or their respective Sublicensees (in the case of Kaken) or licensees, including Spruce Partners (in the case of Spruce), pursuant to activities conducted under this Agreement. For clarity, Data does not include any patentable Inventions.</w:t>
      </w:r>
    </w:p>
    <w:p>
      <w:pPr>
        <w:spacing w:after="0" w:line="18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b w:val="1"/>
          <w:bCs w:val="1"/>
          <w:color w:val="auto"/>
        </w:rPr>
        <w:t xml:space="preserve">1.24 </w:t>
      </w:r>
      <w:r>
        <w:rPr>
          <w:rFonts w:ascii="Arial" w:cs="Arial" w:eastAsia="Arial" w:hAnsi="Arial"/>
          <w:sz w:val="21"/>
          <w:szCs w:val="21"/>
          <w:color w:val="auto"/>
        </w:rPr>
        <w:t>“</w:t>
      </w:r>
      <w:r>
        <w:rPr>
          <w:rFonts w:ascii="Arial" w:cs="Arial" w:eastAsia="Arial" w:hAnsi="Arial"/>
          <w:sz w:val="21"/>
          <w:szCs w:val="21"/>
          <w:b w:val="1"/>
          <w:bCs w:val="1"/>
          <w:color w:val="auto"/>
        </w:rPr>
        <w:t>Development</w:t>
      </w:r>
      <w:r>
        <w:rPr>
          <w:rFonts w:ascii="Arial" w:cs="Arial" w:eastAsia="Arial" w:hAnsi="Arial"/>
          <w:sz w:val="21"/>
          <w:szCs w:val="21"/>
          <w:color w:val="auto"/>
        </w:rPr>
        <w:t>” means all activities conducted after the Effective Date relating to non-clinical studies, CMC</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Activities, Clinical Trials, toxicology testing, statistical analysis, publication and presentation of study results with respect to the Licensed Compound or Licensed Products, and the reporting, preparation and submission of regulatory applications (including any CMC Information) for obtaining, registering and maintaining Regulatory Approval of Licensed Products; </w:t>
      </w:r>
      <w:r>
        <w:rPr>
          <w:rFonts w:ascii="Arial" w:cs="Arial" w:eastAsia="Arial" w:hAnsi="Arial"/>
          <w:sz w:val="21"/>
          <w:szCs w:val="21"/>
          <w:i w:val="1"/>
          <w:iCs w:val="1"/>
          <w:color w:val="auto"/>
        </w:rPr>
        <w:t>provided, however</w:t>
      </w:r>
      <w:r>
        <w:rPr>
          <w:rFonts w:ascii="Arial" w:cs="Arial" w:eastAsia="Arial" w:hAnsi="Arial"/>
          <w:sz w:val="21"/>
          <w:szCs w:val="21"/>
          <w:color w:val="auto"/>
        </w:rPr>
        <w:t>, “</w:t>
      </w:r>
      <w:r>
        <w:rPr>
          <w:rFonts w:ascii="Arial" w:cs="Arial" w:eastAsia="Arial" w:hAnsi="Arial"/>
          <w:sz w:val="21"/>
          <w:szCs w:val="21"/>
          <w:b w:val="1"/>
          <w:bCs w:val="1"/>
          <w:color w:val="auto"/>
        </w:rPr>
        <w:t>Development</w:t>
      </w:r>
      <w:r>
        <w:rPr>
          <w:rFonts w:ascii="Arial" w:cs="Arial" w:eastAsia="Arial" w:hAnsi="Arial"/>
          <w:sz w:val="21"/>
          <w:szCs w:val="21"/>
          <w:color w:val="auto"/>
        </w:rPr>
        <w:t>” shall exclude any activities relating to the Commercialization or Manufacture of Licensed Product. “</w:t>
      </w:r>
      <w:r>
        <w:rPr>
          <w:rFonts w:ascii="Arial" w:cs="Arial" w:eastAsia="Arial" w:hAnsi="Arial"/>
          <w:sz w:val="21"/>
          <w:szCs w:val="21"/>
          <w:b w:val="1"/>
          <w:bCs w:val="1"/>
          <w:color w:val="auto"/>
        </w:rPr>
        <w:t>Develop</w:t>
      </w:r>
      <w:r>
        <w:rPr>
          <w:rFonts w:ascii="Arial" w:cs="Arial" w:eastAsia="Arial" w:hAnsi="Arial"/>
          <w:sz w:val="21"/>
          <w:szCs w:val="21"/>
          <w:color w:val="auto"/>
        </w:rPr>
        <w:t>” and “</w:t>
      </w:r>
      <w:r>
        <w:rPr>
          <w:rFonts w:ascii="Arial" w:cs="Arial" w:eastAsia="Arial" w:hAnsi="Arial"/>
          <w:sz w:val="21"/>
          <w:szCs w:val="21"/>
          <w:b w:val="1"/>
          <w:bCs w:val="1"/>
          <w:color w:val="auto"/>
        </w:rPr>
        <w:t>Developing</w:t>
      </w:r>
      <w:r>
        <w:rPr>
          <w:rFonts w:ascii="Arial" w:cs="Arial" w:eastAsia="Arial" w:hAnsi="Arial"/>
          <w:sz w:val="21"/>
          <w:szCs w:val="21"/>
          <w:color w:val="auto"/>
        </w:rPr>
        <w:t>” shall have the correlative meanings.</w:t>
      </w:r>
    </w:p>
    <w:p>
      <w:pPr>
        <w:spacing w:after="0" w:line="171"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 xml:space="preserve">1.25 </w:t>
      </w:r>
      <w:r>
        <w:rPr>
          <w:rFonts w:ascii="Arial" w:cs="Arial" w:eastAsia="Arial" w:hAnsi="Arial"/>
          <w:sz w:val="22"/>
          <w:szCs w:val="22"/>
          <w:color w:val="auto"/>
        </w:rPr>
        <w:t>“</w:t>
      </w:r>
      <w:r>
        <w:rPr>
          <w:rFonts w:ascii="Arial" w:cs="Arial" w:eastAsia="Arial" w:hAnsi="Arial"/>
          <w:sz w:val="22"/>
          <w:szCs w:val="22"/>
          <w:b w:val="1"/>
          <w:bCs w:val="1"/>
          <w:color w:val="auto"/>
        </w:rPr>
        <w:t>Divest</w:t>
      </w:r>
      <w:r>
        <w:rPr>
          <w:rFonts w:ascii="Arial" w:cs="Arial" w:eastAsia="Arial" w:hAnsi="Arial"/>
          <w:sz w:val="22"/>
          <w:szCs w:val="22"/>
          <w:color w:val="auto"/>
        </w:rPr>
        <w:t>” means, for purposes of Section 15.5, the sale or transfer of rights to the Competing Program to a Third</w:t>
      </w:r>
      <w:r>
        <w:rPr>
          <w:rFonts w:ascii="Arial" w:cs="Arial" w:eastAsia="Arial" w:hAnsi="Arial"/>
          <w:sz w:val="22"/>
          <w:szCs w:val="22"/>
          <w:b w:val="1"/>
          <w:bCs w:val="1"/>
          <w:color w:val="auto"/>
        </w:rPr>
        <w:t xml:space="preserve"> </w:t>
      </w:r>
      <w:r>
        <w:rPr>
          <w:rFonts w:ascii="Arial" w:cs="Arial" w:eastAsia="Arial" w:hAnsi="Arial"/>
          <w:sz w:val="22"/>
          <w:szCs w:val="22"/>
          <w:color w:val="auto"/>
        </w:rPr>
        <w:t>Party where neither the assigning Party nor its assignee have the right to engage, and neither the assigning Party nor its assignee in fact engage, in any management, governance or decision-making activities in connection with such Competing Program. “</w:t>
      </w:r>
      <w:r>
        <w:rPr>
          <w:rFonts w:ascii="Arial" w:cs="Arial" w:eastAsia="Arial" w:hAnsi="Arial"/>
          <w:sz w:val="22"/>
          <w:szCs w:val="22"/>
          <w:b w:val="1"/>
          <w:bCs w:val="1"/>
          <w:color w:val="auto"/>
        </w:rPr>
        <w:t>Divestiture</w:t>
      </w:r>
      <w:r>
        <w:rPr>
          <w:rFonts w:ascii="Arial" w:cs="Arial" w:eastAsia="Arial" w:hAnsi="Arial"/>
          <w:sz w:val="22"/>
          <w:szCs w:val="22"/>
          <w:color w:val="auto"/>
        </w:rPr>
        <w:t>” shall have the correlative meaning.</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1.26 </w:t>
      </w:r>
      <w:r>
        <w:rPr>
          <w:rFonts w:ascii="Arial" w:cs="Arial" w:eastAsia="Arial" w:hAnsi="Arial"/>
          <w:sz w:val="22"/>
          <w:szCs w:val="22"/>
          <w:color w:val="auto"/>
        </w:rPr>
        <w:t>“</w:t>
      </w:r>
      <w:r>
        <w:rPr>
          <w:rFonts w:ascii="Arial" w:cs="Arial" w:eastAsia="Arial" w:hAnsi="Arial"/>
          <w:sz w:val="22"/>
          <w:szCs w:val="22"/>
          <w:b w:val="1"/>
          <w:bCs w:val="1"/>
          <w:color w:val="auto"/>
        </w:rPr>
        <w:t>EMA</w:t>
      </w:r>
      <w:r>
        <w:rPr>
          <w:rFonts w:ascii="Arial" w:cs="Arial" w:eastAsia="Arial" w:hAnsi="Arial"/>
          <w:sz w:val="22"/>
          <w:szCs w:val="22"/>
          <w:color w:val="auto"/>
        </w:rPr>
        <w:t>” means the European Medicines Agency or any successor entity.</w:t>
      </w:r>
    </w:p>
    <w:p>
      <w:pPr>
        <w:spacing w:after="0" w:line="206"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b w:val="1"/>
          <w:bCs w:val="1"/>
          <w:color w:val="auto"/>
        </w:rPr>
        <w:t xml:space="preserve">1.27 </w:t>
      </w:r>
      <w:r>
        <w:rPr>
          <w:rFonts w:ascii="Arial" w:cs="Arial" w:eastAsia="Arial" w:hAnsi="Arial"/>
          <w:sz w:val="19"/>
          <w:szCs w:val="19"/>
          <w:color w:val="auto"/>
        </w:rPr>
        <w:t>“</w:t>
      </w:r>
      <w:r>
        <w:rPr>
          <w:rFonts w:ascii="Arial" w:cs="Arial" w:eastAsia="Arial" w:hAnsi="Arial"/>
          <w:sz w:val="19"/>
          <w:szCs w:val="19"/>
          <w:b w:val="1"/>
          <w:bCs w:val="1"/>
          <w:color w:val="auto"/>
        </w:rPr>
        <w:t>Export Control Laws</w:t>
      </w:r>
      <w:r>
        <w:rPr>
          <w:rFonts w:ascii="Arial" w:cs="Arial" w:eastAsia="Arial" w:hAnsi="Arial"/>
          <w:sz w:val="19"/>
          <w:szCs w:val="19"/>
          <w:color w:val="auto"/>
        </w:rPr>
        <w:t>” means: (a) all applicable United States laws and regulations relating to sanctions and</w:t>
      </w:r>
      <w:r>
        <w:rPr>
          <w:rFonts w:ascii="Arial" w:cs="Arial" w:eastAsia="Arial" w:hAnsi="Arial"/>
          <w:sz w:val="19"/>
          <w:szCs w:val="19"/>
          <w:b w:val="1"/>
          <w:bCs w:val="1"/>
          <w:color w:val="auto"/>
        </w:rPr>
        <w:t xml:space="preserve"> </w:t>
      </w:r>
      <w:r>
        <w:rPr>
          <w:rFonts w:ascii="Arial" w:cs="Arial" w:eastAsia="Arial" w:hAnsi="Arial"/>
          <w:sz w:val="19"/>
          <w:szCs w:val="19"/>
          <w:color w:val="auto"/>
        </w:rPr>
        <w:t>embargoes imposed by U.S. Department of Treasury’s Office of Foreign Assets Control (or its successor office or other body having substantially the same function); (b) all applicable United States export control laws, including the Arms Export Controls Act (22 U.S.C. Ch. 39), the International Emergency Economic Powers Act (50 U.S.C. §§ 1701 et seq.), the Trading With the Enemy Act (50 U.S.C. app. §§ 1 et seq.), the Export Administration Act of 1979 (50 U.S.C. app. §§ 2401 et seq.), International Boycott Provisions of Section 999 of the U.S. Internal Revenue Code of 1986, and all rules, regulations and executive orders relating to any of the foregoing, including the International Traffic in Arms Regulations (22 C.F.R. §§ 120 et seq.), the Export Administration Regulations (15 C.F.R. §§ 730 et. seq.), and the regulations administered by the Office of Foreign Assets Controls of the United States Department of the Treasury; and (c) all export controls imposed on any Licensed Product by any country or organization or nation within the jurisdiction of which either Party operates or does business.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6" w:name="page157"/>
    <w:bookmarkEnd w:id="156"/>
    <w:p>
      <w:pPr>
        <w:ind w:left="760"/>
        <w:spacing w:after="0"/>
        <w:rPr>
          <w:sz w:val="20"/>
          <w:szCs w:val="20"/>
          <w:color w:val="auto"/>
        </w:rPr>
      </w:pPr>
      <w:r>
        <w:rPr>
          <w:rFonts w:ascii="Arial" w:cs="Arial" w:eastAsia="Arial" w:hAnsi="Arial"/>
          <w:sz w:val="22"/>
          <w:szCs w:val="22"/>
          <w:b w:val="1"/>
          <w:bCs w:val="1"/>
          <w:color w:val="auto"/>
        </w:rPr>
        <w:t xml:space="preserve">1.28 </w:t>
      </w:r>
      <w:r>
        <w:rPr>
          <w:rFonts w:ascii="Arial" w:cs="Arial" w:eastAsia="Arial" w:hAnsi="Arial"/>
          <w:sz w:val="22"/>
          <w:szCs w:val="22"/>
          <w:color w:val="auto"/>
        </w:rPr>
        <w:t>“</w:t>
      </w:r>
      <w:r>
        <w:rPr>
          <w:rFonts w:ascii="Arial" w:cs="Arial" w:eastAsia="Arial" w:hAnsi="Arial"/>
          <w:sz w:val="22"/>
          <w:szCs w:val="22"/>
          <w:b w:val="1"/>
          <w:bCs w:val="1"/>
          <w:color w:val="auto"/>
        </w:rPr>
        <w:t>FDA</w:t>
      </w:r>
      <w:r>
        <w:rPr>
          <w:rFonts w:ascii="Arial" w:cs="Arial" w:eastAsia="Arial" w:hAnsi="Arial"/>
          <w:sz w:val="22"/>
          <w:szCs w:val="22"/>
          <w:color w:val="auto"/>
        </w:rPr>
        <w:t>” means the U.S. Food and Drug Administration or any successor entity.</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1.29 </w:t>
      </w:r>
      <w:r>
        <w:rPr>
          <w:rFonts w:ascii="Arial" w:cs="Arial" w:eastAsia="Arial" w:hAnsi="Arial"/>
          <w:sz w:val="22"/>
          <w:szCs w:val="22"/>
          <w:color w:val="auto"/>
        </w:rPr>
        <w:t>“</w:t>
      </w:r>
      <w:r>
        <w:rPr>
          <w:rFonts w:ascii="Arial" w:cs="Arial" w:eastAsia="Arial" w:hAnsi="Arial"/>
          <w:sz w:val="22"/>
          <w:szCs w:val="22"/>
          <w:b w:val="1"/>
          <w:bCs w:val="1"/>
          <w:color w:val="auto"/>
        </w:rPr>
        <w:t>Field</w:t>
      </w:r>
      <w:r>
        <w:rPr>
          <w:rFonts w:ascii="Arial" w:cs="Arial" w:eastAsia="Arial" w:hAnsi="Arial"/>
          <w:sz w:val="22"/>
          <w:szCs w:val="22"/>
          <w:color w:val="auto"/>
        </w:rPr>
        <w:t>” means all uses in humans for the following Indications:</w:t>
      </w:r>
    </w:p>
    <w:p>
      <w:pPr>
        <w:spacing w:after="0" w:line="212" w:lineRule="exact"/>
        <w:rPr>
          <w:sz w:val="20"/>
          <w:szCs w:val="20"/>
          <w:color w:val="auto"/>
        </w:rPr>
      </w:pPr>
    </w:p>
    <w:p>
      <w:pPr>
        <w:ind w:left="2680" w:hanging="426"/>
        <w:spacing w:after="0"/>
        <w:tabs>
          <w:tab w:leader="none" w:pos="2680" w:val="left"/>
        </w:tabs>
        <w:numPr>
          <w:ilvl w:val="0"/>
          <w:numId w:val="64"/>
        </w:numPr>
        <w:rPr>
          <w:rFonts w:ascii="Arial" w:cs="Arial" w:eastAsia="Arial" w:hAnsi="Arial"/>
          <w:sz w:val="22"/>
          <w:szCs w:val="22"/>
          <w:b w:val="1"/>
          <w:bCs w:val="1"/>
          <w:color w:val="auto"/>
        </w:rPr>
      </w:pPr>
      <w:r>
        <w:rPr>
          <w:rFonts w:ascii="Arial" w:cs="Arial" w:eastAsia="Arial" w:hAnsi="Arial"/>
          <w:sz w:val="22"/>
          <w:szCs w:val="22"/>
          <w:color w:val="auto"/>
        </w:rPr>
        <w:t>Congenital Adrenal Hyperplasia in adult patients;</w:t>
      </w:r>
    </w:p>
    <w:p>
      <w:pPr>
        <w:spacing w:after="0" w:line="206" w:lineRule="exact"/>
        <w:rPr>
          <w:rFonts w:ascii="Arial" w:cs="Arial" w:eastAsia="Arial" w:hAnsi="Arial"/>
          <w:sz w:val="22"/>
          <w:szCs w:val="22"/>
          <w:b w:val="1"/>
          <w:bCs w:val="1"/>
          <w:color w:val="auto"/>
        </w:rPr>
      </w:pPr>
    </w:p>
    <w:p>
      <w:pPr>
        <w:ind w:left="2680" w:hanging="426"/>
        <w:spacing w:after="0"/>
        <w:tabs>
          <w:tab w:leader="none" w:pos="2680" w:val="left"/>
        </w:tabs>
        <w:numPr>
          <w:ilvl w:val="0"/>
          <w:numId w:val="64"/>
        </w:numPr>
        <w:rPr>
          <w:rFonts w:ascii="Arial" w:cs="Arial" w:eastAsia="Arial" w:hAnsi="Arial"/>
          <w:sz w:val="22"/>
          <w:szCs w:val="22"/>
          <w:b w:val="1"/>
          <w:bCs w:val="1"/>
          <w:color w:val="auto"/>
        </w:rPr>
      </w:pPr>
      <w:r>
        <w:rPr>
          <w:rFonts w:ascii="Arial" w:cs="Arial" w:eastAsia="Arial" w:hAnsi="Arial"/>
          <w:sz w:val="22"/>
          <w:szCs w:val="22"/>
          <w:color w:val="auto"/>
        </w:rPr>
        <w:t>Congenital Adrenal Hyperplasia in pediatric patients; and</w:t>
      </w:r>
    </w:p>
    <w:p>
      <w:pPr>
        <w:spacing w:after="0" w:line="206" w:lineRule="exact"/>
        <w:rPr>
          <w:rFonts w:ascii="Arial" w:cs="Arial" w:eastAsia="Arial" w:hAnsi="Arial"/>
          <w:sz w:val="22"/>
          <w:szCs w:val="22"/>
          <w:b w:val="1"/>
          <w:bCs w:val="1"/>
          <w:color w:val="auto"/>
        </w:rPr>
      </w:pPr>
    </w:p>
    <w:p>
      <w:pPr>
        <w:ind w:left="2680" w:hanging="426"/>
        <w:spacing w:after="0"/>
        <w:tabs>
          <w:tab w:leader="none" w:pos="2680" w:val="left"/>
        </w:tabs>
        <w:numPr>
          <w:ilvl w:val="0"/>
          <w:numId w:val="64"/>
        </w:numPr>
        <w:rPr>
          <w:rFonts w:ascii="Arial" w:cs="Arial" w:eastAsia="Arial" w:hAnsi="Arial"/>
          <w:sz w:val="22"/>
          <w:szCs w:val="22"/>
          <w:b w:val="1"/>
          <w:bCs w:val="1"/>
          <w:color w:val="auto"/>
        </w:rPr>
      </w:pPr>
      <w:r>
        <w:rPr>
          <w:rFonts w:ascii="Arial" w:cs="Arial" w:eastAsia="Arial" w:hAnsi="Arial"/>
          <w:sz w:val="22"/>
          <w:szCs w:val="22"/>
          <w:color w:val="auto"/>
        </w:rPr>
        <w:t>any Additional Indications.</w:t>
      </w:r>
    </w:p>
    <w:p>
      <w:pPr>
        <w:spacing w:after="0" w:line="200" w:lineRule="exact"/>
        <w:rPr>
          <w:sz w:val="20"/>
          <w:szCs w:val="20"/>
          <w:color w:val="auto"/>
        </w:rPr>
      </w:pPr>
    </w:p>
    <w:p>
      <w:pPr>
        <w:jc w:val="both"/>
        <w:ind w:firstLine="749"/>
        <w:spacing w:after="0" w:line="334" w:lineRule="auto"/>
        <w:rPr>
          <w:sz w:val="20"/>
          <w:szCs w:val="20"/>
          <w:color w:val="auto"/>
        </w:rPr>
      </w:pPr>
      <w:r>
        <w:rPr>
          <w:rFonts w:ascii="Arial" w:cs="Arial" w:eastAsia="Arial" w:hAnsi="Arial"/>
          <w:sz w:val="19"/>
          <w:szCs w:val="19"/>
          <w:b w:val="1"/>
          <w:bCs w:val="1"/>
          <w:color w:val="auto"/>
        </w:rPr>
        <w:t xml:space="preserve">1.30 </w:t>
      </w:r>
      <w:r>
        <w:rPr>
          <w:rFonts w:ascii="Arial" w:cs="Arial" w:eastAsia="Arial" w:hAnsi="Arial"/>
          <w:sz w:val="19"/>
          <w:szCs w:val="19"/>
          <w:color w:val="auto"/>
        </w:rPr>
        <w:t>“</w:t>
      </w:r>
      <w:r>
        <w:rPr>
          <w:rFonts w:ascii="Arial" w:cs="Arial" w:eastAsia="Arial" w:hAnsi="Arial"/>
          <w:sz w:val="19"/>
          <w:szCs w:val="19"/>
          <w:b w:val="1"/>
          <w:bCs w:val="1"/>
          <w:color w:val="auto"/>
        </w:rPr>
        <w:t>First Commercial Sale</w:t>
      </w:r>
      <w:r>
        <w:rPr>
          <w:rFonts w:ascii="Arial" w:cs="Arial" w:eastAsia="Arial" w:hAnsi="Arial"/>
          <w:sz w:val="19"/>
          <w:szCs w:val="19"/>
          <w:color w:val="auto"/>
        </w:rPr>
        <w:t>” means the first sale of a Licensed Product in the Kaken Territory to a Third Party by or</w:t>
      </w:r>
      <w:r>
        <w:rPr>
          <w:rFonts w:ascii="Arial" w:cs="Arial" w:eastAsia="Arial" w:hAnsi="Arial"/>
          <w:sz w:val="19"/>
          <w:szCs w:val="19"/>
          <w:b w:val="1"/>
          <w:bCs w:val="1"/>
          <w:color w:val="auto"/>
        </w:rPr>
        <w:t xml:space="preserve"> </w:t>
      </w:r>
      <w:r>
        <w:rPr>
          <w:rFonts w:ascii="Arial" w:cs="Arial" w:eastAsia="Arial" w:hAnsi="Arial"/>
          <w:sz w:val="19"/>
          <w:szCs w:val="19"/>
          <w:color w:val="auto"/>
        </w:rPr>
        <w:t>on behalf of Kaken, its Affiliates or Sublicensees after Kaken obtains the first Product Approval in the Kaken Territory.</w:t>
      </w:r>
    </w:p>
    <w:p>
      <w:pPr>
        <w:spacing w:after="0" w:line="94"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 xml:space="preserve">1.31 </w:t>
      </w:r>
      <w:r>
        <w:rPr>
          <w:rFonts w:ascii="Arial" w:cs="Arial" w:eastAsia="Arial" w:hAnsi="Arial"/>
          <w:sz w:val="22"/>
          <w:szCs w:val="22"/>
          <w:color w:val="auto"/>
        </w:rPr>
        <w:t>“</w:t>
      </w:r>
      <w:r>
        <w:rPr>
          <w:rFonts w:ascii="Arial" w:cs="Arial" w:eastAsia="Arial" w:hAnsi="Arial"/>
          <w:sz w:val="22"/>
          <w:szCs w:val="22"/>
          <w:b w:val="1"/>
          <w:bCs w:val="1"/>
          <w:color w:val="auto"/>
        </w:rPr>
        <w:t>Fiscal Year</w:t>
      </w:r>
      <w:r>
        <w:rPr>
          <w:rFonts w:ascii="Arial" w:cs="Arial" w:eastAsia="Arial" w:hAnsi="Arial"/>
          <w:sz w:val="22"/>
          <w:szCs w:val="22"/>
          <w:color w:val="auto"/>
        </w:rPr>
        <w:t>” means a fiscal year that starts on January 1 and ends on December 31, save that the first Fiscal Year</w:t>
      </w:r>
      <w:r>
        <w:rPr>
          <w:rFonts w:ascii="Arial" w:cs="Arial" w:eastAsia="Arial" w:hAnsi="Arial"/>
          <w:sz w:val="22"/>
          <w:szCs w:val="22"/>
          <w:b w:val="1"/>
          <w:bCs w:val="1"/>
          <w:color w:val="auto"/>
        </w:rPr>
        <w:t xml:space="preserve"> </w:t>
      </w:r>
      <w:r>
        <w:rPr>
          <w:rFonts w:ascii="Arial" w:cs="Arial" w:eastAsia="Arial" w:hAnsi="Arial"/>
          <w:sz w:val="22"/>
          <w:szCs w:val="22"/>
          <w:color w:val="auto"/>
        </w:rPr>
        <w:t>shall commence on the Effective Date and end on December 31 and the last Fiscal Year shall end on the date of termination or expiration of this Agreement.</w:t>
      </w:r>
    </w:p>
    <w:p>
      <w:pPr>
        <w:spacing w:after="0" w:line="177"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9"/>
          <w:szCs w:val="19"/>
          <w:b w:val="1"/>
          <w:bCs w:val="1"/>
          <w:color w:val="auto"/>
        </w:rPr>
        <w:t xml:space="preserve">1.32 </w:t>
      </w:r>
      <w:r>
        <w:rPr>
          <w:rFonts w:ascii="Arial" w:cs="Arial" w:eastAsia="Arial" w:hAnsi="Arial"/>
          <w:sz w:val="19"/>
          <w:szCs w:val="19"/>
          <w:color w:val="auto"/>
        </w:rPr>
        <w:t>“</w:t>
      </w:r>
      <w:r>
        <w:rPr>
          <w:rFonts w:ascii="Arial" w:cs="Arial" w:eastAsia="Arial" w:hAnsi="Arial"/>
          <w:sz w:val="19"/>
          <w:szCs w:val="19"/>
          <w:b w:val="1"/>
          <w:bCs w:val="1"/>
          <w:color w:val="auto"/>
        </w:rPr>
        <w:t>GCP</w:t>
      </w:r>
      <w:r>
        <w:rPr>
          <w:rFonts w:ascii="Arial" w:cs="Arial" w:eastAsia="Arial" w:hAnsi="Arial"/>
          <w:sz w:val="19"/>
          <w:szCs w:val="19"/>
          <w:color w:val="auto"/>
        </w:rPr>
        <w:t>” or “</w:t>
      </w:r>
      <w:r>
        <w:rPr>
          <w:rFonts w:ascii="Arial" w:cs="Arial" w:eastAsia="Arial" w:hAnsi="Arial"/>
          <w:sz w:val="19"/>
          <w:szCs w:val="19"/>
          <w:b w:val="1"/>
          <w:bCs w:val="1"/>
          <w:color w:val="auto"/>
        </w:rPr>
        <w:t>Good Clinical Practices</w:t>
      </w:r>
      <w:r>
        <w:rPr>
          <w:rFonts w:ascii="Arial" w:cs="Arial" w:eastAsia="Arial" w:hAnsi="Arial"/>
          <w:sz w:val="19"/>
          <w:szCs w:val="19"/>
          <w:color w:val="auto"/>
        </w:rPr>
        <w:t>” means the then-current standards, practices and procedures promulgated or</w:t>
      </w:r>
      <w:r>
        <w:rPr>
          <w:rFonts w:ascii="Arial" w:cs="Arial" w:eastAsia="Arial" w:hAnsi="Arial"/>
          <w:sz w:val="19"/>
          <w:szCs w:val="19"/>
          <w:b w:val="1"/>
          <w:bCs w:val="1"/>
          <w:color w:val="auto"/>
        </w:rPr>
        <w:t xml:space="preserve"> </w:t>
      </w:r>
      <w:r>
        <w:rPr>
          <w:rFonts w:ascii="Arial" w:cs="Arial" w:eastAsia="Arial" w:hAnsi="Arial"/>
          <w:sz w:val="19"/>
          <w:szCs w:val="19"/>
          <w:color w:val="auto"/>
        </w:rPr>
        <w:t>endorsed by the FDA as set forth in the guidelines entitled “Guidance for Industry E6 Good Clinical Practice: Consolidated Guidance,” including related regulatory requirements imposed by the FDA and comparable regulatory standards, practices and procedures promulgated by the MHLW, PMDA or other Regulatory Authority applicable to the Kaken Territory, as they may be updated from time to time, including applicable quality guidelines promulgated under the ICH.</w:t>
      </w:r>
    </w:p>
    <w:p>
      <w:pPr>
        <w:spacing w:after="0" w:line="143"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b w:val="1"/>
          <w:bCs w:val="1"/>
          <w:color w:val="auto"/>
        </w:rPr>
        <w:t xml:space="preserve">1.33 </w:t>
      </w:r>
      <w:r>
        <w:rPr>
          <w:rFonts w:ascii="Arial" w:cs="Arial" w:eastAsia="Arial" w:hAnsi="Arial"/>
          <w:sz w:val="19"/>
          <w:szCs w:val="19"/>
          <w:color w:val="auto"/>
        </w:rPr>
        <w:t>“</w:t>
      </w:r>
      <w:r>
        <w:rPr>
          <w:rFonts w:ascii="Arial" w:cs="Arial" w:eastAsia="Arial" w:hAnsi="Arial"/>
          <w:sz w:val="19"/>
          <w:szCs w:val="19"/>
          <w:b w:val="1"/>
          <w:bCs w:val="1"/>
          <w:color w:val="auto"/>
        </w:rPr>
        <w:t>Generic Product</w:t>
      </w:r>
      <w:r>
        <w:rPr>
          <w:rFonts w:ascii="Arial" w:cs="Arial" w:eastAsia="Arial" w:hAnsi="Arial"/>
          <w:sz w:val="19"/>
          <w:szCs w:val="19"/>
          <w:color w:val="auto"/>
        </w:rPr>
        <w:t>” means, with respect to Licensed Product that has received Regulatory Approval in the Kaken</w:t>
      </w:r>
      <w:r>
        <w:rPr>
          <w:rFonts w:ascii="Arial" w:cs="Arial" w:eastAsia="Arial" w:hAnsi="Arial"/>
          <w:sz w:val="19"/>
          <w:szCs w:val="19"/>
          <w:b w:val="1"/>
          <w:bCs w:val="1"/>
          <w:color w:val="auto"/>
        </w:rPr>
        <w:t xml:space="preserve"> </w:t>
      </w:r>
      <w:r>
        <w:rPr>
          <w:rFonts w:ascii="Arial" w:cs="Arial" w:eastAsia="Arial" w:hAnsi="Arial"/>
          <w:sz w:val="19"/>
          <w:szCs w:val="19"/>
          <w:color w:val="auto"/>
        </w:rPr>
        <w:t>Territory and is being marketed and sold by Kaken or any of its Affiliates or Sublicensees in the Kaken Territory, any pharmaceutical product that: (a) is sold in the Kaken Territory by a Third Party that is not a Sublicensee of Kaken or its Affiliates and did not purchase or acquire such product in a chain of distribution that included Kaken or any of its Affiliates or Sublicensees, and (b) (i) contains the same active pharmaceutical ingredient(s) as such Licensed Product, (ii) has the same route of administration as such Licensed Product, and (iii) is approved by the Regulatory Authority in the Kaken Territory for at least one of the same Indications as such Licensed Product, as a “generic drug,” “generic medicinal product,” “bioequivalent” or similar designation of interchangeability with the Licensed Product by the applicable Regulatory Authority in such jurisdiction, pursuant to an expedited or abbreviated approval process in accordance with the then-current rules and regulations in such jurisdiction, where (A) such Licensed Product is the “reference medicinal product,” “reference listed product” or similar designation in such jurisdiction, and (B) such approval referred to or relied on (x) the approved MAA for such Licensed Product held by Kaken, its Affiliate or a Sublicensee in the Kaken Territory or (y) the data contained or incorporated by reference in such approved MAA for such Licensed Product in the Kaken Territory.</w:t>
      </w:r>
    </w:p>
    <w:p>
      <w:pPr>
        <w:spacing w:after="0" w:line="200" w:lineRule="exact"/>
        <w:rPr>
          <w:sz w:val="20"/>
          <w:szCs w:val="20"/>
          <w:color w:val="auto"/>
        </w:rPr>
      </w:pPr>
    </w:p>
    <w:p>
      <w:pPr>
        <w:spacing w:after="0" w:line="204"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 xml:space="preserve">1.34 </w:t>
      </w:r>
      <w:r>
        <w:rPr>
          <w:rFonts w:ascii="Arial" w:cs="Arial" w:eastAsia="Arial" w:hAnsi="Arial"/>
          <w:sz w:val="22"/>
          <w:szCs w:val="22"/>
          <w:color w:val="auto"/>
        </w:rPr>
        <w:t>“</w:t>
      </w:r>
      <w:r>
        <w:rPr>
          <w:rFonts w:ascii="Arial" w:cs="Arial" w:eastAsia="Arial" w:hAnsi="Arial"/>
          <w:sz w:val="22"/>
          <w:szCs w:val="22"/>
          <w:b w:val="1"/>
          <w:bCs w:val="1"/>
          <w:color w:val="auto"/>
        </w:rPr>
        <w:t>GLP</w:t>
      </w:r>
      <w:r>
        <w:rPr>
          <w:rFonts w:ascii="Arial" w:cs="Arial" w:eastAsia="Arial" w:hAnsi="Arial"/>
          <w:sz w:val="22"/>
          <w:szCs w:val="22"/>
          <w:color w:val="auto"/>
        </w:rPr>
        <w:t>” or “</w:t>
      </w:r>
      <w:r>
        <w:rPr>
          <w:rFonts w:ascii="Arial" w:cs="Arial" w:eastAsia="Arial" w:hAnsi="Arial"/>
          <w:sz w:val="22"/>
          <w:szCs w:val="22"/>
          <w:b w:val="1"/>
          <w:bCs w:val="1"/>
          <w:color w:val="auto"/>
        </w:rPr>
        <w:t>Good Laboratory Practices</w:t>
      </w:r>
      <w:r>
        <w:rPr>
          <w:rFonts w:ascii="Arial" w:cs="Arial" w:eastAsia="Arial" w:hAnsi="Arial"/>
          <w:sz w:val="22"/>
          <w:szCs w:val="22"/>
          <w:color w:val="auto"/>
        </w:rPr>
        <w:t>” means the then-current good laboratory practice standards promulgated</w:t>
      </w:r>
      <w:r>
        <w:rPr>
          <w:rFonts w:ascii="Arial" w:cs="Arial" w:eastAsia="Arial" w:hAnsi="Arial"/>
          <w:sz w:val="22"/>
          <w:szCs w:val="22"/>
          <w:b w:val="1"/>
          <w:bCs w:val="1"/>
          <w:color w:val="auto"/>
        </w:rPr>
        <w:t xml:space="preserve"> </w:t>
      </w:r>
      <w:r>
        <w:rPr>
          <w:rFonts w:ascii="Arial" w:cs="Arial" w:eastAsia="Arial" w:hAnsi="Arial"/>
          <w:sz w:val="22"/>
          <w:szCs w:val="22"/>
          <w:color w:val="auto"/>
        </w:rPr>
        <w:t>or endorsed by the FDA as defined in 21 C.F.R. Part 58, and comparable regulatory standards promulgated by MHLW or other Regulatory Authority applicable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7" w:name="page158"/>
    <w:bookmarkEnd w:id="157"/>
    <w:p>
      <w:pPr>
        <w:spacing w:after="0"/>
        <w:rPr>
          <w:sz w:val="20"/>
          <w:szCs w:val="20"/>
          <w:color w:val="auto"/>
        </w:rPr>
      </w:pPr>
      <w:r>
        <w:rPr>
          <w:rFonts w:ascii="Arial" w:cs="Arial" w:eastAsia="Arial" w:hAnsi="Arial"/>
          <w:sz w:val="19"/>
          <w:szCs w:val="19"/>
          <w:color w:val="auto"/>
        </w:rPr>
        <w:t>to the Kaken Territory, as may be updated from time to time, including applicable quality guidelines promulgated under the ICH.</w:t>
      </w:r>
    </w:p>
    <w:p>
      <w:pPr>
        <w:spacing w:after="0" w:line="235"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b w:val="1"/>
          <w:bCs w:val="1"/>
          <w:color w:val="auto"/>
        </w:rPr>
        <w:t xml:space="preserve">1.35 </w:t>
      </w:r>
      <w:r>
        <w:rPr>
          <w:rFonts w:ascii="Arial" w:cs="Arial" w:eastAsia="Arial" w:hAnsi="Arial"/>
          <w:sz w:val="19"/>
          <w:szCs w:val="19"/>
          <w:color w:val="auto"/>
        </w:rPr>
        <w:t>“</w:t>
      </w:r>
      <w:r>
        <w:rPr>
          <w:rFonts w:ascii="Arial" w:cs="Arial" w:eastAsia="Arial" w:hAnsi="Arial"/>
          <w:sz w:val="19"/>
          <w:szCs w:val="19"/>
          <w:b w:val="1"/>
          <w:bCs w:val="1"/>
          <w:color w:val="auto"/>
        </w:rPr>
        <w:t>GMP</w:t>
      </w:r>
      <w:r>
        <w:rPr>
          <w:rFonts w:ascii="Arial" w:cs="Arial" w:eastAsia="Arial" w:hAnsi="Arial"/>
          <w:sz w:val="19"/>
          <w:szCs w:val="19"/>
          <w:color w:val="auto"/>
        </w:rPr>
        <w:t>” means (a) the good manufacturing practices required by the FDA and set forth in the Act or FDA</w:t>
      </w:r>
      <w:r>
        <w:rPr>
          <w:rFonts w:ascii="Arial" w:cs="Arial" w:eastAsia="Arial" w:hAnsi="Arial"/>
          <w:sz w:val="19"/>
          <w:szCs w:val="19"/>
          <w:b w:val="1"/>
          <w:bCs w:val="1"/>
          <w:color w:val="auto"/>
        </w:rPr>
        <w:t xml:space="preserve"> </w:t>
      </w:r>
      <w:r>
        <w:rPr>
          <w:rFonts w:ascii="Arial" w:cs="Arial" w:eastAsia="Arial" w:hAnsi="Arial"/>
          <w:sz w:val="19"/>
          <w:szCs w:val="19"/>
          <w:color w:val="auto"/>
        </w:rPr>
        <w:t>regulations (including without limitation 21 CFR 210 and 211), policies, guidances or guidelines, or any applicable equivalent within a regulatory jurisdiction, including, without limitation, any applicable current good manufacturing practices requirements and pharmaceutical industry standards for the manufacture and testing of investigational pharmaceutical materials in force from time-to-time in the European Union (including, without limitation, Directive 2003/94/EC laying down the principles and guidelines of good manufacturing practice), the relevant national implementations of these rules and any relevant national and European Commission and Committee on Proprietary Medicinal Products guidance and, in particular, Annex 13 of the Guide to Good Manufacturing Practice entitled “Manufacture of investigational medicinal products”, as updated and amended from time-to-time, in each case in effect at any time during the term of this Agreement, for the manufacture, handling and testing of investigational pharmaceutical products; (b) the corresponding requirements of each applicable Regulatory Authority or other Governmental Authority; and (c) any other guidances, procedures, practices, arrangements, additions or clarifications, as the Parties may agree in writing from time-to-time.</w:t>
      </w:r>
    </w:p>
    <w:p>
      <w:pPr>
        <w:spacing w:after="0" w:line="398"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 xml:space="preserve">1.36 </w:t>
      </w:r>
      <w:r>
        <w:rPr>
          <w:rFonts w:ascii="Arial" w:cs="Arial" w:eastAsia="Arial" w:hAnsi="Arial"/>
          <w:sz w:val="22"/>
          <w:szCs w:val="22"/>
          <w:color w:val="auto"/>
        </w:rPr>
        <w:t>“</w:t>
      </w:r>
      <w:r>
        <w:rPr>
          <w:rFonts w:ascii="Arial" w:cs="Arial" w:eastAsia="Arial" w:hAnsi="Arial"/>
          <w:sz w:val="22"/>
          <w:szCs w:val="22"/>
          <w:b w:val="1"/>
          <w:bCs w:val="1"/>
          <w:color w:val="auto"/>
        </w:rPr>
        <w:t>Government Official</w:t>
      </w:r>
      <w:r>
        <w:rPr>
          <w:rFonts w:ascii="Arial" w:cs="Arial" w:eastAsia="Arial" w:hAnsi="Arial"/>
          <w:sz w:val="22"/>
          <w:szCs w:val="22"/>
          <w:color w:val="auto"/>
        </w:rPr>
        <w:t>” means (a) any official or employee of any Governmental Authority, or any department,</w:t>
      </w:r>
      <w:r>
        <w:rPr>
          <w:rFonts w:ascii="Arial" w:cs="Arial" w:eastAsia="Arial" w:hAnsi="Arial"/>
          <w:sz w:val="22"/>
          <w:szCs w:val="22"/>
          <w:b w:val="1"/>
          <w:bCs w:val="1"/>
          <w:color w:val="auto"/>
        </w:rPr>
        <w:t xml:space="preserve"> </w:t>
      </w:r>
      <w:r>
        <w:rPr>
          <w:rFonts w:ascii="Arial" w:cs="Arial" w:eastAsia="Arial" w:hAnsi="Arial"/>
          <w:sz w:val="22"/>
          <w:szCs w:val="22"/>
          <w:color w:val="auto"/>
        </w:rPr>
        <w:t>agency, or instrumentality thereof (including without limitation commercial entities owned or controlled, directly or indirectly, by a Governmental Authority), (b) any political party or official thereof, or any candidate for political office, or (c) any official or employee of any public international organization.</w:t>
      </w:r>
    </w:p>
    <w:p>
      <w:pPr>
        <w:spacing w:after="0" w:line="180"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 xml:space="preserve">1.37 </w:t>
      </w:r>
      <w:r>
        <w:rPr>
          <w:rFonts w:ascii="Arial" w:cs="Arial" w:eastAsia="Arial" w:hAnsi="Arial"/>
          <w:sz w:val="22"/>
          <w:szCs w:val="22"/>
          <w:color w:val="auto"/>
        </w:rPr>
        <w:t>“</w:t>
      </w:r>
      <w:r>
        <w:rPr>
          <w:rFonts w:ascii="Arial" w:cs="Arial" w:eastAsia="Arial" w:hAnsi="Arial"/>
          <w:sz w:val="22"/>
          <w:szCs w:val="22"/>
          <w:b w:val="1"/>
          <w:bCs w:val="1"/>
          <w:color w:val="auto"/>
        </w:rPr>
        <w:t>Governmental Authority</w:t>
      </w:r>
      <w:r>
        <w:rPr>
          <w:rFonts w:ascii="Arial" w:cs="Arial" w:eastAsia="Arial" w:hAnsi="Arial"/>
          <w:sz w:val="22"/>
          <w:szCs w:val="22"/>
          <w:color w:val="auto"/>
        </w:rPr>
        <w:t>” means any multi-national, national, federal, state, local, municipal, provincial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governmental authority of any nature (including any governmental division, prefecture, subdivision, department, agency, bureau, branch, office, commission, council, court or other tribunal).</w:t>
      </w:r>
    </w:p>
    <w:p>
      <w:pPr>
        <w:spacing w:after="0" w:line="17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 xml:space="preserve">1.38 </w:t>
      </w:r>
      <w:r>
        <w:rPr>
          <w:rFonts w:ascii="Arial" w:cs="Arial" w:eastAsia="Arial" w:hAnsi="Arial"/>
          <w:sz w:val="22"/>
          <w:szCs w:val="22"/>
          <w:color w:val="auto"/>
        </w:rPr>
        <w:t>“</w:t>
      </w:r>
      <w:r>
        <w:rPr>
          <w:rFonts w:ascii="Arial" w:cs="Arial" w:eastAsia="Arial" w:hAnsi="Arial"/>
          <w:sz w:val="22"/>
          <w:szCs w:val="22"/>
          <w:b w:val="1"/>
          <w:bCs w:val="1"/>
          <w:color w:val="auto"/>
        </w:rPr>
        <w:t>ICH</w:t>
      </w:r>
      <w:r>
        <w:rPr>
          <w:rFonts w:ascii="Arial" w:cs="Arial" w:eastAsia="Arial" w:hAnsi="Arial"/>
          <w:sz w:val="22"/>
          <w:szCs w:val="22"/>
          <w:color w:val="auto"/>
        </w:rPr>
        <w:t>” means International Conference on Harmonization of Technical Requirements for Registration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Pharmaceuticals for Human Use.</w:t>
      </w:r>
    </w:p>
    <w:p>
      <w:pPr>
        <w:spacing w:after="0" w:line="162"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9"/>
          <w:szCs w:val="19"/>
          <w:b w:val="1"/>
          <w:bCs w:val="1"/>
          <w:color w:val="auto"/>
        </w:rPr>
        <w:t xml:space="preserve">1.39 </w:t>
      </w:r>
      <w:r>
        <w:rPr>
          <w:rFonts w:ascii="Arial" w:cs="Arial" w:eastAsia="Arial" w:hAnsi="Arial"/>
          <w:sz w:val="19"/>
          <w:szCs w:val="19"/>
          <w:color w:val="auto"/>
        </w:rPr>
        <w:t>“</w:t>
      </w:r>
      <w:r>
        <w:rPr>
          <w:rFonts w:ascii="Arial" w:cs="Arial" w:eastAsia="Arial" w:hAnsi="Arial"/>
          <w:sz w:val="19"/>
          <w:szCs w:val="19"/>
          <w:b w:val="1"/>
          <w:bCs w:val="1"/>
          <w:color w:val="auto"/>
        </w:rPr>
        <w:t>IND</w:t>
      </w:r>
      <w:r>
        <w:rPr>
          <w:rFonts w:ascii="Arial" w:cs="Arial" w:eastAsia="Arial" w:hAnsi="Arial"/>
          <w:sz w:val="19"/>
          <w:szCs w:val="19"/>
          <w:color w:val="auto"/>
        </w:rPr>
        <w:t>” means an investigational new drug application, clinical trial application, clinical trial exemption, or similar</w:t>
      </w:r>
      <w:r>
        <w:rPr>
          <w:rFonts w:ascii="Arial" w:cs="Arial" w:eastAsia="Arial" w:hAnsi="Arial"/>
          <w:sz w:val="19"/>
          <w:szCs w:val="19"/>
          <w:b w:val="1"/>
          <w:bCs w:val="1"/>
          <w:color w:val="auto"/>
        </w:rPr>
        <w:t xml:space="preserve"> </w:t>
      </w:r>
      <w:r>
        <w:rPr>
          <w:rFonts w:ascii="Arial" w:cs="Arial" w:eastAsia="Arial" w:hAnsi="Arial"/>
          <w:sz w:val="19"/>
          <w:szCs w:val="19"/>
          <w:color w:val="auto"/>
        </w:rPr>
        <w:t>application or submission filed with or submitted to a Regulatory Authority in a jurisdiction that is necessary to commence human clinical trials in such jurisdiction, including any such application filed with the FDA pursuant to 21 C.F.R. Part 312.</w:t>
      </w:r>
    </w:p>
    <w:p>
      <w:pPr>
        <w:spacing w:after="0" w:line="12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 xml:space="preserve">1.40 </w:t>
      </w:r>
      <w:r>
        <w:rPr>
          <w:rFonts w:ascii="Arial" w:cs="Arial" w:eastAsia="Arial" w:hAnsi="Arial"/>
          <w:sz w:val="22"/>
          <w:szCs w:val="22"/>
          <w:color w:val="auto"/>
        </w:rPr>
        <w:t>“</w:t>
      </w:r>
      <w:r>
        <w:rPr>
          <w:rFonts w:ascii="Arial" w:cs="Arial" w:eastAsia="Arial" w:hAnsi="Arial"/>
          <w:sz w:val="22"/>
          <w:szCs w:val="22"/>
          <w:b w:val="1"/>
          <w:bCs w:val="1"/>
          <w:color w:val="auto"/>
        </w:rPr>
        <w:t>Indication</w:t>
      </w:r>
      <w:r>
        <w:rPr>
          <w:rFonts w:ascii="Arial" w:cs="Arial" w:eastAsia="Arial" w:hAnsi="Arial"/>
          <w:sz w:val="22"/>
          <w:szCs w:val="22"/>
          <w:color w:val="auto"/>
        </w:rPr>
        <w:t>” means a class of human disease or condition for which a separate MAA (including any extensions or</w:t>
      </w:r>
      <w:r>
        <w:rPr>
          <w:rFonts w:ascii="Arial" w:cs="Arial" w:eastAsia="Arial" w:hAnsi="Arial"/>
          <w:sz w:val="22"/>
          <w:szCs w:val="22"/>
          <w:b w:val="1"/>
          <w:bCs w:val="1"/>
          <w:color w:val="auto"/>
        </w:rPr>
        <w:t xml:space="preserve"> </w:t>
      </w:r>
      <w:r>
        <w:rPr>
          <w:rFonts w:ascii="Arial" w:cs="Arial" w:eastAsia="Arial" w:hAnsi="Arial"/>
          <w:sz w:val="22"/>
          <w:szCs w:val="22"/>
          <w:color w:val="auto"/>
        </w:rPr>
        <w:t>supplements) is required to be filed with a Regulatory Authority. For clarity, if an MAA is approved for a Licensed Product in a particular Indication and patient population, a label expansion for such Licensed Product to include such Indication in a different patient population shall not be considered a separate Indication.</w:t>
      </w:r>
    </w:p>
    <w:p>
      <w:pPr>
        <w:spacing w:after="0" w:line="180" w:lineRule="exact"/>
        <w:rPr>
          <w:sz w:val="20"/>
          <w:szCs w:val="20"/>
          <w:color w:val="auto"/>
        </w:rPr>
      </w:pPr>
    </w:p>
    <w:p>
      <w:pPr>
        <w:jc w:val="both"/>
        <w:ind w:right="20" w:firstLine="749"/>
        <w:spacing w:after="0" w:line="256" w:lineRule="auto"/>
        <w:rPr>
          <w:sz w:val="20"/>
          <w:szCs w:val="20"/>
          <w:color w:val="auto"/>
        </w:rPr>
      </w:pPr>
      <w:r>
        <w:rPr>
          <w:rFonts w:ascii="Arial" w:cs="Arial" w:eastAsia="Arial" w:hAnsi="Arial"/>
          <w:sz w:val="22"/>
          <w:szCs w:val="22"/>
          <w:b w:val="1"/>
          <w:bCs w:val="1"/>
          <w:color w:val="auto"/>
        </w:rPr>
        <w:t xml:space="preserve">1.41 </w:t>
      </w:r>
      <w:r>
        <w:rPr>
          <w:rFonts w:ascii="Arial" w:cs="Arial" w:eastAsia="Arial" w:hAnsi="Arial"/>
          <w:sz w:val="22"/>
          <w:szCs w:val="22"/>
          <w:color w:val="auto"/>
        </w:rPr>
        <w:t>“</w:t>
      </w:r>
      <w:r>
        <w:rPr>
          <w:rFonts w:ascii="Arial" w:cs="Arial" w:eastAsia="Arial" w:hAnsi="Arial"/>
          <w:sz w:val="22"/>
          <w:szCs w:val="22"/>
          <w:b w:val="1"/>
          <w:bCs w:val="1"/>
          <w:color w:val="auto"/>
        </w:rPr>
        <w:t>Information</w:t>
      </w:r>
      <w:r>
        <w:rPr>
          <w:rFonts w:ascii="Arial" w:cs="Arial" w:eastAsia="Arial" w:hAnsi="Arial"/>
          <w:sz w:val="22"/>
          <w:szCs w:val="22"/>
          <w:color w:val="auto"/>
        </w:rPr>
        <w:t>” means any Data, results, technology, business or financial information or information of any type</w:t>
      </w:r>
      <w:r>
        <w:rPr>
          <w:rFonts w:ascii="Arial" w:cs="Arial" w:eastAsia="Arial" w:hAnsi="Arial"/>
          <w:sz w:val="22"/>
          <w:szCs w:val="22"/>
          <w:b w:val="1"/>
          <w:bCs w:val="1"/>
          <w:color w:val="auto"/>
        </w:rPr>
        <w:t xml:space="preserve"> </w:t>
      </w:r>
      <w:r>
        <w:rPr>
          <w:rFonts w:ascii="Arial" w:cs="Arial" w:eastAsia="Arial" w:hAnsi="Arial"/>
          <w:sz w:val="22"/>
          <w:szCs w:val="22"/>
          <w:color w:val="auto"/>
        </w:rPr>
        <w:t>whatsoever, in any tangible or intangible form, including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8" w:name="page159"/>
    <w:bookmarkEnd w:id="158"/>
    <w:p>
      <w:pPr>
        <w:jc w:val="both"/>
        <w:spacing w:after="0" w:line="238" w:lineRule="auto"/>
        <w:rPr>
          <w:sz w:val="20"/>
          <w:szCs w:val="20"/>
          <w:color w:val="auto"/>
        </w:rPr>
      </w:pPr>
      <w:r>
        <w:rPr>
          <w:rFonts w:ascii="Arial" w:cs="Arial" w:eastAsia="Arial" w:hAnsi="Arial"/>
          <w:sz w:val="22"/>
          <w:szCs w:val="22"/>
          <w:color w:val="auto"/>
        </w:rPr>
        <w:t>know-how, copyrights, trade secrets, practices, techniques, methods, processes, inventions, developments, specifications, formulae, software, algorithms, marketing reports, expertise, technology, test data (including pharmacological, biological, chemical, biochemical, clinical test data and data resulting from non-clinical studies), CMC Information, stability data and other study data and procedures.</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 xml:space="preserve">1.42 </w:t>
      </w:r>
      <w:r>
        <w:rPr>
          <w:rFonts w:ascii="Arial" w:cs="Arial" w:eastAsia="Arial" w:hAnsi="Arial"/>
          <w:sz w:val="22"/>
          <w:szCs w:val="22"/>
          <w:color w:val="auto"/>
        </w:rPr>
        <w:t>“</w:t>
      </w:r>
      <w:r>
        <w:rPr>
          <w:rFonts w:ascii="Arial" w:cs="Arial" w:eastAsia="Arial" w:hAnsi="Arial"/>
          <w:sz w:val="22"/>
          <w:szCs w:val="22"/>
          <w:b w:val="1"/>
          <w:bCs w:val="1"/>
          <w:color w:val="auto"/>
        </w:rPr>
        <w:t>Initiation</w:t>
      </w:r>
      <w:r>
        <w:rPr>
          <w:rFonts w:ascii="Arial" w:cs="Arial" w:eastAsia="Arial" w:hAnsi="Arial"/>
          <w:sz w:val="22"/>
          <w:szCs w:val="22"/>
          <w:color w:val="auto"/>
        </w:rPr>
        <w:t>” means, with respect to a Clinical Trial, first dosing in the first patient in such Clinical Trial. “</w:t>
      </w:r>
      <w:r>
        <w:rPr>
          <w:rFonts w:ascii="Arial" w:cs="Arial" w:eastAsia="Arial" w:hAnsi="Arial"/>
          <w:sz w:val="22"/>
          <w:szCs w:val="22"/>
          <w:b w:val="1"/>
          <w:bCs w:val="1"/>
          <w:color w:val="auto"/>
        </w:rPr>
        <w:t>Initiate</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and “</w:t>
      </w:r>
      <w:r>
        <w:rPr>
          <w:rFonts w:ascii="Arial" w:cs="Arial" w:eastAsia="Arial" w:hAnsi="Arial"/>
          <w:sz w:val="22"/>
          <w:szCs w:val="22"/>
          <w:b w:val="1"/>
          <w:bCs w:val="1"/>
          <w:color w:val="auto"/>
        </w:rPr>
        <w:t>Initiating</w:t>
      </w:r>
      <w:r>
        <w:rPr>
          <w:rFonts w:ascii="Arial" w:cs="Arial" w:eastAsia="Arial" w:hAnsi="Arial"/>
          <w:sz w:val="22"/>
          <w:szCs w:val="22"/>
          <w:color w:val="auto"/>
        </w:rPr>
        <w:t>” shall have the correlative meanings.</w:t>
      </w:r>
    </w:p>
    <w:p>
      <w:pPr>
        <w:spacing w:after="0" w:line="16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 xml:space="preserve">1.43 </w:t>
      </w:r>
      <w:r>
        <w:rPr>
          <w:rFonts w:ascii="Arial" w:cs="Arial" w:eastAsia="Arial" w:hAnsi="Arial"/>
          <w:sz w:val="22"/>
          <w:szCs w:val="22"/>
          <w:color w:val="auto"/>
        </w:rPr>
        <w:t>“</w:t>
      </w:r>
      <w:r>
        <w:rPr>
          <w:rFonts w:ascii="Arial" w:cs="Arial" w:eastAsia="Arial" w:hAnsi="Arial"/>
          <w:sz w:val="22"/>
          <w:szCs w:val="22"/>
          <w:b w:val="1"/>
          <w:bCs w:val="1"/>
          <w:color w:val="auto"/>
        </w:rPr>
        <w:t>Internal Program</w:t>
      </w:r>
      <w:r>
        <w:rPr>
          <w:rFonts w:ascii="Arial" w:cs="Arial" w:eastAsia="Arial" w:hAnsi="Arial"/>
          <w:sz w:val="22"/>
          <w:szCs w:val="22"/>
          <w:color w:val="auto"/>
        </w:rPr>
        <w:t>” means an internal development program conducted by Kaken or its Affiliates (whether alone</w:t>
      </w:r>
      <w:r>
        <w:rPr>
          <w:rFonts w:ascii="Arial" w:cs="Arial" w:eastAsia="Arial" w:hAnsi="Arial"/>
          <w:sz w:val="22"/>
          <w:szCs w:val="22"/>
          <w:b w:val="1"/>
          <w:bCs w:val="1"/>
          <w:color w:val="auto"/>
        </w:rPr>
        <w:t xml:space="preserve"> </w:t>
      </w:r>
      <w:r>
        <w:rPr>
          <w:rFonts w:ascii="Arial" w:cs="Arial" w:eastAsia="Arial" w:hAnsi="Arial"/>
          <w:sz w:val="22"/>
          <w:szCs w:val="22"/>
          <w:color w:val="auto"/>
        </w:rPr>
        <w:t>or with a Third Party) that [***].</w:t>
      </w:r>
    </w:p>
    <w:p>
      <w:pPr>
        <w:spacing w:after="0" w:line="162"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9"/>
          <w:szCs w:val="19"/>
          <w:b w:val="1"/>
          <w:bCs w:val="1"/>
          <w:color w:val="auto"/>
        </w:rPr>
        <w:t xml:space="preserve">1.44 </w:t>
      </w:r>
      <w:r>
        <w:rPr>
          <w:rFonts w:ascii="Arial" w:cs="Arial" w:eastAsia="Arial" w:hAnsi="Arial"/>
          <w:sz w:val="19"/>
          <w:szCs w:val="19"/>
          <w:color w:val="auto"/>
        </w:rPr>
        <w:t>“</w:t>
      </w:r>
      <w:r>
        <w:rPr>
          <w:rFonts w:ascii="Arial" w:cs="Arial" w:eastAsia="Arial" w:hAnsi="Arial"/>
          <w:sz w:val="19"/>
          <w:szCs w:val="19"/>
          <w:b w:val="1"/>
          <w:bCs w:val="1"/>
          <w:color w:val="auto"/>
        </w:rPr>
        <w:t>Inventions</w:t>
      </w:r>
      <w:r>
        <w:rPr>
          <w:rFonts w:ascii="Arial" w:cs="Arial" w:eastAsia="Arial" w:hAnsi="Arial"/>
          <w:sz w:val="19"/>
          <w:szCs w:val="19"/>
          <w:color w:val="auto"/>
        </w:rPr>
        <w:t>” means any inventions and/or discoveries, including processes, manufacture, composition of matter,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Information, methods, assays, designs, protocols, and formulas, and improvements or modifications thereof, patentable or otherwise, that are generated, developed, conceived or reduced to practice (constructively or actually) by or on behalf of a Party or its Affiliates or their respective Sublicensees (in the case of Kaken) or licensees, including Spruce Partners (in the case of Spruce) (a) pursuant to activities conducted under this Agreement, or (b) in connection with the Development, Manufacture, and Commercialization of Licensed Products or the Licensed Compound, in each case of (a) and (b), including all rights, title and interest in and to the intellectual property rights therein and thereto;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Inventions shall exclude Data.</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1.45 </w:t>
      </w:r>
      <w:r>
        <w:rPr>
          <w:rFonts w:ascii="Arial" w:cs="Arial" w:eastAsia="Arial" w:hAnsi="Arial"/>
          <w:sz w:val="22"/>
          <w:szCs w:val="22"/>
          <w:color w:val="auto"/>
        </w:rPr>
        <w:t>“</w:t>
      </w:r>
      <w:r>
        <w:rPr>
          <w:rFonts w:ascii="Arial" w:cs="Arial" w:eastAsia="Arial" w:hAnsi="Arial"/>
          <w:sz w:val="22"/>
          <w:szCs w:val="22"/>
          <w:b w:val="1"/>
          <w:bCs w:val="1"/>
          <w:color w:val="auto"/>
        </w:rPr>
        <w:t>Joint Patents</w:t>
      </w:r>
      <w:r>
        <w:rPr>
          <w:rFonts w:ascii="Arial" w:cs="Arial" w:eastAsia="Arial" w:hAnsi="Arial"/>
          <w:sz w:val="22"/>
          <w:szCs w:val="22"/>
          <w:color w:val="auto"/>
        </w:rPr>
        <w:t>” means any Patents that claim Joint Inventions.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1.46 </w:t>
      </w:r>
      <w:r>
        <w:rPr>
          <w:rFonts w:ascii="Arial" w:cs="Arial" w:eastAsia="Arial" w:hAnsi="Arial"/>
          <w:sz w:val="22"/>
          <w:szCs w:val="22"/>
          <w:color w:val="auto"/>
        </w:rPr>
        <w:t>“</w:t>
      </w:r>
      <w:r>
        <w:rPr>
          <w:rFonts w:ascii="Arial" w:cs="Arial" w:eastAsia="Arial" w:hAnsi="Arial"/>
          <w:sz w:val="22"/>
          <w:szCs w:val="22"/>
          <w:b w:val="1"/>
          <w:bCs w:val="1"/>
          <w:color w:val="auto"/>
        </w:rPr>
        <w:t>Kaken Patents</w:t>
      </w:r>
      <w:r>
        <w:rPr>
          <w:rFonts w:ascii="Arial" w:cs="Arial" w:eastAsia="Arial" w:hAnsi="Arial"/>
          <w:sz w:val="22"/>
          <w:szCs w:val="22"/>
          <w:color w:val="auto"/>
        </w:rPr>
        <w:t>” means any Patents that claim Kaken Inventions.</w:t>
      </w:r>
    </w:p>
    <w:p>
      <w:pPr>
        <w:spacing w:after="0" w:line="20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 xml:space="preserve">1.47 </w:t>
      </w:r>
      <w:r>
        <w:rPr>
          <w:rFonts w:ascii="Arial" w:cs="Arial" w:eastAsia="Arial" w:hAnsi="Arial"/>
          <w:sz w:val="22"/>
          <w:szCs w:val="22"/>
          <w:color w:val="auto"/>
        </w:rPr>
        <w:t>“</w:t>
      </w:r>
      <w:r>
        <w:rPr>
          <w:rFonts w:ascii="Arial" w:cs="Arial" w:eastAsia="Arial" w:hAnsi="Arial"/>
          <w:sz w:val="22"/>
          <w:szCs w:val="22"/>
          <w:b w:val="1"/>
          <w:bCs w:val="1"/>
          <w:color w:val="auto"/>
        </w:rPr>
        <w:t>Kaken Product-Specific Patents</w:t>
      </w:r>
      <w:r>
        <w:rPr>
          <w:rFonts w:ascii="Arial" w:cs="Arial" w:eastAsia="Arial" w:hAnsi="Arial"/>
          <w:sz w:val="22"/>
          <w:szCs w:val="22"/>
          <w:color w:val="auto"/>
        </w:rPr>
        <w:t>” means any Kaken Patents specifically claiming the composition of matter of,</w:t>
      </w:r>
      <w:r>
        <w:rPr>
          <w:rFonts w:ascii="Arial" w:cs="Arial" w:eastAsia="Arial" w:hAnsi="Arial"/>
          <w:sz w:val="22"/>
          <w:szCs w:val="22"/>
          <w:b w:val="1"/>
          <w:bCs w:val="1"/>
          <w:color w:val="auto"/>
        </w:rPr>
        <w:t xml:space="preserve"> </w:t>
      </w:r>
      <w:r>
        <w:rPr>
          <w:rFonts w:ascii="Arial" w:cs="Arial" w:eastAsia="Arial" w:hAnsi="Arial"/>
          <w:sz w:val="22"/>
          <w:szCs w:val="22"/>
          <w:color w:val="auto"/>
        </w:rPr>
        <w:t>or the method of making or using, the Licensed Compound and/or any Licensed Products in the Field.</w:t>
      </w:r>
    </w:p>
    <w:p>
      <w:pPr>
        <w:spacing w:after="0" w:line="16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 xml:space="preserve">1.48 </w:t>
      </w:r>
      <w:r>
        <w:rPr>
          <w:rFonts w:ascii="Arial" w:cs="Arial" w:eastAsia="Arial" w:hAnsi="Arial"/>
          <w:sz w:val="22"/>
          <w:szCs w:val="22"/>
          <w:color w:val="auto"/>
        </w:rPr>
        <w:t>“</w:t>
      </w:r>
      <w:r>
        <w:rPr>
          <w:rFonts w:ascii="Arial" w:cs="Arial" w:eastAsia="Arial" w:hAnsi="Arial"/>
          <w:sz w:val="22"/>
          <w:szCs w:val="22"/>
          <w:b w:val="1"/>
          <w:bCs w:val="1"/>
          <w:color w:val="auto"/>
        </w:rPr>
        <w:t>Kaken Fiscal Year</w:t>
      </w:r>
      <w:r>
        <w:rPr>
          <w:rFonts w:ascii="Arial" w:cs="Arial" w:eastAsia="Arial" w:hAnsi="Arial"/>
          <w:sz w:val="22"/>
          <w:szCs w:val="22"/>
          <w:color w:val="auto"/>
        </w:rPr>
        <w:t>” means a one-year period commencing on April 1 and ending on March 31 save that the first</w:t>
      </w:r>
      <w:r>
        <w:rPr>
          <w:rFonts w:ascii="Arial" w:cs="Arial" w:eastAsia="Arial" w:hAnsi="Arial"/>
          <w:sz w:val="22"/>
          <w:szCs w:val="22"/>
          <w:b w:val="1"/>
          <w:bCs w:val="1"/>
          <w:color w:val="auto"/>
        </w:rPr>
        <w:t xml:space="preserve"> </w:t>
      </w:r>
      <w:r>
        <w:rPr>
          <w:rFonts w:ascii="Arial" w:cs="Arial" w:eastAsia="Arial" w:hAnsi="Arial"/>
          <w:sz w:val="22"/>
          <w:szCs w:val="22"/>
          <w:color w:val="auto"/>
        </w:rPr>
        <w:t>Kaken Fiscal Year shall commence on the Effective Date and end on the next succeeding March 31 and the last Kaken Fiscal Year shall end on the date of termination or expiration of this Agreement.</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1.49 </w:t>
      </w:r>
      <w:r>
        <w:rPr>
          <w:rFonts w:ascii="Arial" w:cs="Arial" w:eastAsia="Arial" w:hAnsi="Arial"/>
          <w:sz w:val="22"/>
          <w:szCs w:val="22"/>
          <w:color w:val="auto"/>
        </w:rPr>
        <w:t>“</w:t>
      </w:r>
      <w:r>
        <w:rPr>
          <w:rFonts w:ascii="Arial" w:cs="Arial" w:eastAsia="Arial" w:hAnsi="Arial"/>
          <w:sz w:val="22"/>
          <w:szCs w:val="22"/>
          <w:b w:val="1"/>
          <w:bCs w:val="1"/>
          <w:color w:val="auto"/>
        </w:rPr>
        <w:t>Kaken Territory</w:t>
      </w:r>
      <w:r>
        <w:rPr>
          <w:rFonts w:ascii="Arial" w:cs="Arial" w:eastAsia="Arial" w:hAnsi="Arial"/>
          <w:sz w:val="22"/>
          <w:szCs w:val="22"/>
          <w:color w:val="auto"/>
        </w:rPr>
        <w:t>” means Japan.</w:t>
      </w:r>
    </w:p>
    <w:p>
      <w:pPr>
        <w:spacing w:after="0" w:line="20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 xml:space="preserve">1.50 </w:t>
      </w:r>
      <w:r>
        <w:rPr>
          <w:rFonts w:ascii="Arial" w:cs="Arial" w:eastAsia="Arial" w:hAnsi="Arial"/>
          <w:sz w:val="22"/>
          <w:szCs w:val="22"/>
          <w:color w:val="auto"/>
        </w:rPr>
        <w:t>“</w:t>
      </w:r>
      <w:r>
        <w:rPr>
          <w:rFonts w:ascii="Arial" w:cs="Arial" w:eastAsia="Arial" w:hAnsi="Arial"/>
          <w:sz w:val="22"/>
          <w:szCs w:val="22"/>
          <w:b w:val="1"/>
          <w:bCs w:val="1"/>
          <w:color w:val="auto"/>
        </w:rPr>
        <w:t>Kaken Territory Regulatory Approval</w:t>
      </w:r>
      <w:r>
        <w:rPr>
          <w:rFonts w:ascii="Arial" w:cs="Arial" w:eastAsia="Arial" w:hAnsi="Arial"/>
          <w:sz w:val="22"/>
          <w:szCs w:val="22"/>
          <w:color w:val="auto"/>
        </w:rPr>
        <w:t>” means the Product Approval and Pricing Approval for the Licensed</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in the Kaken Territory and, if Kaken Manufactures the Licensed Product after exercising its rights pursuant to Section 7.2(b), all licenses, registrations or authorizations of any Regulatory Authority that are necessary for the Manufacture of the Licensed Product.</w:t>
      </w:r>
    </w:p>
    <w:p>
      <w:pPr>
        <w:spacing w:after="0" w:line="180"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 xml:space="preserve">1.51 </w:t>
      </w:r>
      <w:r>
        <w:rPr>
          <w:rFonts w:ascii="Arial" w:cs="Arial" w:eastAsia="Arial" w:hAnsi="Arial"/>
          <w:sz w:val="22"/>
          <w:szCs w:val="22"/>
          <w:color w:val="auto"/>
        </w:rPr>
        <w:t>“</w:t>
      </w:r>
      <w:r>
        <w:rPr>
          <w:rFonts w:ascii="Arial" w:cs="Arial" w:eastAsia="Arial" w:hAnsi="Arial"/>
          <w:sz w:val="22"/>
          <w:szCs w:val="22"/>
          <w:b w:val="1"/>
          <w:bCs w:val="1"/>
          <w:color w:val="auto"/>
        </w:rPr>
        <w:t>Laws</w:t>
      </w:r>
      <w:r>
        <w:rPr>
          <w:rFonts w:ascii="Arial" w:cs="Arial" w:eastAsia="Arial" w:hAnsi="Arial"/>
          <w:sz w:val="22"/>
          <w:szCs w:val="22"/>
          <w:color w:val="auto"/>
        </w:rPr>
        <w:t>” means all laws, statutes, rules, regulations, ordinances and other pronouncements having the effect of law</w:t>
      </w:r>
      <w:r>
        <w:rPr>
          <w:rFonts w:ascii="Arial" w:cs="Arial" w:eastAsia="Arial" w:hAnsi="Arial"/>
          <w:sz w:val="22"/>
          <w:szCs w:val="22"/>
          <w:b w:val="1"/>
          <w:bCs w:val="1"/>
          <w:color w:val="auto"/>
        </w:rPr>
        <w:t xml:space="preserve"> </w:t>
      </w:r>
      <w:r>
        <w:rPr>
          <w:rFonts w:ascii="Arial" w:cs="Arial" w:eastAsia="Arial" w:hAnsi="Arial"/>
          <w:sz w:val="22"/>
          <w:szCs w:val="22"/>
          <w:color w:val="auto"/>
        </w:rPr>
        <w:t>of any federal, national, multinational, state, provincial, county, municipal, city or other political subdivision, domestic or foreign, including Export Control Laws.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9" w:name="page160"/>
    <w:bookmarkEnd w:id="159"/>
    <w:p>
      <w:pPr>
        <w:ind w:left="760"/>
        <w:spacing w:after="0"/>
        <w:rPr>
          <w:sz w:val="20"/>
          <w:szCs w:val="20"/>
          <w:color w:val="auto"/>
        </w:rPr>
      </w:pPr>
      <w:r>
        <w:rPr>
          <w:rFonts w:ascii="Arial" w:cs="Arial" w:eastAsia="Arial" w:hAnsi="Arial"/>
          <w:sz w:val="22"/>
          <w:szCs w:val="22"/>
          <w:b w:val="1"/>
          <w:bCs w:val="1"/>
          <w:color w:val="auto"/>
        </w:rPr>
        <w:t xml:space="preserve">1.52 </w:t>
      </w:r>
      <w:r>
        <w:rPr>
          <w:rFonts w:ascii="Arial" w:cs="Arial" w:eastAsia="Arial" w:hAnsi="Arial"/>
          <w:sz w:val="22"/>
          <w:szCs w:val="22"/>
          <w:color w:val="auto"/>
        </w:rPr>
        <w:t>“</w:t>
      </w:r>
      <w:r>
        <w:rPr>
          <w:rFonts w:ascii="Arial" w:cs="Arial" w:eastAsia="Arial" w:hAnsi="Arial"/>
          <w:sz w:val="22"/>
          <w:szCs w:val="22"/>
          <w:b w:val="1"/>
          <w:bCs w:val="1"/>
          <w:color w:val="auto"/>
        </w:rPr>
        <w:t>Licensed Compound</w:t>
      </w:r>
      <w:r>
        <w:rPr>
          <w:rFonts w:ascii="Arial" w:cs="Arial" w:eastAsia="Arial" w:hAnsi="Arial"/>
          <w:sz w:val="22"/>
          <w:szCs w:val="22"/>
          <w:color w:val="auto"/>
        </w:rPr>
        <w:t>” means tildacerfont, having the chemical structure set forth on</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Exhibit B</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 xml:space="preserve">1.53 </w:t>
      </w:r>
      <w:r>
        <w:rPr>
          <w:rFonts w:ascii="Arial" w:cs="Arial" w:eastAsia="Arial" w:hAnsi="Arial"/>
          <w:sz w:val="22"/>
          <w:szCs w:val="22"/>
          <w:color w:val="auto"/>
        </w:rPr>
        <w:t>“</w:t>
      </w:r>
      <w:r>
        <w:rPr>
          <w:rFonts w:ascii="Arial" w:cs="Arial" w:eastAsia="Arial" w:hAnsi="Arial"/>
          <w:sz w:val="22"/>
          <w:szCs w:val="22"/>
          <w:b w:val="1"/>
          <w:bCs w:val="1"/>
          <w:color w:val="auto"/>
        </w:rPr>
        <w:t>Licensed Product</w:t>
      </w:r>
      <w:r>
        <w:rPr>
          <w:rFonts w:ascii="Arial" w:cs="Arial" w:eastAsia="Arial" w:hAnsi="Arial"/>
          <w:sz w:val="22"/>
          <w:szCs w:val="22"/>
          <w:color w:val="auto"/>
        </w:rPr>
        <w:t>” means any pharmaceutical product in any form that contains the Licensed Compound as an</w:t>
      </w:r>
      <w:r>
        <w:rPr>
          <w:rFonts w:ascii="Arial" w:cs="Arial" w:eastAsia="Arial" w:hAnsi="Arial"/>
          <w:sz w:val="22"/>
          <w:szCs w:val="22"/>
          <w:b w:val="1"/>
          <w:bCs w:val="1"/>
          <w:color w:val="auto"/>
        </w:rPr>
        <w:t xml:space="preserve"> </w:t>
      </w:r>
      <w:r>
        <w:rPr>
          <w:rFonts w:ascii="Arial" w:cs="Arial" w:eastAsia="Arial" w:hAnsi="Arial"/>
          <w:sz w:val="22"/>
          <w:szCs w:val="22"/>
          <w:color w:val="auto"/>
        </w:rPr>
        <w:t>active API, whether alone or in combination with any other APIs.</w:t>
      </w:r>
    </w:p>
    <w:p>
      <w:pPr>
        <w:spacing w:after="0" w:line="162"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9"/>
          <w:szCs w:val="19"/>
          <w:b w:val="1"/>
          <w:bCs w:val="1"/>
          <w:color w:val="auto"/>
        </w:rPr>
        <w:t xml:space="preserve">1.54 </w:t>
      </w:r>
      <w:r>
        <w:rPr>
          <w:rFonts w:ascii="Arial" w:cs="Arial" w:eastAsia="Arial" w:hAnsi="Arial"/>
          <w:sz w:val="19"/>
          <w:szCs w:val="19"/>
          <w:color w:val="auto"/>
        </w:rPr>
        <w:t>“</w:t>
      </w:r>
      <w:r>
        <w:rPr>
          <w:rFonts w:ascii="Arial" w:cs="Arial" w:eastAsia="Arial" w:hAnsi="Arial"/>
          <w:sz w:val="19"/>
          <w:szCs w:val="19"/>
          <w:b w:val="1"/>
          <w:bCs w:val="1"/>
          <w:color w:val="auto"/>
        </w:rPr>
        <w:t>Manufacture</w:t>
      </w:r>
      <w:r>
        <w:rPr>
          <w:rFonts w:ascii="Arial" w:cs="Arial" w:eastAsia="Arial" w:hAnsi="Arial"/>
          <w:sz w:val="19"/>
          <w:szCs w:val="19"/>
          <w:color w:val="auto"/>
        </w:rPr>
        <w:t>” and “</w:t>
      </w:r>
      <w:r>
        <w:rPr>
          <w:rFonts w:ascii="Arial" w:cs="Arial" w:eastAsia="Arial" w:hAnsi="Arial"/>
          <w:sz w:val="19"/>
          <w:szCs w:val="19"/>
          <w:b w:val="1"/>
          <w:bCs w:val="1"/>
          <w:color w:val="auto"/>
        </w:rPr>
        <w:t>Manufacturing</w:t>
      </w:r>
      <w:r>
        <w:rPr>
          <w:rFonts w:ascii="Arial" w:cs="Arial" w:eastAsia="Arial" w:hAnsi="Arial"/>
          <w:sz w:val="19"/>
          <w:szCs w:val="19"/>
          <w:color w:val="auto"/>
        </w:rPr>
        <w:t>” mean activities directed to manufacturing, processing, filling, finishing,</w:t>
      </w:r>
      <w:r>
        <w:rPr>
          <w:rFonts w:ascii="Arial" w:cs="Arial" w:eastAsia="Arial" w:hAnsi="Arial"/>
          <w:sz w:val="19"/>
          <w:szCs w:val="19"/>
          <w:b w:val="1"/>
          <w:bCs w:val="1"/>
          <w:color w:val="auto"/>
        </w:rPr>
        <w:t xml:space="preserve"> </w:t>
      </w:r>
      <w:r>
        <w:rPr>
          <w:rFonts w:ascii="Arial" w:cs="Arial" w:eastAsia="Arial" w:hAnsi="Arial"/>
          <w:sz w:val="19"/>
          <w:szCs w:val="19"/>
          <w:color w:val="auto"/>
        </w:rPr>
        <w:t>packaging, labeling, quality control, quality assurance testing and release, post-marketing validation testing, inventory control and management, storing and transporting any Licensed Product, including oversight and management of vendors therefor.</w:t>
      </w:r>
    </w:p>
    <w:p>
      <w:pPr>
        <w:spacing w:after="0" w:line="126"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9"/>
          <w:szCs w:val="19"/>
          <w:b w:val="1"/>
          <w:bCs w:val="1"/>
          <w:color w:val="auto"/>
        </w:rPr>
        <w:t xml:space="preserve">1.55 </w:t>
      </w:r>
      <w:r>
        <w:rPr>
          <w:rFonts w:ascii="Arial" w:cs="Arial" w:eastAsia="Arial" w:hAnsi="Arial"/>
          <w:sz w:val="19"/>
          <w:szCs w:val="19"/>
          <w:color w:val="auto"/>
        </w:rPr>
        <w:t>“</w:t>
      </w:r>
      <w:r>
        <w:rPr>
          <w:rFonts w:ascii="Arial" w:cs="Arial" w:eastAsia="Arial" w:hAnsi="Arial"/>
          <w:sz w:val="19"/>
          <w:szCs w:val="19"/>
          <w:b w:val="1"/>
          <w:bCs w:val="1"/>
          <w:color w:val="auto"/>
        </w:rPr>
        <w:t>Manufacturing Cost</w:t>
      </w:r>
      <w:r>
        <w:rPr>
          <w:rFonts w:ascii="Arial" w:cs="Arial" w:eastAsia="Arial" w:hAnsi="Arial"/>
          <w:sz w:val="19"/>
          <w:szCs w:val="19"/>
          <w:color w:val="auto"/>
        </w:rPr>
        <w:t>” means, with respect to a particular pharmaceutical product supplied by Spruce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7.1: (a) if Spruce or its Affiliate Manufactures the applicable pharmaceutical product, the actual manufacturing cost of such pharmaceutical product (as determined in accordance with Accounting Standards consistently applied with its other products); or (b) if a Third Party Manufactures such pharmaceutical product, the actual cost incurred by Spruce or its Affiliate for the Manufacture of such pharmaceutical product with such Third Party (as determined in accordance with Accounting Standards consistently applied with its other products) without any additional mark-up.</w:t>
      </w:r>
    </w:p>
    <w:p>
      <w:pPr>
        <w:spacing w:after="0" w:line="145"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 xml:space="preserve">1.56 </w:t>
      </w:r>
      <w:r>
        <w:rPr>
          <w:rFonts w:ascii="Arial" w:cs="Arial" w:eastAsia="Arial" w:hAnsi="Arial"/>
          <w:sz w:val="22"/>
          <w:szCs w:val="22"/>
          <w:color w:val="auto"/>
        </w:rPr>
        <w:t>“</w:t>
      </w:r>
      <w:r>
        <w:rPr>
          <w:rFonts w:ascii="Arial" w:cs="Arial" w:eastAsia="Arial" w:hAnsi="Arial"/>
          <w:sz w:val="22"/>
          <w:szCs w:val="22"/>
          <w:b w:val="1"/>
          <w:bCs w:val="1"/>
          <w:color w:val="auto"/>
        </w:rPr>
        <w:t>Marketing Authorization Application</w:t>
      </w:r>
      <w:r>
        <w:rPr>
          <w:rFonts w:ascii="Arial" w:cs="Arial" w:eastAsia="Arial" w:hAnsi="Arial"/>
          <w:sz w:val="22"/>
          <w:szCs w:val="22"/>
          <w:color w:val="auto"/>
        </w:rPr>
        <w:t>” or “</w:t>
      </w:r>
      <w:r>
        <w:rPr>
          <w:rFonts w:ascii="Arial" w:cs="Arial" w:eastAsia="Arial" w:hAnsi="Arial"/>
          <w:sz w:val="22"/>
          <w:szCs w:val="22"/>
          <w:b w:val="1"/>
          <w:bCs w:val="1"/>
          <w:color w:val="auto"/>
        </w:rPr>
        <w:t>MAA</w:t>
      </w:r>
      <w:r>
        <w:rPr>
          <w:rFonts w:ascii="Arial" w:cs="Arial" w:eastAsia="Arial" w:hAnsi="Arial"/>
          <w:sz w:val="22"/>
          <w:szCs w:val="22"/>
          <w:color w:val="auto"/>
        </w:rPr>
        <w:t>” means a New Drug Application (“</w:t>
      </w:r>
      <w:r>
        <w:rPr>
          <w:rFonts w:ascii="Arial" w:cs="Arial" w:eastAsia="Arial" w:hAnsi="Arial"/>
          <w:sz w:val="22"/>
          <w:szCs w:val="22"/>
          <w:b w:val="1"/>
          <w:bCs w:val="1"/>
          <w:color w:val="auto"/>
        </w:rPr>
        <w:t>NDA</w:t>
      </w:r>
      <w:r>
        <w:rPr>
          <w:rFonts w:ascii="Arial" w:cs="Arial" w:eastAsia="Arial" w:hAnsi="Arial"/>
          <w:sz w:val="22"/>
          <w:szCs w:val="22"/>
          <w:color w:val="auto"/>
        </w:rPr>
        <w:t>”) or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application to the appropriate Regulatory Authority for approval to market a pharmaceutical or biologic product, but excluding pricing approvals.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1.57 </w:t>
      </w:r>
      <w:r>
        <w:rPr>
          <w:rFonts w:ascii="Arial" w:cs="Arial" w:eastAsia="Arial" w:hAnsi="Arial"/>
          <w:sz w:val="22"/>
          <w:szCs w:val="22"/>
          <w:color w:val="auto"/>
        </w:rPr>
        <w:t>“</w:t>
      </w:r>
      <w:r>
        <w:rPr>
          <w:rFonts w:ascii="Arial" w:cs="Arial" w:eastAsia="Arial" w:hAnsi="Arial"/>
          <w:sz w:val="22"/>
          <w:szCs w:val="22"/>
          <w:b w:val="1"/>
          <w:bCs w:val="1"/>
          <w:color w:val="auto"/>
        </w:rPr>
        <w:t>MHLW</w:t>
      </w:r>
      <w:r>
        <w:rPr>
          <w:rFonts w:ascii="Arial" w:cs="Arial" w:eastAsia="Arial" w:hAnsi="Arial"/>
          <w:sz w:val="22"/>
          <w:szCs w:val="22"/>
          <w:color w:val="auto"/>
        </w:rPr>
        <w:t>” means Japan’s Ministry of Health, Labour and Welfare, or any successor agency thereto.</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1.58 </w:t>
      </w:r>
      <w:r>
        <w:rPr>
          <w:rFonts w:ascii="Arial" w:cs="Arial" w:eastAsia="Arial" w:hAnsi="Arial"/>
          <w:sz w:val="22"/>
          <w:szCs w:val="22"/>
          <w:color w:val="auto"/>
        </w:rPr>
        <w:t>“</w:t>
      </w:r>
      <w:r>
        <w:rPr>
          <w:rFonts w:ascii="Arial" w:cs="Arial" w:eastAsia="Arial" w:hAnsi="Arial"/>
          <w:sz w:val="22"/>
          <w:szCs w:val="22"/>
          <w:b w:val="1"/>
          <w:bCs w:val="1"/>
          <w:color w:val="auto"/>
        </w:rPr>
        <w:t>Net Sales</w:t>
      </w:r>
      <w:r>
        <w:rPr>
          <w:rFonts w:ascii="Arial" w:cs="Arial" w:eastAsia="Arial" w:hAnsi="Arial"/>
          <w:sz w:val="22"/>
          <w:szCs w:val="22"/>
          <w:color w:val="auto"/>
        </w:rPr>
        <w:t>” means [***].</w:t>
      </w:r>
    </w:p>
    <w:p>
      <w:pPr>
        <w:spacing w:after="0" w:line="233"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 xml:space="preserve">1.59 </w:t>
      </w:r>
      <w:r>
        <w:rPr>
          <w:rFonts w:ascii="Arial" w:cs="Arial" w:eastAsia="Arial" w:hAnsi="Arial"/>
          <w:sz w:val="22"/>
          <w:szCs w:val="22"/>
          <w:color w:val="auto"/>
        </w:rPr>
        <w:t>“</w:t>
      </w:r>
      <w:r>
        <w:rPr>
          <w:rFonts w:ascii="Arial" w:cs="Arial" w:eastAsia="Arial" w:hAnsi="Arial"/>
          <w:sz w:val="22"/>
          <w:szCs w:val="22"/>
          <w:b w:val="1"/>
          <w:bCs w:val="1"/>
          <w:color w:val="auto"/>
        </w:rPr>
        <w:t>NHI Price</w:t>
      </w:r>
      <w:r>
        <w:rPr>
          <w:rFonts w:ascii="Arial" w:cs="Arial" w:eastAsia="Arial" w:hAnsi="Arial"/>
          <w:sz w:val="22"/>
          <w:szCs w:val="22"/>
          <w:color w:val="auto"/>
        </w:rPr>
        <w:t>” means the price for the Licensed Product in the Kaken Territory set forth in the NHI Drug Price List</w:t>
      </w:r>
      <w:r>
        <w:rPr>
          <w:rFonts w:ascii="Arial" w:cs="Arial" w:eastAsia="Arial" w:hAnsi="Arial"/>
          <w:sz w:val="22"/>
          <w:szCs w:val="22"/>
          <w:b w:val="1"/>
          <w:bCs w:val="1"/>
          <w:color w:val="auto"/>
        </w:rPr>
        <w:t xml:space="preserve"> </w:t>
      </w:r>
      <w:r>
        <w:rPr>
          <w:rFonts w:ascii="Arial" w:cs="Arial" w:eastAsia="Arial" w:hAnsi="Arial"/>
          <w:sz w:val="22"/>
          <w:szCs w:val="22"/>
          <w:color w:val="auto"/>
        </w:rPr>
        <w:t>published by the MHLW from time to time.</w:t>
      </w:r>
    </w:p>
    <w:p>
      <w:pPr>
        <w:spacing w:after="0" w:line="162"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9"/>
          <w:szCs w:val="19"/>
          <w:b w:val="1"/>
          <w:bCs w:val="1"/>
          <w:color w:val="auto"/>
        </w:rPr>
        <w:t xml:space="preserve">1.60 </w:t>
      </w:r>
      <w:r>
        <w:rPr>
          <w:rFonts w:ascii="Arial" w:cs="Arial" w:eastAsia="Arial" w:hAnsi="Arial"/>
          <w:sz w:val="19"/>
          <w:szCs w:val="19"/>
          <w:color w:val="auto"/>
        </w:rPr>
        <w:t>“</w:t>
      </w:r>
      <w:r>
        <w:rPr>
          <w:rFonts w:ascii="Arial" w:cs="Arial" w:eastAsia="Arial" w:hAnsi="Arial"/>
          <w:sz w:val="19"/>
          <w:szCs w:val="19"/>
          <w:b w:val="1"/>
          <w:bCs w:val="1"/>
          <w:color w:val="auto"/>
        </w:rPr>
        <w:t>Patents</w:t>
      </w:r>
      <w:r>
        <w:rPr>
          <w:rFonts w:ascii="Arial" w:cs="Arial" w:eastAsia="Arial" w:hAnsi="Arial"/>
          <w:sz w:val="19"/>
          <w:szCs w:val="19"/>
          <w:color w:val="auto"/>
        </w:rPr>
        <w:t>” means (a) pending patent applications, issued patents, utility models and designs; (b) reissues,</w:t>
      </w:r>
      <w:r>
        <w:rPr>
          <w:rFonts w:ascii="Arial" w:cs="Arial" w:eastAsia="Arial" w:hAnsi="Arial"/>
          <w:sz w:val="19"/>
          <w:szCs w:val="19"/>
          <w:b w:val="1"/>
          <w:bCs w:val="1"/>
          <w:color w:val="auto"/>
        </w:rPr>
        <w:t xml:space="preserve"> </w:t>
      </w:r>
      <w:r>
        <w:rPr>
          <w:rFonts w:ascii="Arial" w:cs="Arial" w:eastAsia="Arial" w:hAnsi="Arial"/>
          <w:sz w:val="19"/>
          <w:szCs w:val="19"/>
          <w:color w:val="auto"/>
        </w:rPr>
        <w:t>substitutions, confirmations, registrations, validations, re-examinations, additions, continuations, continued prosecution applications, continuations-in-part, or divisions of or to any of the foregoing; and (c) extensions, renewals or restorations of any of the foregoing by existing or future extension, renewal or restoration mechanisms, including supplementary protection certificate, patent term additions, patent term extensions or the equivalent thereof, and all foreign Patents issuing from any of the foregoing to the extent that are necessary and reasonably useful for practicing the licenses according to this Agreement.</w:t>
      </w:r>
    </w:p>
    <w:p>
      <w:pPr>
        <w:spacing w:after="0" w:line="145"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 xml:space="preserve">1.61 </w:t>
      </w: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 individual, corporation, partnership, limited liability company, limited partnership, trust,</w:t>
      </w:r>
      <w:r>
        <w:rPr>
          <w:rFonts w:ascii="Arial" w:cs="Arial" w:eastAsia="Arial" w:hAnsi="Arial"/>
          <w:sz w:val="22"/>
          <w:szCs w:val="22"/>
          <w:b w:val="1"/>
          <w:bCs w:val="1"/>
          <w:color w:val="auto"/>
        </w:rPr>
        <w:t xml:space="preserve"> </w:t>
      </w:r>
      <w:r>
        <w:rPr>
          <w:rFonts w:ascii="Arial" w:cs="Arial" w:eastAsia="Arial" w:hAnsi="Arial"/>
          <w:sz w:val="22"/>
          <w:szCs w:val="22"/>
          <w:color w:val="auto"/>
        </w:rPr>
        <w:t>business trust, association, joint stock company, joint venture, pool, syndicate, sole proprietorship, unincorporated organization, Governmental Authority or any other form of entity not specifically listed herein.</w:t>
      </w:r>
    </w:p>
    <w:p>
      <w:pPr>
        <w:spacing w:after="0" w:line="17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 xml:space="preserve">1.62 </w:t>
      </w:r>
      <w:r>
        <w:rPr>
          <w:rFonts w:ascii="Arial" w:cs="Arial" w:eastAsia="Arial" w:hAnsi="Arial"/>
          <w:sz w:val="22"/>
          <w:szCs w:val="22"/>
          <w:color w:val="auto"/>
        </w:rPr>
        <w:t>“</w:t>
      </w:r>
      <w:r>
        <w:rPr>
          <w:rFonts w:ascii="Arial" w:cs="Arial" w:eastAsia="Arial" w:hAnsi="Arial"/>
          <w:sz w:val="22"/>
          <w:szCs w:val="22"/>
          <w:b w:val="1"/>
          <w:bCs w:val="1"/>
          <w:color w:val="auto"/>
        </w:rPr>
        <w:t>Phase 1 Clinical Trial</w:t>
      </w:r>
      <w:r>
        <w:rPr>
          <w:rFonts w:ascii="Arial" w:cs="Arial" w:eastAsia="Arial" w:hAnsi="Arial"/>
          <w:sz w:val="22"/>
          <w:szCs w:val="22"/>
          <w:color w:val="auto"/>
        </w:rPr>
        <w:t>” means any human clinical trial of a Licensed Product conducted mainly to evaluate the</w:t>
      </w:r>
      <w:r>
        <w:rPr>
          <w:rFonts w:ascii="Arial" w:cs="Arial" w:eastAsia="Arial" w:hAnsi="Arial"/>
          <w:sz w:val="22"/>
          <w:szCs w:val="22"/>
          <w:b w:val="1"/>
          <w:bCs w:val="1"/>
          <w:color w:val="auto"/>
        </w:rPr>
        <w:t xml:space="preserve"> </w:t>
      </w:r>
      <w:r>
        <w:rPr>
          <w:rFonts w:ascii="Arial" w:cs="Arial" w:eastAsia="Arial" w:hAnsi="Arial"/>
          <w:sz w:val="22"/>
          <w:szCs w:val="22"/>
          <w:color w:val="auto"/>
        </w:rPr>
        <w:t>safety of chemical or biologic agents or other types of</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0" w:name="page161"/>
    <w:bookmarkEnd w:id="160"/>
    <w:p>
      <w:pPr>
        <w:spacing w:after="0"/>
        <w:rPr>
          <w:sz w:val="20"/>
          <w:szCs w:val="20"/>
          <w:color w:val="auto"/>
        </w:rPr>
      </w:pPr>
      <w:r>
        <w:rPr>
          <w:rFonts w:ascii="Arial" w:cs="Arial" w:eastAsia="Arial" w:hAnsi="Arial"/>
          <w:sz w:val="22"/>
          <w:szCs w:val="22"/>
          <w:color w:val="auto"/>
        </w:rPr>
        <w:t>interventions that would satisfy the requirements of 21 C.F.R. § 312.21(a) or its non-United States equivalents.</w:t>
      </w:r>
    </w:p>
    <w:p>
      <w:pPr>
        <w:spacing w:after="0" w:line="200"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9"/>
          <w:szCs w:val="19"/>
          <w:b w:val="1"/>
          <w:bCs w:val="1"/>
          <w:color w:val="auto"/>
        </w:rPr>
        <w:t xml:space="preserve">1.63 </w:t>
      </w:r>
      <w:r>
        <w:rPr>
          <w:rFonts w:ascii="Arial" w:cs="Arial" w:eastAsia="Arial" w:hAnsi="Arial"/>
          <w:sz w:val="19"/>
          <w:szCs w:val="19"/>
          <w:color w:val="auto"/>
        </w:rPr>
        <w:t>“</w:t>
      </w:r>
      <w:r>
        <w:rPr>
          <w:rFonts w:ascii="Arial" w:cs="Arial" w:eastAsia="Arial" w:hAnsi="Arial"/>
          <w:sz w:val="19"/>
          <w:szCs w:val="19"/>
          <w:b w:val="1"/>
          <w:bCs w:val="1"/>
          <w:color w:val="auto"/>
        </w:rPr>
        <w:t>Phase 2 Clinical Trial</w:t>
      </w:r>
      <w:r>
        <w:rPr>
          <w:rFonts w:ascii="Arial" w:cs="Arial" w:eastAsia="Arial" w:hAnsi="Arial"/>
          <w:sz w:val="19"/>
          <w:szCs w:val="19"/>
          <w:color w:val="auto"/>
        </w:rPr>
        <w:t>” means any human clinical trial of a Licensed Product conducted mainly to test the</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effectiveness of chemical or biologic agents or other types of interventions for purposes of identifying the appropriate dose for a Phase 3 Clinical Trial for a particular Indication or Indications that would satisfy the requirements of 21 CFR § 312.21(b) or its non-United States equivalents. A “Phase 2/3 Clinical Trial” shall be deemed to be a Phase 2 Clinical Trial with respect to the portion of that clinical trial that is regarded as its Phase 2 component, in accordance with the applicable protocol.</w:t>
      </w:r>
    </w:p>
    <w:p>
      <w:pPr>
        <w:spacing w:after="0" w:line="143"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b w:val="1"/>
          <w:bCs w:val="1"/>
          <w:color w:val="auto"/>
        </w:rPr>
        <w:t xml:space="preserve">1.64 </w:t>
      </w:r>
      <w:r>
        <w:rPr>
          <w:rFonts w:ascii="Arial" w:cs="Arial" w:eastAsia="Arial" w:hAnsi="Arial"/>
          <w:sz w:val="21"/>
          <w:szCs w:val="21"/>
          <w:color w:val="auto"/>
        </w:rPr>
        <w:t>“</w:t>
      </w:r>
      <w:r>
        <w:rPr>
          <w:rFonts w:ascii="Arial" w:cs="Arial" w:eastAsia="Arial" w:hAnsi="Arial"/>
          <w:sz w:val="21"/>
          <w:szCs w:val="21"/>
          <w:b w:val="1"/>
          <w:bCs w:val="1"/>
          <w:color w:val="auto"/>
        </w:rPr>
        <w:t>Phase 3 Clinical Trial</w:t>
      </w:r>
      <w:r>
        <w:rPr>
          <w:rFonts w:ascii="Arial" w:cs="Arial" w:eastAsia="Arial" w:hAnsi="Arial"/>
          <w:sz w:val="21"/>
          <w:szCs w:val="21"/>
          <w:color w:val="auto"/>
        </w:rPr>
        <w:t>” means any human clinical trial of a Licensed Product designed to: (i) establish that such</w:t>
      </w:r>
      <w:r>
        <w:rPr>
          <w:rFonts w:ascii="Arial" w:cs="Arial" w:eastAsia="Arial" w:hAnsi="Arial"/>
          <w:sz w:val="21"/>
          <w:szCs w:val="21"/>
          <w:b w:val="1"/>
          <w:bCs w:val="1"/>
          <w:color w:val="auto"/>
        </w:rPr>
        <w:t xml:space="preserve"> </w:t>
      </w:r>
      <w:r>
        <w:rPr>
          <w:rFonts w:ascii="Arial" w:cs="Arial" w:eastAsia="Arial" w:hAnsi="Arial"/>
          <w:sz w:val="21"/>
          <w:szCs w:val="21"/>
          <w:color w:val="auto"/>
        </w:rPr>
        <w:t>Licensed Product is safe and efficacious for its intended use; (ii) define warnings, precautions and adverse reactions that are associated with the Licensed Product in the dosage range to be prescribed; and (iii) support Regulatory Approval of such Licensed Product, that would satisfy the requirements of 21 CFR § 312.21(c) or its non-United States equivalents. A “Phase 2/3 Clinical Trial” shall be deemed to be a Phase 3 Clinical Trial with respect to the portion of that clinical trial that is regarded as its Phase 3 component, in accordance with the applicable protocol.</w:t>
      </w:r>
    </w:p>
    <w:p>
      <w:pPr>
        <w:spacing w:after="0" w:line="171"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 xml:space="preserve">1.65 </w:t>
      </w:r>
      <w:r>
        <w:rPr>
          <w:rFonts w:ascii="Arial" w:cs="Arial" w:eastAsia="Arial" w:hAnsi="Arial"/>
          <w:sz w:val="22"/>
          <w:szCs w:val="22"/>
          <w:color w:val="auto"/>
        </w:rPr>
        <w:t>“</w:t>
      </w:r>
      <w:r>
        <w:rPr>
          <w:rFonts w:ascii="Arial" w:cs="Arial" w:eastAsia="Arial" w:hAnsi="Arial"/>
          <w:sz w:val="22"/>
          <w:szCs w:val="22"/>
          <w:b w:val="1"/>
          <w:bCs w:val="1"/>
          <w:color w:val="auto"/>
        </w:rPr>
        <w:t>Phase 4 Clinical Trial</w:t>
      </w:r>
      <w:r>
        <w:rPr>
          <w:rFonts w:ascii="Arial" w:cs="Arial" w:eastAsia="Arial" w:hAnsi="Arial"/>
          <w:sz w:val="22"/>
          <w:szCs w:val="22"/>
          <w:color w:val="auto"/>
        </w:rPr>
        <w:t>” means a human clinical trial of a Licensed Product that is (a) designed to satisfy a</w:t>
      </w:r>
      <w:r>
        <w:rPr>
          <w:rFonts w:ascii="Arial" w:cs="Arial" w:eastAsia="Arial" w:hAnsi="Arial"/>
          <w:sz w:val="22"/>
          <w:szCs w:val="22"/>
          <w:b w:val="1"/>
          <w:bCs w:val="1"/>
          <w:color w:val="auto"/>
        </w:rPr>
        <w:t xml:space="preserve"> </w:t>
      </w:r>
      <w:r>
        <w:rPr>
          <w:rFonts w:ascii="Arial" w:cs="Arial" w:eastAsia="Arial" w:hAnsi="Arial"/>
          <w:sz w:val="22"/>
          <w:szCs w:val="22"/>
          <w:color w:val="auto"/>
        </w:rPr>
        <w:t>requirement of a Regulatory Authority in order to maintain a Product Approval for such Licensed Product or (b) conducted after the first Product Approval of such Licensed Product in the same disease state for which the Licensed Product received Product Approval.</w:t>
      </w:r>
    </w:p>
    <w:p>
      <w:pPr>
        <w:spacing w:after="0" w:line="180"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9"/>
          <w:szCs w:val="19"/>
          <w:b w:val="1"/>
          <w:bCs w:val="1"/>
          <w:color w:val="auto"/>
        </w:rPr>
        <w:t xml:space="preserve">1.66 </w:t>
      </w:r>
      <w:r>
        <w:rPr>
          <w:rFonts w:ascii="Arial" w:cs="Arial" w:eastAsia="Arial" w:hAnsi="Arial"/>
          <w:sz w:val="19"/>
          <w:szCs w:val="19"/>
          <w:color w:val="auto"/>
        </w:rPr>
        <w:t>“</w:t>
      </w:r>
      <w:r>
        <w:rPr>
          <w:rFonts w:ascii="Arial" w:cs="Arial" w:eastAsia="Arial" w:hAnsi="Arial"/>
          <w:sz w:val="19"/>
          <w:szCs w:val="19"/>
          <w:b w:val="1"/>
          <w:bCs w:val="1"/>
          <w:color w:val="auto"/>
        </w:rPr>
        <w:t>Pivotal Clinical Trial</w:t>
      </w:r>
      <w:r>
        <w:rPr>
          <w:rFonts w:ascii="Arial" w:cs="Arial" w:eastAsia="Arial" w:hAnsi="Arial"/>
          <w:sz w:val="19"/>
          <w:szCs w:val="19"/>
          <w:color w:val="auto"/>
        </w:rPr>
        <w:t>” means, as to a particular Licensed Product for a particular Indication, a controlled and</w:t>
      </w:r>
      <w:r>
        <w:rPr>
          <w:rFonts w:ascii="Arial" w:cs="Arial" w:eastAsia="Arial" w:hAnsi="Arial"/>
          <w:sz w:val="19"/>
          <w:szCs w:val="19"/>
          <w:b w:val="1"/>
          <w:bCs w:val="1"/>
          <w:color w:val="auto"/>
        </w:rPr>
        <w:t xml:space="preserve"> </w:t>
      </w:r>
      <w:r>
        <w:rPr>
          <w:rFonts w:ascii="Arial" w:cs="Arial" w:eastAsia="Arial" w:hAnsi="Arial"/>
          <w:sz w:val="19"/>
          <w:szCs w:val="19"/>
          <w:color w:val="auto"/>
        </w:rPr>
        <w:t>lawful study in humans of the safety and efficacy of such Licensed Product for such Indication, which is prospectively designed to demonstrate statistically whether such Licensed Product is safe and effective for use in such indication in a manner sufficient to file a Marketing Approval Application for the Indication under investigation in such study.</w:t>
      </w:r>
    </w:p>
    <w:p>
      <w:pPr>
        <w:spacing w:after="0" w:line="13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1.67 </w:t>
      </w:r>
      <w:r>
        <w:rPr>
          <w:rFonts w:ascii="Arial" w:cs="Arial" w:eastAsia="Arial" w:hAnsi="Arial"/>
          <w:sz w:val="22"/>
          <w:szCs w:val="22"/>
          <w:color w:val="auto"/>
        </w:rPr>
        <w:t>“</w:t>
      </w:r>
      <w:r>
        <w:rPr>
          <w:rFonts w:ascii="Arial" w:cs="Arial" w:eastAsia="Arial" w:hAnsi="Arial"/>
          <w:sz w:val="22"/>
          <w:szCs w:val="22"/>
          <w:b w:val="1"/>
          <w:bCs w:val="1"/>
          <w:color w:val="auto"/>
        </w:rPr>
        <w:t>PMDA</w:t>
      </w:r>
      <w:r>
        <w:rPr>
          <w:rFonts w:ascii="Arial" w:cs="Arial" w:eastAsia="Arial" w:hAnsi="Arial"/>
          <w:sz w:val="22"/>
          <w:szCs w:val="22"/>
          <w:color w:val="auto"/>
        </w:rPr>
        <w:t>” means Japan’s Pharmaceuticals and Medical Devices Agency.</w:t>
      </w:r>
    </w:p>
    <w:p>
      <w:pPr>
        <w:spacing w:after="0" w:line="206"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9"/>
          <w:szCs w:val="19"/>
          <w:b w:val="1"/>
          <w:bCs w:val="1"/>
          <w:color w:val="auto"/>
        </w:rPr>
        <w:t xml:space="preserve">1.68 </w:t>
      </w:r>
      <w:r>
        <w:rPr>
          <w:rFonts w:ascii="Arial" w:cs="Arial" w:eastAsia="Arial" w:hAnsi="Arial"/>
          <w:sz w:val="19"/>
          <w:szCs w:val="19"/>
          <w:color w:val="auto"/>
        </w:rPr>
        <w:t>“</w:t>
      </w:r>
      <w:r>
        <w:rPr>
          <w:rFonts w:ascii="Arial" w:cs="Arial" w:eastAsia="Arial" w:hAnsi="Arial"/>
          <w:sz w:val="19"/>
          <w:szCs w:val="19"/>
          <w:b w:val="1"/>
          <w:bCs w:val="1"/>
          <w:color w:val="auto"/>
        </w:rPr>
        <w:t>Pricing Approval</w:t>
      </w:r>
      <w:r>
        <w:rPr>
          <w:rFonts w:ascii="Arial" w:cs="Arial" w:eastAsia="Arial" w:hAnsi="Arial"/>
          <w:sz w:val="19"/>
          <w:szCs w:val="19"/>
          <w:color w:val="auto"/>
        </w:rPr>
        <w:t>” means the approval, agreement, determination or decision from a Regulatory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establishing the price and/or reimbursement for a Licensed Product for sale in any given country or regulatory jurisdiction, as required by applicable Law in such country or regulatory jurisdiction, including the initial NHI Price for the Licensed Product.</w:t>
      </w:r>
    </w:p>
    <w:p>
      <w:pPr>
        <w:spacing w:after="0" w:line="12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 xml:space="preserve">1.69 </w:t>
      </w:r>
      <w:r>
        <w:rPr>
          <w:rFonts w:ascii="Arial" w:cs="Arial" w:eastAsia="Arial" w:hAnsi="Arial"/>
          <w:sz w:val="22"/>
          <w:szCs w:val="22"/>
          <w:color w:val="auto"/>
        </w:rPr>
        <w:t>“</w:t>
      </w:r>
      <w:r>
        <w:rPr>
          <w:rFonts w:ascii="Arial" w:cs="Arial" w:eastAsia="Arial" w:hAnsi="Arial"/>
          <w:sz w:val="22"/>
          <w:szCs w:val="22"/>
          <w:b w:val="1"/>
          <w:bCs w:val="1"/>
          <w:color w:val="auto"/>
        </w:rPr>
        <w:t>Product Approval</w:t>
      </w:r>
      <w:r>
        <w:rPr>
          <w:rFonts w:ascii="Arial" w:cs="Arial" w:eastAsia="Arial" w:hAnsi="Arial"/>
          <w:sz w:val="22"/>
          <w:szCs w:val="22"/>
          <w:color w:val="auto"/>
        </w:rPr>
        <w:t>” means the approval of a Regulatory Authority necessary for the marketing and sale of a</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Product in any given country or regulatory jurisdiction which may include the approval of a MAA but shall not include any Pricing Approvals.</w:t>
      </w:r>
    </w:p>
    <w:p>
      <w:pPr>
        <w:spacing w:after="0" w:line="177"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21"/>
          <w:szCs w:val="21"/>
          <w:b w:val="1"/>
          <w:bCs w:val="1"/>
          <w:color w:val="auto"/>
        </w:rPr>
        <w:t xml:space="preserve">1.70 </w:t>
      </w:r>
      <w:r>
        <w:rPr>
          <w:rFonts w:ascii="Arial" w:cs="Arial" w:eastAsia="Arial" w:hAnsi="Arial"/>
          <w:sz w:val="21"/>
          <w:szCs w:val="21"/>
          <w:color w:val="auto"/>
        </w:rPr>
        <w:t>“</w:t>
      </w:r>
      <w:r>
        <w:rPr>
          <w:rFonts w:ascii="Arial" w:cs="Arial" w:eastAsia="Arial" w:hAnsi="Arial"/>
          <w:sz w:val="21"/>
          <w:szCs w:val="21"/>
          <w:b w:val="1"/>
          <w:bCs w:val="1"/>
          <w:color w:val="auto"/>
        </w:rPr>
        <w:t>Proper Conduct Practices</w:t>
      </w:r>
      <w:r>
        <w:rPr>
          <w:rFonts w:ascii="Arial" w:cs="Arial" w:eastAsia="Arial" w:hAnsi="Arial"/>
          <w:sz w:val="21"/>
          <w:szCs w:val="21"/>
          <w:color w:val="auto"/>
        </w:rPr>
        <w:t>” means, Kaken, its Affiliates and Sublicensees, and each of their Representatives and</w:t>
      </w:r>
      <w:r>
        <w:rPr>
          <w:rFonts w:ascii="Arial" w:cs="Arial" w:eastAsia="Arial" w:hAnsi="Arial"/>
          <w:sz w:val="21"/>
          <w:szCs w:val="21"/>
          <w:b w:val="1"/>
          <w:bCs w:val="1"/>
          <w:color w:val="auto"/>
        </w:rPr>
        <w:t xml:space="preserve"> </w:t>
      </w:r>
      <w:r>
        <w:rPr>
          <w:rFonts w:ascii="Arial" w:cs="Arial" w:eastAsia="Arial" w:hAnsi="Arial"/>
          <w:sz w:val="21"/>
          <w:szCs w:val="21"/>
          <w:color w:val="auto"/>
        </w:rPr>
        <w:t>Spruce, its Affiliates and Sublicensees and each of their Representatives not, directly or indirectly, (a) making, offering, authorizing, providing or paying anything of value in any form, whether in money, property, services or otherwise to any Government Official, or other Person charged with similar public or quasi-public duties, or to any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1" w:name="page162"/>
    <w:bookmarkEnd w:id="161"/>
    <w:p>
      <w:pPr>
        <w:jc w:val="both"/>
        <w:spacing w:after="0" w:line="271" w:lineRule="auto"/>
        <w:rPr>
          <w:sz w:val="20"/>
          <w:szCs w:val="20"/>
          <w:color w:val="auto"/>
        </w:rPr>
      </w:pPr>
      <w:r>
        <w:rPr>
          <w:rFonts w:ascii="Arial" w:cs="Arial" w:eastAsia="Arial" w:hAnsi="Arial"/>
          <w:sz w:val="19"/>
          <w:szCs w:val="19"/>
          <w:color w:val="auto"/>
        </w:rPr>
        <w:t>customer, supplier, or any other Person, or to any employee thereof, or failing to disclose fully any such payments in violation of the laws of any relevant jurisdiction to (i) obtain favorable treatment in obtaining or retaining business for it or any of its Affiliates, (ii) pay for favorable treatment for business secured, (iii) obtain special concessions or for special concessions already obtained, for or in respect of it or any of its Affiliates, in each case which would have been in violation of any applicable Law,</w:t>
      </w:r>
    </w:p>
    <w:p>
      <w:pPr>
        <w:spacing w:after="0" w:line="3" w:lineRule="exact"/>
        <w:rPr>
          <w:sz w:val="20"/>
          <w:szCs w:val="20"/>
          <w:color w:val="auto"/>
        </w:rPr>
      </w:pPr>
    </w:p>
    <w:p>
      <w:pPr>
        <w:jc w:val="both"/>
        <w:ind w:firstLine="8"/>
        <w:spacing w:after="0" w:line="270" w:lineRule="auto"/>
        <w:tabs>
          <w:tab w:leader="none" w:pos="373" w:val="left"/>
        </w:tabs>
        <w:numPr>
          <w:ilvl w:val="0"/>
          <w:numId w:val="65"/>
        </w:numPr>
        <w:rPr>
          <w:rFonts w:ascii="Arial" w:cs="Arial" w:eastAsia="Arial" w:hAnsi="Arial"/>
          <w:sz w:val="19"/>
          <w:szCs w:val="19"/>
          <w:color w:val="auto"/>
        </w:rPr>
      </w:pPr>
      <w:r>
        <w:rPr>
          <w:rFonts w:ascii="Arial" w:cs="Arial" w:eastAsia="Arial" w:hAnsi="Arial"/>
          <w:sz w:val="19"/>
          <w:szCs w:val="19"/>
          <w:color w:val="auto"/>
        </w:rPr>
        <w:t>influence an act or decision of the recipient (including a decision not to act) in connection with the Person’s or its Affiliate’s business, (v) induce the recipient to use his or her influence to affect any government act or decision in connection with the Person’s or its Affiliate’s business or (vi) induce the recipient to violate his or her duty of loyalty to his or her organization, or as a reward for having done so; (b) engaging in any transactions, establishing or maintaining any fund or assets in which it or any of its Affiliates shall have proprietary rights that have not been recorded in the books and records of it or any of its Affiliates; (c) making any unlawful payment to any agent, employee, officer or director of any Person with which it or any of its Affiliates does business for the purpose of influencing such agent, employee, officer or director to do business with it or any of its Affiliates; (d) violating any provision of applicable Anti-Corruption Laws; (e) making any payment in the nature of bribery, fraud, or any other unlawful payment under the applicable Laws of any jurisdiction where it or any of its Affiliates conducts business or is registered; or, (f) if such Person or any of its Representatives is a Government Official, improperly using his or her position as a Government Official to influence the award of business or regulatory approvals to or for the benefit of such Person, its Representatives or any of their business operations, or failing to recuse himself or herself from any participation as a Government Official in decisions relating to such Person, its Representatives or any of their business operations.</w:t>
      </w:r>
    </w:p>
    <w:p>
      <w:pPr>
        <w:spacing w:after="0" w:line="15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 xml:space="preserve">1.71 </w:t>
      </w:r>
      <w:r>
        <w:rPr>
          <w:rFonts w:ascii="Arial" w:cs="Arial" w:eastAsia="Arial" w:hAnsi="Arial"/>
          <w:sz w:val="22"/>
          <w:szCs w:val="22"/>
          <w:color w:val="auto"/>
        </w:rPr>
        <w:t>“</w:t>
      </w:r>
      <w:r>
        <w:rPr>
          <w:rFonts w:ascii="Arial" w:cs="Arial" w:eastAsia="Arial" w:hAnsi="Arial"/>
          <w:sz w:val="22"/>
          <w:szCs w:val="22"/>
          <w:b w:val="1"/>
          <w:bCs w:val="1"/>
          <w:color w:val="auto"/>
        </w:rPr>
        <w:t>Regulatory Approval</w:t>
      </w:r>
      <w:r>
        <w:rPr>
          <w:rFonts w:ascii="Arial" w:cs="Arial" w:eastAsia="Arial" w:hAnsi="Arial"/>
          <w:sz w:val="22"/>
          <w:szCs w:val="22"/>
          <w:color w:val="auto"/>
        </w:rPr>
        <w:t>” means any and all approvals (including Product Approval, Pricing Approval, supplements,</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amendments, pre- and post-approvals), licenses, registrations or authorizations of any Regulatory Authority that are necessary for the Manufacture, distribution, marketing, importation, exportation, use or commercial sale of a Licensed Product in a given country or regulatory jurisdiction.</w:t>
      </w:r>
    </w:p>
    <w:p>
      <w:pPr>
        <w:spacing w:after="0" w:line="180" w:lineRule="exact"/>
        <w:rPr>
          <w:sz w:val="20"/>
          <w:szCs w:val="20"/>
          <w:color w:val="auto"/>
        </w:rPr>
      </w:pPr>
    </w:p>
    <w:p>
      <w:pPr>
        <w:jc w:val="both"/>
        <w:ind w:right="20" w:firstLine="749"/>
        <w:spacing w:after="0" w:line="256" w:lineRule="auto"/>
        <w:rPr>
          <w:sz w:val="20"/>
          <w:szCs w:val="20"/>
          <w:color w:val="auto"/>
        </w:rPr>
      </w:pPr>
      <w:r>
        <w:rPr>
          <w:rFonts w:ascii="Arial" w:cs="Arial" w:eastAsia="Arial" w:hAnsi="Arial"/>
          <w:sz w:val="22"/>
          <w:szCs w:val="22"/>
          <w:b w:val="1"/>
          <w:bCs w:val="1"/>
          <w:color w:val="auto"/>
        </w:rPr>
        <w:t xml:space="preserve">1.72 </w:t>
      </w:r>
      <w:r>
        <w:rPr>
          <w:rFonts w:ascii="Arial" w:cs="Arial" w:eastAsia="Arial" w:hAnsi="Arial"/>
          <w:sz w:val="22"/>
          <w:szCs w:val="22"/>
          <w:color w:val="auto"/>
        </w:rPr>
        <w:t>“</w:t>
      </w:r>
      <w:r>
        <w:rPr>
          <w:rFonts w:ascii="Arial" w:cs="Arial" w:eastAsia="Arial" w:hAnsi="Arial"/>
          <w:sz w:val="22"/>
          <w:szCs w:val="22"/>
          <w:b w:val="1"/>
          <w:bCs w:val="1"/>
          <w:color w:val="auto"/>
        </w:rPr>
        <w:t>Regulatory Authority</w:t>
      </w:r>
      <w:r>
        <w:rPr>
          <w:rFonts w:ascii="Arial" w:cs="Arial" w:eastAsia="Arial" w:hAnsi="Arial"/>
          <w:sz w:val="22"/>
          <w:szCs w:val="22"/>
          <w:color w:val="auto"/>
        </w:rPr>
        <w:t>” means, in a particular country or jurisdiction, any applicable Governmental Authority</w:t>
      </w:r>
      <w:r>
        <w:rPr>
          <w:rFonts w:ascii="Arial" w:cs="Arial" w:eastAsia="Arial" w:hAnsi="Arial"/>
          <w:sz w:val="22"/>
          <w:szCs w:val="22"/>
          <w:b w:val="1"/>
          <w:bCs w:val="1"/>
          <w:color w:val="auto"/>
        </w:rPr>
        <w:t xml:space="preserve"> </w:t>
      </w:r>
      <w:r>
        <w:rPr>
          <w:rFonts w:ascii="Arial" w:cs="Arial" w:eastAsia="Arial" w:hAnsi="Arial"/>
          <w:sz w:val="22"/>
          <w:szCs w:val="22"/>
          <w:color w:val="auto"/>
        </w:rPr>
        <w:t>involved in granting Regulatory Approval in such country or jurisdiction.</w:t>
      </w:r>
    </w:p>
    <w:p>
      <w:pPr>
        <w:spacing w:after="0" w:line="16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b w:val="1"/>
          <w:bCs w:val="1"/>
          <w:color w:val="auto"/>
        </w:rPr>
        <w:t xml:space="preserve">1.73 </w:t>
      </w:r>
      <w:r>
        <w:rPr>
          <w:rFonts w:ascii="Arial" w:cs="Arial" w:eastAsia="Arial" w:hAnsi="Arial"/>
          <w:sz w:val="22"/>
          <w:szCs w:val="22"/>
          <w:color w:val="auto"/>
        </w:rPr>
        <w:t>“</w:t>
      </w:r>
      <w:r>
        <w:rPr>
          <w:rFonts w:ascii="Arial" w:cs="Arial" w:eastAsia="Arial" w:hAnsi="Arial"/>
          <w:sz w:val="22"/>
          <w:szCs w:val="22"/>
          <w:b w:val="1"/>
          <w:bCs w:val="1"/>
          <w:color w:val="auto"/>
        </w:rPr>
        <w:t>Regulatory Exclusivity</w:t>
      </w:r>
      <w:r>
        <w:rPr>
          <w:rFonts w:ascii="Arial" w:cs="Arial" w:eastAsia="Arial" w:hAnsi="Arial"/>
          <w:sz w:val="22"/>
          <w:szCs w:val="22"/>
          <w:color w:val="auto"/>
        </w:rPr>
        <w:t>” means, with respect to a Licensed Product in the Kaken Territory, any data exclusivity</w:t>
      </w:r>
      <w:r>
        <w:rPr>
          <w:rFonts w:ascii="Arial" w:cs="Arial" w:eastAsia="Arial" w:hAnsi="Arial"/>
          <w:sz w:val="22"/>
          <w:szCs w:val="22"/>
          <w:b w:val="1"/>
          <w:bCs w:val="1"/>
          <w:color w:val="auto"/>
        </w:rPr>
        <w:t xml:space="preserve"> </w:t>
      </w:r>
      <w:r>
        <w:rPr>
          <w:rFonts w:ascii="Arial" w:cs="Arial" w:eastAsia="Arial" w:hAnsi="Arial"/>
          <w:sz w:val="22"/>
          <w:szCs w:val="22"/>
          <w:color w:val="auto"/>
        </w:rPr>
        <w:t>rights or other exclusive right, other than a Patent, granted or awarded by any Regulatory Authority in the Kaken Territory or otherwise under applicable Law with respect to such Licensed Product in the Kaken Territory, which either grants or awards exclusive marketing rights with respect to such Licensed Product or prevents another Person from using or otherwise relying on the data supporting the approval of the NDA for such Licensed Product without the prior written authorization of the NDA holder, as applicable.</w:t>
      </w:r>
    </w:p>
    <w:p>
      <w:pPr>
        <w:spacing w:after="0" w:line="18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 xml:space="preserve">1.74 </w:t>
      </w:r>
      <w:r>
        <w:rPr>
          <w:rFonts w:ascii="Arial" w:cs="Arial" w:eastAsia="Arial" w:hAnsi="Arial"/>
          <w:sz w:val="22"/>
          <w:szCs w:val="22"/>
          <w:color w:val="auto"/>
        </w:rPr>
        <w:t>“</w:t>
      </w:r>
      <w:r>
        <w:rPr>
          <w:rFonts w:ascii="Arial" w:cs="Arial" w:eastAsia="Arial" w:hAnsi="Arial"/>
          <w:sz w:val="22"/>
          <w:szCs w:val="22"/>
          <w:b w:val="1"/>
          <w:bCs w:val="1"/>
          <w:color w:val="auto"/>
        </w:rPr>
        <w:t>Regulatory Materials</w:t>
      </w:r>
      <w:r>
        <w:rPr>
          <w:rFonts w:ascii="Arial" w:cs="Arial" w:eastAsia="Arial" w:hAnsi="Arial"/>
          <w:sz w:val="22"/>
          <w:szCs w:val="22"/>
          <w:color w:val="auto"/>
        </w:rPr>
        <w:t>” means regulatory applications (including MAA), submissions, notifications,</w:t>
      </w:r>
      <w:r>
        <w:rPr>
          <w:rFonts w:ascii="Arial" w:cs="Arial" w:eastAsia="Arial" w:hAnsi="Arial"/>
          <w:sz w:val="22"/>
          <w:szCs w:val="22"/>
          <w:b w:val="1"/>
          <w:bCs w:val="1"/>
          <w:color w:val="auto"/>
        </w:rPr>
        <w:t xml:space="preserve"> </w:t>
      </w:r>
      <w:r>
        <w:rPr>
          <w:rFonts w:ascii="Arial" w:cs="Arial" w:eastAsia="Arial" w:hAnsi="Arial"/>
          <w:sz w:val="22"/>
          <w:szCs w:val="22"/>
          <w:color w:val="auto"/>
        </w:rPr>
        <w:t>communications, correspondence, registrations, Regulatory Approvals and/or other filings made to, received from or otherwise conducted with a Regulatory Authority in order to Develop, Manufacture, market, sell or otherwise Commercialize Licensed Products in a particular country or jurisdiction.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2" w:name="page163"/>
    <w:bookmarkEnd w:id="162"/>
    <w:p>
      <w:pPr>
        <w:ind w:right="20" w:firstLine="749"/>
        <w:spacing w:after="0" w:line="256" w:lineRule="auto"/>
        <w:rPr>
          <w:sz w:val="20"/>
          <w:szCs w:val="20"/>
          <w:color w:val="auto"/>
        </w:rPr>
      </w:pPr>
      <w:r>
        <w:rPr>
          <w:rFonts w:ascii="Arial" w:cs="Arial" w:eastAsia="Arial" w:hAnsi="Arial"/>
          <w:sz w:val="22"/>
          <w:szCs w:val="22"/>
          <w:b w:val="1"/>
          <w:bCs w:val="1"/>
          <w:color w:val="auto"/>
        </w:rPr>
        <w:t xml:space="preserve">1.75 </w:t>
      </w:r>
      <w:r>
        <w:rPr>
          <w:rFonts w:ascii="Arial" w:cs="Arial" w:eastAsia="Arial" w:hAnsi="Arial"/>
          <w:sz w:val="22"/>
          <w:szCs w:val="22"/>
          <w:color w:val="auto"/>
        </w:rPr>
        <w:t>“</w:t>
      </w:r>
      <w:r>
        <w:rPr>
          <w:rFonts w:ascii="Arial" w:cs="Arial" w:eastAsia="Arial" w:hAnsi="Arial"/>
          <w:sz w:val="22"/>
          <w:szCs w:val="22"/>
          <w:b w:val="1"/>
          <w:bCs w:val="1"/>
          <w:color w:val="auto"/>
        </w:rPr>
        <w:t>Representatives</w:t>
      </w:r>
      <w:r>
        <w:rPr>
          <w:rFonts w:ascii="Arial" w:cs="Arial" w:eastAsia="Arial" w:hAnsi="Arial"/>
          <w:sz w:val="22"/>
          <w:szCs w:val="22"/>
          <w:color w:val="auto"/>
        </w:rPr>
        <w:t>” means, as to any Person, such Person’s Affiliates and its and their successors, controlling</w:t>
      </w:r>
      <w:r>
        <w:rPr>
          <w:rFonts w:ascii="Arial" w:cs="Arial" w:eastAsia="Arial" w:hAnsi="Arial"/>
          <w:sz w:val="22"/>
          <w:szCs w:val="22"/>
          <w:b w:val="1"/>
          <w:bCs w:val="1"/>
          <w:color w:val="auto"/>
        </w:rPr>
        <w:t xml:space="preserve"> </w:t>
      </w:r>
      <w:r>
        <w:rPr>
          <w:rFonts w:ascii="Arial" w:cs="Arial" w:eastAsia="Arial" w:hAnsi="Arial"/>
          <w:sz w:val="22"/>
          <w:szCs w:val="22"/>
          <w:color w:val="auto"/>
        </w:rPr>
        <w:t>Persons, directors, officers and employees.</w:t>
      </w:r>
    </w:p>
    <w:p>
      <w:pPr>
        <w:spacing w:after="0" w:line="162" w:lineRule="exact"/>
        <w:rPr>
          <w:sz w:val="20"/>
          <w:szCs w:val="20"/>
          <w:color w:val="auto"/>
        </w:rPr>
      </w:pPr>
    </w:p>
    <w:p>
      <w:pPr>
        <w:ind w:firstLine="749"/>
        <w:spacing w:after="0" w:line="256" w:lineRule="auto"/>
        <w:rPr>
          <w:sz w:val="20"/>
          <w:szCs w:val="20"/>
          <w:color w:val="auto"/>
        </w:rPr>
      </w:pPr>
      <w:r>
        <w:rPr>
          <w:rFonts w:ascii="Arial" w:cs="Arial" w:eastAsia="Arial" w:hAnsi="Arial"/>
          <w:sz w:val="22"/>
          <w:szCs w:val="22"/>
          <w:b w:val="1"/>
          <w:bCs w:val="1"/>
          <w:color w:val="auto"/>
        </w:rPr>
        <w:t xml:space="preserve">1.76 </w:t>
      </w:r>
      <w:r>
        <w:rPr>
          <w:rFonts w:ascii="Arial" w:cs="Arial" w:eastAsia="Arial" w:hAnsi="Arial"/>
          <w:sz w:val="22"/>
          <w:szCs w:val="22"/>
          <w:color w:val="auto"/>
        </w:rPr>
        <w:t>“</w:t>
      </w:r>
      <w:r>
        <w:rPr>
          <w:rFonts w:ascii="Arial" w:cs="Arial" w:eastAsia="Arial" w:hAnsi="Arial"/>
          <w:sz w:val="22"/>
          <w:szCs w:val="22"/>
          <w:b w:val="1"/>
          <w:bCs w:val="1"/>
          <w:color w:val="auto"/>
        </w:rPr>
        <w:t>Specifications</w:t>
      </w:r>
      <w:r>
        <w:rPr>
          <w:rFonts w:ascii="Arial" w:cs="Arial" w:eastAsia="Arial" w:hAnsi="Arial"/>
          <w:sz w:val="22"/>
          <w:szCs w:val="22"/>
          <w:color w:val="auto"/>
        </w:rPr>
        <w:t>” means the specifications for the Licensed Compound and Licensed Product as mutually agreed</w:t>
      </w:r>
      <w:r>
        <w:rPr>
          <w:rFonts w:ascii="Arial" w:cs="Arial" w:eastAsia="Arial" w:hAnsi="Arial"/>
          <w:sz w:val="22"/>
          <w:szCs w:val="22"/>
          <w:b w:val="1"/>
          <w:bCs w:val="1"/>
          <w:color w:val="auto"/>
        </w:rPr>
        <w:t xml:space="preserve"> </w:t>
      </w:r>
      <w:r>
        <w:rPr>
          <w:rFonts w:ascii="Arial" w:cs="Arial" w:eastAsia="Arial" w:hAnsi="Arial"/>
          <w:sz w:val="22"/>
          <w:szCs w:val="22"/>
          <w:color w:val="auto"/>
        </w:rPr>
        <w:t>upon by the Parties</w:t>
      </w:r>
      <w:r>
        <w:rPr>
          <w:rFonts w:ascii="Arial" w:cs="Arial" w:eastAsia="Arial" w:hAnsi="Arial"/>
          <w:sz w:val="22"/>
          <w:szCs w:val="22"/>
          <w:color w:val="FF0000"/>
        </w:rPr>
        <w:t>.</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9"/>
          <w:szCs w:val="19"/>
          <w:b w:val="1"/>
          <w:bCs w:val="1"/>
          <w:color w:val="auto"/>
        </w:rPr>
        <w:t xml:space="preserve">1.77 </w:t>
      </w:r>
      <w:r>
        <w:rPr>
          <w:rFonts w:ascii="Arial" w:cs="Arial" w:eastAsia="Arial" w:hAnsi="Arial"/>
          <w:sz w:val="19"/>
          <w:szCs w:val="19"/>
          <w:color w:val="auto"/>
        </w:rPr>
        <w:t>“</w:t>
      </w:r>
      <w:r>
        <w:rPr>
          <w:rFonts w:ascii="Arial" w:cs="Arial" w:eastAsia="Arial" w:hAnsi="Arial"/>
          <w:sz w:val="19"/>
          <w:szCs w:val="19"/>
          <w:b w:val="1"/>
          <w:bCs w:val="1"/>
          <w:color w:val="auto"/>
        </w:rPr>
        <w:t>Spruce Licensed Know-How</w:t>
      </w:r>
      <w:r>
        <w:rPr>
          <w:rFonts w:ascii="Arial" w:cs="Arial" w:eastAsia="Arial" w:hAnsi="Arial"/>
          <w:sz w:val="19"/>
          <w:szCs w:val="19"/>
          <w:color w:val="auto"/>
        </w:rPr>
        <w:t>” means any and all Information (including Data and Regulatory Materials) that (a)</w:t>
      </w:r>
    </w:p>
    <w:p>
      <w:pPr>
        <w:spacing w:after="0" w:line="49" w:lineRule="exact"/>
        <w:rPr>
          <w:sz w:val="20"/>
          <w:szCs w:val="20"/>
          <w:color w:val="auto"/>
        </w:rPr>
      </w:pPr>
    </w:p>
    <w:p>
      <w:pPr>
        <w:jc w:val="both"/>
        <w:ind w:firstLine="8"/>
        <w:spacing w:after="0" w:line="234" w:lineRule="auto"/>
        <w:tabs>
          <w:tab w:leader="none" w:pos="268" w:val="left"/>
        </w:tabs>
        <w:numPr>
          <w:ilvl w:val="0"/>
          <w:numId w:val="66"/>
        </w:numPr>
        <w:rPr>
          <w:rFonts w:ascii="Arial" w:cs="Arial" w:eastAsia="Arial" w:hAnsi="Arial"/>
          <w:sz w:val="22"/>
          <w:szCs w:val="22"/>
          <w:color w:val="auto"/>
        </w:rPr>
      </w:pPr>
      <w:r>
        <w:rPr>
          <w:rFonts w:ascii="Arial" w:cs="Arial" w:eastAsia="Arial" w:hAnsi="Arial"/>
          <w:sz w:val="22"/>
          <w:szCs w:val="22"/>
          <w:color w:val="auto"/>
        </w:rPr>
        <w:t>is Controlled by Spruce or its Affiliates as of the Effective Date or (ii) becomes Controlled by Spruce or its Affiliates during the Term, and (b) is necessary for the Development, Manufacture, or Commercialization of the Licensed Compound or any Licensed Products in the Field in the Kaken Territory, including Upstream Know-How.</w:t>
      </w:r>
    </w:p>
    <w:p>
      <w:pPr>
        <w:spacing w:after="0" w:line="181" w:lineRule="exact"/>
        <w:rPr>
          <w:sz w:val="20"/>
          <w:szCs w:val="20"/>
          <w:color w:val="auto"/>
        </w:rPr>
      </w:pPr>
    </w:p>
    <w:p>
      <w:pPr>
        <w:jc w:val="both"/>
        <w:ind w:right="20" w:firstLine="749"/>
        <w:spacing w:after="0" w:line="275" w:lineRule="auto"/>
        <w:rPr>
          <w:sz w:val="20"/>
          <w:szCs w:val="20"/>
          <w:color w:val="auto"/>
        </w:rPr>
      </w:pPr>
      <w:r>
        <w:rPr>
          <w:rFonts w:ascii="Arial" w:cs="Arial" w:eastAsia="Arial" w:hAnsi="Arial"/>
          <w:sz w:val="19"/>
          <w:szCs w:val="19"/>
          <w:b w:val="1"/>
          <w:bCs w:val="1"/>
          <w:color w:val="auto"/>
        </w:rPr>
        <w:t xml:space="preserve">1.78 </w:t>
      </w:r>
      <w:r>
        <w:rPr>
          <w:rFonts w:ascii="Arial" w:cs="Arial" w:eastAsia="Arial" w:hAnsi="Arial"/>
          <w:sz w:val="19"/>
          <w:szCs w:val="19"/>
          <w:color w:val="auto"/>
        </w:rPr>
        <w:t>“</w:t>
      </w:r>
      <w:r>
        <w:rPr>
          <w:rFonts w:ascii="Arial" w:cs="Arial" w:eastAsia="Arial" w:hAnsi="Arial"/>
          <w:sz w:val="19"/>
          <w:szCs w:val="19"/>
          <w:b w:val="1"/>
          <w:bCs w:val="1"/>
          <w:color w:val="auto"/>
        </w:rPr>
        <w:t>Spruce Licensed Patents</w:t>
      </w:r>
      <w:r>
        <w:rPr>
          <w:rFonts w:ascii="Arial" w:cs="Arial" w:eastAsia="Arial" w:hAnsi="Arial"/>
          <w:sz w:val="19"/>
          <w:szCs w:val="19"/>
          <w:color w:val="auto"/>
        </w:rPr>
        <w:t>” means any and all Patents that (a)(i) are Controlled by Spruce or its Affiliates as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Date or (ii) become Controlled by Spruce or its Affiliates during the Term, and (b) Cover the Licensed Compound or any Licensed Products in the Field in the Kaken Territory including all Upstream Patents but excluding all (i) Joint Patents and</w:t>
      </w:r>
    </w:p>
    <w:p>
      <w:pPr>
        <w:spacing w:after="0" w:line="2" w:lineRule="exact"/>
        <w:rPr>
          <w:sz w:val="20"/>
          <w:szCs w:val="20"/>
          <w:color w:val="auto"/>
        </w:rPr>
      </w:pPr>
    </w:p>
    <w:p>
      <w:pPr>
        <w:jc w:val="both"/>
        <w:ind w:firstLine="8"/>
        <w:spacing w:after="0" w:line="234" w:lineRule="auto"/>
        <w:tabs>
          <w:tab w:leader="none" w:pos="318" w:val="left"/>
        </w:tabs>
        <w:numPr>
          <w:ilvl w:val="0"/>
          <w:numId w:val="67"/>
        </w:numPr>
        <w:rPr>
          <w:rFonts w:ascii="Arial" w:cs="Arial" w:eastAsia="Arial" w:hAnsi="Arial"/>
          <w:sz w:val="22"/>
          <w:szCs w:val="22"/>
          <w:color w:val="auto"/>
        </w:rPr>
      </w:pPr>
      <w:r>
        <w:rPr>
          <w:rFonts w:ascii="Arial" w:cs="Arial" w:eastAsia="Arial" w:hAnsi="Arial"/>
          <w:sz w:val="22"/>
          <w:szCs w:val="22"/>
          <w:color w:val="auto"/>
        </w:rPr>
        <w:t xml:space="preserve">Patents for which Kaken exercises its Step-In Rights. Spruce Licensed Patents include the Patents listed in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xml:space="preserve">. Spruce shall update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xml:space="preserve"> from time to time to include additional patents, including patents issued from any listed application or claiming priority thereto or otherwise continuing therefrom.</w:t>
      </w:r>
    </w:p>
    <w:p>
      <w:pPr>
        <w:spacing w:after="0" w:line="181"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 xml:space="preserve">1.79 </w:t>
      </w:r>
      <w:r>
        <w:rPr>
          <w:rFonts w:ascii="Arial" w:cs="Arial" w:eastAsia="Arial" w:hAnsi="Arial"/>
          <w:sz w:val="22"/>
          <w:szCs w:val="22"/>
          <w:color w:val="auto"/>
        </w:rPr>
        <w:t>“</w:t>
      </w:r>
      <w:r>
        <w:rPr>
          <w:rFonts w:ascii="Arial" w:cs="Arial" w:eastAsia="Arial" w:hAnsi="Arial"/>
          <w:sz w:val="22"/>
          <w:szCs w:val="22"/>
          <w:b w:val="1"/>
          <w:bCs w:val="1"/>
          <w:color w:val="auto"/>
        </w:rPr>
        <w:t>Spruce Manufactured Product</w:t>
      </w:r>
      <w:r>
        <w:rPr>
          <w:rFonts w:ascii="Arial" w:cs="Arial" w:eastAsia="Arial" w:hAnsi="Arial"/>
          <w:sz w:val="22"/>
          <w:szCs w:val="22"/>
          <w:color w:val="auto"/>
        </w:rPr>
        <w:t>” means any Licensed Compound or Licensed Product Manufactured by Spruce,</w:t>
      </w:r>
      <w:r>
        <w:rPr>
          <w:rFonts w:ascii="Arial" w:cs="Arial" w:eastAsia="Arial" w:hAnsi="Arial"/>
          <w:sz w:val="22"/>
          <w:szCs w:val="22"/>
          <w:b w:val="1"/>
          <w:bCs w:val="1"/>
          <w:color w:val="auto"/>
        </w:rPr>
        <w:t xml:space="preserve"> </w:t>
      </w:r>
      <w:r>
        <w:rPr>
          <w:rFonts w:ascii="Arial" w:cs="Arial" w:eastAsia="Arial" w:hAnsi="Arial"/>
          <w:sz w:val="22"/>
          <w:szCs w:val="22"/>
          <w:color w:val="auto"/>
        </w:rPr>
        <w:t>its Affiliates or their respective Third Party subcontractors and supplied to Kaken in accordance with either the Clinical Supply Agreement or the Commercial Supply Agreement.</w:t>
      </w:r>
    </w:p>
    <w:p>
      <w:pPr>
        <w:spacing w:after="0" w:line="177"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b w:val="1"/>
          <w:bCs w:val="1"/>
          <w:color w:val="auto"/>
        </w:rPr>
        <w:t xml:space="preserve">1.80 </w:t>
      </w:r>
      <w:r>
        <w:rPr>
          <w:rFonts w:ascii="Arial" w:cs="Arial" w:eastAsia="Arial" w:hAnsi="Arial"/>
          <w:sz w:val="22"/>
          <w:szCs w:val="22"/>
          <w:color w:val="auto"/>
        </w:rPr>
        <w:t>“</w:t>
      </w:r>
      <w:r>
        <w:rPr>
          <w:rFonts w:ascii="Arial" w:cs="Arial" w:eastAsia="Arial" w:hAnsi="Arial"/>
          <w:sz w:val="22"/>
          <w:szCs w:val="22"/>
          <w:b w:val="1"/>
          <w:bCs w:val="1"/>
          <w:color w:val="auto"/>
        </w:rPr>
        <w:t>Spruce Product-Specific Licensed Patents</w:t>
      </w:r>
      <w:r>
        <w:rPr>
          <w:rFonts w:ascii="Arial" w:cs="Arial" w:eastAsia="Arial" w:hAnsi="Arial"/>
          <w:sz w:val="22"/>
          <w:szCs w:val="22"/>
          <w:color w:val="auto"/>
        </w:rPr>
        <w:t>” means any Spruce Licensed Patents specifically claiming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composition of matter of, or the method of making or using, the Licensed Compound and/or any Licensed Products in the Field in the Kaken Territory. The Parties acknowledge and agree that the Patents identified in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xml:space="preserve"> as Spruce Product-Specific Licensed Patents are the Spruce Product-Specific Licensed Patents and Spruce shall specifically identify in updates to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xml:space="preserve"> which of the newly updated Patents are Spruce Product-Specific Licensed Patents for purposes of this Agreement (including patents issued from any listed application or claiming priority to Spruce Product-Specific Licensed Patents or otherwise continuing therefrom).</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1.81 </w:t>
      </w:r>
      <w:r>
        <w:rPr>
          <w:rFonts w:ascii="Arial" w:cs="Arial" w:eastAsia="Arial" w:hAnsi="Arial"/>
          <w:sz w:val="22"/>
          <w:szCs w:val="22"/>
          <w:color w:val="auto"/>
        </w:rPr>
        <w:t>“</w:t>
      </w:r>
      <w:r>
        <w:rPr>
          <w:rFonts w:ascii="Arial" w:cs="Arial" w:eastAsia="Arial" w:hAnsi="Arial"/>
          <w:sz w:val="22"/>
          <w:szCs w:val="22"/>
          <w:b w:val="1"/>
          <w:bCs w:val="1"/>
          <w:color w:val="auto"/>
        </w:rPr>
        <w:t>Spruce Technology</w:t>
      </w:r>
      <w:r>
        <w:rPr>
          <w:rFonts w:ascii="Arial" w:cs="Arial" w:eastAsia="Arial" w:hAnsi="Arial"/>
          <w:sz w:val="22"/>
          <w:szCs w:val="22"/>
          <w:color w:val="auto"/>
        </w:rPr>
        <w:t>” means the Spruce Licensed Know-How and Spruce Licensed Patents.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1.82 </w:t>
      </w:r>
      <w:r>
        <w:rPr>
          <w:rFonts w:ascii="Arial" w:cs="Arial" w:eastAsia="Arial" w:hAnsi="Arial"/>
          <w:sz w:val="22"/>
          <w:szCs w:val="22"/>
          <w:color w:val="auto"/>
        </w:rPr>
        <w:t>“</w:t>
      </w:r>
      <w:r>
        <w:rPr>
          <w:rFonts w:ascii="Arial" w:cs="Arial" w:eastAsia="Arial" w:hAnsi="Arial"/>
          <w:sz w:val="22"/>
          <w:szCs w:val="22"/>
          <w:b w:val="1"/>
          <w:bCs w:val="1"/>
          <w:color w:val="auto"/>
        </w:rPr>
        <w:t>Spruce Territory</w:t>
      </w:r>
      <w:r>
        <w:rPr>
          <w:rFonts w:ascii="Arial" w:cs="Arial" w:eastAsia="Arial" w:hAnsi="Arial"/>
          <w:sz w:val="22"/>
          <w:szCs w:val="22"/>
          <w:color w:val="auto"/>
        </w:rPr>
        <w:t>” means the world except for the Kaken Territory.</w:t>
      </w:r>
    </w:p>
    <w:p>
      <w:pPr>
        <w:spacing w:after="0" w:line="20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b w:val="1"/>
          <w:bCs w:val="1"/>
          <w:color w:val="auto"/>
        </w:rPr>
        <w:t xml:space="preserve">1.83 </w:t>
      </w:r>
      <w:r>
        <w:rPr>
          <w:rFonts w:ascii="Arial" w:cs="Arial" w:eastAsia="Arial" w:hAnsi="Arial"/>
          <w:sz w:val="22"/>
          <w:szCs w:val="22"/>
          <w:color w:val="auto"/>
        </w:rPr>
        <w:t>“</w:t>
      </w:r>
      <w:r>
        <w:rPr>
          <w:rFonts w:ascii="Arial" w:cs="Arial" w:eastAsia="Arial" w:hAnsi="Arial"/>
          <w:sz w:val="22"/>
          <w:szCs w:val="22"/>
          <w:b w:val="1"/>
          <w:bCs w:val="1"/>
          <w:color w:val="auto"/>
        </w:rPr>
        <w:t>Sublicensee</w:t>
      </w:r>
      <w:r>
        <w:rPr>
          <w:rFonts w:ascii="Arial" w:cs="Arial" w:eastAsia="Arial" w:hAnsi="Arial"/>
          <w:sz w:val="22"/>
          <w:szCs w:val="22"/>
          <w:color w:val="auto"/>
        </w:rPr>
        <w:t>” means a Third Party that has received a license or other right under the Spruce Technology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Section 2.1(c), but shall not include (i) any Third Party wholesaler or distributor engaged for the sale of Licensed Product (even if such wholesaler or distributor is granted a right or license to sell Licensed Product) provided that such wholesaler or distributor does not make any royalty, milestone, profit share or other payment to Licensee or its Affiliate based on such wholesaler’s or distributor’s sale of Licensed Product; or (ii) any Third Party contract research organization or manufacturer providing services to Licensee or its Affiliate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3" w:name="page164"/>
    <w:bookmarkEnd w:id="163"/>
    <w:p>
      <w:pPr>
        <w:jc w:val="both"/>
        <w:spacing w:after="0" w:line="257" w:lineRule="auto"/>
        <w:rPr>
          <w:sz w:val="20"/>
          <w:szCs w:val="20"/>
          <w:color w:val="auto"/>
        </w:rPr>
      </w:pPr>
      <w:r>
        <w:rPr>
          <w:rFonts w:ascii="Arial" w:cs="Arial" w:eastAsia="Arial" w:hAnsi="Arial"/>
          <w:sz w:val="21"/>
          <w:szCs w:val="21"/>
          <w:color w:val="auto"/>
        </w:rPr>
        <w:t>(even if such contract research organization or manufacturer is granted a right or license to make Licensed Compound or Licensed Product). For clarity, the gross invoiced price for sale of Licensed Product to any wholesaler, distributor, contract research organization or manufacturer described above shall be included in Net Sales.</w:t>
      </w:r>
    </w:p>
    <w:p>
      <w:pPr>
        <w:spacing w:after="0" w:line="163"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 xml:space="preserve">1.84 </w:t>
      </w:r>
      <w:r>
        <w:rPr>
          <w:rFonts w:ascii="Arial" w:cs="Arial" w:eastAsia="Arial" w:hAnsi="Arial"/>
          <w:sz w:val="22"/>
          <w:szCs w:val="22"/>
          <w:color w:val="auto"/>
        </w:rPr>
        <w:t>“</w:t>
      </w:r>
      <w:r>
        <w:rPr>
          <w:rFonts w:ascii="Arial" w:cs="Arial" w:eastAsia="Arial" w:hAnsi="Arial"/>
          <w:sz w:val="22"/>
          <w:szCs w:val="22"/>
          <w:b w:val="1"/>
          <w:bCs w:val="1"/>
          <w:color w:val="auto"/>
        </w:rPr>
        <w:t>Tax</w:t>
      </w:r>
      <w:r>
        <w:rPr>
          <w:rFonts w:ascii="Arial" w:cs="Arial" w:eastAsia="Arial" w:hAnsi="Arial"/>
          <w:sz w:val="22"/>
          <w:szCs w:val="22"/>
          <w:color w:val="auto"/>
        </w:rPr>
        <w:t>” means any form of tax or taxation, levy, duty, charge, social security charge, contribution or withholding of</w:t>
      </w:r>
      <w:r>
        <w:rPr>
          <w:rFonts w:ascii="Arial" w:cs="Arial" w:eastAsia="Arial" w:hAnsi="Arial"/>
          <w:sz w:val="22"/>
          <w:szCs w:val="22"/>
          <w:b w:val="1"/>
          <w:bCs w:val="1"/>
          <w:color w:val="auto"/>
        </w:rPr>
        <w:t xml:space="preserve"> </w:t>
      </w:r>
      <w:r>
        <w:rPr>
          <w:rFonts w:ascii="Arial" w:cs="Arial" w:eastAsia="Arial" w:hAnsi="Arial"/>
          <w:sz w:val="22"/>
          <w:szCs w:val="22"/>
          <w:color w:val="auto"/>
        </w:rPr>
        <w:t>whatever nature, together with any related fine, penalty, surcharge or interest thereon imposed by, or payable to, a Governmental Authority.</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1.85 </w:t>
      </w:r>
      <w:r>
        <w:rPr>
          <w:rFonts w:ascii="Arial" w:cs="Arial" w:eastAsia="Arial" w:hAnsi="Arial"/>
          <w:sz w:val="22"/>
          <w:szCs w:val="22"/>
          <w:color w:val="auto"/>
        </w:rPr>
        <w:t>“</w:t>
      </w:r>
      <w:r>
        <w:rPr>
          <w:rFonts w:ascii="Arial" w:cs="Arial" w:eastAsia="Arial" w:hAnsi="Arial"/>
          <w:sz w:val="22"/>
          <w:szCs w:val="22"/>
          <w:b w:val="1"/>
          <w:bCs w:val="1"/>
          <w:color w:val="auto"/>
        </w:rPr>
        <w:t>Third Party</w:t>
      </w:r>
      <w:r>
        <w:rPr>
          <w:rFonts w:ascii="Arial" w:cs="Arial" w:eastAsia="Arial" w:hAnsi="Arial"/>
          <w:sz w:val="22"/>
          <w:szCs w:val="22"/>
          <w:color w:val="auto"/>
        </w:rPr>
        <w:t>” means any Person other than a Party or an Affiliate of a Party.</w:t>
      </w:r>
    </w:p>
    <w:p>
      <w:pPr>
        <w:spacing w:after="0" w:line="20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 xml:space="preserve">1.86 </w:t>
      </w:r>
      <w:r>
        <w:rPr>
          <w:rFonts w:ascii="Arial" w:cs="Arial" w:eastAsia="Arial" w:hAnsi="Arial"/>
          <w:sz w:val="22"/>
          <w:szCs w:val="22"/>
          <w:color w:val="auto"/>
        </w:rPr>
        <w:t>“</w:t>
      </w:r>
      <w:r>
        <w:rPr>
          <w:rFonts w:ascii="Arial" w:cs="Arial" w:eastAsia="Arial" w:hAnsi="Arial"/>
          <w:sz w:val="22"/>
          <w:szCs w:val="22"/>
          <w:b w:val="1"/>
          <w:bCs w:val="1"/>
          <w:color w:val="auto"/>
        </w:rPr>
        <w:t>Upstream Agreement</w:t>
      </w:r>
      <w:r>
        <w:rPr>
          <w:rFonts w:ascii="Arial" w:cs="Arial" w:eastAsia="Arial" w:hAnsi="Arial"/>
          <w:sz w:val="22"/>
          <w:szCs w:val="22"/>
          <w:color w:val="auto"/>
        </w:rPr>
        <w:t>” means that certain License Agreement by and among Spruce and Eli Lilly and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Lilly</w:t>
      </w:r>
      <w:r>
        <w:rPr>
          <w:rFonts w:ascii="Arial" w:cs="Arial" w:eastAsia="Arial" w:hAnsi="Arial"/>
          <w:sz w:val="22"/>
          <w:szCs w:val="22"/>
          <w:color w:val="auto"/>
        </w:rPr>
        <w:t xml:space="preserve">”) dated as of May 2, 2016, as set forth in </w:t>
      </w:r>
      <w:r>
        <w:rPr>
          <w:rFonts w:ascii="Arial" w:cs="Arial" w:eastAsia="Arial" w:hAnsi="Arial"/>
          <w:sz w:val="22"/>
          <w:szCs w:val="22"/>
          <w:b w:val="1"/>
          <w:bCs w:val="1"/>
          <w:u w:val="single" w:color="auto"/>
          <w:color w:val="auto"/>
        </w:rPr>
        <w:t>Exhibit E</w:t>
      </w:r>
      <w:r>
        <w:rPr>
          <w:rFonts w:ascii="Arial" w:cs="Arial" w:eastAsia="Arial" w:hAnsi="Arial"/>
          <w:sz w:val="22"/>
          <w:szCs w:val="22"/>
          <w:color w:val="auto"/>
        </w:rPr>
        <w:t>.</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1"/>
          <w:szCs w:val="21"/>
          <w:b w:val="1"/>
          <w:bCs w:val="1"/>
          <w:color w:val="auto"/>
        </w:rPr>
        <w:t xml:space="preserve">1.87 </w:t>
      </w:r>
      <w:r>
        <w:rPr>
          <w:rFonts w:ascii="Arial" w:cs="Arial" w:eastAsia="Arial" w:hAnsi="Arial"/>
          <w:sz w:val="21"/>
          <w:szCs w:val="21"/>
          <w:color w:val="auto"/>
        </w:rPr>
        <w:t>“</w:t>
      </w:r>
      <w:r>
        <w:rPr>
          <w:rFonts w:ascii="Arial" w:cs="Arial" w:eastAsia="Arial" w:hAnsi="Arial"/>
          <w:sz w:val="21"/>
          <w:szCs w:val="21"/>
          <w:b w:val="1"/>
          <w:bCs w:val="1"/>
          <w:color w:val="auto"/>
        </w:rPr>
        <w:t>Upstream Know-How</w:t>
      </w:r>
      <w:r>
        <w:rPr>
          <w:rFonts w:ascii="Arial" w:cs="Arial" w:eastAsia="Arial" w:hAnsi="Arial"/>
          <w:sz w:val="21"/>
          <w:szCs w:val="21"/>
          <w:color w:val="auto"/>
        </w:rPr>
        <w:t>” means “Licensed Know-How” as such term is defined in the Upstream Agreement.</w:t>
      </w:r>
    </w:p>
    <w:p>
      <w:pPr>
        <w:spacing w:after="0" w:line="21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1.88 </w:t>
      </w:r>
      <w:r>
        <w:rPr>
          <w:rFonts w:ascii="Arial" w:cs="Arial" w:eastAsia="Arial" w:hAnsi="Arial"/>
          <w:sz w:val="22"/>
          <w:szCs w:val="22"/>
          <w:color w:val="auto"/>
        </w:rPr>
        <w:t>“</w:t>
      </w:r>
      <w:r>
        <w:rPr>
          <w:rFonts w:ascii="Arial" w:cs="Arial" w:eastAsia="Arial" w:hAnsi="Arial"/>
          <w:sz w:val="22"/>
          <w:szCs w:val="22"/>
          <w:b w:val="1"/>
          <w:bCs w:val="1"/>
          <w:color w:val="auto"/>
        </w:rPr>
        <w:t>Upstream Patents</w:t>
      </w:r>
      <w:r>
        <w:rPr>
          <w:rFonts w:ascii="Arial" w:cs="Arial" w:eastAsia="Arial" w:hAnsi="Arial"/>
          <w:sz w:val="22"/>
          <w:szCs w:val="22"/>
          <w:color w:val="auto"/>
        </w:rPr>
        <w:t>” means the Patents identified on</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Exhibit A</w:t>
      </w:r>
      <w:r>
        <w:rPr>
          <w:rFonts w:ascii="Arial" w:cs="Arial" w:eastAsia="Arial" w:hAnsi="Arial"/>
          <w:sz w:val="22"/>
          <w:szCs w:val="22"/>
          <w:b w:val="1"/>
          <w:bCs w:val="1"/>
          <w:color w:val="auto"/>
        </w:rPr>
        <w:t xml:space="preserve"> </w:t>
      </w:r>
      <w:r>
        <w:rPr>
          <w:rFonts w:ascii="Arial" w:cs="Arial" w:eastAsia="Arial" w:hAnsi="Arial"/>
          <w:sz w:val="22"/>
          <w:szCs w:val="22"/>
          <w:color w:val="auto"/>
        </w:rPr>
        <w:t>as being in-licensed from Lilly.</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1.89 </w:t>
      </w:r>
      <w:r>
        <w:rPr>
          <w:rFonts w:ascii="Arial" w:cs="Arial" w:eastAsia="Arial" w:hAnsi="Arial"/>
          <w:sz w:val="22"/>
          <w:szCs w:val="22"/>
          <w:color w:val="auto"/>
        </w:rPr>
        <w:t>“</w:t>
      </w:r>
      <w:r>
        <w:rPr>
          <w:rFonts w:ascii="Arial" w:cs="Arial" w:eastAsia="Arial" w:hAnsi="Arial"/>
          <w:sz w:val="22"/>
          <w:szCs w:val="22"/>
          <w:b w:val="1"/>
          <w:bCs w:val="1"/>
          <w:color w:val="auto"/>
        </w:rPr>
        <w:t>Upstream Technology</w:t>
      </w:r>
      <w:r>
        <w:rPr>
          <w:rFonts w:ascii="Arial" w:cs="Arial" w:eastAsia="Arial" w:hAnsi="Arial"/>
          <w:sz w:val="22"/>
          <w:szCs w:val="22"/>
          <w:color w:val="auto"/>
        </w:rPr>
        <w:t>” means the Upstream Patents and Upstream Know-How.</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1.90 </w:t>
      </w:r>
      <w:r>
        <w:rPr>
          <w:rFonts w:ascii="Arial" w:cs="Arial" w:eastAsia="Arial" w:hAnsi="Arial"/>
          <w:sz w:val="22"/>
          <w:szCs w:val="22"/>
          <w:color w:val="auto"/>
        </w:rPr>
        <w:t>“</w:t>
      </w:r>
      <w:r>
        <w:rPr>
          <w:rFonts w:ascii="Arial" w:cs="Arial" w:eastAsia="Arial" w:hAnsi="Arial"/>
          <w:sz w:val="22"/>
          <w:szCs w:val="22"/>
          <w:b w:val="1"/>
          <w:bCs w:val="1"/>
          <w:color w:val="auto"/>
        </w:rPr>
        <w:t>U.S. Dollar</w:t>
      </w:r>
      <w:r>
        <w:rPr>
          <w:rFonts w:ascii="Arial" w:cs="Arial" w:eastAsia="Arial" w:hAnsi="Arial"/>
          <w:sz w:val="22"/>
          <w:szCs w:val="22"/>
          <w:color w:val="auto"/>
        </w:rPr>
        <w:t>” means a U.S. dollar, and “</w:t>
      </w:r>
      <w:r>
        <w:rPr>
          <w:rFonts w:ascii="Arial" w:cs="Arial" w:eastAsia="Arial" w:hAnsi="Arial"/>
          <w:sz w:val="22"/>
          <w:szCs w:val="22"/>
          <w:b w:val="1"/>
          <w:bCs w:val="1"/>
          <w:color w:val="auto"/>
        </w:rPr>
        <w:t>US$</w:t>
      </w:r>
      <w:r>
        <w:rPr>
          <w:rFonts w:ascii="Arial" w:cs="Arial" w:eastAsia="Arial" w:hAnsi="Arial"/>
          <w:sz w:val="22"/>
          <w:szCs w:val="22"/>
          <w:color w:val="auto"/>
        </w:rPr>
        <w:t>” shall be interpreted accordingly.</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1.91 </w:t>
      </w:r>
      <w:r>
        <w:rPr>
          <w:rFonts w:ascii="Arial" w:cs="Arial" w:eastAsia="Arial" w:hAnsi="Arial"/>
          <w:sz w:val="22"/>
          <w:szCs w:val="22"/>
          <w:color w:val="auto"/>
        </w:rPr>
        <w:t>“</w:t>
      </w:r>
      <w:r>
        <w:rPr>
          <w:rFonts w:ascii="Arial" w:cs="Arial" w:eastAsia="Arial" w:hAnsi="Arial"/>
          <w:sz w:val="22"/>
          <w:szCs w:val="22"/>
          <w:b w:val="1"/>
          <w:bCs w:val="1"/>
          <w:color w:val="auto"/>
        </w:rPr>
        <w:t>U.S.</w:t>
      </w:r>
      <w:r>
        <w:rPr>
          <w:rFonts w:ascii="Arial" w:cs="Arial" w:eastAsia="Arial" w:hAnsi="Arial"/>
          <w:sz w:val="22"/>
          <w:szCs w:val="22"/>
          <w:color w:val="auto"/>
        </w:rPr>
        <w:t>” or “</w:t>
      </w:r>
      <w:r>
        <w:rPr>
          <w:rFonts w:ascii="Arial" w:cs="Arial" w:eastAsia="Arial" w:hAnsi="Arial"/>
          <w:sz w:val="22"/>
          <w:szCs w:val="22"/>
          <w:b w:val="1"/>
          <w:bCs w:val="1"/>
          <w:color w:val="auto"/>
        </w:rPr>
        <w:t>USA</w:t>
      </w:r>
      <w:r>
        <w:rPr>
          <w:rFonts w:ascii="Arial" w:cs="Arial" w:eastAsia="Arial" w:hAnsi="Arial"/>
          <w:sz w:val="22"/>
          <w:szCs w:val="22"/>
          <w:color w:val="auto"/>
        </w:rPr>
        <w:t>” means the United States of America, including all possessions and territories thereof.</w:t>
      </w:r>
    </w:p>
    <w:p>
      <w:pPr>
        <w:spacing w:after="0" w:line="20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b w:val="1"/>
          <w:bCs w:val="1"/>
          <w:color w:val="auto"/>
        </w:rPr>
        <w:t xml:space="preserve">1.92 </w:t>
      </w:r>
      <w:r>
        <w:rPr>
          <w:rFonts w:ascii="Arial" w:cs="Arial" w:eastAsia="Arial" w:hAnsi="Arial"/>
          <w:sz w:val="21"/>
          <w:szCs w:val="21"/>
          <w:color w:val="auto"/>
        </w:rPr>
        <w:t>“</w:t>
      </w:r>
      <w:r>
        <w:rPr>
          <w:rFonts w:ascii="Arial" w:cs="Arial" w:eastAsia="Arial" w:hAnsi="Arial"/>
          <w:sz w:val="21"/>
          <w:szCs w:val="21"/>
          <w:b w:val="1"/>
          <w:bCs w:val="1"/>
          <w:color w:val="auto"/>
        </w:rPr>
        <w:t>Valid Claim</w:t>
      </w:r>
      <w:r>
        <w:rPr>
          <w:rFonts w:ascii="Arial" w:cs="Arial" w:eastAsia="Arial" w:hAnsi="Arial"/>
          <w:sz w:val="21"/>
          <w:szCs w:val="21"/>
          <w:color w:val="auto"/>
        </w:rPr>
        <w:t>” means a claim (including a process, use, or composition of matter claim) of (a) an issued and</w:t>
      </w:r>
      <w:r>
        <w:rPr>
          <w:rFonts w:ascii="Arial" w:cs="Arial" w:eastAsia="Arial" w:hAnsi="Arial"/>
          <w:sz w:val="21"/>
          <w:szCs w:val="21"/>
          <w:b w:val="1"/>
          <w:bCs w:val="1"/>
          <w:color w:val="auto"/>
        </w:rPr>
        <w:t xml:space="preserve"> </w:t>
      </w:r>
      <w:r>
        <w:rPr>
          <w:rFonts w:ascii="Arial" w:cs="Arial" w:eastAsia="Arial" w:hAnsi="Arial"/>
          <w:sz w:val="21"/>
          <w:szCs w:val="21"/>
          <w:color w:val="auto"/>
        </w:rPr>
        <w:t>unexpired patent that has not (i) irretrievably lapsed or been revoked, dedicated to the public or disclaimed or (ii) been held invalid, unenforceable or not patentable by a court, governmental agency, national or regional patent office or other appropriate body that has competent jurisdiction, which holding, finding or decision is final and unappealable or unappealed within the time allowed for appeal, or (b) a pending patent application that has been prosecuted in good faith pending for no more than [***] and has not been abandoned or finally disallowed without the possibility of appeal.</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1.93 </w:t>
      </w:r>
      <w:r>
        <w:rPr>
          <w:rFonts w:ascii="Arial" w:cs="Arial" w:eastAsia="Arial" w:hAnsi="Arial"/>
          <w:sz w:val="22"/>
          <w:szCs w:val="22"/>
          <w:color w:val="auto"/>
        </w:rPr>
        <w:t>“</w:t>
      </w:r>
      <w:r>
        <w:rPr>
          <w:rFonts w:ascii="Arial" w:cs="Arial" w:eastAsia="Arial" w:hAnsi="Arial"/>
          <w:sz w:val="22"/>
          <w:szCs w:val="22"/>
          <w:b w:val="1"/>
          <w:bCs w:val="1"/>
          <w:color w:val="auto"/>
        </w:rPr>
        <w:t>Year</w:t>
      </w:r>
      <w:r>
        <w:rPr>
          <w:rFonts w:ascii="Arial" w:cs="Arial" w:eastAsia="Arial" w:hAnsi="Arial"/>
          <w:sz w:val="22"/>
          <w:szCs w:val="22"/>
          <w:color w:val="auto"/>
        </w:rPr>
        <w:t>” means any period of twelve (12) consecutive months.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1.94 </w:t>
      </w:r>
      <w:r>
        <w:rPr>
          <w:rFonts w:ascii="Arial" w:cs="Arial" w:eastAsia="Arial" w:hAnsi="Arial"/>
          <w:sz w:val="22"/>
          <w:szCs w:val="22"/>
          <w:color w:val="auto"/>
        </w:rPr>
        <w:t>“</w:t>
      </w:r>
      <w:r>
        <w:rPr>
          <w:rFonts w:ascii="Arial" w:cs="Arial" w:eastAsia="Arial" w:hAnsi="Arial"/>
          <w:sz w:val="22"/>
          <w:szCs w:val="22"/>
          <w:b w:val="1"/>
          <w:bCs w:val="1"/>
          <w:color w:val="auto"/>
        </w:rPr>
        <w:t>Yen</w:t>
      </w:r>
      <w:r>
        <w:rPr>
          <w:rFonts w:ascii="Arial" w:cs="Arial" w:eastAsia="Arial" w:hAnsi="Arial"/>
          <w:sz w:val="22"/>
          <w:szCs w:val="22"/>
          <w:color w:val="auto"/>
        </w:rPr>
        <w:t>” or “</w:t>
      </w:r>
      <w:r>
        <w:rPr>
          <w:rFonts w:ascii="Arial" w:cs="Arial" w:eastAsia="Arial" w:hAnsi="Arial"/>
          <w:sz w:val="22"/>
          <w:szCs w:val="22"/>
          <w:b w:val="1"/>
          <w:bCs w:val="1"/>
          <w:color w:val="auto"/>
        </w:rPr>
        <w:t>¥</w:t>
      </w:r>
      <w:r>
        <w:rPr>
          <w:rFonts w:ascii="Arial" w:cs="Arial" w:eastAsia="Arial" w:hAnsi="Arial"/>
          <w:sz w:val="22"/>
          <w:szCs w:val="22"/>
          <w:color w:val="auto"/>
        </w:rPr>
        <w:t>” means Japanese yen.</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9"/>
          <w:szCs w:val="19"/>
          <w:b w:val="1"/>
          <w:bCs w:val="1"/>
          <w:color w:val="auto"/>
        </w:rPr>
        <w:t>1.95 Additional Definitions</w:t>
      </w:r>
      <w:r>
        <w:rPr>
          <w:rFonts w:ascii="Arial" w:cs="Arial" w:eastAsia="Arial" w:hAnsi="Arial"/>
          <w:sz w:val="19"/>
          <w:szCs w:val="19"/>
          <w:color w:val="auto"/>
        </w:rPr>
        <w:t>: The following table identifies the location of definitions set forth in various Sections of the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140" w:type="dxa"/>
            <w:vAlign w:val="bottom"/>
            <w:tcBorders>
              <w:right w:val="single" w:sz="8" w:color="auto"/>
            </w:tcBorders>
          </w:tcPr>
          <w:p>
            <w:pPr>
              <w:spacing w:after="0"/>
              <w:rPr>
                <w:sz w:val="24"/>
                <w:szCs w:val="24"/>
                <w:color w:val="auto"/>
              </w:rPr>
            </w:pPr>
          </w:p>
        </w:tc>
        <w:tc>
          <w:tcPr>
            <w:tcW w:w="4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22"/>
                <w:szCs w:val="22"/>
                <w:b w:val="1"/>
                <w:bCs w:val="1"/>
                <w:color w:val="auto"/>
              </w:rPr>
              <w:t>Defined Terms</w:t>
            </w:r>
          </w:p>
        </w:tc>
        <w:tc>
          <w:tcPr>
            <w:tcW w:w="4320" w:type="dxa"/>
            <w:vAlign w:val="bottom"/>
            <w:tcBorders>
              <w:top w:val="single" w:sz="8" w:color="auto"/>
              <w:bottom w:val="single" w:sz="8" w:color="auto"/>
              <w:right w:val="single" w:sz="8" w:color="auto"/>
            </w:tcBorders>
          </w:tcPr>
          <w:p>
            <w:pPr>
              <w:spacing w:after="0"/>
              <w:rPr>
                <w:sz w:val="24"/>
                <w:szCs w:val="24"/>
                <w:color w:val="auto"/>
              </w:rPr>
            </w:pPr>
          </w:p>
        </w:tc>
        <w:tc>
          <w:tcPr>
            <w:tcW w:w="25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2"/>
                <w:szCs w:val="22"/>
                <w:b w:val="1"/>
                <w:bCs w:val="1"/>
                <w:color w:val="auto"/>
              </w:rPr>
              <w:t>Section</w:t>
            </w:r>
          </w:p>
        </w:tc>
      </w:tr>
      <w:tr>
        <w:trPr>
          <w:trHeight w:val="247"/>
        </w:trPr>
        <w:tc>
          <w:tcPr>
            <w:tcW w:w="140" w:type="dxa"/>
            <w:vAlign w:val="bottom"/>
            <w:tcBorders>
              <w:right w:val="single" w:sz="8" w:color="auto"/>
            </w:tcBorders>
          </w:tcPr>
          <w:p>
            <w:pPr>
              <w:spacing w:after="0"/>
              <w:rPr>
                <w:sz w:val="21"/>
                <w:szCs w:val="21"/>
                <w:color w:val="auto"/>
              </w:rPr>
            </w:pPr>
          </w:p>
        </w:tc>
        <w:tc>
          <w:tcPr>
            <w:tcW w:w="4220" w:type="dxa"/>
            <w:vAlign w:val="bottom"/>
            <w:tcBorders>
              <w:bottom w:val="single" w:sz="8" w:color="auto"/>
            </w:tcBorders>
          </w:tcPr>
          <w:p>
            <w:pPr>
              <w:ind w:left="80"/>
              <w:spacing w:after="0" w:line="247" w:lineRule="exact"/>
              <w:rPr>
                <w:sz w:val="20"/>
                <w:szCs w:val="20"/>
                <w:color w:val="auto"/>
              </w:rPr>
            </w:pPr>
            <w:r>
              <w:rPr>
                <w:rFonts w:ascii="Arial" w:cs="Arial" w:eastAsia="Arial" w:hAnsi="Arial"/>
                <w:sz w:val="22"/>
                <w:szCs w:val="22"/>
                <w:color w:val="auto"/>
              </w:rPr>
              <w:t>Accused Party</w:t>
            </w:r>
          </w:p>
        </w:tc>
        <w:tc>
          <w:tcPr>
            <w:tcW w:w="4320" w:type="dxa"/>
            <w:vAlign w:val="bottom"/>
            <w:tcBorders>
              <w:bottom w:val="single" w:sz="8" w:color="auto"/>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ind w:left="60"/>
              <w:spacing w:after="0" w:line="247" w:lineRule="exact"/>
              <w:rPr>
                <w:sz w:val="20"/>
                <w:szCs w:val="20"/>
                <w:color w:val="auto"/>
              </w:rPr>
            </w:pPr>
            <w:r>
              <w:rPr>
                <w:rFonts w:ascii="Arial" w:cs="Arial" w:eastAsia="Arial" w:hAnsi="Arial"/>
                <w:sz w:val="22"/>
                <w:szCs w:val="22"/>
                <w:color w:val="auto"/>
              </w:rPr>
              <w:t>9.5</w:t>
            </w:r>
          </w:p>
        </w:tc>
      </w:tr>
      <w:tr>
        <w:trPr>
          <w:trHeight w:val="263"/>
        </w:trPr>
        <w:tc>
          <w:tcPr>
            <w:tcW w:w="140" w:type="dxa"/>
            <w:vAlign w:val="bottom"/>
            <w:tcBorders>
              <w:right w:val="single" w:sz="8" w:color="auto"/>
            </w:tcBorders>
          </w:tcPr>
          <w:p>
            <w:pPr>
              <w:spacing w:after="0"/>
              <w:rPr>
                <w:sz w:val="22"/>
                <w:szCs w:val="22"/>
                <w:color w:val="auto"/>
              </w:rPr>
            </w:pPr>
          </w:p>
        </w:tc>
        <w:tc>
          <w:tcPr>
            <w:tcW w:w="42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Additional Indication Opportunity</w:t>
            </w:r>
          </w:p>
        </w:tc>
        <w:tc>
          <w:tcPr>
            <w:tcW w:w="432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6.6</w:t>
            </w:r>
          </w:p>
        </w:tc>
      </w:tr>
      <w:tr>
        <w:trPr>
          <w:trHeight w:val="264"/>
        </w:trPr>
        <w:tc>
          <w:tcPr>
            <w:tcW w:w="140" w:type="dxa"/>
            <w:vAlign w:val="bottom"/>
            <w:tcBorders>
              <w:right w:val="single" w:sz="8" w:color="auto"/>
            </w:tcBorders>
          </w:tcPr>
          <w:p>
            <w:pPr>
              <w:spacing w:after="0"/>
              <w:rPr>
                <w:sz w:val="22"/>
                <w:szCs w:val="22"/>
                <w:color w:val="auto"/>
              </w:rPr>
            </w:pPr>
          </w:p>
        </w:tc>
        <w:tc>
          <w:tcPr>
            <w:tcW w:w="42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Agreement</w:t>
            </w:r>
          </w:p>
        </w:tc>
        <w:tc>
          <w:tcPr>
            <w:tcW w:w="432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Preamble</w:t>
            </w:r>
          </w:p>
        </w:tc>
      </w:tr>
      <w:tr>
        <w:trPr>
          <w:trHeight w:val="268"/>
        </w:trPr>
        <w:tc>
          <w:tcPr>
            <w:tcW w:w="14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4320" w:type="dxa"/>
            <w:vAlign w:val="bottom"/>
          </w:tcPr>
          <w:p>
            <w:pPr>
              <w:jc w:val="right"/>
              <w:ind w:right="2832"/>
              <w:spacing w:after="0"/>
              <w:rPr>
                <w:sz w:val="20"/>
                <w:szCs w:val="20"/>
                <w:color w:val="auto"/>
              </w:rPr>
            </w:pPr>
            <w:r>
              <w:rPr>
                <w:rFonts w:ascii="Arial" w:cs="Arial" w:eastAsia="Arial" w:hAnsi="Arial"/>
                <w:sz w:val="22"/>
                <w:szCs w:val="22"/>
                <w:color w:val="auto"/>
              </w:rPr>
              <w:t>12</w:t>
            </w:r>
          </w:p>
        </w:tc>
        <w:tc>
          <w:tcPr>
            <w:tcW w:w="2560" w:type="dxa"/>
            <w:vAlign w:val="bottom"/>
          </w:tcPr>
          <w:p>
            <w:pPr>
              <w:spacing w:after="0"/>
              <w:rPr>
                <w:sz w:val="23"/>
                <w:szCs w:val="23"/>
                <w:color w:val="auto"/>
              </w:rPr>
            </w:pPr>
          </w:p>
        </w:tc>
      </w:tr>
      <w:tr>
        <w:trPr>
          <w:trHeight w:val="327"/>
        </w:trPr>
        <w:tc>
          <w:tcPr>
            <w:tcW w:w="14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303"/>
        </w:trPr>
        <w:tc>
          <w:tcPr>
            <w:tcW w:w="140" w:type="dxa"/>
            <w:vAlign w:val="bottom"/>
            <w:tcBorders>
              <w:right w:val="single" w:sz="8" w:color="auto"/>
            </w:tcBorders>
          </w:tcPr>
          <w:p>
            <w:pPr>
              <w:spacing w:after="0"/>
              <w:rPr>
                <w:sz w:val="24"/>
                <w:szCs w:val="24"/>
                <w:color w:val="auto"/>
              </w:rPr>
            </w:pPr>
          </w:p>
        </w:tc>
        <w:tc>
          <w:tcPr>
            <w:tcW w:w="44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22"/>
                <w:szCs w:val="22"/>
                <w:b w:val="1"/>
                <w:bCs w:val="1"/>
                <w:color w:val="auto"/>
              </w:rPr>
              <w:t>Defined Terms</w:t>
            </w:r>
          </w:p>
        </w:tc>
        <w:tc>
          <w:tcPr>
            <w:tcW w:w="4060" w:type="dxa"/>
            <w:vAlign w:val="bottom"/>
            <w:tcBorders>
              <w:top w:val="single" w:sz="8" w:color="auto"/>
              <w:bottom w:val="single" w:sz="8" w:color="auto"/>
              <w:right w:val="single" w:sz="8" w:color="auto"/>
            </w:tcBorders>
          </w:tcPr>
          <w:p>
            <w:pPr>
              <w:spacing w:after="0"/>
              <w:rPr>
                <w:sz w:val="24"/>
                <w:szCs w:val="24"/>
                <w:color w:val="auto"/>
              </w:rPr>
            </w:pPr>
          </w:p>
        </w:tc>
        <w:tc>
          <w:tcPr>
            <w:tcW w:w="25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2"/>
                <w:szCs w:val="22"/>
                <w:b w:val="1"/>
                <w:bCs w:val="1"/>
                <w:color w:val="auto"/>
              </w:rPr>
              <w:t>Section</w:t>
            </w:r>
          </w:p>
        </w:tc>
      </w:tr>
      <w:tr>
        <w:trPr>
          <w:trHeight w:val="247"/>
        </w:trPr>
        <w:tc>
          <w:tcPr>
            <w:tcW w:w="140" w:type="dxa"/>
            <w:vAlign w:val="bottom"/>
            <w:tcBorders>
              <w:right w:val="single" w:sz="8" w:color="auto"/>
            </w:tcBorders>
          </w:tcPr>
          <w:p>
            <w:pPr>
              <w:spacing w:after="0"/>
              <w:rPr>
                <w:sz w:val="21"/>
                <w:szCs w:val="21"/>
                <w:color w:val="auto"/>
              </w:rPr>
            </w:pPr>
          </w:p>
        </w:tc>
        <w:tc>
          <w:tcPr>
            <w:tcW w:w="4480" w:type="dxa"/>
            <w:vAlign w:val="bottom"/>
            <w:tcBorders>
              <w:bottom w:val="single" w:sz="8" w:color="auto"/>
            </w:tcBorders>
          </w:tcPr>
          <w:p>
            <w:pPr>
              <w:ind w:left="80"/>
              <w:spacing w:after="0" w:line="247" w:lineRule="exact"/>
              <w:rPr>
                <w:sz w:val="20"/>
                <w:szCs w:val="20"/>
                <w:color w:val="auto"/>
              </w:rPr>
            </w:pPr>
            <w:r>
              <w:rPr>
                <w:rFonts w:ascii="Arial" w:cs="Arial" w:eastAsia="Arial" w:hAnsi="Arial"/>
                <w:sz w:val="22"/>
                <w:szCs w:val="22"/>
                <w:color w:val="auto"/>
              </w:rPr>
              <w:t>Alliance Manager</w:t>
            </w:r>
          </w:p>
        </w:tc>
        <w:tc>
          <w:tcPr>
            <w:tcW w:w="4060" w:type="dxa"/>
            <w:vAlign w:val="bottom"/>
            <w:tcBorders>
              <w:bottom w:val="single" w:sz="8" w:color="auto"/>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ind w:left="60"/>
              <w:spacing w:after="0" w:line="247" w:lineRule="exact"/>
              <w:rPr>
                <w:sz w:val="20"/>
                <w:szCs w:val="20"/>
                <w:color w:val="auto"/>
              </w:rPr>
            </w:pPr>
            <w:r>
              <w:rPr>
                <w:rFonts w:ascii="Arial" w:cs="Arial" w:eastAsia="Arial" w:hAnsi="Arial"/>
                <w:sz w:val="22"/>
                <w:szCs w:val="22"/>
                <w:color w:val="auto"/>
              </w:rPr>
              <w:t>3.1</w:t>
            </w:r>
          </w:p>
        </w:tc>
      </w:tr>
      <w:tr>
        <w:trPr>
          <w:trHeight w:val="263"/>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Auditor</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10.4(c)</w:t>
            </w:r>
          </w:p>
        </w:tc>
      </w:tr>
      <w:tr>
        <w:trPr>
          <w:trHeight w:val="264"/>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Bankruptcy Event</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13.5</w:t>
            </w:r>
          </w:p>
        </w:tc>
      </w:tr>
      <w:tr>
        <w:trPr>
          <w:trHeight w:val="263"/>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Bankrupt Party</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15.13</w:t>
            </w:r>
          </w:p>
        </w:tc>
      </w:tr>
      <w:tr>
        <w:trPr>
          <w:trHeight w:val="263"/>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Claims</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11.1</w:t>
            </w:r>
          </w:p>
        </w:tc>
      </w:tr>
      <w:tr>
        <w:trPr>
          <w:trHeight w:val="263"/>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Clinical Supply Agreement</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7.1</w:t>
            </w:r>
          </w:p>
        </w:tc>
      </w:tr>
      <w:tr>
        <w:trPr>
          <w:trHeight w:val="263"/>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Commercialization Plan</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6.2(a)</w:t>
            </w:r>
          </w:p>
        </w:tc>
      </w:tr>
      <w:tr>
        <w:trPr>
          <w:trHeight w:val="263"/>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Commercial Supply Agreement</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7.2(a)</w:t>
            </w:r>
          </w:p>
        </w:tc>
      </w:tr>
      <w:tr>
        <w:trPr>
          <w:trHeight w:val="264"/>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Competing Program</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15.5(b)</w:t>
            </w:r>
          </w:p>
        </w:tc>
      </w:tr>
      <w:tr>
        <w:trPr>
          <w:trHeight w:val="263"/>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Confidentiality Agreement</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1.20</w:t>
            </w:r>
          </w:p>
        </w:tc>
      </w:tr>
      <w:tr>
        <w:trPr>
          <w:trHeight w:val="263"/>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DMF</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5.1(b)</w:t>
            </w:r>
          </w:p>
        </w:tc>
      </w:tr>
      <w:tr>
        <w:trPr>
          <w:trHeight w:val="263"/>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Effective Date</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Preamble</w:t>
            </w:r>
          </w:p>
        </w:tc>
      </w:tr>
      <w:tr>
        <w:trPr>
          <w:trHeight w:val="263"/>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Enforcing Party</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9.4(c)</w:t>
            </w:r>
          </w:p>
        </w:tc>
      </w:tr>
      <w:tr>
        <w:trPr>
          <w:trHeight w:val="264"/>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Executive Officer</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14.1</w:t>
            </w:r>
          </w:p>
        </w:tc>
      </w:tr>
      <w:tr>
        <w:trPr>
          <w:trHeight w:val="263"/>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First Supplemental Development Plan</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4.2</w:t>
            </w:r>
          </w:p>
        </w:tc>
      </w:tr>
      <w:tr>
        <w:trPr>
          <w:trHeight w:val="263"/>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GAAP</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1.1</w:t>
            </w:r>
          </w:p>
        </w:tc>
      </w:tr>
      <w:tr>
        <w:trPr>
          <w:trHeight w:val="263"/>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Global Development Plan</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4.3(d)</w:t>
            </w:r>
          </w:p>
        </w:tc>
      </w:tr>
      <w:tr>
        <w:trPr>
          <w:trHeight w:val="263"/>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Global Strategy</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4.3(d)</w:t>
            </w:r>
          </w:p>
        </w:tc>
      </w:tr>
      <w:tr>
        <w:trPr>
          <w:trHeight w:val="263"/>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Global Territory Expansion Opportunity</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6.6</w:t>
            </w:r>
          </w:p>
        </w:tc>
      </w:tr>
      <w:tr>
        <w:trPr>
          <w:trHeight w:val="264"/>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GQP Agreement</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5.1(b)</w:t>
            </w:r>
          </w:p>
        </w:tc>
      </w:tr>
      <w:tr>
        <w:trPr>
          <w:trHeight w:val="263"/>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ICC</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14.2</w:t>
            </w:r>
          </w:p>
        </w:tc>
      </w:tr>
      <w:tr>
        <w:trPr>
          <w:trHeight w:val="264"/>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Indemnified Party</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11.3</w:t>
            </w:r>
          </w:p>
        </w:tc>
      </w:tr>
      <w:tr>
        <w:trPr>
          <w:trHeight w:val="263"/>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Indemnifying Party</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11.3</w:t>
            </w:r>
          </w:p>
        </w:tc>
      </w:tr>
      <w:tr>
        <w:trPr>
          <w:trHeight w:val="264"/>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Infringement</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9.4(a)</w:t>
            </w:r>
          </w:p>
        </w:tc>
      </w:tr>
      <w:tr>
        <w:trPr>
          <w:trHeight w:val="263"/>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Infringement Action</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9.5</w:t>
            </w:r>
          </w:p>
        </w:tc>
      </w:tr>
      <w:tr>
        <w:trPr>
          <w:trHeight w:val="263"/>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Initial Development Plan</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4.2</w:t>
            </w:r>
          </w:p>
        </w:tc>
      </w:tr>
      <w:tr>
        <w:trPr>
          <w:trHeight w:val="264"/>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Initial Purchase Price Payment</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8.5(a)(i)</w:t>
            </w:r>
          </w:p>
        </w:tc>
      </w:tr>
      <w:tr>
        <w:trPr>
          <w:trHeight w:val="263"/>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JGAAP</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1.1</w:t>
            </w:r>
          </w:p>
        </w:tc>
      </w:tr>
      <w:tr>
        <w:trPr>
          <w:trHeight w:val="263"/>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Joint Inventions</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9.1(c)(iii)</w:t>
            </w:r>
          </w:p>
        </w:tc>
      </w:tr>
      <w:tr>
        <w:trPr>
          <w:trHeight w:val="264"/>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Joint Steering Committee</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3.2(a)</w:t>
            </w:r>
          </w:p>
        </w:tc>
      </w:tr>
      <w:tr>
        <w:trPr>
          <w:trHeight w:val="263"/>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Kaken</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Preamble</w:t>
            </w:r>
          </w:p>
        </w:tc>
      </w:tr>
      <w:tr>
        <w:trPr>
          <w:trHeight w:val="263"/>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Kaken Housemarks</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9.6(b)</w:t>
            </w:r>
          </w:p>
        </w:tc>
      </w:tr>
      <w:tr>
        <w:trPr>
          <w:trHeight w:val="264"/>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Kaken Indemnitees</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11.1</w:t>
            </w:r>
          </w:p>
        </w:tc>
      </w:tr>
      <w:tr>
        <w:trPr>
          <w:trHeight w:val="263"/>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Kaken Inventions</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9.1(c)(ii)</w:t>
            </w:r>
          </w:p>
        </w:tc>
      </w:tr>
      <w:tr>
        <w:trPr>
          <w:trHeight w:val="263"/>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Kaken Product Mark</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9.6(a)</w:t>
            </w:r>
          </w:p>
        </w:tc>
      </w:tr>
      <w:tr>
        <w:trPr>
          <w:trHeight w:val="264"/>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Kaken Sublicense Agreement</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2.1(c)</w:t>
            </w:r>
          </w:p>
        </w:tc>
      </w:tr>
      <w:tr>
        <w:trPr>
          <w:trHeight w:val="263"/>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Lilly</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1.86</w:t>
            </w:r>
          </w:p>
        </w:tc>
      </w:tr>
      <w:tr>
        <w:trPr>
          <w:trHeight w:val="263"/>
        </w:trPr>
        <w:tc>
          <w:tcPr>
            <w:tcW w:w="140" w:type="dxa"/>
            <w:vAlign w:val="bottom"/>
            <w:tcBorders>
              <w:right w:val="single" w:sz="8" w:color="auto"/>
            </w:tcBorders>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Losses</w:t>
            </w:r>
          </w:p>
        </w:tc>
        <w:tc>
          <w:tcPr>
            <w:tcW w:w="4060" w:type="dxa"/>
            <w:vAlign w:val="bottom"/>
            <w:tcBorders>
              <w:bottom w:val="single" w:sz="8" w:color="auto"/>
              <w:right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11.1</w:t>
            </w:r>
          </w:p>
        </w:tc>
      </w:tr>
      <w:tr>
        <w:trPr>
          <w:trHeight w:val="268"/>
        </w:trPr>
        <w:tc>
          <w:tcPr>
            <w:tcW w:w="14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4060" w:type="dxa"/>
            <w:vAlign w:val="bottom"/>
          </w:tcPr>
          <w:p>
            <w:pPr>
              <w:jc w:val="right"/>
              <w:ind w:right="2832"/>
              <w:spacing w:after="0"/>
              <w:rPr>
                <w:sz w:val="20"/>
                <w:szCs w:val="20"/>
                <w:color w:val="auto"/>
              </w:rPr>
            </w:pPr>
            <w:r>
              <w:rPr>
                <w:rFonts w:ascii="Arial" w:cs="Arial" w:eastAsia="Arial" w:hAnsi="Arial"/>
                <w:sz w:val="22"/>
                <w:szCs w:val="22"/>
                <w:color w:val="auto"/>
              </w:rPr>
              <w:t>13</w:t>
            </w:r>
          </w:p>
        </w:tc>
        <w:tc>
          <w:tcPr>
            <w:tcW w:w="2560" w:type="dxa"/>
            <w:vAlign w:val="bottom"/>
          </w:tcPr>
          <w:p>
            <w:pPr>
              <w:spacing w:after="0"/>
              <w:rPr>
                <w:sz w:val="23"/>
                <w:szCs w:val="23"/>
                <w:color w:val="auto"/>
              </w:rPr>
            </w:pPr>
          </w:p>
        </w:tc>
      </w:tr>
      <w:tr>
        <w:trPr>
          <w:trHeight w:val="327"/>
        </w:trPr>
        <w:tc>
          <w:tcPr>
            <w:tcW w:w="14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65" w:name="page166"/>
    <w:bookmarkEnd w:id="165"/>
    <w:tbl>
      <w:tblPr>
        <w:tblLayout w:type="fixed"/>
        <w:tblInd w:w="130" w:type="dxa"/>
        <w:tblCellMar>
          <w:top w:w="0" w:type="dxa"/>
          <w:left w:w="0" w:type="dxa"/>
          <w:bottom w:w="0" w:type="dxa"/>
          <w:right w:w="0" w:type="dxa"/>
        </w:tblCellMar>
      </w:tblPr>
      <w:tr>
        <w:trPr>
          <w:trHeight w:val="303"/>
        </w:trPr>
        <w:tc>
          <w:tcPr>
            <w:tcW w:w="85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rPr>
              <w:t>Defined Terms</w:t>
            </w:r>
          </w:p>
        </w:tc>
        <w:tc>
          <w:tcPr>
            <w:tcW w:w="25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Section</w:t>
            </w:r>
          </w:p>
        </w:tc>
      </w:tr>
      <w:tr>
        <w:trPr>
          <w:trHeight w:val="247"/>
        </w:trPr>
        <w:tc>
          <w:tcPr>
            <w:tcW w:w="8540" w:type="dxa"/>
            <w:vAlign w:val="bottom"/>
            <w:tcBorders>
              <w:left w:val="single" w:sz="8" w:color="auto"/>
              <w:bottom w:val="single" w:sz="8" w:color="auto"/>
              <w:right w:val="single" w:sz="8" w:color="auto"/>
            </w:tcBorders>
          </w:tcPr>
          <w:p>
            <w:pPr>
              <w:ind w:left="100"/>
              <w:spacing w:after="0" w:line="247" w:lineRule="exact"/>
              <w:rPr>
                <w:sz w:val="20"/>
                <w:szCs w:val="20"/>
                <w:color w:val="auto"/>
              </w:rPr>
            </w:pPr>
            <w:r>
              <w:rPr>
                <w:rFonts w:ascii="Arial" w:cs="Arial" w:eastAsia="Arial" w:hAnsi="Arial"/>
                <w:sz w:val="22"/>
                <w:szCs w:val="22"/>
                <w:color w:val="auto"/>
              </w:rPr>
              <w:t>Major Spruce Partner</w:t>
            </w:r>
          </w:p>
        </w:tc>
        <w:tc>
          <w:tcPr>
            <w:tcW w:w="2580" w:type="dxa"/>
            <w:vAlign w:val="bottom"/>
            <w:tcBorders>
              <w:bottom w:val="single" w:sz="8" w:color="auto"/>
              <w:right w:val="single" w:sz="8" w:color="auto"/>
            </w:tcBorders>
          </w:tcPr>
          <w:p>
            <w:pPr>
              <w:ind w:left="80"/>
              <w:spacing w:after="0" w:line="247" w:lineRule="exact"/>
              <w:rPr>
                <w:sz w:val="20"/>
                <w:szCs w:val="20"/>
                <w:color w:val="auto"/>
              </w:rPr>
            </w:pPr>
            <w:r>
              <w:rPr>
                <w:rFonts w:ascii="Arial" w:cs="Arial" w:eastAsia="Arial" w:hAnsi="Arial"/>
                <w:sz w:val="22"/>
                <w:szCs w:val="22"/>
                <w:color w:val="auto"/>
              </w:rPr>
              <w:t>2.2</w:t>
            </w:r>
          </w:p>
        </w:tc>
      </w:tr>
      <w:tr>
        <w:trPr>
          <w:trHeight w:val="263"/>
        </w:trPr>
        <w:tc>
          <w:tcPr>
            <w:tcW w:w="8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Manufacturing Technology Transfer Agreement</w:t>
            </w: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7.2(b)</w:t>
            </w:r>
          </w:p>
        </w:tc>
      </w:tr>
      <w:tr>
        <w:trPr>
          <w:trHeight w:val="264"/>
        </w:trPr>
        <w:tc>
          <w:tcPr>
            <w:tcW w:w="8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NDA</w:t>
            </w: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1.56</w:t>
            </w:r>
          </w:p>
        </w:tc>
      </w:tr>
      <w:tr>
        <w:trPr>
          <w:trHeight w:val="263"/>
        </w:trPr>
        <w:tc>
          <w:tcPr>
            <w:tcW w:w="8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Non-Bankrupt Party</w:t>
            </w: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15.13</w:t>
            </w:r>
          </w:p>
        </w:tc>
      </w:tr>
      <w:tr>
        <w:trPr>
          <w:trHeight w:val="263"/>
        </w:trPr>
        <w:tc>
          <w:tcPr>
            <w:tcW w:w="8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Party</w:t>
            </w: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Preamble</w:t>
            </w:r>
          </w:p>
        </w:tc>
      </w:tr>
      <w:tr>
        <w:trPr>
          <w:trHeight w:val="263"/>
        </w:trPr>
        <w:tc>
          <w:tcPr>
            <w:tcW w:w="8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Payment</w:t>
            </w: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8.9(b)</w:t>
            </w:r>
          </w:p>
        </w:tc>
      </w:tr>
      <w:tr>
        <w:trPr>
          <w:trHeight w:val="263"/>
        </w:trPr>
        <w:tc>
          <w:tcPr>
            <w:tcW w:w="8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Pharmacovigilance Agreement</w:t>
            </w: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5.8</w:t>
            </w:r>
          </w:p>
        </w:tc>
      </w:tr>
      <w:tr>
        <w:trPr>
          <w:trHeight w:val="264"/>
        </w:trPr>
        <w:tc>
          <w:tcPr>
            <w:tcW w:w="8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Product Materials</w:t>
            </w: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4.6</w:t>
            </w:r>
          </w:p>
        </w:tc>
      </w:tr>
      <w:tr>
        <w:trPr>
          <w:trHeight w:val="263"/>
        </w:trPr>
        <w:tc>
          <w:tcPr>
            <w:tcW w:w="8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Reconciliation Amount</w:t>
            </w: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8.5(a)(i)</w:t>
            </w:r>
          </w:p>
        </w:tc>
      </w:tr>
      <w:tr>
        <w:trPr>
          <w:trHeight w:val="263"/>
        </w:trPr>
        <w:tc>
          <w:tcPr>
            <w:tcW w:w="8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Remedial Action</w:t>
            </w: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5.9</w:t>
            </w:r>
          </w:p>
        </w:tc>
      </w:tr>
      <w:tr>
        <w:trPr>
          <w:trHeight w:val="263"/>
        </w:trPr>
        <w:tc>
          <w:tcPr>
            <w:tcW w:w="8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Right of Reference</w:t>
            </w: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5.5</w:t>
            </w:r>
          </w:p>
        </w:tc>
      </w:tr>
      <w:tr>
        <w:trPr>
          <w:trHeight w:val="263"/>
        </w:trPr>
        <w:tc>
          <w:tcPr>
            <w:tcW w:w="8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ROFN</w:t>
            </w: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6.6</w:t>
            </w:r>
          </w:p>
        </w:tc>
      </w:tr>
      <w:tr>
        <w:trPr>
          <w:trHeight w:val="263"/>
        </w:trPr>
        <w:tc>
          <w:tcPr>
            <w:tcW w:w="8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ROFN Exercise Period</w:t>
            </w: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6.6</w:t>
            </w:r>
          </w:p>
        </w:tc>
      </w:tr>
      <w:tr>
        <w:trPr>
          <w:trHeight w:val="264"/>
        </w:trPr>
        <w:tc>
          <w:tcPr>
            <w:tcW w:w="8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ROFN Exercise Notice</w:t>
            </w: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6.6</w:t>
            </w:r>
          </w:p>
        </w:tc>
      </w:tr>
      <w:tr>
        <w:trPr>
          <w:trHeight w:val="263"/>
        </w:trPr>
        <w:tc>
          <w:tcPr>
            <w:tcW w:w="8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ROFN Negotiation Period</w:t>
            </w: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6.6</w:t>
            </w:r>
          </w:p>
        </w:tc>
      </w:tr>
      <w:tr>
        <w:trPr>
          <w:trHeight w:val="263"/>
        </w:trPr>
        <w:tc>
          <w:tcPr>
            <w:tcW w:w="8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ROFN Offer Notice</w:t>
            </w: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6.6</w:t>
            </w:r>
          </w:p>
        </w:tc>
      </w:tr>
      <w:tr>
        <w:trPr>
          <w:trHeight w:val="263"/>
        </w:trPr>
        <w:tc>
          <w:tcPr>
            <w:tcW w:w="8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Royalty Term</w:t>
            </w: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8.4(b)</w:t>
            </w:r>
          </w:p>
        </w:tc>
      </w:tr>
      <w:tr>
        <w:trPr>
          <w:trHeight w:val="263"/>
        </w:trPr>
        <w:tc>
          <w:tcPr>
            <w:tcW w:w="8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SEC</w:t>
            </w: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12.3(c)</w:t>
            </w:r>
          </w:p>
        </w:tc>
      </w:tr>
      <w:tr>
        <w:trPr>
          <w:trHeight w:val="263"/>
        </w:trPr>
        <w:tc>
          <w:tcPr>
            <w:tcW w:w="8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Spruce</w:t>
            </w: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Preamble</w:t>
            </w:r>
          </w:p>
        </w:tc>
      </w:tr>
      <w:tr>
        <w:trPr>
          <w:trHeight w:val="264"/>
        </w:trPr>
        <w:tc>
          <w:tcPr>
            <w:tcW w:w="8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Spruce Indemnitees</w:t>
            </w: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11.2</w:t>
            </w:r>
          </w:p>
        </w:tc>
      </w:tr>
      <w:tr>
        <w:trPr>
          <w:trHeight w:val="263"/>
        </w:trPr>
        <w:tc>
          <w:tcPr>
            <w:tcW w:w="8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Spruce Inventions</w:t>
            </w: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9.1(c)(i)</w:t>
            </w:r>
          </w:p>
        </w:tc>
      </w:tr>
      <w:tr>
        <w:trPr>
          <w:trHeight w:val="263"/>
        </w:trPr>
        <w:tc>
          <w:tcPr>
            <w:tcW w:w="8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Spruce Partner</w:t>
            </w: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2.2</w:t>
            </w:r>
          </w:p>
        </w:tc>
      </w:tr>
      <w:tr>
        <w:trPr>
          <w:trHeight w:val="263"/>
        </w:trPr>
        <w:tc>
          <w:tcPr>
            <w:tcW w:w="8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Step-In Rights</w:t>
            </w: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9.2(e)</w:t>
            </w:r>
          </w:p>
        </w:tc>
      </w:tr>
      <w:tr>
        <w:trPr>
          <w:trHeight w:val="264"/>
        </w:trPr>
        <w:tc>
          <w:tcPr>
            <w:tcW w:w="8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Tax Changing Decision</w:t>
            </w: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8.9(b)</w:t>
            </w:r>
          </w:p>
        </w:tc>
      </w:tr>
      <w:tr>
        <w:trPr>
          <w:trHeight w:val="263"/>
        </w:trPr>
        <w:tc>
          <w:tcPr>
            <w:tcW w:w="8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Tax Documents</w:t>
            </w: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8.1</w:t>
            </w:r>
          </w:p>
        </w:tc>
      </w:tr>
      <w:tr>
        <w:trPr>
          <w:trHeight w:val="263"/>
        </w:trPr>
        <w:tc>
          <w:tcPr>
            <w:tcW w:w="8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Term</w:t>
            </w: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13.1</w:t>
            </w:r>
          </w:p>
        </w:tc>
      </w:tr>
      <w:tr>
        <w:trPr>
          <w:trHeight w:val="264"/>
        </w:trPr>
        <w:tc>
          <w:tcPr>
            <w:tcW w:w="8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Territory Development Plan</w:t>
            </w: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4.2</w:t>
            </w:r>
          </w:p>
        </w:tc>
      </w:tr>
      <w:tr>
        <w:trPr>
          <w:trHeight w:val="263"/>
        </w:trPr>
        <w:tc>
          <w:tcPr>
            <w:tcW w:w="8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Territory Expansion Opportunity</w:t>
            </w: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6.6</w:t>
            </w:r>
          </w:p>
        </w:tc>
      </w:tr>
      <w:tr>
        <w:trPr>
          <w:trHeight w:val="263"/>
        </w:trPr>
        <w:tc>
          <w:tcPr>
            <w:tcW w:w="8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Transfer Price</w:t>
            </w: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8.4(a)(i)</w:t>
            </w:r>
          </w:p>
        </w:tc>
      </w:tr>
      <w:tr>
        <w:trPr>
          <w:trHeight w:val="264"/>
        </w:trPr>
        <w:tc>
          <w:tcPr>
            <w:tcW w:w="8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Working Group</w:t>
            </w:r>
          </w:p>
        </w:tc>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3.5</w:t>
            </w: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LICENSE</w:t>
      </w:r>
    </w:p>
    <w:p>
      <w:pPr>
        <w:spacing w:after="0" w:line="182"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2.1  License to Kaken</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300" w:lineRule="auto"/>
        <w:tabs>
          <w:tab w:leader="none" w:pos="1929" w:val="left"/>
        </w:tabs>
        <w:numPr>
          <w:ilvl w:val="0"/>
          <w:numId w:val="68"/>
        </w:numPr>
        <w:rPr>
          <w:rFonts w:ascii="Arial" w:cs="Arial" w:eastAsia="Arial" w:hAnsi="Arial"/>
          <w:sz w:val="19"/>
          <w:szCs w:val="19"/>
          <w:b w:val="1"/>
          <w:bCs w:val="1"/>
          <w:color w:val="auto"/>
        </w:rPr>
      </w:pPr>
      <w:r>
        <w:rPr>
          <w:rFonts w:ascii="Arial" w:cs="Arial" w:eastAsia="Arial" w:hAnsi="Arial"/>
          <w:sz w:val="19"/>
          <w:szCs w:val="19"/>
          <w:b w:val="1"/>
          <w:bCs w:val="1"/>
          <w:color w:val="auto"/>
        </w:rPr>
        <w:t>License Grant</w:t>
      </w:r>
      <w:r>
        <w:rPr>
          <w:rFonts w:ascii="Arial" w:cs="Arial" w:eastAsia="Arial" w:hAnsi="Arial"/>
          <w:sz w:val="19"/>
          <w:szCs w:val="19"/>
          <w:color w:val="auto"/>
        </w:rPr>
        <w:t>. Subject to the terms and conditions of this Agreement, Spruce hereby grants Kaken an</w:t>
      </w:r>
      <w:r>
        <w:rPr>
          <w:rFonts w:ascii="Arial" w:cs="Arial" w:eastAsia="Arial" w:hAnsi="Arial"/>
          <w:sz w:val="19"/>
          <w:szCs w:val="19"/>
          <w:b w:val="1"/>
          <w:bCs w:val="1"/>
          <w:color w:val="auto"/>
        </w:rPr>
        <w:t xml:space="preserve"> </w:t>
      </w:r>
      <w:r>
        <w:rPr>
          <w:rFonts w:ascii="Arial" w:cs="Arial" w:eastAsia="Arial" w:hAnsi="Arial"/>
          <w:sz w:val="19"/>
          <w:szCs w:val="19"/>
          <w:color w:val="auto"/>
        </w:rPr>
        <w:t>exclusive (even as to Spruce except as provided in Section 2.1(b) below) license, with the right to sublicense through multiple tiers (solely as provided in Section 2.1(c)), under the Spruce Technology, to Develop, distribute, market, promote, sell, have sold,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66" w:name="page167"/>
    <w:bookmarkEnd w:id="166"/>
    <w:p>
      <w:pPr>
        <w:jc w:val="both"/>
        <w:spacing w:after="0" w:line="245" w:lineRule="auto"/>
        <w:rPr>
          <w:sz w:val="20"/>
          <w:szCs w:val="20"/>
          <w:color w:val="auto"/>
        </w:rPr>
      </w:pPr>
      <w:r>
        <w:rPr>
          <w:rFonts w:ascii="Arial" w:cs="Arial" w:eastAsia="Arial" w:hAnsi="Arial"/>
          <w:sz w:val="21"/>
          <w:szCs w:val="21"/>
          <w:color w:val="auto"/>
        </w:rPr>
        <w:t>offer for sale, import, label, package and otherwise Commercialize Licensed Products in the Field in the Kaken Territory. Additionally, subject to the terms and conditions of this Agreement, Spruce hereby grants Kaken an exclusive (even as to Spruce except as provided in Section 2.1(b) below) license, with the right to sublicense (solely as provided in Section 2.1(c)), under the Spruce Technology, to Manufacture or have Manufactured Licensed Compounds and Licensed Products in or outside the Kaken Territory solely for use in the Field in the Kaken Territory. For clarity, no rights shall be granted to Kaken under this Section 2.1(a), with respect to any API contained in any Licensed Product other than the Licensed Compound or use in combination with one or more API’s other than the Licensed Compound. As consideration for the foregoing license and access to and transfers of know-how under this Agreement, Kaken will make certain payments to Spruce as set out in, and subject to the terms and conditions of, Article 8.</w:t>
      </w:r>
    </w:p>
    <w:p>
      <w:pPr>
        <w:spacing w:after="0" w:line="178" w:lineRule="exact"/>
        <w:rPr>
          <w:sz w:val="20"/>
          <w:szCs w:val="20"/>
          <w:color w:val="auto"/>
        </w:rPr>
      </w:pPr>
    </w:p>
    <w:p>
      <w:pPr>
        <w:ind w:firstLine="1505"/>
        <w:spacing w:after="0" w:line="256" w:lineRule="auto"/>
        <w:tabs>
          <w:tab w:leader="none" w:pos="1929"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Spruce Retained Rights</w:t>
      </w:r>
      <w:r>
        <w:rPr>
          <w:rFonts w:ascii="Arial" w:cs="Arial" w:eastAsia="Arial" w:hAnsi="Arial"/>
          <w:sz w:val="22"/>
          <w:szCs w:val="22"/>
          <w:color w:val="auto"/>
        </w:rPr>
        <w:t>. Notwithstanding the exclusive rights granted to Kaken in Section 2.1(a), Spruce</w:t>
      </w:r>
      <w:r>
        <w:rPr>
          <w:rFonts w:ascii="Arial" w:cs="Arial" w:eastAsia="Arial" w:hAnsi="Arial"/>
          <w:sz w:val="22"/>
          <w:szCs w:val="22"/>
          <w:b w:val="1"/>
          <w:bCs w:val="1"/>
          <w:color w:val="auto"/>
        </w:rPr>
        <w:t xml:space="preserve"> </w:t>
      </w:r>
      <w:r>
        <w:rPr>
          <w:rFonts w:ascii="Arial" w:cs="Arial" w:eastAsia="Arial" w:hAnsi="Arial"/>
          <w:sz w:val="22"/>
          <w:szCs w:val="22"/>
          <w:color w:val="auto"/>
        </w:rPr>
        <w:t>and its Affiliates shall retain the following:</w:t>
      </w:r>
    </w:p>
    <w:p>
      <w:pPr>
        <w:spacing w:after="0" w:line="168" w:lineRule="exact"/>
        <w:rPr>
          <w:rFonts w:ascii="Arial" w:cs="Arial" w:eastAsia="Arial" w:hAnsi="Arial"/>
          <w:sz w:val="22"/>
          <w:szCs w:val="22"/>
          <w:b w:val="1"/>
          <w:bCs w:val="1"/>
          <w:color w:val="auto"/>
        </w:rPr>
      </w:pPr>
    </w:p>
    <w:p>
      <w:pPr>
        <w:ind w:firstLine="2254"/>
        <w:spacing w:after="0" w:line="328" w:lineRule="auto"/>
        <w:tabs>
          <w:tab w:leader="none" w:pos="2678" w:val="left"/>
        </w:tabs>
        <w:numPr>
          <w:ilvl w:val="1"/>
          <w:numId w:val="69"/>
        </w:numPr>
        <w:rPr>
          <w:rFonts w:ascii="Arial" w:cs="Arial" w:eastAsia="Arial" w:hAnsi="Arial"/>
          <w:sz w:val="19"/>
          <w:szCs w:val="19"/>
          <w:b w:val="1"/>
          <w:bCs w:val="1"/>
          <w:color w:val="auto"/>
        </w:rPr>
      </w:pPr>
      <w:r>
        <w:rPr>
          <w:rFonts w:ascii="Arial" w:cs="Arial" w:eastAsia="Arial" w:hAnsi="Arial"/>
          <w:sz w:val="19"/>
          <w:szCs w:val="19"/>
          <w:color w:val="auto"/>
        </w:rPr>
        <w:t>the right to practice the Spruce Technology within the scope of the license granted to Kaken under Section 2.1(a) in order to perform, or have performed by a Third Party contractor, Spruce’s obligations under this Agreement;</w:t>
      </w:r>
    </w:p>
    <w:p>
      <w:pPr>
        <w:spacing w:after="0" w:line="104" w:lineRule="exact"/>
        <w:rPr>
          <w:rFonts w:ascii="Arial" w:cs="Arial" w:eastAsia="Arial" w:hAnsi="Arial"/>
          <w:sz w:val="19"/>
          <w:szCs w:val="19"/>
          <w:b w:val="1"/>
          <w:bCs w:val="1"/>
          <w:color w:val="auto"/>
        </w:rPr>
      </w:pPr>
    </w:p>
    <w:p>
      <w:pPr>
        <w:jc w:val="both"/>
        <w:ind w:firstLine="2254"/>
        <w:spacing w:after="0"/>
        <w:tabs>
          <w:tab w:leader="none" w:pos="2678" w:val="left"/>
        </w:tabs>
        <w:numPr>
          <w:ilvl w:val="1"/>
          <w:numId w:val="69"/>
        </w:numPr>
        <w:rPr>
          <w:rFonts w:ascii="Arial" w:cs="Arial" w:eastAsia="Arial" w:hAnsi="Arial"/>
          <w:sz w:val="22"/>
          <w:szCs w:val="22"/>
          <w:b w:val="1"/>
          <w:bCs w:val="1"/>
          <w:color w:val="auto"/>
        </w:rPr>
      </w:pPr>
      <w:r>
        <w:rPr>
          <w:rFonts w:ascii="Arial" w:cs="Arial" w:eastAsia="Arial" w:hAnsi="Arial"/>
          <w:sz w:val="22"/>
          <w:szCs w:val="22"/>
          <w:color w:val="auto"/>
        </w:rPr>
        <w:t>the right to practice the Spruce Technology within the scope of the license granted to Kaken under Section 2.1(a) in order to perform, or have performed by a Third Party contractor, Development activities in the Kaken Territory as mutually agreed upon by the Parties in accordance with this Agreement;</w:t>
      </w:r>
    </w:p>
    <w:p>
      <w:pPr>
        <w:spacing w:after="0" w:line="186" w:lineRule="exact"/>
        <w:rPr>
          <w:rFonts w:ascii="Arial" w:cs="Arial" w:eastAsia="Arial" w:hAnsi="Arial"/>
          <w:sz w:val="22"/>
          <w:szCs w:val="22"/>
          <w:b w:val="1"/>
          <w:bCs w:val="1"/>
          <w:color w:val="auto"/>
        </w:rPr>
      </w:pPr>
    </w:p>
    <w:p>
      <w:pPr>
        <w:jc w:val="both"/>
        <w:ind w:firstLine="2254"/>
        <w:spacing w:after="0"/>
        <w:tabs>
          <w:tab w:leader="none" w:pos="2678" w:val="left"/>
        </w:tabs>
        <w:numPr>
          <w:ilvl w:val="1"/>
          <w:numId w:val="69"/>
        </w:numPr>
        <w:rPr>
          <w:rFonts w:ascii="Arial" w:cs="Arial" w:eastAsia="Arial" w:hAnsi="Arial"/>
          <w:sz w:val="22"/>
          <w:szCs w:val="22"/>
          <w:b w:val="1"/>
          <w:bCs w:val="1"/>
          <w:color w:val="auto"/>
        </w:rPr>
      </w:pPr>
      <w:r>
        <w:rPr>
          <w:rFonts w:ascii="Arial" w:cs="Arial" w:eastAsia="Arial" w:hAnsi="Arial"/>
          <w:sz w:val="22"/>
          <w:szCs w:val="22"/>
          <w:color w:val="auto"/>
        </w:rPr>
        <w:t>the right to Manufacture or have Manufactured Licensed Products anywhere in the world for sale and use in the Spruce Territory and for sale to Kaken in the Kaken Territory pursuant to the terms of this Agreement, the Clinical Supply Agreement and the Commercial Supply Agreement; and</w:t>
      </w:r>
    </w:p>
    <w:p>
      <w:pPr>
        <w:spacing w:after="0" w:line="186" w:lineRule="exact"/>
        <w:rPr>
          <w:rFonts w:ascii="Arial" w:cs="Arial" w:eastAsia="Arial" w:hAnsi="Arial"/>
          <w:sz w:val="22"/>
          <w:szCs w:val="22"/>
          <w:b w:val="1"/>
          <w:bCs w:val="1"/>
          <w:color w:val="auto"/>
        </w:rPr>
      </w:pPr>
    </w:p>
    <w:p>
      <w:pPr>
        <w:jc w:val="both"/>
        <w:ind w:firstLine="2254"/>
        <w:spacing w:after="0" w:line="238" w:lineRule="auto"/>
        <w:tabs>
          <w:tab w:leader="none" w:pos="2678" w:val="left"/>
        </w:tabs>
        <w:numPr>
          <w:ilvl w:val="1"/>
          <w:numId w:val="69"/>
        </w:numPr>
        <w:rPr>
          <w:rFonts w:ascii="Arial" w:cs="Arial" w:eastAsia="Arial" w:hAnsi="Arial"/>
          <w:sz w:val="22"/>
          <w:szCs w:val="22"/>
          <w:b w:val="1"/>
          <w:bCs w:val="1"/>
          <w:color w:val="auto"/>
        </w:rPr>
      </w:pPr>
      <w:r>
        <w:rPr>
          <w:rFonts w:ascii="Arial" w:cs="Arial" w:eastAsia="Arial" w:hAnsi="Arial"/>
          <w:sz w:val="22"/>
          <w:szCs w:val="22"/>
          <w:color w:val="auto"/>
        </w:rPr>
        <w:t>the right to practice and license the Spruce Technology outside the scope of the license granted to Kaken under Section 2.1(a), including in any Indication outside of the Field in the Kaken Territory, subject to Kaken’s ROFN rights with respect to an Additional Indication Opportunity set forth in Section 6.6 and in any Indication in or outside the Field in the Spruce Territory.</w:t>
      </w:r>
    </w:p>
    <w:p>
      <w:pPr>
        <w:spacing w:after="0" w:line="178" w:lineRule="exact"/>
        <w:rPr>
          <w:rFonts w:ascii="Arial" w:cs="Arial" w:eastAsia="Arial" w:hAnsi="Arial"/>
          <w:sz w:val="22"/>
          <w:szCs w:val="22"/>
          <w:b w:val="1"/>
          <w:bCs w:val="1"/>
          <w:color w:val="auto"/>
        </w:rPr>
      </w:pPr>
    </w:p>
    <w:p>
      <w:pPr>
        <w:jc w:val="both"/>
        <w:ind w:firstLine="1505"/>
        <w:spacing w:after="0" w:line="275" w:lineRule="auto"/>
        <w:tabs>
          <w:tab w:leader="none" w:pos="1929" w:val="left"/>
        </w:tabs>
        <w:numPr>
          <w:ilvl w:val="0"/>
          <w:numId w:val="69"/>
        </w:numPr>
        <w:rPr>
          <w:rFonts w:ascii="Arial" w:cs="Arial" w:eastAsia="Arial" w:hAnsi="Arial"/>
          <w:sz w:val="19"/>
          <w:szCs w:val="19"/>
          <w:b w:val="1"/>
          <w:bCs w:val="1"/>
          <w:color w:val="auto"/>
        </w:rPr>
      </w:pPr>
      <w:r>
        <w:rPr>
          <w:rFonts w:ascii="Arial" w:cs="Arial" w:eastAsia="Arial" w:hAnsi="Arial"/>
          <w:sz w:val="19"/>
          <w:szCs w:val="19"/>
          <w:b w:val="1"/>
          <w:bCs w:val="1"/>
          <w:color w:val="auto"/>
        </w:rPr>
        <w:t>Sublicense Rights</w:t>
      </w:r>
      <w:r>
        <w:rPr>
          <w:rFonts w:ascii="Arial" w:cs="Arial" w:eastAsia="Arial" w:hAnsi="Arial"/>
          <w:sz w:val="19"/>
          <w:szCs w:val="19"/>
          <w:color w:val="auto"/>
        </w:rPr>
        <w:t>. Kaken shall have the right to grant sublicenses of the license granted in Section 2.1(a)</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Spruce’s express prior written consent through multiple tiers, each such sublicense, a “</w:t>
      </w:r>
      <w:r>
        <w:rPr>
          <w:rFonts w:ascii="Arial" w:cs="Arial" w:eastAsia="Arial" w:hAnsi="Arial"/>
          <w:sz w:val="19"/>
          <w:szCs w:val="19"/>
          <w:b w:val="1"/>
          <w:bCs w:val="1"/>
          <w:color w:val="auto"/>
        </w:rPr>
        <w:t>Kaken Sublicense Agreement</w:t>
      </w:r>
      <w:r>
        <w:rPr>
          <w:rFonts w:ascii="Arial" w:cs="Arial" w:eastAsia="Arial" w:hAnsi="Arial"/>
          <w:sz w:val="19"/>
          <w:szCs w:val="19"/>
          <w:color w:val="auto"/>
        </w:rPr>
        <w:t>”). Kaken shall, within [***] after granting any such sublicense, notify Spruce of the grant of such sublicense and provide Spruce with a true and complete copy of the sublicense agreement (which may have financial information and other confidential information redacted, provided that such redacted information is not reasonably necessary for Spruce to assess compliance of the sublicense agreement with this Section 2.1(c)). Each Kaken Sublicense Agreement shall be consistent with the terms and conditions of this Agreement, and Kaken shall be solely responsible for all of its Sublicensees’ activities and any and all failures by its Sublicensees to comply with the applicable terms of this Agreement. Without limiting the foregoing, each Kaken Sublicense Agreement shall include the following additional terms and conditions: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7" w:name="page168"/>
    <w:bookmarkEnd w:id="167"/>
    <w:p>
      <w:pPr>
        <w:ind w:firstLine="2254"/>
        <w:spacing w:after="0" w:line="250" w:lineRule="auto"/>
        <w:tabs>
          <w:tab w:leader="none" w:pos="2692" w:val="left"/>
        </w:tabs>
        <w:numPr>
          <w:ilvl w:val="0"/>
          <w:numId w:val="70"/>
        </w:numPr>
        <w:rPr>
          <w:rFonts w:ascii="Arial" w:cs="Arial" w:eastAsia="Arial" w:hAnsi="Arial"/>
          <w:sz w:val="22"/>
          <w:szCs w:val="22"/>
          <w:b w:val="1"/>
          <w:bCs w:val="1"/>
          <w:color w:val="auto"/>
        </w:rPr>
      </w:pPr>
      <w:r>
        <w:rPr>
          <w:rFonts w:ascii="Arial" w:cs="Arial" w:eastAsia="Arial" w:hAnsi="Arial"/>
          <w:sz w:val="22"/>
          <w:szCs w:val="22"/>
          <w:color w:val="auto"/>
        </w:rPr>
        <w:t>the Sublicensee shall be bound by non-use and non-disclosure obligations no less stringent than those set forth in this Agreement;</w:t>
      </w:r>
    </w:p>
    <w:p>
      <w:pPr>
        <w:spacing w:after="0" w:line="174" w:lineRule="exact"/>
        <w:rPr>
          <w:rFonts w:ascii="Arial" w:cs="Arial" w:eastAsia="Arial" w:hAnsi="Arial"/>
          <w:sz w:val="22"/>
          <w:szCs w:val="22"/>
          <w:b w:val="1"/>
          <w:bCs w:val="1"/>
          <w:color w:val="auto"/>
        </w:rPr>
      </w:pPr>
    </w:p>
    <w:p>
      <w:pPr>
        <w:ind w:right="20" w:firstLine="2254"/>
        <w:spacing w:after="0" w:line="250" w:lineRule="auto"/>
        <w:tabs>
          <w:tab w:leader="none" w:pos="2678" w:val="left"/>
        </w:tabs>
        <w:numPr>
          <w:ilvl w:val="0"/>
          <w:numId w:val="70"/>
        </w:numPr>
        <w:rPr>
          <w:rFonts w:ascii="Arial" w:cs="Arial" w:eastAsia="Arial" w:hAnsi="Arial"/>
          <w:sz w:val="22"/>
          <w:szCs w:val="22"/>
          <w:b w:val="1"/>
          <w:bCs w:val="1"/>
          <w:color w:val="auto"/>
        </w:rPr>
      </w:pPr>
      <w:r>
        <w:rPr>
          <w:rFonts w:ascii="Arial" w:cs="Arial" w:eastAsia="Arial" w:hAnsi="Arial"/>
          <w:sz w:val="22"/>
          <w:szCs w:val="22"/>
          <w:color w:val="auto"/>
        </w:rPr>
        <w:t>the Sublicensee shall be bound by the obligations under this Agreement, including the obligations under Section 2.3, as well as the obligations under the Upstream Agreement;</w:t>
      </w:r>
    </w:p>
    <w:p>
      <w:pPr>
        <w:spacing w:after="0" w:line="174" w:lineRule="exact"/>
        <w:rPr>
          <w:rFonts w:ascii="Arial" w:cs="Arial" w:eastAsia="Arial" w:hAnsi="Arial"/>
          <w:sz w:val="22"/>
          <w:szCs w:val="22"/>
          <w:b w:val="1"/>
          <w:bCs w:val="1"/>
          <w:color w:val="auto"/>
        </w:rPr>
      </w:pPr>
    </w:p>
    <w:p>
      <w:pPr>
        <w:ind w:firstLine="2254"/>
        <w:spacing w:after="0" w:line="250" w:lineRule="auto"/>
        <w:tabs>
          <w:tab w:leader="none" w:pos="2705" w:val="left"/>
        </w:tabs>
        <w:numPr>
          <w:ilvl w:val="0"/>
          <w:numId w:val="70"/>
        </w:numPr>
        <w:rPr>
          <w:rFonts w:ascii="Arial" w:cs="Arial" w:eastAsia="Arial" w:hAnsi="Arial"/>
          <w:sz w:val="22"/>
          <w:szCs w:val="22"/>
          <w:b w:val="1"/>
          <w:bCs w:val="1"/>
          <w:color w:val="auto"/>
        </w:rPr>
      </w:pPr>
      <w:r>
        <w:rPr>
          <w:rFonts w:ascii="Arial" w:cs="Arial" w:eastAsia="Arial" w:hAnsi="Arial"/>
          <w:sz w:val="22"/>
          <w:szCs w:val="22"/>
          <w:color w:val="auto"/>
        </w:rPr>
        <w:t>the Sublicensee shall not have any right to grant further sublicenses to the Spruce Technology (excluding sublicenses to Third Party contractors, including distributors and wholesalers);</w:t>
      </w:r>
    </w:p>
    <w:p>
      <w:pPr>
        <w:spacing w:after="0" w:line="174" w:lineRule="exact"/>
        <w:rPr>
          <w:rFonts w:ascii="Arial" w:cs="Arial" w:eastAsia="Arial" w:hAnsi="Arial"/>
          <w:sz w:val="22"/>
          <w:szCs w:val="22"/>
          <w:b w:val="1"/>
          <w:bCs w:val="1"/>
          <w:color w:val="auto"/>
        </w:rPr>
      </w:pPr>
    </w:p>
    <w:p>
      <w:pPr>
        <w:ind w:left="2680" w:hanging="426"/>
        <w:spacing w:after="0"/>
        <w:tabs>
          <w:tab w:leader="none" w:pos="2680" w:val="left"/>
        </w:tabs>
        <w:numPr>
          <w:ilvl w:val="0"/>
          <w:numId w:val="70"/>
        </w:numPr>
        <w:rPr>
          <w:rFonts w:ascii="Arial" w:cs="Arial" w:eastAsia="Arial" w:hAnsi="Arial"/>
          <w:sz w:val="19"/>
          <w:szCs w:val="19"/>
          <w:b w:val="1"/>
          <w:bCs w:val="1"/>
          <w:color w:val="auto"/>
        </w:rPr>
      </w:pPr>
      <w:r>
        <w:rPr>
          <w:rFonts w:ascii="Arial" w:cs="Arial" w:eastAsia="Arial" w:hAnsi="Arial"/>
          <w:sz w:val="19"/>
          <w:szCs w:val="19"/>
          <w:color w:val="auto"/>
        </w:rPr>
        <w:t>the Sublicensee shall not have any right to prosecute or maintain or enforce any Spruce Licensed</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Patents; and</w:t>
      </w:r>
    </w:p>
    <w:p>
      <w:pPr>
        <w:spacing w:after="0" w:line="188" w:lineRule="exact"/>
        <w:rPr>
          <w:rFonts w:ascii="Arial" w:cs="Arial" w:eastAsia="Arial" w:hAnsi="Arial"/>
          <w:sz w:val="19"/>
          <w:szCs w:val="19"/>
          <w:b w:val="1"/>
          <w:bCs w:val="1"/>
          <w:color w:val="auto"/>
        </w:rPr>
      </w:pPr>
    </w:p>
    <w:p>
      <w:pPr>
        <w:ind w:firstLine="2254"/>
        <w:spacing w:after="0" w:line="328" w:lineRule="auto"/>
        <w:tabs>
          <w:tab w:leader="none" w:pos="2719" w:val="left"/>
        </w:tabs>
        <w:numPr>
          <w:ilvl w:val="0"/>
          <w:numId w:val="70"/>
        </w:numPr>
        <w:rPr>
          <w:rFonts w:ascii="Arial" w:cs="Arial" w:eastAsia="Arial" w:hAnsi="Arial"/>
          <w:sz w:val="19"/>
          <w:szCs w:val="19"/>
          <w:b w:val="1"/>
          <w:bCs w:val="1"/>
          <w:color w:val="auto"/>
        </w:rPr>
      </w:pPr>
      <w:r>
        <w:rPr>
          <w:rFonts w:ascii="Arial" w:cs="Arial" w:eastAsia="Arial" w:hAnsi="Arial"/>
          <w:sz w:val="19"/>
          <w:szCs w:val="19"/>
          <w:color w:val="auto"/>
        </w:rPr>
        <w:t>the Sublicensee shall assign or license to Kaken all Data and Inventions generated by such Sublicensee, and shall grant Kaken all of the rights necessary for Kaken to fulfill its obligations under Sections 9.1(a) and 9.1(c).</w:t>
      </w:r>
    </w:p>
    <w:p>
      <w:pPr>
        <w:spacing w:after="0" w:line="99"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b w:val="1"/>
          <w:bCs w:val="1"/>
          <w:color w:val="auto"/>
        </w:rPr>
        <w:t>2.2 Spruce Partner</w:t>
      </w:r>
      <w:r>
        <w:rPr>
          <w:rFonts w:ascii="Arial" w:cs="Arial" w:eastAsia="Arial" w:hAnsi="Arial"/>
          <w:sz w:val="21"/>
          <w:szCs w:val="21"/>
          <w:color w:val="auto"/>
        </w:rPr>
        <w:t>. Spruce has the right, in its sole discretion, to enter into one or more agreements with Third Parties</w:t>
      </w:r>
      <w:r>
        <w:rPr>
          <w:rFonts w:ascii="Arial" w:cs="Arial" w:eastAsia="Arial" w:hAnsi="Arial"/>
          <w:sz w:val="21"/>
          <w:szCs w:val="21"/>
          <w:b w:val="1"/>
          <w:bCs w:val="1"/>
          <w:color w:val="auto"/>
        </w:rPr>
        <w:t xml:space="preserve"> </w:t>
      </w:r>
      <w:r>
        <w:rPr>
          <w:rFonts w:ascii="Arial" w:cs="Arial" w:eastAsia="Arial" w:hAnsi="Arial"/>
          <w:sz w:val="21"/>
          <w:szCs w:val="21"/>
          <w:color w:val="auto"/>
        </w:rPr>
        <w:t>and grant such Third Parties the right to Develop, Manufacture and/or Commercialize Licensed Products in one or more countries in the Spruce Territory, subject to Kaken’s ROFN set forth in Section 6.6 (each such Third Party, a “</w:t>
      </w:r>
      <w:r>
        <w:rPr>
          <w:rFonts w:ascii="Arial" w:cs="Arial" w:eastAsia="Arial" w:hAnsi="Arial"/>
          <w:sz w:val="21"/>
          <w:szCs w:val="21"/>
          <w:b w:val="1"/>
          <w:bCs w:val="1"/>
          <w:color w:val="auto"/>
        </w:rPr>
        <w:t>Spruce Partner</w:t>
      </w:r>
      <w:r>
        <w:rPr>
          <w:rFonts w:ascii="Arial" w:cs="Arial" w:eastAsia="Arial" w:hAnsi="Arial"/>
          <w:sz w:val="21"/>
          <w:szCs w:val="21"/>
          <w:color w:val="auto"/>
        </w:rPr>
        <w:t>”); provided that (a) Spruce shall remain solely responsible for any Spruce Partner’s activities, (b) the grant of such rights to such Spruce Partner shall not affect Spruce’s obligations under this Agreement, (c) the Spruce Partner shall be required to promptly provide to Spruce any Product Materials generated by or on behalf of such Spruce Partner, such Spruce Partner shall consent in writing to the provision of such Product Materials by Spruce to Kaken as set forth in Section 4.6 and Spruce shall promptly provide such Product Materials to Kaken upon Kaken’s request, and (d) Spruce shall promptly provide written notice to Kaken upon entering into an agreement with a Spruce Partner that has the right to Develop or Commercialize Licensed Products in the U.S. or the European Union. For clarity, an acquirer of Spruce in the event of a Change of Control of Spruce shall not constitute a Spruce Partner. [***].</w:t>
      </w:r>
    </w:p>
    <w:p>
      <w:pPr>
        <w:spacing w:after="0" w:line="177" w:lineRule="exact"/>
        <w:rPr>
          <w:sz w:val="20"/>
          <w:szCs w:val="20"/>
          <w:color w:val="auto"/>
        </w:rPr>
      </w:pPr>
    </w:p>
    <w:p>
      <w:pPr>
        <w:jc w:val="both"/>
        <w:ind w:right="20" w:firstLine="749"/>
        <w:spacing w:after="0" w:line="280" w:lineRule="auto"/>
        <w:rPr>
          <w:sz w:val="20"/>
          <w:szCs w:val="20"/>
          <w:color w:val="auto"/>
        </w:rPr>
      </w:pPr>
      <w:r>
        <w:rPr>
          <w:rFonts w:ascii="Arial" w:cs="Arial" w:eastAsia="Arial" w:hAnsi="Arial"/>
          <w:sz w:val="21"/>
          <w:szCs w:val="21"/>
          <w:b w:val="1"/>
          <w:bCs w:val="1"/>
          <w:color w:val="auto"/>
        </w:rPr>
        <w:t>2.3 Negative Covenant</w:t>
      </w:r>
      <w:r>
        <w:rPr>
          <w:rFonts w:ascii="Arial" w:cs="Arial" w:eastAsia="Arial" w:hAnsi="Arial"/>
          <w:sz w:val="21"/>
          <w:szCs w:val="21"/>
          <w:color w:val="auto"/>
        </w:rPr>
        <w:t>. Kaken covenants that it will not, and will not permit any of its Affiliates or Sublicensees to,</w:t>
      </w:r>
      <w:r>
        <w:rPr>
          <w:rFonts w:ascii="Arial" w:cs="Arial" w:eastAsia="Arial" w:hAnsi="Arial"/>
          <w:sz w:val="21"/>
          <w:szCs w:val="21"/>
          <w:b w:val="1"/>
          <w:bCs w:val="1"/>
          <w:color w:val="auto"/>
        </w:rPr>
        <w:t xml:space="preserve"> </w:t>
      </w:r>
      <w:r>
        <w:rPr>
          <w:rFonts w:ascii="Arial" w:cs="Arial" w:eastAsia="Arial" w:hAnsi="Arial"/>
          <w:sz w:val="21"/>
          <w:szCs w:val="21"/>
          <w:color w:val="auto"/>
        </w:rPr>
        <w:t>use or practice any Spruce Technology outside the scope of the license granted to it under Section 2.1(a).</w:t>
      </w:r>
    </w:p>
    <w:p>
      <w:pPr>
        <w:spacing w:after="0" w:line="139" w:lineRule="exact"/>
        <w:rPr>
          <w:sz w:val="20"/>
          <w:szCs w:val="20"/>
          <w:color w:val="auto"/>
        </w:rPr>
      </w:pPr>
    </w:p>
    <w:p>
      <w:pPr>
        <w:jc w:val="both"/>
        <w:ind w:firstLine="749"/>
        <w:spacing w:after="0" w:line="334" w:lineRule="auto"/>
        <w:rPr>
          <w:sz w:val="20"/>
          <w:szCs w:val="20"/>
          <w:color w:val="auto"/>
        </w:rPr>
      </w:pPr>
      <w:r>
        <w:rPr>
          <w:rFonts w:ascii="Arial" w:cs="Arial" w:eastAsia="Arial" w:hAnsi="Arial"/>
          <w:sz w:val="19"/>
          <w:szCs w:val="19"/>
          <w:b w:val="1"/>
          <w:bCs w:val="1"/>
          <w:color w:val="auto"/>
        </w:rPr>
        <w:t>2.4 No Implied Licenses</w:t>
      </w:r>
      <w:r>
        <w:rPr>
          <w:rFonts w:ascii="Arial" w:cs="Arial" w:eastAsia="Arial" w:hAnsi="Arial"/>
          <w:sz w:val="19"/>
          <w:szCs w:val="19"/>
          <w:color w:val="auto"/>
        </w:rPr>
        <w:t>. Except as explicitly set forth in this Agreement, neither Party shall be deemed by estoppel or</w:t>
      </w:r>
      <w:r>
        <w:rPr>
          <w:rFonts w:ascii="Arial" w:cs="Arial" w:eastAsia="Arial" w:hAnsi="Arial"/>
          <w:sz w:val="19"/>
          <w:szCs w:val="19"/>
          <w:b w:val="1"/>
          <w:bCs w:val="1"/>
          <w:color w:val="auto"/>
        </w:rPr>
        <w:t xml:space="preserve"> </w:t>
      </w:r>
      <w:r>
        <w:rPr>
          <w:rFonts w:ascii="Arial" w:cs="Arial" w:eastAsia="Arial" w:hAnsi="Arial"/>
          <w:sz w:val="19"/>
          <w:szCs w:val="19"/>
          <w:color w:val="auto"/>
        </w:rPr>
        <w:t>implication to have granted the other Party any license or other right to any intellectual property of such Party.</w:t>
      </w:r>
    </w:p>
    <w:p>
      <w:pPr>
        <w:spacing w:after="0" w:line="94"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9"/>
          <w:szCs w:val="19"/>
          <w:b w:val="1"/>
          <w:bCs w:val="1"/>
          <w:color w:val="auto"/>
        </w:rPr>
        <w:t>2.5 Exclusivity Covenant of Kaken</w:t>
      </w:r>
      <w:r>
        <w:rPr>
          <w:rFonts w:ascii="Arial" w:cs="Arial" w:eastAsia="Arial" w:hAnsi="Arial"/>
          <w:sz w:val="19"/>
          <w:szCs w:val="19"/>
          <w:color w:val="auto"/>
        </w:rPr>
        <w:t>. During the Term, Kaken shall not, directly or indirectly, either by itself or with or</w:t>
      </w:r>
      <w:r>
        <w:rPr>
          <w:rFonts w:ascii="Arial" w:cs="Arial" w:eastAsia="Arial" w:hAnsi="Arial"/>
          <w:sz w:val="19"/>
          <w:szCs w:val="19"/>
          <w:b w:val="1"/>
          <w:bCs w:val="1"/>
          <w:color w:val="auto"/>
        </w:rPr>
        <w:t xml:space="preserve"> </w:t>
      </w:r>
      <w:r>
        <w:rPr>
          <w:rFonts w:ascii="Arial" w:cs="Arial" w:eastAsia="Arial" w:hAnsi="Arial"/>
          <w:sz w:val="19"/>
          <w:szCs w:val="19"/>
          <w:color w:val="auto"/>
        </w:rPr>
        <w:t>through any of its Affiliates or any Third Party (including via any arrangement or series of arrangements with a Third Party), Develop, Manufacture or Commercialize any Competing Product in the Field in the Kaken Territory or outside the Field in the Kaken Territory for any Additional Indication for which Kaken does not exercise its ROFN pursuant to Section 6.6, [***].</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8" w:name="page169"/>
    <w:bookmarkEnd w:id="168"/>
    <w:p>
      <w:pPr>
        <w:jc w:val="both"/>
        <w:ind w:firstLine="885"/>
        <w:spacing w:after="0" w:line="276" w:lineRule="auto"/>
        <w:rPr>
          <w:sz w:val="20"/>
          <w:szCs w:val="20"/>
          <w:color w:val="auto"/>
        </w:rPr>
      </w:pPr>
      <w:r>
        <w:rPr>
          <w:rFonts w:ascii="Arial" w:cs="Arial" w:eastAsia="Arial" w:hAnsi="Arial"/>
          <w:sz w:val="19"/>
          <w:szCs w:val="19"/>
          <w:b w:val="1"/>
          <w:bCs w:val="1"/>
          <w:color w:val="auto"/>
        </w:rPr>
        <w:t>2.6 Transfer of Spruce Licensed Know-How</w:t>
      </w:r>
      <w:r>
        <w:rPr>
          <w:rFonts w:ascii="Arial" w:cs="Arial" w:eastAsia="Arial" w:hAnsi="Arial"/>
          <w:sz w:val="19"/>
          <w:szCs w:val="19"/>
          <w:color w:val="auto"/>
        </w:rPr>
        <w:t>. Spruce shall provide Kaken with complete and accurate copies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Spruce Licensed Know-How to the extent expressly provided for in </w:t>
      </w:r>
      <w:r>
        <w:rPr>
          <w:rFonts w:ascii="Arial" w:cs="Arial" w:eastAsia="Arial" w:hAnsi="Arial"/>
          <w:sz w:val="19"/>
          <w:szCs w:val="19"/>
          <w:b w:val="1"/>
          <w:bCs w:val="1"/>
          <w:u w:val="single" w:color="auto"/>
          <w:color w:val="auto"/>
        </w:rPr>
        <w:t>Exhibit C</w:t>
      </w:r>
      <w:r>
        <w:rPr>
          <w:rFonts w:ascii="Arial" w:cs="Arial" w:eastAsia="Arial" w:hAnsi="Arial"/>
          <w:sz w:val="19"/>
          <w:szCs w:val="19"/>
          <w:color w:val="auto"/>
        </w:rPr>
        <w:t xml:space="preserve"> and in accordance with the timeline specified therein. The JSC shall establish a reasonable process and schedule for the transfer of additional Spruce Licensed Know-How as required for the filing of an MAA in the Kaken Territory and any other Spruce Licensed Know-How that subsequently comes into existence and becomes Controlled by Spruce or its Affiliates during the Term. Spruce shall reasonably cooperate with Kaken in providing Kaken with copies of such Spruce Licensed Know-How in accordance with the process and schedule agreed upon through the JSC; provided that Spruce shall not be obligated to share with or transfer to Kaken under this Section 2.6 any CMC Information (which, for clarity, will be transferred under Section 7.2).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GOVERNANCE</w:t>
      </w:r>
    </w:p>
    <w:p>
      <w:pPr>
        <w:spacing w:after="0" w:line="18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b w:val="1"/>
          <w:bCs w:val="1"/>
          <w:color w:val="auto"/>
        </w:rPr>
        <w:t>3.1 Alliance Managers</w:t>
      </w:r>
      <w:r>
        <w:rPr>
          <w:rFonts w:ascii="Arial" w:cs="Arial" w:eastAsia="Arial" w:hAnsi="Arial"/>
          <w:sz w:val="21"/>
          <w:szCs w:val="21"/>
          <w:color w:val="auto"/>
        </w:rPr>
        <w:t>. Within [***] after the Effective Date, each Party shall appoint and notify the other Party of</w:t>
      </w:r>
      <w:r>
        <w:rPr>
          <w:rFonts w:ascii="Arial" w:cs="Arial" w:eastAsia="Arial" w:hAnsi="Arial"/>
          <w:sz w:val="21"/>
          <w:szCs w:val="21"/>
          <w:b w:val="1"/>
          <w:bCs w:val="1"/>
          <w:color w:val="auto"/>
        </w:rPr>
        <w:t xml:space="preserve"> </w:t>
      </w:r>
      <w:r>
        <w:rPr>
          <w:rFonts w:ascii="Arial" w:cs="Arial" w:eastAsia="Arial" w:hAnsi="Arial"/>
          <w:sz w:val="21"/>
          <w:szCs w:val="21"/>
          <w:color w:val="auto"/>
        </w:rPr>
        <w:t>the identity of a representative having the appropriate qualifications, including a general understanding of pharmaceutical development, manufacturing, and commercialization issues, to act as its alliance manager under this Agreement (the “</w:t>
      </w:r>
      <w:r>
        <w:rPr>
          <w:rFonts w:ascii="Arial" w:cs="Arial" w:eastAsia="Arial" w:hAnsi="Arial"/>
          <w:sz w:val="21"/>
          <w:szCs w:val="21"/>
          <w:b w:val="1"/>
          <w:bCs w:val="1"/>
          <w:color w:val="auto"/>
        </w:rPr>
        <w:t>Alliance</w:t>
      </w:r>
      <w:r>
        <w:rPr>
          <w:rFonts w:ascii="Arial" w:cs="Arial" w:eastAsia="Arial" w:hAnsi="Arial"/>
          <w:sz w:val="21"/>
          <w:szCs w:val="21"/>
          <w:color w:val="auto"/>
        </w:rPr>
        <w:t xml:space="preserve"> </w:t>
      </w:r>
      <w:r>
        <w:rPr>
          <w:rFonts w:ascii="Arial" w:cs="Arial" w:eastAsia="Arial" w:hAnsi="Arial"/>
          <w:sz w:val="21"/>
          <w:szCs w:val="21"/>
          <w:b w:val="1"/>
          <w:bCs w:val="1"/>
          <w:color w:val="auto"/>
        </w:rPr>
        <w:t>Manager</w:t>
      </w:r>
      <w:r>
        <w:rPr>
          <w:rFonts w:ascii="Arial" w:cs="Arial" w:eastAsia="Arial" w:hAnsi="Arial"/>
          <w:sz w:val="21"/>
          <w:szCs w:val="21"/>
          <w:color w:val="auto"/>
        </w:rPr>
        <w:t>”). The Alliance Managers shall serve as the primary contact points between the Parties for the purpose of providing</w:t>
      </w:r>
      <w:r>
        <w:rPr>
          <w:rFonts w:ascii="Arial" w:cs="Arial" w:eastAsia="Arial" w:hAnsi="Arial"/>
          <w:sz w:val="21"/>
          <w:szCs w:val="21"/>
          <w:b w:val="1"/>
          <w:bCs w:val="1"/>
          <w:color w:val="auto"/>
        </w:rPr>
        <w:t xml:space="preserve"> </w:t>
      </w:r>
      <w:r>
        <w:rPr>
          <w:rFonts w:ascii="Arial" w:cs="Arial" w:eastAsia="Arial" w:hAnsi="Arial"/>
          <w:sz w:val="21"/>
          <w:szCs w:val="21"/>
          <w:color w:val="auto"/>
        </w:rPr>
        <w:t>each Party with information on the progress and results of Kaken’s Development, Manufacturing, and Commercialization of Licensed Products and the progress of and results concerning Spruce’s Development obligations. The Alliance Managers shall also be primarily responsible for facilitating the flow of information and otherwise promoting communication, coordination and collaboration between the Parties with respect to Licensed Products. Each Party may replace its Alliance Manager at any time upon written notice to the other Party.</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3.2  Joint Steering Committees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43" w:lineRule="auto"/>
        <w:tabs>
          <w:tab w:leader="none" w:pos="1929"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Formation; Purpose </w:t>
      </w:r>
      <w:r>
        <w:rPr>
          <w:rFonts w:ascii="Arial" w:cs="Arial" w:eastAsia="Arial" w:hAnsi="Arial"/>
          <w:sz w:val="22"/>
          <w:szCs w:val="22"/>
          <w:color w:val="auto"/>
        </w:rPr>
        <w:t>. Within [***] after the Effective Date, the Parties shall establish a joint steering</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(the “</w:t>
      </w:r>
      <w:r>
        <w:rPr>
          <w:rFonts w:ascii="Arial" w:cs="Arial" w:eastAsia="Arial" w:hAnsi="Arial"/>
          <w:sz w:val="22"/>
          <w:szCs w:val="22"/>
          <w:b w:val="1"/>
          <w:bCs w:val="1"/>
          <w:color w:val="auto"/>
        </w:rPr>
        <w:t>Joint Steering Committee</w:t>
      </w:r>
      <w:r>
        <w:rPr>
          <w:rFonts w:ascii="Arial" w:cs="Arial" w:eastAsia="Arial" w:hAnsi="Arial"/>
          <w:sz w:val="22"/>
          <w:szCs w:val="22"/>
          <w:color w:val="auto"/>
        </w:rPr>
        <w:t>” or “</w:t>
      </w:r>
      <w:r>
        <w:rPr>
          <w:rFonts w:ascii="Arial" w:cs="Arial" w:eastAsia="Arial" w:hAnsi="Arial"/>
          <w:sz w:val="22"/>
          <w:szCs w:val="22"/>
          <w:b w:val="1"/>
          <w:bCs w:val="1"/>
          <w:color w:val="auto"/>
        </w:rPr>
        <w:t>JSC</w:t>
      </w:r>
      <w:r>
        <w:rPr>
          <w:rFonts w:ascii="Arial" w:cs="Arial" w:eastAsia="Arial" w:hAnsi="Arial"/>
          <w:sz w:val="22"/>
          <w:szCs w:val="22"/>
          <w:color w:val="auto"/>
        </w:rPr>
        <w:t>”) for the overall coordination and oversight of the Parties’ activities under this Agreement. The role of the JSC shall be:</w:t>
      </w:r>
    </w:p>
    <w:p>
      <w:pPr>
        <w:spacing w:after="0" w:line="182" w:lineRule="exact"/>
        <w:rPr>
          <w:rFonts w:ascii="Arial" w:cs="Arial" w:eastAsia="Arial" w:hAnsi="Arial"/>
          <w:sz w:val="22"/>
          <w:szCs w:val="22"/>
          <w:b w:val="1"/>
          <w:bCs w:val="1"/>
          <w:color w:val="auto"/>
        </w:rPr>
      </w:pPr>
    </w:p>
    <w:p>
      <w:pPr>
        <w:ind w:firstLine="2254"/>
        <w:spacing w:after="0" w:line="274" w:lineRule="auto"/>
        <w:tabs>
          <w:tab w:leader="none" w:pos="2692" w:val="left"/>
        </w:tabs>
        <w:numPr>
          <w:ilvl w:val="1"/>
          <w:numId w:val="71"/>
        </w:numPr>
        <w:rPr>
          <w:rFonts w:ascii="Arial" w:cs="Arial" w:eastAsia="Arial" w:hAnsi="Arial"/>
          <w:sz w:val="21"/>
          <w:szCs w:val="21"/>
          <w:b w:val="1"/>
          <w:bCs w:val="1"/>
          <w:color w:val="auto"/>
        </w:rPr>
      </w:pPr>
      <w:r>
        <w:rPr>
          <w:rFonts w:ascii="Arial" w:cs="Arial" w:eastAsia="Arial" w:hAnsi="Arial"/>
          <w:sz w:val="21"/>
          <w:szCs w:val="21"/>
          <w:color w:val="auto"/>
        </w:rPr>
        <w:t>to review, discuss and coordinate the overall strategy for the Development, Manufacturing, and Commercialization of Licensed Products in the Field in the Kaken Territory, including related regulatory activities;</w:t>
      </w:r>
    </w:p>
    <w:p>
      <w:pPr>
        <w:spacing w:after="0" w:line="150" w:lineRule="exact"/>
        <w:rPr>
          <w:rFonts w:ascii="Arial" w:cs="Arial" w:eastAsia="Arial" w:hAnsi="Arial"/>
          <w:sz w:val="21"/>
          <w:szCs w:val="21"/>
          <w:b w:val="1"/>
          <w:bCs w:val="1"/>
          <w:color w:val="auto"/>
        </w:rPr>
      </w:pPr>
    </w:p>
    <w:p>
      <w:pPr>
        <w:jc w:val="both"/>
        <w:ind w:firstLine="2254"/>
        <w:spacing w:after="0"/>
        <w:tabs>
          <w:tab w:leader="none" w:pos="2719" w:val="left"/>
        </w:tabs>
        <w:numPr>
          <w:ilvl w:val="1"/>
          <w:numId w:val="71"/>
        </w:numPr>
        <w:rPr>
          <w:rFonts w:ascii="Arial" w:cs="Arial" w:eastAsia="Arial" w:hAnsi="Arial"/>
          <w:sz w:val="22"/>
          <w:szCs w:val="22"/>
          <w:b w:val="1"/>
          <w:bCs w:val="1"/>
          <w:color w:val="auto"/>
        </w:rPr>
      </w:pPr>
      <w:r>
        <w:rPr>
          <w:rFonts w:ascii="Arial" w:cs="Arial" w:eastAsia="Arial" w:hAnsi="Arial"/>
          <w:sz w:val="22"/>
          <w:szCs w:val="22"/>
          <w:color w:val="auto"/>
        </w:rPr>
        <w:t>to review and discuss the overall strategy for Development and Manufacturing of Licensed Products in the Spruce Territory that affects Development, Manufacturing, Commercialization of Licensed Products in the Field in the Kaken Territory, including related regulatory activities;</w:t>
      </w:r>
    </w:p>
    <w:p>
      <w:pPr>
        <w:spacing w:after="0" w:line="186" w:lineRule="exact"/>
        <w:rPr>
          <w:rFonts w:ascii="Arial" w:cs="Arial" w:eastAsia="Arial" w:hAnsi="Arial"/>
          <w:sz w:val="22"/>
          <w:szCs w:val="22"/>
          <w:b w:val="1"/>
          <w:bCs w:val="1"/>
          <w:color w:val="auto"/>
        </w:rPr>
      </w:pPr>
    </w:p>
    <w:p>
      <w:pPr>
        <w:jc w:val="both"/>
        <w:ind w:firstLine="2254"/>
        <w:spacing w:after="0"/>
        <w:tabs>
          <w:tab w:leader="none" w:pos="2759" w:val="left"/>
        </w:tabs>
        <w:numPr>
          <w:ilvl w:val="1"/>
          <w:numId w:val="71"/>
        </w:numPr>
        <w:rPr>
          <w:rFonts w:ascii="Arial" w:cs="Arial" w:eastAsia="Arial" w:hAnsi="Arial"/>
          <w:sz w:val="22"/>
          <w:szCs w:val="22"/>
          <w:b w:val="1"/>
          <w:bCs w:val="1"/>
          <w:color w:val="auto"/>
        </w:rPr>
      </w:pPr>
      <w:r>
        <w:rPr>
          <w:rFonts w:ascii="Arial" w:cs="Arial" w:eastAsia="Arial" w:hAnsi="Arial"/>
          <w:sz w:val="22"/>
          <w:szCs w:val="22"/>
          <w:color w:val="auto"/>
        </w:rPr>
        <w:t>to review, discuss and approve any proposed amendments or revisions to the Territory Development Plan, including the First Supplemental Development Plan and those with respect to clinical Development activities set forth in Section 4.3(b);</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9" w:name="page170"/>
    <w:bookmarkEnd w:id="169"/>
    <w:p>
      <w:pPr>
        <w:jc w:val="both"/>
        <w:ind w:right="20" w:firstLine="2254"/>
        <w:spacing w:after="0" w:line="257" w:lineRule="auto"/>
        <w:tabs>
          <w:tab w:leader="none" w:pos="2759" w:val="left"/>
        </w:tabs>
        <w:numPr>
          <w:ilvl w:val="1"/>
          <w:numId w:val="72"/>
        </w:numPr>
        <w:rPr>
          <w:rFonts w:ascii="Arial" w:cs="Arial" w:eastAsia="Arial" w:hAnsi="Arial"/>
          <w:sz w:val="21"/>
          <w:szCs w:val="21"/>
          <w:b w:val="1"/>
          <w:bCs w:val="1"/>
          <w:color w:val="auto"/>
        </w:rPr>
      </w:pPr>
      <w:r>
        <w:rPr>
          <w:rFonts w:ascii="Arial" w:cs="Arial" w:eastAsia="Arial" w:hAnsi="Arial"/>
          <w:sz w:val="21"/>
          <w:szCs w:val="21"/>
          <w:color w:val="auto"/>
        </w:rPr>
        <w:t>to review and discuss (but not approve) the Commercialization Plan and any proposed amendments or revisions to such plan, and review and discuss (but not approve) the Commercialization of Licensed Products in the Field in the Kaken Territory (including any pricing strategy with respect to Licensed Products);</w:t>
      </w:r>
    </w:p>
    <w:p>
      <w:pPr>
        <w:spacing w:after="0" w:line="169" w:lineRule="exact"/>
        <w:rPr>
          <w:rFonts w:ascii="Arial" w:cs="Arial" w:eastAsia="Arial" w:hAnsi="Arial"/>
          <w:sz w:val="21"/>
          <w:szCs w:val="21"/>
          <w:b w:val="1"/>
          <w:bCs w:val="1"/>
          <w:color w:val="auto"/>
        </w:rPr>
      </w:pPr>
    </w:p>
    <w:p>
      <w:pPr>
        <w:jc w:val="both"/>
        <w:ind w:firstLine="2254"/>
        <w:spacing w:after="0" w:line="238" w:lineRule="auto"/>
        <w:tabs>
          <w:tab w:leader="none" w:pos="2705" w:val="left"/>
        </w:tabs>
        <w:numPr>
          <w:ilvl w:val="1"/>
          <w:numId w:val="72"/>
        </w:numPr>
        <w:rPr>
          <w:rFonts w:ascii="Arial" w:cs="Arial" w:eastAsia="Arial" w:hAnsi="Arial"/>
          <w:sz w:val="22"/>
          <w:szCs w:val="22"/>
          <w:b w:val="1"/>
          <w:bCs w:val="1"/>
          <w:color w:val="auto"/>
        </w:rPr>
      </w:pPr>
      <w:r>
        <w:rPr>
          <w:rFonts w:ascii="Arial" w:cs="Arial" w:eastAsia="Arial" w:hAnsi="Arial"/>
          <w:sz w:val="22"/>
          <w:szCs w:val="22"/>
          <w:color w:val="auto"/>
        </w:rPr>
        <w:t>to coordinate the Commercialization of Licensed Products in the Kaken Territory and Spruce Territory to ensure consistent global marketing of Licensed Products in the Field, including by reviewing proposed marketing and promotional materials for use by Kaken in the Kaken Territory [***]. For clarity, Spruce will have sole authority for determining and establishing the price of Licensed Products in the Spruce Territory; and</w:t>
      </w:r>
    </w:p>
    <w:p>
      <w:pPr>
        <w:spacing w:after="0" w:line="184" w:lineRule="exact"/>
        <w:rPr>
          <w:rFonts w:ascii="Arial" w:cs="Arial" w:eastAsia="Arial" w:hAnsi="Arial"/>
          <w:sz w:val="22"/>
          <w:szCs w:val="22"/>
          <w:b w:val="1"/>
          <w:bCs w:val="1"/>
          <w:color w:val="auto"/>
        </w:rPr>
      </w:pPr>
    </w:p>
    <w:p>
      <w:pPr>
        <w:ind w:firstLine="2254"/>
        <w:spacing w:after="0" w:line="250" w:lineRule="auto"/>
        <w:tabs>
          <w:tab w:leader="none" w:pos="2719" w:val="left"/>
        </w:tabs>
        <w:numPr>
          <w:ilvl w:val="1"/>
          <w:numId w:val="72"/>
        </w:numPr>
        <w:rPr>
          <w:rFonts w:ascii="Arial" w:cs="Arial" w:eastAsia="Arial" w:hAnsi="Arial"/>
          <w:sz w:val="22"/>
          <w:szCs w:val="22"/>
          <w:b w:val="1"/>
          <w:bCs w:val="1"/>
          <w:color w:val="auto"/>
        </w:rPr>
      </w:pPr>
      <w:r>
        <w:rPr>
          <w:rFonts w:ascii="Arial" w:cs="Arial" w:eastAsia="Arial" w:hAnsi="Arial"/>
          <w:sz w:val="22"/>
          <w:szCs w:val="22"/>
          <w:color w:val="auto"/>
        </w:rPr>
        <w:t>to perform such other functions as appropriate to further the purposes of this Agreement, as expressly set forth in this Agreement or as determined by the Parties in writing.</w:t>
      </w:r>
    </w:p>
    <w:p>
      <w:pPr>
        <w:spacing w:after="0" w:line="168" w:lineRule="exact"/>
        <w:rPr>
          <w:rFonts w:ascii="Arial" w:cs="Arial" w:eastAsia="Arial" w:hAnsi="Arial"/>
          <w:sz w:val="22"/>
          <w:szCs w:val="22"/>
          <w:b w:val="1"/>
          <w:bCs w:val="1"/>
          <w:color w:val="auto"/>
        </w:rPr>
      </w:pPr>
    </w:p>
    <w:p>
      <w:pPr>
        <w:jc w:val="both"/>
        <w:ind w:firstLine="1505"/>
        <w:spacing w:after="0" w:line="273" w:lineRule="auto"/>
        <w:tabs>
          <w:tab w:leader="none" w:pos="1929" w:val="left"/>
        </w:tabs>
        <w:numPr>
          <w:ilvl w:val="0"/>
          <w:numId w:val="7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Members </w:t>
      </w:r>
      <w:r>
        <w:rPr>
          <w:rFonts w:ascii="Arial" w:cs="Arial" w:eastAsia="Arial" w:hAnsi="Arial"/>
          <w:sz w:val="19"/>
          <w:szCs w:val="19"/>
          <w:color w:val="auto"/>
        </w:rPr>
        <w:t>. The JSC shall be comprised of an equal number of representatives from each Party. Each</w:t>
      </w:r>
      <w:r>
        <w:rPr>
          <w:rFonts w:ascii="Arial" w:cs="Arial" w:eastAsia="Arial" w:hAnsi="Arial"/>
          <w:sz w:val="19"/>
          <w:szCs w:val="19"/>
          <w:b w:val="1"/>
          <w:bCs w:val="1"/>
          <w:color w:val="auto"/>
        </w:rPr>
        <w:t xml:space="preserve"> </w:t>
      </w:r>
      <w:r>
        <w:rPr>
          <w:rFonts w:ascii="Arial" w:cs="Arial" w:eastAsia="Arial" w:hAnsi="Arial"/>
          <w:sz w:val="19"/>
          <w:szCs w:val="19"/>
          <w:color w:val="auto"/>
        </w:rPr>
        <w:t>Party’s representatives shall be an officer or employee of such Party or its Affiliate having sufficient seniority within the applicable Party to make decisions arising within the scope of the JSC’s responsibilities. Each Party shall initially appoint [***] representatives to the JSC. The JSC may change its size from time to time by unanimous consent of its representatives, and each Party may replace its representatives at any time upon written notice to the other Party. Each Party shall appoint one (1) of its representatives on the JSC to act as the co-chairperson. The role of the co-chairpersons shall be to convene and preside at the JSC meetings and to ensure the circulation of meeting agendas at least [***] in advance of JSC meetings and the preparation of meeting minutes and any pre-read materials in accordance with Section 3.2(c), but the co-chairpersons shall have no additional powers or rights beyond those held by other JSC representatives. Employees or consultants of either Party that are not representatives of the Parties on the JSC may attend meetings of the JSC, provided that such attendees shall not vote or otherwise participate in the decision-making process of the JSC and are subject to obligations of confidentiality substantially similar to the provisions set forth in Section 12.1.</w:t>
      </w:r>
    </w:p>
    <w:p>
      <w:pPr>
        <w:spacing w:after="0" w:line="398" w:lineRule="exact"/>
        <w:rPr>
          <w:rFonts w:ascii="Arial" w:cs="Arial" w:eastAsia="Arial" w:hAnsi="Arial"/>
          <w:sz w:val="19"/>
          <w:szCs w:val="19"/>
          <w:b w:val="1"/>
          <w:bCs w:val="1"/>
          <w:color w:val="auto"/>
        </w:rPr>
      </w:pPr>
    </w:p>
    <w:p>
      <w:pPr>
        <w:jc w:val="both"/>
        <w:ind w:firstLine="1505"/>
        <w:spacing w:after="0" w:line="273" w:lineRule="auto"/>
        <w:tabs>
          <w:tab w:leader="none" w:pos="1929" w:val="left"/>
        </w:tabs>
        <w:numPr>
          <w:ilvl w:val="0"/>
          <w:numId w:val="73"/>
        </w:numPr>
        <w:rPr>
          <w:rFonts w:ascii="Arial" w:cs="Arial" w:eastAsia="Arial" w:hAnsi="Arial"/>
          <w:sz w:val="19"/>
          <w:szCs w:val="19"/>
          <w:b w:val="1"/>
          <w:bCs w:val="1"/>
          <w:color w:val="auto"/>
        </w:rPr>
      </w:pPr>
      <w:r>
        <w:rPr>
          <w:rFonts w:ascii="Arial" w:cs="Arial" w:eastAsia="Arial" w:hAnsi="Arial"/>
          <w:sz w:val="19"/>
          <w:szCs w:val="19"/>
          <w:b w:val="1"/>
          <w:bCs w:val="1"/>
          <w:color w:val="auto"/>
        </w:rPr>
        <w:t>Meetings</w:t>
      </w:r>
      <w:r>
        <w:rPr>
          <w:rFonts w:ascii="Arial" w:cs="Arial" w:eastAsia="Arial" w:hAnsi="Arial"/>
          <w:sz w:val="19"/>
          <w:szCs w:val="19"/>
          <w:color w:val="auto"/>
        </w:rPr>
        <w:t>. During the Term, the JSC shall meet at least [***] per calendar year prior to obtaining Kaken</w:t>
      </w:r>
      <w:r>
        <w:rPr>
          <w:rFonts w:ascii="Arial" w:cs="Arial" w:eastAsia="Arial" w:hAnsi="Arial"/>
          <w:sz w:val="19"/>
          <w:szCs w:val="19"/>
          <w:b w:val="1"/>
          <w:bCs w:val="1"/>
          <w:color w:val="auto"/>
        </w:rPr>
        <w:t xml:space="preserve"> </w:t>
      </w:r>
      <w:r>
        <w:rPr>
          <w:rFonts w:ascii="Arial" w:cs="Arial" w:eastAsia="Arial" w:hAnsi="Arial"/>
          <w:sz w:val="19"/>
          <w:szCs w:val="19"/>
          <w:color w:val="auto"/>
        </w:rPr>
        <w:t>Territory Regulatory Approval for the initial two (2) Indications in the Field and thereafter at least [***] per calendar year, unless the Parties mutually agree in writing to a different frequency for such meetings. Either Party may also call a special JSC meeting (by videoconference or teleconference) by at least [***] prior written notice to the other Party in the event such Party reasonably believes that a significant matter must be addressed prior to the next regularly scheduled meeting, and such Party shall provide the JSC no later than [***] prior to the special meeting with materials reasonably adequate to enable an informed decision. The JSC may meet in person, by videoconference or by teleconference. All JSC meetings shall be conducted in English, and all communications, reports and records by and between the Parties under this Agreement shall be in English, [***]. The co-chairpersons shall alternate responsibility for preparing reasonably detailed written minutes of the JSC meetings that reflect, without limitation, all material decisions made at such meetings. The co-chairpersons (or their designees) shall send draft meeting minutes to each representative of the JSC for review and approval within [***] after the JSC meeting. Such minutes shall be deemed approved unless one or more JSC representatives object to the accuracy of such minutes within [***] of receipt.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0" w:name="page171"/>
    <w:bookmarkEnd w:id="170"/>
    <w:p>
      <w:pPr>
        <w:jc w:val="both"/>
        <w:ind w:firstLine="1505"/>
        <w:spacing w:after="0" w:line="236" w:lineRule="auto"/>
        <w:tabs>
          <w:tab w:leader="none" w:pos="1929"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Decision Making</w:t>
      </w:r>
      <w:r>
        <w:rPr>
          <w:rFonts w:ascii="Arial" w:cs="Arial" w:eastAsia="Arial" w:hAnsi="Arial"/>
          <w:sz w:val="22"/>
          <w:szCs w:val="22"/>
          <w:color w:val="auto"/>
        </w:rPr>
        <w:t>. The JSC shall strive to seek consensus in its actions and decision-making process and</w:t>
      </w:r>
      <w:r>
        <w:rPr>
          <w:rFonts w:ascii="Arial" w:cs="Arial" w:eastAsia="Arial" w:hAnsi="Arial"/>
          <w:sz w:val="22"/>
          <w:szCs w:val="22"/>
          <w:b w:val="1"/>
          <w:bCs w:val="1"/>
          <w:color w:val="auto"/>
        </w:rPr>
        <w:t xml:space="preserve"> </w:t>
      </w:r>
      <w:r>
        <w:rPr>
          <w:rFonts w:ascii="Arial" w:cs="Arial" w:eastAsia="Arial" w:hAnsi="Arial"/>
          <w:sz w:val="22"/>
          <w:szCs w:val="22"/>
          <w:color w:val="auto"/>
        </w:rPr>
        <w:t>all decisions by the JSC shall be made by consensus, with each Party having collectively one (1) vote in all decisions. If after reasonable discussion and good faith consideration of each Party’s view on a particular matter before the JSC, the representatives of the Parties cannot reach an agreement as to such matter (to the extent that such matter requires the agreement of the Parties hereunder) within [***] after such matter was brought to the JSC for resolution or after such matter has been referred to the JSC, then, [***].</w:t>
      </w:r>
    </w:p>
    <w:p>
      <w:pPr>
        <w:spacing w:after="0" w:line="182"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21"/>
          <w:szCs w:val="21"/>
          <w:b w:val="1"/>
          <w:bCs w:val="1"/>
          <w:color w:val="auto"/>
        </w:rPr>
        <w:t>3.3 Limitation of JSC Authority</w:t>
      </w:r>
      <w:r>
        <w:rPr>
          <w:rFonts w:ascii="Arial" w:cs="Arial" w:eastAsia="Arial" w:hAnsi="Arial"/>
          <w:sz w:val="21"/>
          <w:szCs w:val="21"/>
          <w:color w:val="auto"/>
        </w:rPr>
        <w:t>. The JSC shall only have the powers expressly assigned to it in Sections 2.6, 3.2(a),</w:t>
      </w:r>
      <w:r>
        <w:rPr>
          <w:rFonts w:ascii="Arial" w:cs="Arial" w:eastAsia="Arial" w:hAnsi="Arial"/>
          <w:sz w:val="21"/>
          <w:szCs w:val="21"/>
          <w:b w:val="1"/>
          <w:bCs w:val="1"/>
          <w:color w:val="auto"/>
        </w:rPr>
        <w:t xml:space="preserve"> </w:t>
      </w:r>
      <w:r>
        <w:rPr>
          <w:rFonts w:ascii="Arial" w:cs="Arial" w:eastAsia="Arial" w:hAnsi="Arial"/>
          <w:sz w:val="21"/>
          <w:szCs w:val="21"/>
          <w:color w:val="auto"/>
        </w:rPr>
        <w:t>3.5, 4.3 and 4.6 and shall not have the authority to: (a) modify or amend the terms and conditions of this Agreement; (b) waive or determine either Party’s compliance with the terms and conditions of under this Agreement; or (c) decide any issue in a manner that would conflict with the express terms and conditions of this Agreement.</w:t>
      </w:r>
    </w:p>
    <w:p>
      <w:pPr>
        <w:spacing w:after="0" w:line="166"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9"/>
          <w:szCs w:val="19"/>
          <w:b w:val="1"/>
          <w:bCs w:val="1"/>
          <w:color w:val="auto"/>
        </w:rPr>
        <w:t>3.4 Discontinuation of the JSC</w:t>
      </w:r>
      <w:r>
        <w:rPr>
          <w:rFonts w:ascii="Arial" w:cs="Arial" w:eastAsia="Arial" w:hAnsi="Arial"/>
          <w:sz w:val="19"/>
          <w:szCs w:val="19"/>
          <w:color w:val="auto"/>
        </w:rPr>
        <w:t>. The JSC shall continue to exist until the Parties mutually agree to disband the JSC.</w:t>
      </w:r>
      <w:r>
        <w:rPr>
          <w:rFonts w:ascii="Arial" w:cs="Arial" w:eastAsia="Arial" w:hAnsi="Arial"/>
          <w:sz w:val="19"/>
          <w:szCs w:val="19"/>
          <w:b w:val="1"/>
          <w:bCs w:val="1"/>
          <w:color w:val="auto"/>
        </w:rPr>
        <w:t xml:space="preserve"> </w:t>
      </w:r>
      <w:r>
        <w:rPr>
          <w:rFonts w:ascii="Arial" w:cs="Arial" w:eastAsia="Arial" w:hAnsi="Arial"/>
          <w:sz w:val="19"/>
          <w:szCs w:val="19"/>
          <w:color w:val="auto"/>
        </w:rPr>
        <w:t>Thereafter, the JSC shall have no further obligations under this Agreement and each Party shall designate a contact person for the exchange of information relevant to activities that would have been performed by the JSC under this Agreement and decisions of the JSC shall be decisions as between the Parties, subject to the other terms and conditions of this Agreement.</w:t>
      </w:r>
    </w:p>
    <w:p>
      <w:pPr>
        <w:spacing w:after="0" w:line="13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b w:val="1"/>
          <w:bCs w:val="1"/>
          <w:color w:val="auto"/>
        </w:rPr>
        <w:t>3.5 Working Groups</w:t>
      </w:r>
      <w:r>
        <w:rPr>
          <w:rFonts w:ascii="Arial" w:cs="Arial" w:eastAsia="Arial" w:hAnsi="Arial"/>
          <w:sz w:val="19"/>
          <w:szCs w:val="19"/>
          <w:color w:val="auto"/>
        </w:rPr>
        <w:t>. From time to time, the JSC may establish and delegate duties of the JSC to sub-committees or</w:t>
      </w:r>
      <w:r>
        <w:rPr>
          <w:rFonts w:ascii="Arial" w:cs="Arial" w:eastAsia="Arial" w:hAnsi="Arial"/>
          <w:sz w:val="19"/>
          <w:szCs w:val="19"/>
          <w:b w:val="1"/>
          <w:bCs w:val="1"/>
          <w:color w:val="auto"/>
        </w:rPr>
        <w:t xml:space="preserve"> </w:t>
      </w:r>
      <w:r>
        <w:rPr>
          <w:rFonts w:ascii="Arial" w:cs="Arial" w:eastAsia="Arial" w:hAnsi="Arial"/>
          <w:sz w:val="19"/>
          <w:szCs w:val="19"/>
          <w:color w:val="auto"/>
        </w:rPr>
        <w:t>directed teams (each, a “</w:t>
      </w:r>
      <w:r>
        <w:rPr>
          <w:rFonts w:ascii="Arial" w:cs="Arial" w:eastAsia="Arial" w:hAnsi="Arial"/>
          <w:sz w:val="19"/>
          <w:szCs w:val="19"/>
          <w:b w:val="1"/>
          <w:bCs w:val="1"/>
          <w:color w:val="auto"/>
        </w:rPr>
        <w:t>Working Group</w:t>
      </w:r>
      <w:r>
        <w:rPr>
          <w:rFonts w:ascii="Arial" w:cs="Arial" w:eastAsia="Arial" w:hAnsi="Arial"/>
          <w:sz w:val="19"/>
          <w:szCs w:val="19"/>
          <w:color w:val="auto"/>
        </w:rPr>
        <w:t>”) on an “as-needed” basis to oversee particular projects or activities; provided that in any case neither Party shall be required by the Working Group to assume any responsibility, financial or otherwise, beyond those agreed to in writing by such Party, in particular pursuant to each Party’s respective obligations under this Agreement. Each such Working Group shall be constituted and shall operate as the JSC determines; provided that each Working Group shall have equal representation from each Party, unless otherwise mutually agreed. Working Groups may be established on an ad hoc basis for purposes of a specific project or on such other basis as the JSC may determine. Each Working Group and its activities shall be subject to the oversight, review and approval of, and shall report to, the JSC. Working Groups shall have no decision-making authority and all decisions shall be made by the JSC in accordance with the terms of this Agreement.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DEVELOPMENT</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4.1  Overview; Diligence</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80" w:lineRule="auto"/>
        <w:tabs>
          <w:tab w:leader="none" w:pos="1929"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Kaken Obligations </w:t>
      </w:r>
      <w:r>
        <w:rPr>
          <w:rFonts w:ascii="Arial" w:cs="Arial" w:eastAsia="Arial" w:hAnsi="Arial"/>
          <w:sz w:val="19"/>
          <w:szCs w:val="19"/>
          <w:color w:val="auto"/>
        </w:rPr>
        <w:t>Subject to the terms and conditions of this Agreement and to Spruce performing its</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obligations with respect to Licensed Products set forth in the Territory Development Plan, Kaken shall be solely responsible for the Development of Licensed Products in the Field in the Kaken Territory, at its own cost and expense (except as otherwise expressly set forth herein), including (except as set forth in Section 4.6) all non-clinical studies, and Clinical Trials and collection of CMC Information, as necessary to obtain Kaken Territory Regulatory Approval for Licensed Products in the Field. Kaken shall use Commercially Reasonable Efforts to Develop Licensed Products and obtain Kaken Territory Regulatory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71" w:name="page172"/>
    <w:bookmarkEnd w:id="171"/>
    <w:p>
      <w:pPr>
        <w:jc w:val="both"/>
        <w:spacing w:after="0" w:line="274" w:lineRule="auto"/>
        <w:rPr>
          <w:sz w:val="20"/>
          <w:szCs w:val="20"/>
          <w:color w:val="auto"/>
        </w:rPr>
      </w:pPr>
      <w:r>
        <w:rPr>
          <w:rFonts w:ascii="Arial" w:cs="Arial" w:eastAsia="Arial" w:hAnsi="Arial"/>
          <w:sz w:val="19"/>
          <w:szCs w:val="19"/>
          <w:color w:val="auto"/>
        </w:rPr>
        <w:t>Approval for Licensed Products in the Field, provided that Kaken shall not be liable for any delays in any Development activities that are caused by any force majeure event as specified in Section 15.2, Spruce’s failure to timely perform its Development activities set forth in the Development Plan, Spruce’s failure to timely provide Licensed Product in accordance with the Clinical Supply Agreement or Spruce’s failure to provide to Kaken Product Materials that are necessary for the performance of such Development activities, except to the extent Spruce’s failure to provide such Product Materials is caused by Kaken’s action or inaction. Without limiting the generality of the foregoing, Kaken shall use Commercially Reasonable Efforts to conduct its Development activities under and in accordance with the Territory Development Plan. A breach of Kaken’s obligation to use Commercially Reasonable Efforts to conduct its Development activities under and in accordance with the Territory Development Plan shall constitute a material breach of this Agreement.</w:t>
      </w:r>
    </w:p>
    <w:p>
      <w:pPr>
        <w:spacing w:after="0" w:line="152" w:lineRule="exact"/>
        <w:rPr>
          <w:sz w:val="20"/>
          <w:szCs w:val="20"/>
          <w:color w:val="auto"/>
        </w:rPr>
      </w:pPr>
    </w:p>
    <w:p>
      <w:pPr>
        <w:jc w:val="both"/>
        <w:ind w:firstLine="1505"/>
        <w:spacing w:after="0" w:line="243" w:lineRule="auto"/>
        <w:tabs>
          <w:tab w:leader="none" w:pos="1929"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Spruce Obligations </w:t>
      </w:r>
      <w:r>
        <w:rPr>
          <w:rFonts w:ascii="Arial" w:cs="Arial" w:eastAsia="Arial" w:hAnsi="Arial"/>
          <w:sz w:val="22"/>
          <w:szCs w:val="22"/>
          <w:color w:val="auto"/>
        </w:rPr>
        <w:t>. Subject to the terms and conditions of this Agreement, Spruce shall perform its</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obligations with respect to Licensed Products set forth in the Territory Development Plan, which obligations shall include [***]</w:t>
      </w:r>
    </w:p>
    <w:p>
      <w:pPr>
        <w:spacing w:after="0" w:line="177"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b w:val="1"/>
          <w:bCs w:val="1"/>
          <w:color w:val="auto"/>
        </w:rPr>
        <w:t>4.2 Territory Development Plan</w:t>
      </w:r>
      <w:r>
        <w:rPr>
          <w:rFonts w:ascii="Arial" w:cs="Arial" w:eastAsia="Arial" w:hAnsi="Arial"/>
          <w:sz w:val="19"/>
          <w:szCs w:val="19"/>
          <w:color w:val="auto"/>
        </w:rPr>
        <w:t>. Without limiting the generality of the other provisions in this Article 4, an initial,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mutually agreed Territory Development Plan is attached hereto as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xml:space="preserve"> (the “</w:t>
      </w:r>
      <w:r>
        <w:rPr>
          <w:rFonts w:ascii="Arial" w:cs="Arial" w:eastAsia="Arial" w:hAnsi="Arial"/>
          <w:sz w:val="19"/>
          <w:szCs w:val="19"/>
          <w:b w:val="1"/>
          <w:bCs w:val="1"/>
          <w:color w:val="auto"/>
        </w:rPr>
        <w:t>Initial Development Plan</w:t>
      </w:r>
      <w:r>
        <w:rPr>
          <w:rFonts w:ascii="Arial" w:cs="Arial" w:eastAsia="Arial" w:hAnsi="Arial"/>
          <w:sz w:val="19"/>
          <w:szCs w:val="19"/>
          <w:color w:val="auto"/>
        </w:rPr>
        <w:t>”). Within [***] after the Effective Date, Kaken (in conjunction with assistance from Spruce) will prepare and submit to the JSC a high level plan concerning the Development of the Licensed Compound and Licensed Products in the Field in the Kaken Territory (the “</w:t>
      </w:r>
      <w:r>
        <w:rPr>
          <w:rFonts w:ascii="Arial" w:cs="Arial" w:eastAsia="Arial" w:hAnsi="Arial"/>
          <w:sz w:val="19"/>
          <w:szCs w:val="19"/>
          <w:b w:val="1"/>
          <w:bCs w:val="1"/>
          <w:color w:val="auto"/>
        </w:rPr>
        <w:t>First</w:t>
      </w:r>
      <w:r>
        <w:rPr>
          <w:rFonts w:ascii="Arial" w:cs="Arial" w:eastAsia="Arial" w:hAnsi="Arial"/>
          <w:sz w:val="19"/>
          <w:szCs w:val="19"/>
          <w:color w:val="auto"/>
        </w:rPr>
        <w:t xml:space="preserve"> </w:t>
      </w:r>
      <w:r>
        <w:rPr>
          <w:rFonts w:ascii="Arial" w:cs="Arial" w:eastAsia="Arial" w:hAnsi="Arial"/>
          <w:sz w:val="19"/>
          <w:szCs w:val="19"/>
          <w:b w:val="1"/>
          <w:bCs w:val="1"/>
          <w:color w:val="auto"/>
        </w:rPr>
        <w:t>Supplemental Development Plan</w:t>
      </w:r>
      <w:r>
        <w:rPr>
          <w:rFonts w:ascii="Arial" w:cs="Arial" w:eastAsia="Arial" w:hAnsi="Arial"/>
          <w:sz w:val="19"/>
          <w:szCs w:val="19"/>
          <w:color w:val="auto"/>
        </w:rPr>
        <w:t>,” and together with the Initial Development Plan and any subsequent updates pursuant to this</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4.2, the “</w:t>
      </w:r>
      <w:r>
        <w:rPr>
          <w:rFonts w:ascii="Arial" w:cs="Arial" w:eastAsia="Arial" w:hAnsi="Arial"/>
          <w:sz w:val="19"/>
          <w:szCs w:val="19"/>
          <w:b w:val="1"/>
          <w:bCs w:val="1"/>
          <w:color w:val="auto"/>
        </w:rPr>
        <w:t>Territory Development Plan</w:t>
      </w:r>
      <w:r>
        <w:rPr>
          <w:rFonts w:ascii="Arial" w:cs="Arial" w:eastAsia="Arial" w:hAnsi="Arial"/>
          <w:sz w:val="19"/>
          <w:szCs w:val="19"/>
          <w:color w:val="auto"/>
        </w:rPr>
        <w:t>”). The First Supplemental Development Plan shall include among other things, all material non-clinical studies, Phase 1 Clinical Trial, CMC Activities and regulatory activities with respect to the Licensed Compound and Licensed Products to be conducted by or on behalf of Kaken or its Affiliates or their respective Sublicensees in the Kaken Territory and include target timelines for: [***]. From time to time during the Term (but at least [***] per Kaken Fiscal Year), Kaken shall prepare amendments and updates, as appropriate, to the then-current Territory Development Plan, and shall submit such amendments and updates to the JSC in accordance with Section 4.3. For clarity, if there are no amendments or updates to the then-current Territory Development Plan that are applicable in a Kaken Fiscal Year, Kaken’s sole responsibility under this Section 4.2 during such Kaken Fiscal Year shall be to inform Spruce that the then-current Territory Development Plan is up to date.</w:t>
      </w:r>
    </w:p>
    <w:p>
      <w:pPr>
        <w:spacing w:after="0" w:line="39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4.3  Other Development Activities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39" w:lineRule="auto"/>
        <w:tabs>
          <w:tab w:leader="none" w:pos="1929"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Non-Clinical Development</w:t>
      </w:r>
      <w:r>
        <w:rPr>
          <w:rFonts w:ascii="Arial" w:cs="Arial" w:eastAsia="Arial" w:hAnsi="Arial"/>
          <w:sz w:val="22"/>
          <w:szCs w:val="22"/>
          <w:color w:val="auto"/>
        </w:rPr>
        <w:t>. Kaken shall have the right to conduct any non-clinical studies to generate</w:t>
      </w:r>
      <w:r>
        <w:rPr>
          <w:rFonts w:ascii="Arial" w:cs="Arial" w:eastAsia="Arial" w:hAnsi="Arial"/>
          <w:sz w:val="22"/>
          <w:szCs w:val="22"/>
          <w:b w:val="1"/>
          <w:bCs w:val="1"/>
          <w:color w:val="auto"/>
        </w:rPr>
        <w:t xml:space="preserve"> </w:t>
      </w:r>
      <w:r>
        <w:rPr>
          <w:rFonts w:ascii="Arial" w:cs="Arial" w:eastAsia="Arial" w:hAnsi="Arial"/>
          <w:sz w:val="22"/>
          <w:szCs w:val="22"/>
          <w:color w:val="auto"/>
        </w:rPr>
        <w:t>and obtain Data that is reasonably useful for the Development of any Licensed Product in the Field in the Kaken Territory, provided that Kaken shall promptly amend the Territory Development Plan to include such non-clinical studies and submit such amendment to the JSC for review and approval.</w:t>
      </w:r>
    </w:p>
    <w:p>
      <w:pPr>
        <w:spacing w:after="0" w:line="180" w:lineRule="exact"/>
        <w:rPr>
          <w:rFonts w:ascii="Arial" w:cs="Arial" w:eastAsia="Arial" w:hAnsi="Arial"/>
          <w:sz w:val="22"/>
          <w:szCs w:val="22"/>
          <w:b w:val="1"/>
          <w:bCs w:val="1"/>
          <w:color w:val="auto"/>
        </w:rPr>
      </w:pPr>
    </w:p>
    <w:p>
      <w:pPr>
        <w:jc w:val="both"/>
        <w:ind w:firstLine="1505"/>
        <w:spacing w:after="0" w:line="243" w:lineRule="auto"/>
        <w:tabs>
          <w:tab w:leader="none" w:pos="1929"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Clinical Development</w:t>
      </w:r>
      <w:r>
        <w:rPr>
          <w:rFonts w:ascii="Arial" w:cs="Arial" w:eastAsia="Arial" w:hAnsi="Arial"/>
          <w:sz w:val="22"/>
          <w:szCs w:val="22"/>
          <w:color w:val="auto"/>
        </w:rPr>
        <w:t>. If Kaken wishes to conduct any Clinical Trials for the Development of any Kaken</w:t>
      </w:r>
      <w:r>
        <w:rPr>
          <w:rFonts w:ascii="Arial" w:cs="Arial" w:eastAsia="Arial" w:hAnsi="Arial"/>
          <w:sz w:val="22"/>
          <w:szCs w:val="22"/>
          <w:b w:val="1"/>
          <w:bCs w:val="1"/>
          <w:color w:val="auto"/>
        </w:rPr>
        <w:t xml:space="preserve"> </w:t>
      </w:r>
      <w:r>
        <w:rPr>
          <w:rFonts w:ascii="Arial" w:cs="Arial" w:eastAsia="Arial" w:hAnsi="Arial"/>
          <w:sz w:val="22"/>
          <w:szCs w:val="22"/>
          <w:color w:val="auto"/>
        </w:rPr>
        <w:t>specific dosage strength formulations of Licensed Product in the Field in the Kaken Territory, Kaken may propose an amendment to the Territory Development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2" w:name="page173"/>
    <w:bookmarkEnd w:id="172"/>
    <w:p>
      <w:pPr>
        <w:jc w:val="both"/>
        <w:spacing w:after="0" w:line="236" w:lineRule="auto"/>
        <w:rPr>
          <w:sz w:val="20"/>
          <w:szCs w:val="20"/>
          <w:color w:val="auto"/>
        </w:rPr>
      </w:pPr>
      <w:r>
        <w:rPr>
          <w:rFonts w:ascii="Arial" w:cs="Arial" w:eastAsia="Arial" w:hAnsi="Arial"/>
          <w:sz w:val="22"/>
          <w:szCs w:val="22"/>
          <w:color w:val="auto"/>
        </w:rPr>
        <w:t>Plan to include such Clinical Trials and submit such amendment to the JSC for review and approval. If and upon receipt of such proposal, the JSC shall promptly (but in any event within [***]) review and decide on whether to approve such proposal. Upon the JSC’s approval of such amendment, such Clinical Trials shall be included in the amended Territory Development Plan and Kaken may conduct such Clinical Trials at its own cost. For clarity, Kaken shall not conduct any Clinical Trials of the Licensed Product outside of the Field.</w:t>
      </w:r>
    </w:p>
    <w:p>
      <w:pPr>
        <w:spacing w:after="0" w:line="181" w:lineRule="exact"/>
        <w:rPr>
          <w:sz w:val="20"/>
          <w:szCs w:val="20"/>
          <w:color w:val="auto"/>
        </w:rPr>
      </w:pPr>
    </w:p>
    <w:p>
      <w:pPr>
        <w:jc w:val="both"/>
        <w:ind w:firstLine="1505"/>
        <w:spacing w:after="0" w:line="272" w:lineRule="auto"/>
        <w:tabs>
          <w:tab w:leader="none" w:pos="1929" w:val="left"/>
        </w:tabs>
        <w:numPr>
          <w:ilvl w:val="0"/>
          <w:numId w:val="7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Cooperation </w:t>
      </w:r>
      <w:r>
        <w:rPr>
          <w:rFonts w:ascii="Arial" w:cs="Arial" w:eastAsia="Arial" w:hAnsi="Arial"/>
          <w:sz w:val="19"/>
          <w:szCs w:val="19"/>
          <w:color w:val="auto"/>
        </w:rPr>
        <w:t>. Spruce shall provide such technical assistance and cooperation to Kaken as Kaken may</w:t>
      </w:r>
      <w:r>
        <w:rPr>
          <w:rFonts w:ascii="Arial" w:cs="Arial" w:eastAsia="Arial" w:hAnsi="Arial"/>
          <w:sz w:val="19"/>
          <w:szCs w:val="19"/>
          <w:b w:val="1"/>
          <w:bCs w:val="1"/>
          <w:color w:val="auto"/>
        </w:rPr>
        <w:t xml:space="preserve"> </w:t>
      </w:r>
      <w:r>
        <w:rPr>
          <w:rFonts w:ascii="Arial" w:cs="Arial" w:eastAsia="Arial" w:hAnsi="Arial"/>
          <w:sz w:val="19"/>
          <w:szCs w:val="19"/>
          <w:color w:val="auto"/>
        </w:rPr>
        <w:t>reasonably request, at Kaken’s sole cost and expense, as necessary or reasonably useful for Kaken to Develop or Commercialize Licensed Products in the Field in the Kaken Territory; provided, that Spruce shall provide up to [***] of its employee time during a Kaken Fiscal Year at no cost and shall notify Kaken during each Kaken Fiscal Year when Spruce has provided Kaken with approximately [***] of its employee time. Kaken may reasonably request at the JSC that Spruce conduct certain Development activities in the Kaken Territory or in the Spruce Territory not included in the then Territory Development Plan necessary for Kaken to obtain Kaken Territory Regulatory Approval of the Licensed Product in the Field. If Spruce agrees to perform such activities, then such Development activities will be added to the Territory Development Plan and Spruce shall conduct such Development activities, at Kaken’s sole cost and expense, and Spruce shall be responsible for conducting, controlling, and completing such Development activities. Spruce shall provide Kaken with the Information obtained from such Development activities, and such Information shall be included in Spruce Licensed Know-How. Kaken shall provide such technical assistance and cooperation to Spruce as Spruce may reasonably request, at Kaken’s sole cost and expense, as necessary or reasonably useful for Spruce to conduct its activities under the Territory Development Plan.</w:t>
      </w:r>
    </w:p>
    <w:p>
      <w:pPr>
        <w:spacing w:after="0" w:line="155" w:lineRule="exact"/>
        <w:rPr>
          <w:rFonts w:ascii="Arial" w:cs="Arial" w:eastAsia="Arial" w:hAnsi="Arial"/>
          <w:sz w:val="19"/>
          <w:szCs w:val="19"/>
          <w:b w:val="1"/>
          <w:bCs w:val="1"/>
          <w:color w:val="auto"/>
        </w:rPr>
      </w:pPr>
    </w:p>
    <w:p>
      <w:pPr>
        <w:jc w:val="both"/>
        <w:ind w:firstLine="1505"/>
        <w:spacing w:after="0" w:line="239" w:lineRule="auto"/>
        <w:tabs>
          <w:tab w:leader="none" w:pos="1929"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Global Development Activities</w:t>
      </w:r>
      <w:r>
        <w:rPr>
          <w:rFonts w:ascii="Arial" w:cs="Arial" w:eastAsia="Arial" w:hAnsi="Arial"/>
          <w:sz w:val="22"/>
          <w:szCs w:val="22"/>
          <w:color w:val="auto"/>
        </w:rPr>
        <w:t>. Spruce will be responsible for the global Development and regulatory</w:t>
      </w:r>
      <w:r>
        <w:rPr>
          <w:rFonts w:ascii="Arial" w:cs="Arial" w:eastAsia="Arial" w:hAnsi="Arial"/>
          <w:sz w:val="22"/>
          <w:szCs w:val="22"/>
          <w:b w:val="1"/>
          <w:bCs w:val="1"/>
          <w:color w:val="auto"/>
        </w:rPr>
        <w:t xml:space="preserve"> </w:t>
      </w:r>
      <w:r>
        <w:rPr>
          <w:rFonts w:ascii="Arial" w:cs="Arial" w:eastAsia="Arial" w:hAnsi="Arial"/>
          <w:sz w:val="22"/>
          <w:szCs w:val="22"/>
          <w:color w:val="auto"/>
        </w:rPr>
        <w:t>strategy for Licensed Products (the “</w:t>
      </w:r>
      <w:r>
        <w:rPr>
          <w:rFonts w:ascii="Arial" w:cs="Arial" w:eastAsia="Arial" w:hAnsi="Arial"/>
          <w:sz w:val="22"/>
          <w:szCs w:val="22"/>
          <w:b w:val="1"/>
          <w:bCs w:val="1"/>
          <w:color w:val="auto"/>
        </w:rPr>
        <w:t>Global Strategy</w:t>
      </w:r>
      <w:r>
        <w:rPr>
          <w:rFonts w:ascii="Arial" w:cs="Arial" w:eastAsia="Arial" w:hAnsi="Arial"/>
          <w:sz w:val="22"/>
          <w:szCs w:val="22"/>
          <w:color w:val="auto"/>
        </w:rPr>
        <w:t>”). Spruce shall keep the JSC reasonably informed regarding Spruce’s global plan for the Development of Licensed Products in the Field, as such plan may be amended from time to time through the discussion at the JSC (the “</w:t>
      </w:r>
      <w:r>
        <w:rPr>
          <w:rFonts w:ascii="Arial" w:cs="Arial" w:eastAsia="Arial" w:hAnsi="Arial"/>
          <w:sz w:val="22"/>
          <w:szCs w:val="22"/>
          <w:b w:val="1"/>
          <w:bCs w:val="1"/>
          <w:color w:val="auto"/>
        </w:rPr>
        <w:t>Global Development Plan</w:t>
      </w:r>
      <w:r>
        <w:rPr>
          <w:rFonts w:ascii="Arial" w:cs="Arial" w:eastAsia="Arial" w:hAnsi="Arial"/>
          <w:sz w:val="22"/>
          <w:szCs w:val="22"/>
          <w:color w:val="auto"/>
        </w:rPr>
        <w:t>”).</w:t>
      </w:r>
    </w:p>
    <w:p>
      <w:pPr>
        <w:spacing w:after="0" w:line="180"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b w:val="1"/>
          <w:bCs w:val="1"/>
          <w:color w:val="auto"/>
        </w:rPr>
        <w:t xml:space="preserve">4.4 Development Records </w:t>
      </w:r>
      <w:r>
        <w:rPr>
          <w:rFonts w:ascii="Arial" w:cs="Arial" w:eastAsia="Arial" w:hAnsi="Arial"/>
          <w:sz w:val="21"/>
          <w:szCs w:val="21"/>
          <w:color w:val="auto"/>
        </w:rPr>
        <w:t>. Each Party shall maintain complete, current and accurate records of all activities (and all</w:t>
      </w:r>
      <w:r>
        <w:rPr>
          <w:rFonts w:ascii="Arial" w:cs="Arial" w:eastAsia="Arial" w:hAnsi="Arial"/>
          <w:sz w:val="21"/>
          <w:szCs w:val="21"/>
          <w:b w:val="1"/>
          <w:bCs w:val="1"/>
          <w:color w:val="auto"/>
        </w:rPr>
        <w:t xml:space="preserve"> </w:t>
      </w:r>
      <w:r>
        <w:rPr>
          <w:rFonts w:ascii="Arial" w:cs="Arial" w:eastAsia="Arial" w:hAnsi="Arial"/>
          <w:sz w:val="21"/>
          <w:szCs w:val="21"/>
          <w:color w:val="auto"/>
        </w:rPr>
        <w:t>Data and other Information resulting from such activities) conducted with respect to Licensed Products by them, their Affiliates and their respective Sublicensees. Such records shall fully and properly reflect all work done and results achieved in the performance of the Development activities in good scientific manner appropriate for regulatory and patent purposes. Each Party shall document all non-clinical studies and Clinical Trials for Licensed Products in formal written study records according to applicable Laws, including applicable national and international guidelines such as ICH, GCP and GLP. Kaken shall provide Spruce with English translations of such records (to the extent prepared and originated in a language other than English) upon request by Spruce [***]. Each Party shall have the right to review and copy such records of the other Party at reasonable times in accordance with this Agreement.</w:t>
      </w:r>
    </w:p>
    <w:p>
      <w:pPr>
        <w:spacing w:after="0" w:line="175"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4.5 Development Reports</w:t>
      </w:r>
      <w:r>
        <w:rPr>
          <w:rFonts w:ascii="Arial" w:cs="Arial" w:eastAsia="Arial" w:hAnsi="Arial"/>
          <w:sz w:val="22"/>
          <w:szCs w:val="22"/>
          <w:color w:val="auto"/>
        </w:rPr>
        <w:t>. Each Party shall keep the other Party reasonably informed as to the progress and results of</w:t>
      </w:r>
      <w:r>
        <w:rPr>
          <w:rFonts w:ascii="Arial" w:cs="Arial" w:eastAsia="Arial" w:hAnsi="Arial"/>
          <w:sz w:val="22"/>
          <w:szCs w:val="22"/>
          <w:b w:val="1"/>
          <w:bCs w:val="1"/>
          <w:color w:val="auto"/>
        </w:rPr>
        <w:t xml:space="preserve"> </w:t>
      </w:r>
      <w:r>
        <w:rPr>
          <w:rFonts w:ascii="Arial" w:cs="Arial" w:eastAsia="Arial" w:hAnsi="Arial"/>
          <w:sz w:val="22"/>
          <w:szCs w:val="22"/>
          <w:color w:val="auto"/>
        </w:rPr>
        <w:t>their and their Affiliates’ and their respective Sublicensees’ (including in the case of Spruce, Spruce’s Partners’) Development activities (including prompt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3" w:name="page174"/>
    <w:bookmarkEnd w:id="173"/>
    <w:p>
      <w:pPr>
        <w:jc w:val="both"/>
        <w:spacing w:after="0" w:line="279" w:lineRule="auto"/>
        <w:rPr>
          <w:sz w:val="20"/>
          <w:szCs w:val="20"/>
          <w:color w:val="auto"/>
        </w:rPr>
      </w:pPr>
      <w:r>
        <w:rPr>
          <w:rFonts w:ascii="Arial" w:cs="Arial" w:eastAsia="Arial" w:hAnsi="Arial"/>
          <w:sz w:val="19"/>
          <w:szCs w:val="19"/>
          <w:color w:val="auto"/>
        </w:rPr>
        <w:t>reporting of available clinical Data) Without limiting the foregoing, at each regularly scheduled JSC meeting, each Party shall provide the other Party with a reasonably detailed written report summarizing its Development activities performed since the last JSC meeting and the results thereof, as reasonably sufficient to enable the other Party to determine the reporting Party’s compliance with its diligence obligations under Section 4.1. At such JSC meeting, the Parties shall discuss the status, progress and results of each Party and their Affiliates’ and respective Sublicensees’ Development activities. Each Party shall promptly respond to the other Party’s reasonable questions or requests for additional information relating to such Development activities.</w:t>
      </w:r>
    </w:p>
    <w:p>
      <w:pPr>
        <w:spacing w:after="0" w:line="144"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b w:val="1"/>
          <w:bCs w:val="1"/>
          <w:color w:val="auto"/>
        </w:rPr>
        <w:t>4.6 Data Exchange</w:t>
      </w:r>
      <w:r>
        <w:rPr>
          <w:rFonts w:ascii="Arial" w:cs="Arial" w:eastAsia="Arial" w:hAnsi="Arial"/>
          <w:sz w:val="19"/>
          <w:szCs w:val="19"/>
          <w:color w:val="auto"/>
        </w:rPr>
        <w:t>. In addition to Spruce’s obligation with respect to the transfer of Spruce Licensed Know-How set</w:t>
      </w:r>
      <w:r>
        <w:rPr>
          <w:rFonts w:ascii="Arial" w:cs="Arial" w:eastAsia="Arial" w:hAnsi="Arial"/>
          <w:sz w:val="19"/>
          <w:szCs w:val="19"/>
          <w:b w:val="1"/>
          <w:bCs w:val="1"/>
          <w:color w:val="auto"/>
        </w:rPr>
        <w:t xml:space="preserve"> </w:t>
      </w:r>
      <w:r>
        <w:rPr>
          <w:rFonts w:ascii="Arial" w:cs="Arial" w:eastAsia="Arial" w:hAnsi="Arial"/>
          <w:sz w:val="19"/>
          <w:szCs w:val="19"/>
          <w:color w:val="auto"/>
        </w:rPr>
        <w:t>forth under Section 2.6 and each Party’s adverse event and safety Data reporting obligations pursuant to Section 5.8, but subject to any applicable Laws and the remainder of this Section 4.6, each Party shall, at its sole cost and expense, promptly provide the other Party with copies of any Data and Regulatory Materials related to the Licensed Compound or Licensed Products generated by or on behalf of such Party or its Affiliates or Sublicensees in the performance of Development activities hereunder that would be reasonably necessary for the Development, Manufacture and Commercialization of Licensed Compound or Licensed Products in the Field in the other Party’s respective territory in the original language prepared (the “</w:t>
      </w:r>
      <w:r>
        <w:rPr>
          <w:rFonts w:ascii="Arial" w:cs="Arial" w:eastAsia="Arial" w:hAnsi="Arial"/>
          <w:sz w:val="19"/>
          <w:szCs w:val="19"/>
          <w:b w:val="1"/>
          <w:bCs w:val="1"/>
          <w:color w:val="auto"/>
        </w:rPr>
        <w:t>Product Materials</w:t>
      </w:r>
      <w:r>
        <w:rPr>
          <w:rFonts w:ascii="Arial" w:cs="Arial" w:eastAsia="Arial" w:hAnsi="Arial"/>
          <w:sz w:val="19"/>
          <w:szCs w:val="19"/>
          <w:color w:val="auto"/>
        </w:rPr>
        <w:t>”). The JSC may establish reasonable policies to effectuate the exchange of additional Product Materials between the Parties. For clarity, Spruce shall, upon Kaken’s written request, promptly provide Kaken with all CMC Information and other information related to the Manufacture of Licensed Compound and Licensed Products necessary for Kaken to conduct its Development activities and shall transfer to Kaken all other CMC Information in accordance with Section 7.2(b).</w:t>
      </w:r>
    </w:p>
    <w:p>
      <w:pPr>
        <w:spacing w:after="0" w:line="155"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9"/>
          <w:szCs w:val="19"/>
          <w:b w:val="1"/>
          <w:bCs w:val="1"/>
          <w:color w:val="auto"/>
        </w:rPr>
        <w:t xml:space="preserve">4.7 Subcontractors </w:t>
      </w:r>
      <w:r>
        <w:rPr>
          <w:rFonts w:ascii="Arial" w:cs="Arial" w:eastAsia="Arial" w:hAnsi="Arial"/>
          <w:sz w:val="19"/>
          <w:szCs w:val="19"/>
          <w:color w:val="auto"/>
        </w:rPr>
        <w:t>. Kaken shall have the right to engage subcontractors to conduct any activities necessary for</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or Manufacturing (subject to the terms of Article 7) of Licensed Compound and Licensed Products, including but not limited to non-clinical studies, Clinical Trials, CMC Activities, and regulatory services for Licensed Products, under this Agreement, provided that such subcontractors are bound by written obligations of confidentiality, non-use and compliance with applicable Laws, including Proper Conduct Practices, consistent with this Agreement and have agreed in writing to assign to or share with Kaken all Data, Information, inventions or other intellectual property generated by such subcontractor in the course of performing such subcontracted work. Kaken shall remain responsible for any obligations that have been delegated or subcontracted to any subcontractor, and shall be responsible for the performance of its subcontractors.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REGULATORY MATTERS</w:t>
      </w:r>
    </w:p>
    <w:p>
      <w:pPr>
        <w:spacing w:after="0" w:line="182"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5.1  Regulatory Responsibilities</w:t>
      </w:r>
      <w:r>
        <w:rPr>
          <w:rFonts w:ascii="Arial" w:cs="Arial" w:eastAsia="Arial" w:hAnsi="Arial"/>
          <w:sz w:val="22"/>
          <w:szCs w:val="22"/>
          <w:color w:val="auto"/>
        </w:rPr>
        <w:t>.</w:t>
      </w:r>
    </w:p>
    <w:p>
      <w:pPr>
        <w:spacing w:after="0" w:line="212" w:lineRule="exact"/>
        <w:rPr>
          <w:sz w:val="20"/>
          <w:szCs w:val="20"/>
          <w:color w:val="auto"/>
        </w:rPr>
      </w:pPr>
    </w:p>
    <w:p>
      <w:pPr>
        <w:jc w:val="both"/>
        <w:ind w:firstLine="1505"/>
        <w:spacing w:after="0" w:line="297" w:lineRule="auto"/>
        <w:tabs>
          <w:tab w:leader="none" w:pos="1956" w:val="left"/>
        </w:tabs>
        <w:numPr>
          <w:ilvl w:val="0"/>
          <w:numId w:val="79"/>
        </w:numPr>
        <w:rPr>
          <w:rFonts w:ascii="Arial" w:cs="Arial" w:eastAsia="Arial" w:hAnsi="Arial"/>
          <w:sz w:val="19"/>
          <w:szCs w:val="19"/>
          <w:b w:val="1"/>
          <w:bCs w:val="1"/>
          <w:color w:val="auto"/>
        </w:rPr>
      </w:pPr>
      <w:r>
        <w:rPr>
          <w:rFonts w:ascii="Arial" w:cs="Arial" w:eastAsia="Arial" w:hAnsi="Arial"/>
          <w:sz w:val="19"/>
          <w:szCs w:val="19"/>
          <w:color w:val="auto"/>
        </w:rPr>
        <w:t>Subject to the terms and conditions of this Agreement, Kaken will be responsible, at its sole cost and expense, for the conduct of all regulatory activities required to obtain and maintain Kaken Territory Regulatory Approval of Licensed Products in the Field, including the preparation and submission of all Regulatory Materials and all communications and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4" w:name="page175"/>
    <w:bookmarkEnd w:id="174"/>
    <w:p>
      <w:pPr>
        <w:jc w:val="both"/>
        <w:spacing w:after="0" w:line="279" w:lineRule="auto"/>
        <w:rPr>
          <w:sz w:val="20"/>
          <w:szCs w:val="20"/>
          <w:color w:val="auto"/>
        </w:rPr>
      </w:pPr>
      <w:r>
        <w:rPr>
          <w:rFonts w:ascii="Arial" w:cs="Arial" w:eastAsia="Arial" w:hAnsi="Arial"/>
          <w:sz w:val="19"/>
          <w:szCs w:val="19"/>
          <w:color w:val="auto"/>
        </w:rPr>
        <w:t>interactions with Regulatory Authorities, as necessary to obtain Kaken Territory Regulatory Approval of Licensed Products in the Field. Kaken shall be responsible for filing each IND in the Field in the Kaken Territory for each Licensed Product. Kaken shall be responsible for filing each MAA in the Field in the Kaken Territory for each Licensed Product in Kaken’s name. The Territory Development Plan shall include the regulatory strategy for obtaining Regulatory Approval of Licensed Products in the Field in the Kaken Territory, including Spruce’s Development obligations. Kaken shall use Commercially Reasonable Efforts to carry out its obligations for obtaining Regulatory Approvals of Licensed Products pursuant to such strategy.</w:t>
      </w:r>
    </w:p>
    <w:p>
      <w:pPr>
        <w:spacing w:after="0" w:line="150" w:lineRule="exact"/>
        <w:rPr>
          <w:sz w:val="20"/>
          <w:szCs w:val="20"/>
          <w:color w:val="auto"/>
        </w:rPr>
      </w:pPr>
    </w:p>
    <w:p>
      <w:pPr>
        <w:jc w:val="both"/>
        <w:ind w:firstLine="1505"/>
        <w:spacing w:after="0" w:line="271" w:lineRule="auto"/>
        <w:tabs>
          <w:tab w:leader="none" w:pos="1929" w:val="left"/>
        </w:tabs>
        <w:numPr>
          <w:ilvl w:val="0"/>
          <w:numId w:val="80"/>
        </w:numPr>
        <w:rPr>
          <w:rFonts w:ascii="Arial" w:cs="Arial" w:eastAsia="Arial" w:hAnsi="Arial"/>
          <w:sz w:val="19"/>
          <w:szCs w:val="19"/>
          <w:b w:val="1"/>
          <w:bCs w:val="1"/>
          <w:color w:val="auto"/>
        </w:rPr>
      </w:pPr>
      <w:r>
        <w:rPr>
          <w:rFonts w:ascii="Arial" w:cs="Arial" w:eastAsia="Arial" w:hAnsi="Arial"/>
          <w:sz w:val="19"/>
          <w:szCs w:val="19"/>
          <w:color w:val="auto"/>
        </w:rPr>
        <w:t>Spruce shall provide all reasonable assistance and cooperation to Kaken as Kaken may reasonably request, at Kaken’s sole cost and expense, during the Term of this Agreement, with respect to the satisfaction of its obligations under Section 5.1(a), including (i) in connection with the preparation of Regulatory Materials, (A) making available competent personnel to attend regulatory meetings or join meetings with Regulatory Authorities by teleconference and (B) providing documentation within Spruce’s possession and control, in each case as requested by Regulatory Authorities at Kaken’s cost, (ii) providing Kaken with additional Regulatory Materials in the Spruce Territory as requested by Regulatory Authorities in the Kaken Territory within a reasonable timeframe commensurate with the volume of Kaken’s reasonable request, (iii) using Commercially Reasonable Efforts to [***] In the event that Spruce believes that such requests are not reasonable or are otherwise unduly burdensome to Spruce, then such matter shall be promptly submitted to the JSC for review and discussion. Without limiting the foregoing, Spruce shall provide Kaken with modules 2, 3, 4 and 5 of the CTD for any formulation of Licensed Product for which Spruce has prepared a CTD for regulatory filings in the Field in the Spruce Territory, in a manner sufficient for filing in the U.S. within [***] after completion of all such modules 2, 3, 4 and 5 of the CTD and, [***]. Kaken shall provide all reasonable assistance and cooperation to Spruce as Spruce may reasonably request, at Spruce’s sole cost and expense, during the Term of this Agreement, with respect to regulatory activities related to the Global Development Plan. [***].</w:t>
      </w:r>
    </w:p>
    <w:p>
      <w:pPr>
        <w:spacing w:after="0" w:line="158"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b w:val="1"/>
          <w:bCs w:val="1"/>
          <w:color w:val="auto"/>
        </w:rPr>
        <w:t>5.2 Regulatory Information Sharing</w:t>
      </w:r>
      <w:r>
        <w:rPr>
          <w:rFonts w:ascii="Arial" w:cs="Arial" w:eastAsia="Arial" w:hAnsi="Arial"/>
          <w:sz w:val="22"/>
          <w:szCs w:val="22"/>
          <w:color w:val="auto"/>
        </w:rPr>
        <w:t>. Subject to applicable Laws, Kaken shall (a) provide Spruce with [***]; and (b)</w:t>
      </w:r>
      <w:r>
        <w:rPr>
          <w:rFonts w:ascii="Arial" w:cs="Arial" w:eastAsia="Arial" w:hAnsi="Arial"/>
          <w:sz w:val="22"/>
          <w:szCs w:val="22"/>
          <w:b w:val="1"/>
          <w:bCs w:val="1"/>
          <w:color w:val="auto"/>
        </w:rPr>
        <w:t xml:space="preserve"> </w:t>
      </w:r>
      <w:r>
        <w:rPr>
          <w:rFonts w:ascii="Arial" w:cs="Arial" w:eastAsia="Arial" w:hAnsi="Arial"/>
          <w:sz w:val="22"/>
          <w:szCs w:val="22"/>
          <w:color w:val="auto"/>
        </w:rPr>
        <w:t>shall keep Spruce informed of any material verbal or written communication or question relating to Licensed Products received by Kaken from the Regulatory Authority in the Kaken Territory. Spruce shall have the right to comment on any such Regulatory Materials, and Kaken shall consider any reasonable comments of Spruce in good faith. Except as required by applicable Laws, Kaken, its Affiliates and Sublicensees shall not submit any Regulatory Materials to, or communicate with, any Regulatory Authority in the Spruce Territory regarding any Licensed Products. If such submission or communication is required by applicable Laws, Kaken shall, if legally permitted, promptly notify Spruce in writing of such requirement and the content of such submission or communication.</w:t>
      </w:r>
    </w:p>
    <w:p>
      <w:pPr>
        <w:spacing w:after="0" w:line="187"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b w:val="1"/>
          <w:bCs w:val="1"/>
          <w:color w:val="auto"/>
        </w:rPr>
        <w:t xml:space="preserve">5.3 Meetings with Regulatory Authorities </w:t>
      </w:r>
      <w:r>
        <w:rPr>
          <w:rFonts w:ascii="Arial" w:cs="Arial" w:eastAsia="Arial" w:hAnsi="Arial"/>
          <w:sz w:val="22"/>
          <w:szCs w:val="22"/>
          <w:color w:val="auto"/>
        </w:rPr>
        <w:t>. Kaken shall lead all interactions with Regulatory Authorities in the</w:t>
      </w:r>
      <w:r>
        <w:rPr>
          <w:rFonts w:ascii="Arial" w:cs="Arial" w:eastAsia="Arial" w:hAnsi="Arial"/>
          <w:sz w:val="22"/>
          <w:szCs w:val="22"/>
          <w:b w:val="1"/>
          <w:bCs w:val="1"/>
          <w:color w:val="auto"/>
        </w:rPr>
        <w:t xml:space="preserve"> </w:t>
      </w:r>
      <w:r>
        <w:rPr>
          <w:rFonts w:ascii="Arial" w:cs="Arial" w:eastAsia="Arial" w:hAnsi="Arial"/>
          <w:sz w:val="22"/>
          <w:szCs w:val="22"/>
          <w:color w:val="auto"/>
        </w:rPr>
        <w:t>Kaken Territory with respect to Licensed Products for use in the Field. Kaken shall keep Spruce reasonably informed of any material regulatory developments related to Licensed Products in the Field in the Kaken Territory. At each regularly scheduled JSC meeting, Kaken shall provide Spruce with a list and schedule of any in-person meeting or teleconference with the applicable Regulatory Authorities (or related advisory committees) in the Kaken Territory planned for the next Calendar Quarter that relates to any Licensed Product in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5" w:name="page176"/>
    <w:bookmarkEnd w:id="175"/>
    <w:p>
      <w:pPr>
        <w:jc w:val="both"/>
        <w:spacing w:after="0" w:line="275" w:lineRule="auto"/>
        <w:rPr>
          <w:sz w:val="20"/>
          <w:szCs w:val="20"/>
          <w:color w:val="auto"/>
        </w:rPr>
      </w:pPr>
      <w:r>
        <w:rPr>
          <w:rFonts w:ascii="Arial" w:cs="Arial" w:eastAsia="Arial" w:hAnsi="Arial"/>
          <w:sz w:val="19"/>
          <w:szCs w:val="19"/>
          <w:color w:val="auto"/>
        </w:rPr>
        <w:t>Field. In addition, Kaken shall notify Spruce as soon as reasonably possible after Kaken becomes aware of any additional such meetings or teleconferences that become scheduled for such Calendar Quarter. Spruce shall provide all assistance and documentation reasonably requested by Kaken to prepare for any such meeting or teleconference, including making available competent personnel to attend any such meeting or teleconference at Kaken’s reasonable request (subject to reimbursement by Kaken of Spruce’s costs and expenses with respect thereto). To the extent permitted by applicable Laws and by the Regulatory Authorities (as reasonably determined by Kaken), Spruce shall have the right to participate (whether directly or through a representative) in all such meetings and teleconferences, at Spruce’s cost, provided however, that Kaken shall have no obligation to change the schedule of such meetings or telephone conferences to accommodate the schedule of Spruce’s personnel.</w:t>
      </w:r>
    </w:p>
    <w:p>
      <w:pPr>
        <w:spacing w:after="0" w:line="151"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 xml:space="preserve">5.4 Regulatory Costs </w:t>
      </w:r>
      <w:r>
        <w:rPr>
          <w:rFonts w:ascii="Arial" w:cs="Arial" w:eastAsia="Arial" w:hAnsi="Arial"/>
          <w:sz w:val="22"/>
          <w:szCs w:val="22"/>
          <w:color w:val="auto"/>
        </w:rPr>
        <w:t>. Unless otherwise provided in this Agreement, Kaken shall be responsible for the costs and</w:t>
      </w:r>
      <w:r>
        <w:rPr>
          <w:rFonts w:ascii="Arial" w:cs="Arial" w:eastAsia="Arial" w:hAnsi="Arial"/>
          <w:sz w:val="22"/>
          <w:szCs w:val="22"/>
          <w:b w:val="1"/>
          <w:bCs w:val="1"/>
          <w:color w:val="auto"/>
        </w:rPr>
        <w:t xml:space="preserve"> </w:t>
      </w:r>
      <w:r>
        <w:rPr>
          <w:rFonts w:ascii="Arial" w:cs="Arial" w:eastAsia="Arial" w:hAnsi="Arial"/>
          <w:sz w:val="22"/>
          <w:szCs w:val="22"/>
          <w:color w:val="auto"/>
        </w:rPr>
        <w:t>expenses incurred in connection with the preparation and filing of any and all Regulatory Materials for obtaining the Kaken Territory Regulatory Approvals and the maintenance of all Kaken Territory Regulatory Approvals (including MAA approvals) for Licensed Products in the Field.</w:t>
      </w:r>
    </w:p>
    <w:p>
      <w:pPr>
        <w:spacing w:after="0" w:line="180"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b w:val="1"/>
          <w:bCs w:val="1"/>
          <w:color w:val="auto"/>
        </w:rPr>
        <w:t xml:space="preserve">5.5 Right of Reference to Regulatory Materials </w:t>
      </w:r>
      <w:r>
        <w:rPr>
          <w:rFonts w:ascii="Arial" w:cs="Arial" w:eastAsia="Arial" w:hAnsi="Arial"/>
          <w:sz w:val="19"/>
          <w:szCs w:val="19"/>
          <w:color w:val="auto"/>
        </w:rPr>
        <w:t>. Each Party hereby grants to the other Party the “</w:t>
      </w:r>
      <w:r>
        <w:rPr>
          <w:rFonts w:ascii="Arial" w:cs="Arial" w:eastAsia="Arial" w:hAnsi="Arial"/>
          <w:sz w:val="19"/>
          <w:szCs w:val="19"/>
          <w:b w:val="1"/>
          <w:bCs w:val="1"/>
          <w:color w:val="auto"/>
        </w:rPr>
        <w:t>Right of Reference</w:t>
      </w:r>
      <w:r>
        <w:rPr>
          <w:rFonts w:ascii="Arial" w:cs="Arial" w:eastAsia="Arial" w:hAnsi="Arial"/>
          <w:sz w:val="19"/>
          <w:szCs w:val="19"/>
          <w:color w:val="auto"/>
        </w:rPr>
        <w:t>,” as that term is defined in 21 C.F.R. § 314.3(b) (or any successor rule or analogous Law recognized outside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U.S.), to all Regulatory Materials pertaining to Licensed Compound and Licensed Products submitted by or on behalf of such Party, which right shall include, in the case of Kaken as the granting Party, the right of Spruce to grant a right of reference to Spruce Partners and, in the case of Spruce as the granting Party the right for Kaken to receive such right from all Spruce Partners and Sublicensees. The receiving Party may use such right of reference solely for the purpose of seeking, obtaining and maintaining Regulatory Approval of Licensed Products in its respective territory. Each Party shall support the other Party, as reasonably requested by such other Party and at such other Party’s expense, in obtaining Regulatory Approvals in such other Party’s territory, including providing necessary documents or other materials required by applicable Laws to obtain Regulatory Approval in such territory, all in accordance with the terms and conditions of this Agreement. Without limiting the generality of the foregoing, each Party will duly execute and deliver, or cause to be duly executed and delivered, such instruments, and will do and cause to be done such reasonable acts and things, as may be necessary under, or as the other Party may reasonably request, to effectuate the Right of Reference of such other Party contemplated in this Section 5.5, including providing a signed statement to this effect in accordance with 21 C.F.R. § 314.50(g)(3) (or any successor or analogous Law outside of the U.S.).</w:t>
      </w:r>
    </w:p>
    <w:p>
      <w:pPr>
        <w:spacing w:after="0" w:line="151"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 xml:space="preserve">5.6 No Harmful Actions </w:t>
      </w:r>
      <w:r>
        <w:rPr>
          <w:rFonts w:ascii="Arial" w:cs="Arial" w:eastAsia="Arial" w:hAnsi="Arial"/>
          <w:sz w:val="22"/>
          <w:szCs w:val="22"/>
          <w:color w:val="auto"/>
        </w:rPr>
        <w:t>. If either Party believes that the other Party is taking or intends to take any action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to any Licensed Product that could reasonably be expected to have an Adverse Risk, whether in the Spruce Territory or in the Kaken Territory, such Party may bring the matter to the attention of the JSC and the Parties shall discuss in good faith to promptly resolve such concern.</w:t>
      </w:r>
    </w:p>
    <w:p>
      <w:pPr>
        <w:spacing w:after="0" w:line="180"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5.7 Notification of Threatened Action</w:t>
      </w:r>
      <w:r>
        <w:rPr>
          <w:rFonts w:ascii="Arial" w:cs="Arial" w:eastAsia="Arial" w:hAnsi="Arial"/>
          <w:sz w:val="22"/>
          <w:szCs w:val="22"/>
          <w:color w:val="auto"/>
        </w:rPr>
        <w:t>. Each Party shall immediately (but in any event no later than [***]) notify the</w:t>
      </w:r>
      <w:r>
        <w:rPr>
          <w:rFonts w:ascii="Arial" w:cs="Arial" w:eastAsia="Arial" w:hAnsi="Arial"/>
          <w:sz w:val="22"/>
          <w:szCs w:val="22"/>
          <w:b w:val="1"/>
          <w:bCs w:val="1"/>
          <w:color w:val="auto"/>
        </w:rPr>
        <w:t xml:space="preserve"> </w:t>
      </w:r>
      <w:r>
        <w:rPr>
          <w:rFonts w:ascii="Arial" w:cs="Arial" w:eastAsia="Arial" w:hAnsi="Arial"/>
          <w:sz w:val="22"/>
          <w:szCs w:val="22"/>
          <w:color w:val="auto"/>
        </w:rPr>
        <w:t>other Party (including by providing notice to the other Party’s Alliance Manager) of any information it receives regarding any threatened or pending action,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6" w:name="page177"/>
    <w:bookmarkEnd w:id="176"/>
    <w:p>
      <w:pPr>
        <w:jc w:val="both"/>
        <w:spacing w:after="0" w:line="238" w:lineRule="auto"/>
        <w:rPr>
          <w:sz w:val="20"/>
          <w:szCs w:val="20"/>
          <w:color w:val="auto"/>
        </w:rPr>
      </w:pPr>
      <w:r>
        <w:rPr>
          <w:rFonts w:ascii="Arial" w:cs="Arial" w:eastAsia="Arial" w:hAnsi="Arial"/>
          <w:sz w:val="22"/>
          <w:szCs w:val="22"/>
          <w:color w:val="auto"/>
        </w:rPr>
        <w:t>inspection or communication by or from any Third Party, including without limitation a Regulatory Authority, which may affect the Development, Manufacture, Commercialization or regulatory status of any Licensed Product. Upon receipt of such information, the Parties shall consult with each other in an effort to arrive at a mutually acceptable procedure for taking appropriate action.</w:t>
      </w:r>
    </w:p>
    <w:p>
      <w:pPr>
        <w:spacing w:after="0" w:line="179"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b w:val="1"/>
          <w:bCs w:val="1"/>
          <w:color w:val="auto"/>
        </w:rPr>
        <w:t>5.8 Adverse Event Reporting and Safety Data Exchange</w:t>
      </w:r>
      <w:r>
        <w:rPr>
          <w:rFonts w:ascii="Arial" w:cs="Arial" w:eastAsia="Arial" w:hAnsi="Arial"/>
          <w:sz w:val="19"/>
          <w:szCs w:val="19"/>
          <w:color w:val="auto"/>
        </w:rPr>
        <w:t>. No later than [***] before the Initiation of a Clinical Trial</w:t>
      </w:r>
      <w:r>
        <w:rPr>
          <w:rFonts w:ascii="Arial" w:cs="Arial" w:eastAsia="Arial" w:hAnsi="Arial"/>
          <w:sz w:val="19"/>
          <w:szCs w:val="19"/>
          <w:b w:val="1"/>
          <w:bCs w:val="1"/>
          <w:color w:val="auto"/>
        </w:rPr>
        <w:t xml:space="preserve"> </w:t>
      </w:r>
      <w:r>
        <w:rPr>
          <w:rFonts w:ascii="Arial" w:cs="Arial" w:eastAsia="Arial" w:hAnsi="Arial"/>
          <w:sz w:val="19"/>
          <w:szCs w:val="19"/>
          <w:color w:val="auto"/>
        </w:rPr>
        <w:t>with respect to the Development of any Licensed Product in the Kaken Territory, the Parties shall define and finalize the actions that the Parties shall employ with respect to such Licensed Product to protect patients and promote their well-being in a written pharmacovigilance agreement (the “</w:t>
      </w:r>
      <w:r>
        <w:rPr>
          <w:rFonts w:ascii="Arial" w:cs="Arial" w:eastAsia="Arial" w:hAnsi="Arial"/>
          <w:sz w:val="19"/>
          <w:szCs w:val="19"/>
          <w:b w:val="1"/>
          <w:bCs w:val="1"/>
          <w:color w:val="auto"/>
        </w:rPr>
        <w:t>Pharmacovigilance Agreement</w:t>
      </w:r>
      <w:r>
        <w:rPr>
          <w:rFonts w:ascii="Arial" w:cs="Arial" w:eastAsia="Arial" w:hAnsi="Arial"/>
          <w:sz w:val="19"/>
          <w:szCs w:val="19"/>
          <w:color w:val="auto"/>
        </w:rPr>
        <w:t>”) for the Development of the Licensed Product globally. Further, no later than [***] before the anticipated launch date of any Licensed Product in the Kaken Territory, the Parties shall enter into a separate Pharmacovigilance Agreement for the Commercialization of the Licensed Product. Each of the Pharmacovigilance Agreements shall include mutually acceptable guidelines and procedures for the receipt, investigation, recording, communication, and exchange (as between the Parties) of adverse event reports, pregnancy reports, and any other information concerning the safety of the Licensed Product, and other routine pharmacovigilance reporting requirements. Such guidelines and procedures shall be in accordance with, and enable the Parties to fulfill, local and national regulatory reporting obligations under applicable Laws. Furthermore, such agreed procedure shall be consistent with relevant ICH guidelines, except where such guidelines may conflict with existing local regulatory reporting requirements, in which case the local reporting requirements shall prevail. The Pharmacovigilance Agreement shall provide for an adverse event database for the Licensed Products in the Field in the Kaken Territory to be maintained by Kaken at Kaken’s expense, and a global safety database for the Licensed Products to be maintained by Spruce at Spruce’s expense. As between the Parties, Kaken shall be responsible for preparing all adverse event reports and responses to safety issues and requests of Regulatory Authorities relating to Licensed Products in the Field in the Kaken Territory, and Kaken shall be responsible for filing such reports and responses with Regulatory Authorities in the Kaken Territory. As between the Parties, Kaken shall also be responsible for reporting any quality complaints, adverse events and safety data related to Licensed Products in the Field in the Kaken Territory to Spruce for inclusion in the global safety database. Each Party hereby agrees to comply with its respective obligations under such Pharmacovigilance Agreement and to cause its Affiliates and permitted Sublicensees to comply with such obligations.</w:t>
      </w:r>
    </w:p>
    <w:p>
      <w:pPr>
        <w:spacing w:after="0" w:line="157"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b w:val="1"/>
          <w:bCs w:val="1"/>
          <w:color w:val="auto"/>
        </w:rPr>
        <w:t>5.9 Remedial Actions</w:t>
      </w:r>
      <w:r>
        <w:rPr>
          <w:rFonts w:ascii="Arial" w:cs="Arial" w:eastAsia="Arial" w:hAnsi="Arial"/>
          <w:sz w:val="21"/>
          <w:szCs w:val="21"/>
          <w:color w:val="auto"/>
        </w:rPr>
        <w:t>. Each Party will notify the other Party immediately (but in any event no later than [***]), and</w:t>
      </w:r>
      <w:r>
        <w:rPr>
          <w:rFonts w:ascii="Arial" w:cs="Arial" w:eastAsia="Arial" w:hAnsi="Arial"/>
          <w:sz w:val="21"/>
          <w:szCs w:val="21"/>
          <w:b w:val="1"/>
          <w:bCs w:val="1"/>
          <w:color w:val="auto"/>
        </w:rPr>
        <w:t xml:space="preserve"> </w:t>
      </w:r>
      <w:r>
        <w:rPr>
          <w:rFonts w:ascii="Arial" w:cs="Arial" w:eastAsia="Arial" w:hAnsi="Arial"/>
          <w:sz w:val="21"/>
          <w:szCs w:val="21"/>
          <w:color w:val="auto"/>
        </w:rPr>
        <w:t>promptly confirm such notice in writing, if it obtains information indicating that any Licensed Product may be subject to any recall, corrective action or other regulatory action taken by virtue of applicable Laws (a “</w:t>
      </w:r>
      <w:r>
        <w:rPr>
          <w:rFonts w:ascii="Arial" w:cs="Arial" w:eastAsia="Arial" w:hAnsi="Arial"/>
          <w:sz w:val="21"/>
          <w:szCs w:val="21"/>
          <w:b w:val="1"/>
          <w:bCs w:val="1"/>
          <w:color w:val="auto"/>
        </w:rPr>
        <w:t>Remedial Action</w:t>
      </w:r>
      <w:r>
        <w:rPr>
          <w:rFonts w:ascii="Arial" w:cs="Arial" w:eastAsia="Arial" w:hAnsi="Arial"/>
          <w:sz w:val="21"/>
          <w:szCs w:val="21"/>
          <w:color w:val="auto"/>
        </w:rPr>
        <w:t xml:space="preserve">”). The Parties will assist each other in gathering and evaluating such information as is necessary to determine the necessity of conducting a Remedial Action. Kaken shall, and shall ensure that its Affiliates and Sublicensees will, maintain adequate records to permit the Parties to trace the packaging, labeling, distribution, sale and use (to the extent possible) of the Licensed Product in the Kaken Territory. Kaken shall have sole discretion with respect to any matters relating to any Remedial Action in the Kaken Territory, including the decision to commence such Remedial Action and the control over such Remedial Action in its territory, at its cost and expense;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if Spruce determines in good faith that any Remedial Action with respect to any Licensed Product in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7" w:name="page178"/>
    <w:bookmarkEnd w:id="177"/>
    <w:p>
      <w:pPr>
        <w:jc w:val="both"/>
        <w:spacing w:after="0" w:line="250" w:lineRule="auto"/>
        <w:rPr>
          <w:sz w:val="20"/>
          <w:szCs w:val="20"/>
          <w:color w:val="auto"/>
        </w:rPr>
      </w:pPr>
      <w:r>
        <w:rPr>
          <w:rFonts w:ascii="Arial" w:cs="Arial" w:eastAsia="Arial" w:hAnsi="Arial"/>
          <w:sz w:val="22"/>
          <w:szCs w:val="22"/>
          <w:color w:val="auto"/>
        </w:rPr>
        <w:t>Kaken Territory should be commenced or is required by applicable Laws or Regulatory Authority, Spruce shall discuss such Remedial Action with Kaken.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COMMERCIALIZATION</w:t>
      </w:r>
    </w:p>
    <w:p>
      <w:pPr>
        <w:spacing w:after="0" w:line="182"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b w:val="1"/>
          <w:bCs w:val="1"/>
          <w:color w:val="auto"/>
        </w:rPr>
        <w:t>6.1 Overview; Diligence</w:t>
      </w:r>
      <w:r>
        <w:rPr>
          <w:rFonts w:ascii="Arial" w:cs="Arial" w:eastAsia="Arial" w:hAnsi="Arial"/>
          <w:sz w:val="19"/>
          <w:szCs w:val="19"/>
          <w:color w:val="auto"/>
        </w:rPr>
        <w:t>. Subject to the terms and conditions of this Agreement (including the diligence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set forth below), Kaken shall have the sole right and responsibility for and have operational control over all aspects of the Commercialization of Licensed Products in the Field in the Kaken Territory, including: (a) developing and executing a commercial launch and pre-launch plan, (b) negotiating with applicable Governmental Authorities regarding the price and reimbursement status of Licensed Products and obtaining pricing and reimbursement approvals for Licensed Products; (c) marketing, advertising and promotion; (d) booking sales and distribution and performance of related services; (e) handling all aspects of order processing, invoicing and collection, inventory and receivables; (f) providing customer support, including handling medical queries, and performing other related functions; and (g) conforming its practices and procedures to applicable Laws relating to the marketing, detailing and promotion of Licensed Products in the Field in the Kaken Territory. Kaken shall bear all of the costs and expenses incurred in connection with such Commercialization activities. Kaken shall use Commercially Reasonable Efforts to Commercialize the Licensed Products in the Field in the Kaken Territory and to actively market and sell the Licensed Products in the Kaken Territory and to expand annual Net Sales of the Licensed Products in the Kaken Territory. Without limiting the generality of the foregoing, Kaken shall use Commercially Reasonable Efforts to conduct its Commercialization activities under and in accordance with the Commercialization Plan.</w:t>
      </w:r>
    </w:p>
    <w:p>
      <w:pPr>
        <w:spacing w:after="0" w:line="39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6.2  Commercialization Plan</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4" w:lineRule="auto"/>
        <w:tabs>
          <w:tab w:leader="none" w:pos="1929" w:val="left"/>
        </w:tabs>
        <w:numPr>
          <w:ilvl w:val="0"/>
          <w:numId w:val="81"/>
        </w:numPr>
        <w:rPr>
          <w:rFonts w:ascii="Arial" w:cs="Arial" w:eastAsia="Arial" w:hAnsi="Arial"/>
          <w:sz w:val="19"/>
          <w:szCs w:val="19"/>
          <w:b w:val="1"/>
          <w:bCs w:val="1"/>
          <w:color w:val="auto"/>
        </w:rPr>
      </w:pPr>
      <w:r>
        <w:rPr>
          <w:rFonts w:ascii="Arial" w:cs="Arial" w:eastAsia="Arial" w:hAnsi="Arial"/>
          <w:sz w:val="19"/>
          <w:szCs w:val="19"/>
          <w:b w:val="1"/>
          <w:bCs w:val="1"/>
          <w:color w:val="auto"/>
        </w:rPr>
        <w:t>General</w:t>
      </w:r>
      <w:r>
        <w:rPr>
          <w:rFonts w:ascii="Arial" w:cs="Arial" w:eastAsia="Arial" w:hAnsi="Arial"/>
          <w:sz w:val="19"/>
          <w:szCs w:val="19"/>
          <w:color w:val="auto"/>
        </w:rPr>
        <w:t>. Kaken shall Commercialize Licensed Products in the Field in the Kaken Territory pursuant to a</w:t>
      </w:r>
      <w:r>
        <w:rPr>
          <w:rFonts w:ascii="Arial" w:cs="Arial" w:eastAsia="Arial" w:hAnsi="Arial"/>
          <w:sz w:val="19"/>
          <w:szCs w:val="19"/>
          <w:b w:val="1"/>
          <w:bCs w:val="1"/>
          <w:color w:val="auto"/>
        </w:rPr>
        <w:t xml:space="preserve"> </w:t>
      </w:r>
      <w:r>
        <w:rPr>
          <w:rFonts w:ascii="Arial" w:cs="Arial" w:eastAsia="Arial" w:hAnsi="Arial"/>
          <w:sz w:val="19"/>
          <w:szCs w:val="19"/>
          <w:color w:val="auto"/>
        </w:rPr>
        <w:t>commercialization plan (the “</w:t>
      </w:r>
      <w:r>
        <w:rPr>
          <w:rFonts w:ascii="Arial" w:cs="Arial" w:eastAsia="Arial" w:hAnsi="Arial"/>
          <w:sz w:val="19"/>
          <w:szCs w:val="19"/>
          <w:b w:val="1"/>
          <w:bCs w:val="1"/>
          <w:color w:val="auto"/>
        </w:rPr>
        <w:t>Commercialization Plan</w:t>
      </w:r>
      <w:r>
        <w:rPr>
          <w:rFonts w:ascii="Arial" w:cs="Arial" w:eastAsia="Arial" w:hAnsi="Arial"/>
          <w:sz w:val="19"/>
          <w:szCs w:val="19"/>
          <w:color w:val="auto"/>
        </w:rPr>
        <w:t>”). The Commercialization Plan shall include (i) a detailed description of all key strategic decisions (including messaging, branding, marketing, advertising, sales force positioning, number of representatives and details, pricing strategy, etc.), implementation tactics and pre-launch and post-launch activities; and (ii) a reasonably detailed description and timeline of Kaken’s, its Affiliates’ and their respective Sublicensees’ Commercialization activities for Licensed Products in the Kaken Territory for each Kaken Fiscal Year, including medical marketing activities, sales forecasts and projections, pricing, reimbursement, market research, sales training, distribution channels, customer service and sales force matters related to the launch and sale of Licensed Products in the Kaken Territory. In the event that Kaken’s Commercialization Plan requires the use of Spruce internal resources to conduct additional activities, the extent of such need shall be clearly specified in the Commercialization Plan and will require the prior written approval of Spruce.</w:t>
      </w:r>
    </w:p>
    <w:p>
      <w:pPr>
        <w:spacing w:after="0" w:line="151" w:lineRule="exact"/>
        <w:rPr>
          <w:rFonts w:ascii="Arial" w:cs="Arial" w:eastAsia="Arial" w:hAnsi="Arial"/>
          <w:sz w:val="19"/>
          <w:szCs w:val="19"/>
          <w:b w:val="1"/>
          <w:bCs w:val="1"/>
          <w:color w:val="auto"/>
        </w:rPr>
      </w:pPr>
    </w:p>
    <w:p>
      <w:pPr>
        <w:jc w:val="both"/>
        <w:ind w:firstLine="1505"/>
        <w:spacing w:after="0" w:line="289" w:lineRule="auto"/>
        <w:tabs>
          <w:tab w:leader="none" w:pos="1929" w:val="left"/>
        </w:tabs>
        <w:numPr>
          <w:ilvl w:val="0"/>
          <w:numId w:val="81"/>
        </w:numPr>
        <w:rPr>
          <w:rFonts w:ascii="Arial" w:cs="Arial" w:eastAsia="Arial" w:hAnsi="Arial"/>
          <w:sz w:val="19"/>
          <w:szCs w:val="19"/>
          <w:b w:val="1"/>
          <w:bCs w:val="1"/>
          <w:color w:val="auto"/>
        </w:rPr>
      </w:pPr>
      <w:r>
        <w:rPr>
          <w:rFonts w:ascii="Arial" w:cs="Arial" w:eastAsia="Arial" w:hAnsi="Arial"/>
          <w:sz w:val="19"/>
          <w:szCs w:val="19"/>
          <w:b w:val="1"/>
          <w:bCs w:val="1"/>
          <w:color w:val="auto"/>
        </w:rPr>
        <w:t>Initial Plan and Amendments</w:t>
      </w:r>
      <w:r>
        <w:rPr>
          <w:rFonts w:ascii="Arial" w:cs="Arial" w:eastAsia="Arial" w:hAnsi="Arial"/>
          <w:sz w:val="19"/>
          <w:szCs w:val="19"/>
          <w:color w:val="auto"/>
        </w:rPr>
        <w:t>. Within a reasonable time (but no less than [***]) prior to the anticipated</w:t>
      </w:r>
      <w:r>
        <w:rPr>
          <w:rFonts w:ascii="Arial" w:cs="Arial" w:eastAsia="Arial" w:hAnsi="Arial"/>
          <w:sz w:val="19"/>
          <w:szCs w:val="19"/>
          <w:b w:val="1"/>
          <w:bCs w:val="1"/>
          <w:color w:val="auto"/>
        </w:rPr>
        <w:t xml:space="preserve"> </w:t>
      </w:r>
      <w:r>
        <w:rPr>
          <w:rFonts w:ascii="Arial" w:cs="Arial" w:eastAsia="Arial" w:hAnsi="Arial"/>
          <w:sz w:val="19"/>
          <w:szCs w:val="19"/>
          <w:color w:val="auto"/>
        </w:rPr>
        <w:t>first Pricing Approval for each Licensed Product in the Kaken Territory, Kaken shall prepare and present to the JSC an initial Commercialization Plan for review and discussion (but not approval) by the JSC. From time to time (but at least on an annual basis) during the Term, Kaken shall prepare updates and amendments, as appropriate, to the then-current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8" w:name="page179"/>
    <w:bookmarkEnd w:id="178"/>
    <w:p>
      <w:pPr>
        <w:jc w:val="both"/>
        <w:spacing w:after="0" w:line="236" w:lineRule="auto"/>
        <w:rPr>
          <w:sz w:val="20"/>
          <w:szCs w:val="20"/>
          <w:color w:val="auto"/>
        </w:rPr>
      </w:pPr>
      <w:r>
        <w:rPr>
          <w:rFonts w:ascii="Arial" w:cs="Arial" w:eastAsia="Arial" w:hAnsi="Arial"/>
          <w:sz w:val="22"/>
          <w:szCs w:val="22"/>
          <w:color w:val="auto"/>
        </w:rPr>
        <w:t>Commercialization Plan, and shall submit all updates and amendments to the Commercialization Plan to the JSC for review and discussion (but not approval). Notwithstanding anything to the contrary contained in this Agreement, the Commercialization Plan, and any updates and amendments thereto, shall not require the approval of the JSC or Spruce; provided, however, that the Commercialization Plan shall be consistent with Spruce’s global commercialization strategy for the Licensed Products in the Field as communicated by Spruce to Kaken in writing.</w:t>
      </w:r>
    </w:p>
    <w:p>
      <w:pPr>
        <w:spacing w:after="0" w:line="18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b w:val="1"/>
          <w:bCs w:val="1"/>
          <w:color w:val="auto"/>
        </w:rPr>
        <w:t>6.3 Data Exchange</w:t>
      </w:r>
      <w:r>
        <w:rPr>
          <w:rFonts w:ascii="Arial" w:cs="Arial" w:eastAsia="Arial" w:hAnsi="Arial"/>
          <w:sz w:val="21"/>
          <w:szCs w:val="21"/>
          <w:color w:val="auto"/>
        </w:rPr>
        <w:t>. Kaken shall keep Spruce reasonably informed of Kaken’s, its Affiliates’ and their respective</w:t>
      </w:r>
      <w:r>
        <w:rPr>
          <w:rFonts w:ascii="Arial" w:cs="Arial" w:eastAsia="Arial" w:hAnsi="Arial"/>
          <w:sz w:val="21"/>
          <w:szCs w:val="21"/>
          <w:b w:val="1"/>
          <w:bCs w:val="1"/>
          <w:color w:val="auto"/>
        </w:rPr>
        <w:t xml:space="preserve"> </w:t>
      </w:r>
      <w:r>
        <w:rPr>
          <w:rFonts w:ascii="Arial" w:cs="Arial" w:eastAsia="Arial" w:hAnsi="Arial"/>
          <w:sz w:val="21"/>
          <w:szCs w:val="21"/>
          <w:color w:val="auto"/>
        </w:rPr>
        <w:t>Sublicensees’ Commercialization activities with respect to the Licensed Products in the Field in the Kaken Territory. Additionally, Kaken shall promptly notify Spruce of the First Commercial Sale of the first Licensed Product in the Kaken Territory. Spruce shall provide to Kaken, upon Kaken’s request, and no more than once each Calendar Quarter, at Spruce’s cost, copies of any materials prepared by or on behalf of Spruce that are necessary or reasonably useful in connection with Kaken’s Commercialization of Licensed Products in the Field in the Kaken Territory (including relevant training materials, global brand and global market research, in each case, with respect to Licensed Products), and, to the extent elected by Kaken, a fully paid-up, exclusive license to use such materials in connection with the Commercialization of Licensed Products in the Field in the Kaken Territory with the right to create derivative works, including Japanese translations thereof, to Develop and Commercialize Licensed Compounds and Licensed Products in the Field in the Kaken Territory and grant sublicenses in multiple tiers in accordance with the Agreement.</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6.4  No Diversion</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3" w:lineRule="auto"/>
        <w:tabs>
          <w:tab w:leader="none" w:pos="1929" w:val="left"/>
        </w:tabs>
        <w:numPr>
          <w:ilvl w:val="0"/>
          <w:numId w:val="82"/>
        </w:numPr>
        <w:rPr>
          <w:rFonts w:ascii="Arial" w:cs="Arial" w:eastAsia="Arial" w:hAnsi="Arial"/>
          <w:sz w:val="19"/>
          <w:szCs w:val="19"/>
          <w:b w:val="1"/>
          <w:bCs w:val="1"/>
          <w:color w:val="auto"/>
        </w:rPr>
      </w:pPr>
      <w:r>
        <w:rPr>
          <w:rFonts w:ascii="Arial" w:cs="Arial" w:eastAsia="Arial" w:hAnsi="Arial"/>
          <w:sz w:val="19"/>
          <w:szCs w:val="19"/>
          <w:b w:val="1"/>
          <w:bCs w:val="1"/>
          <w:color w:val="auto"/>
        </w:rPr>
        <w:t>No Diversion by Kaken</w:t>
      </w:r>
      <w:r>
        <w:rPr>
          <w:rFonts w:ascii="Arial" w:cs="Arial" w:eastAsia="Arial" w:hAnsi="Arial"/>
          <w:sz w:val="19"/>
          <w:szCs w:val="19"/>
          <w:color w:val="auto"/>
        </w:rPr>
        <w:t>. Kaken hereby covenants and agrees that it shall not, and shall ensure that its</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Affiliates and Sublicensees will not, directly or indirectly, promote, market, distribute, import, sell or have sold the Licensed Products, including via internet or mail order, outside the Kaken Territory. Kaken shall not, and shall ensure that its Affiliates and their respective Sublicensees will not: (a) establish or maintain any branch, warehouse or distribution facility for Licensed Products outside the Kaken Territory for distribution of Licensed Products outside the Kaken Territory, (b) knowingly engage in any advertising or promotional activities relating to Licensed Products that are directed primarily to customers or other purchaser or users of Licensed Products located outside the Kaken Territory, (c) actively solicit orders for Licensed Products from any prospective purchaser located outside the Kaken Territory, or (d) knowingly sell or distribute Licensed Products to any person outside the Kaken Territory who intends to sell or has in the past sold Licensed Products outside the Kaken Territory. If Kaken receives any order for any Licensed Product from a prospective purchaser reasonably believed to be located in a country outside the Kaken Territory, Kaken shall promptly refer that order to Spruce and Kaken shall not accept any such orders. Kaken shall not deliver or tender (or cause to be delivered or tendered) Licensed Products into a country outside the Kaken Territory.</w:t>
      </w:r>
    </w:p>
    <w:p>
      <w:pPr>
        <w:spacing w:after="0" w:line="149" w:lineRule="exact"/>
        <w:rPr>
          <w:rFonts w:ascii="Arial" w:cs="Arial" w:eastAsia="Arial" w:hAnsi="Arial"/>
          <w:sz w:val="19"/>
          <w:szCs w:val="19"/>
          <w:b w:val="1"/>
          <w:bCs w:val="1"/>
          <w:color w:val="auto"/>
        </w:rPr>
      </w:pPr>
    </w:p>
    <w:p>
      <w:pPr>
        <w:jc w:val="both"/>
        <w:ind w:firstLine="1505"/>
        <w:spacing w:after="0" w:line="237" w:lineRule="auto"/>
        <w:tabs>
          <w:tab w:leader="none" w:pos="1929"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color w:val="auto"/>
        </w:rPr>
        <w:t>No Diversion by Spruce</w:t>
      </w:r>
      <w:r>
        <w:rPr>
          <w:rFonts w:ascii="Arial" w:cs="Arial" w:eastAsia="Arial" w:hAnsi="Arial"/>
          <w:sz w:val="22"/>
          <w:szCs w:val="22"/>
          <w:color w:val="auto"/>
        </w:rPr>
        <w:t>. Except for Additional Indication Opportunities for which Kaken does not send</w:t>
      </w:r>
      <w:r>
        <w:rPr>
          <w:rFonts w:ascii="Arial" w:cs="Arial" w:eastAsia="Arial" w:hAnsi="Arial"/>
          <w:sz w:val="22"/>
          <w:szCs w:val="22"/>
          <w:b w:val="1"/>
          <w:bCs w:val="1"/>
          <w:color w:val="auto"/>
        </w:rPr>
        <w:t xml:space="preserve"> </w:t>
      </w:r>
      <w:r>
        <w:rPr>
          <w:rFonts w:ascii="Arial" w:cs="Arial" w:eastAsia="Arial" w:hAnsi="Arial"/>
          <w:sz w:val="22"/>
          <w:szCs w:val="22"/>
          <w:color w:val="auto"/>
        </w:rPr>
        <w:t>a ROFN Exercise Notice within the ROFN Exercise Period or for which the Parties fail to reach a definitive agreement on the terms of a license during the ROFN Negotiation Period, (i) Spruce hereby covenants and agrees that it shall not, and shall ensure that its Affiliates and Sublicensees (including Spruce Partners) will not, directly or indirectly, promote, market, distribute, import, sell or have sold the Licensed Products, including via internet or mail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9" w:name="page180"/>
    <w:bookmarkEnd w:id="179"/>
    <w:p>
      <w:pPr>
        <w:jc w:val="both"/>
        <w:spacing w:after="0" w:line="245" w:lineRule="auto"/>
        <w:rPr>
          <w:sz w:val="20"/>
          <w:szCs w:val="20"/>
          <w:color w:val="auto"/>
        </w:rPr>
      </w:pPr>
      <w:r>
        <w:rPr>
          <w:rFonts w:ascii="Arial" w:cs="Arial" w:eastAsia="Arial" w:hAnsi="Arial"/>
          <w:sz w:val="21"/>
          <w:szCs w:val="21"/>
          <w:color w:val="auto"/>
        </w:rPr>
        <w:t>order, in the Kaken Territory; (ii) Spruce shall not, and shall ensure that its Affiliates and their respective Sublicensees and Spruce Partners will not: (a) establish or maintain any branch, warehouse or distribution facility for Licensed Products for distribution of Licensed Products in the Kaken Territory, (b) knowingly engage in any advertising or promotional activities relating to Licensed Products that are directed primarily to customers or other purchaser or users of Licensed Products located in the Kaken Territory, (c) actively solicit orders for Licensed Products from any prospective purchaser located in the Kaken Territory, or (d) knowingly sell or distribute Licensed Products to any Person who intends to sell or has in the past sold Licensed Products in the Kaken Territory and (iii) If Spruce receives any order for any Licensed Product from a prospective purchaser reasonably believed to be located in a country in the Kaken Territory, Spruce shall promptly refer that order to Kaken and Spruce shall not accept any such orders. Spruce shall not deliver or tender (or cause to be delivered or tendered) Licensed Products into the Kaken Territory.</w:t>
      </w:r>
    </w:p>
    <w:p>
      <w:pPr>
        <w:spacing w:after="0" w:line="175"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19"/>
          <w:szCs w:val="19"/>
          <w:b w:val="1"/>
          <w:bCs w:val="1"/>
          <w:color w:val="auto"/>
        </w:rPr>
        <w:t>6.5 Field Restrictions</w:t>
      </w:r>
      <w:r>
        <w:rPr>
          <w:rFonts w:ascii="Arial" w:cs="Arial" w:eastAsia="Arial" w:hAnsi="Arial"/>
          <w:sz w:val="19"/>
          <w:szCs w:val="19"/>
          <w:color w:val="auto"/>
        </w:rPr>
        <w:t>. Kaken hereby covenants that it shall not, and shall cause its Affiliates and Sublicensees not to,</w:t>
      </w:r>
      <w:r>
        <w:rPr>
          <w:rFonts w:ascii="Arial" w:cs="Arial" w:eastAsia="Arial" w:hAnsi="Arial"/>
          <w:sz w:val="19"/>
          <w:szCs w:val="19"/>
          <w:b w:val="1"/>
          <w:bCs w:val="1"/>
          <w:color w:val="auto"/>
        </w:rPr>
        <w:t xml:space="preserve"> </w:t>
      </w:r>
      <w:r>
        <w:rPr>
          <w:rFonts w:ascii="Arial" w:cs="Arial" w:eastAsia="Arial" w:hAnsi="Arial"/>
          <w:sz w:val="19"/>
          <w:szCs w:val="19"/>
          <w:color w:val="auto"/>
        </w:rPr>
        <w:t>promote or encourage the use of Licensed Products in the Kaken Territory for any use outside the Field. Spruce hereby covenants that it shall cause other licensees to whom Spruce has granted a license to Develop, Manufacture and have Manufactured, distribute, market, promote, sell, have sold, offer for sale, import, label, package and otherwise Commercialize any Licensed Product in the Spruce Territory or Licensed Products in any fields other than the Field hereunder in the Kaken Territory, not to promote or encourage the use of Licensed Products in the Kaken Territory for any use in the Field.</w:t>
      </w:r>
    </w:p>
    <w:p>
      <w:pPr>
        <w:spacing w:after="0" w:line="145"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b w:val="1"/>
          <w:bCs w:val="1"/>
          <w:color w:val="auto"/>
        </w:rPr>
        <w:t>6.6 Kaken’s Right of First Negotiation</w:t>
      </w:r>
      <w:r>
        <w:rPr>
          <w:rFonts w:ascii="Arial" w:cs="Arial" w:eastAsia="Arial" w:hAnsi="Arial"/>
          <w:sz w:val="19"/>
          <w:szCs w:val="19"/>
          <w:color w:val="auto"/>
        </w:rPr>
        <w:t>. Spruce hereby grants to Kaken a right of first negotiation (the “</w:t>
      </w:r>
      <w:r>
        <w:rPr>
          <w:rFonts w:ascii="Arial" w:cs="Arial" w:eastAsia="Arial" w:hAnsi="Arial"/>
          <w:sz w:val="19"/>
          <w:szCs w:val="19"/>
          <w:b w:val="1"/>
          <w:bCs w:val="1"/>
          <w:color w:val="auto"/>
        </w:rPr>
        <w:t>ROFN</w:t>
      </w:r>
      <w:r>
        <w:rPr>
          <w:rFonts w:ascii="Arial" w:cs="Arial" w:eastAsia="Arial" w:hAnsi="Arial"/>
          <w:sz w:val="19"/>
          <w:szCs w:val="19"/>
          <w:color w:val="auto"/>
        </w:rPr>
        <w:t>”) with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respect to (i) the Manufacture, Development or Commercialization of any Licensed Products for use in the Field in China, South Korea, and the specified ASEAN countries set forth on </w:t>
      </w:r>
      <w:r>
        <w:rPr>
          <w:rFonts w:ascii="Arial" w:cs="Arial" w:eastAsia="Arial" w:hAnsi="Arial"/>
          <w:sz w:val="19"/>
          <w:szCs w:val="19"/>
          <w:b w:val="1"/>
          <w:bCs w:val="1"/>
          <w:color w:val="auto"/>
        </w:rPr>
        <w:t>Schedule 6.6</w:t>
      </w:r>
      <w:r>
        <w:rPr>
          <w:rFonts w:ascii="Arial" w:cs="Arial" w:eastAsia="Arial" w:hAnsi="Arial"/>
          <w:sz w:val="19"/>
          <w:szCs w:val="19"/>
          <w:color w:val="auto"/>
        </w:rPr>
        <w:t xml:space="preserve"> (a “</w:t>
      </w:r>
      <w:r>
        <w:rPr>
          <w:rFonts w:ascii="Arial" w:cs="Arial" w:eastAsia="Arial" w:hAnsi="Arial"/>
          <w:sz w:val="19"/>
          <w:szCs w:val="19"/>
          <w:b w:val="1"/>
          <w:bCs w:val="1"/>
          <w:color w:val="auto"/>
        </w:rPr>
        <w:t>Territory Expansion Opportunity</w:t>
      </w:r>
      <w:r>
        <w:rPr>
          <w:rFonts w:ascii="Arial" w:cs="Arial" w:eastAsia="Arial" w:hAnsi="Arial"/>
          <w:sz w:val="19"/>
          <w:szCs w:val="19"/>
          <w:color w:val="auto"/>
        </w:rPr>
        <w:t>”) as described in this Section 6.6 and (ii) the Manufacture, Development or Commercialization of any Licensed Product in the Kaken Territory for an Indication that is not then included in the Field (an “</w:t>
      </w:r>
      <w:r>
        <w:rPr>
          <w:rFonts w:ascii="Arial" w:cs="Arial" w:eastAsia="Arial" w:hAnsi="Arial"/>
          <w:sz w:val="19"/>
          <w:szCs w:val="19"/>
          <w:b w:val="1"/>
          <w:bCs w:val="1"/>
          <w:color w:val="auto"/>
        </w:rPr>
        <w:t>Additional Indication Opportunity</w:t>
      </w:r>
      <w:r>
        <w:rPr>
          <w:rFonts w:ascii="Arial" w:cs="Arial" w:eastAsia="Arial" w:hAnsi="Arial"/>
          <w:sz w:val="19"/>
          <w:szCs w:val="19"/>
          <w:color w:val="auto"/>
        </w:rPr>
        <w:t>”). For clarity, a Change of Control of Spruce shall not constitute a Territory Expansion Opportunity or Additional Indication Opportunity. For a period of [***] after the Effective Date, Spruce shall not (i) by itself or with or through any of its Affiliates, or (ii) with, through or in collaboration with a Third Party, whether through license, assignment, joint venture or otherwise, pursue any Additional Indication Opportunity or any Territory Expansion Opportunity except (A) a Territory Expansion Opportunity that is included as part of an agreement granting a Third Party rights to Commercialize Licensed Products in the Field in the U.S. and the European Union (a “</w:t>
      </w:r>
      <w:r>
        <w:rPr>
          <w:rFonts w:ascii="Arial" w:cs="Arial" w:eastAsia="Arial" w:hAnsi="Arial"/>
          <w:sz w:val="19"/>
          <w:szCs w:val="19"/>
          <w:b w:val="1"/>
          <w:bCs w:val="1"/>
          <w:color w:val="auto"/>
        </w:rPr>
        <w:t>Global</w:t>
      </w:r>
      <w:r>
        <w:rPr>
          <w:rFonts w:ascii="Arial" w:cs="Arial" w:eastAsia="Arial" w:hAnsi="Arial"/>
          <w:sz w:val="19"/>
          <w:szCs w:val="19"/>
          <w:color w:val="auto"/>
        </w:rPr>
        <w:t xml:space="preserve"> </w:t>
      </w:r>
      <w:r>
        <w:rPr>
          <w:rFonts w:ascii="Arial" w:cs="Arial" w:eastAsia="Arial" w:hAnsi="Arial"/>
          <w:sz w:val="19"/>
          <w:szCs w:val="19"/>
          <w:b w:val="1"/>
          <w:bCs w:val="1"/>
          <w:color w:val="auto"/>
        </w:rPr>
        <w:t>Territory Expansion Opportunity</w:t>
      </w:r>
      <w:r>
        <w:rPr>
          <w:rFonts w:ascii="Arial" w:cs="Arial" w:eastAsia="Arial" w:hAnsi="Arial"/>
          <w:sz w:val="19"/>
          <w:szCs w:val="19"/>
          <w:color w:val="auto"/>
        </w:rPr>
        <w:t>”), (B) a Territory Expansion Opportunity involving [***] or (C) a Territory Expansion</w:t>
      </w:r>
      <w:r>
        <w:rPr>
          <w:rFonts w:ascii="Arial" w:cs="Arial" w:eastAsia="Arial" w:hAnsi="Arial"/>
          <w:sz w:val="19"/>
          <w:szCs w:val="19"/>
          <w:b w:val="1"/>
          <w:bCs w:val="1"/>
          <w:color w:val="auto"/>
        </w:rPr>
        <w:t xml:space="preserve"> </w:t>
      </w:r>
      <w:r>
        <w:rPr>
          <w:rFonts w:ascii="Arial" w:cs="Arial" w:eastAsia="Arial" w:hAnsi="Arial"/>
          <w:sz w:val="19"/>
          <w:szCs w:val="19"/>
          <w:color w:val="auto"/>
        </w:rPr>
        <w:t>Opportunity involving [***]. If, at any time during the Term, Spruce desires to pursue a Global Territory Expansion Opportunity or Territory Expansion Opportunity involving [***] or, at any time during the Term following [***] after the Effective Date, Spruce desires to pursue any other Territory Expansion Opportunity or any Additional Indication Opportunity (i) by itself or with or through any of its Affiliates, or (ii) with, through or in collaboration with a Third Party, whether through license, assignment, joint venture or otherwise, Spruce shall promptly provide Kaken with written notice of its desire with respect to such Territory Expansion Opportunity or Additional Indication Opportunity (and promptly provide Kaken with such information that Kaken may reasonably request to allow Kaken to evaluate such Territory Expansion Opportunity or Additional Indication Opportunity) (the “</w:t>
      </w:r>
      <w:r>
        <w:rPr>
          <w:rFonts w:ascii="Arial" w:cs="Arial" w:eastAsia="Arial" w:hAnsi="Arial"/>
          <w:sz w:val="19"/>
          <w:szCs w:val="19"/>
          <w:b w:val="1"/>
          <w:bCs w:val="1"/>
          <w:color w:val="auto"/>
        </w:rPr>
        <w:t>ROFN Offer Notice</w:t>
      </w:r>
      <w:r>
        <w:rPr>
          <w:rFonts w:ascii="Arial" w:cs="Arial" w:eastAsia="Arial" w:hAnsi="Arial"/>
          <w:sz w:val="19"/>
          <w:szCs w:val="19"/>
          <w:color w:val="auto"/>
        </w:rPr>
        <w:t>”). Within (x) [***] following Kaken’s receipt of such</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0" w:name="page181"/>
    <w:bookmarkEnd w:id="180"/>
    <w:p>
      <w:pPr>
        <w:jc w:val="both"/>
        <w:spacing w:after="0" w:line="269" w:lineRule="auto"/>
        <w:rPr>
          <w:sz w:val="20"/>
          <w:szCs w:val="20"/>
          <w:color w:val="auto"/>
        </w:rPr>
      </w:pPr>
      <w:r>
        <w:rPr>
          <w:rFonts w:ascii="Arial" w:cs="Arial" w:eastAsia="Arial" w:hAnsi="Arial"/>
          <w:sz w:val="19"/>
          <w:szCs w:val="19"/>
          <w:color w:val="auto"/>
        </w:rPr>
        <w:t>ROFN Notice in the case of a Territory Expansion Opportunity that is a Global Territory Expansion Opportunity or involves [***], (y) [***] following Kaken’s receipt of such ROFN Offer Notice in the case of any other Territory Expansion Opportunity, and (z) [***] following Kaken’s receipt of such ROFN Notice in the case of an Additional Indication Opportunity (the “</w:t>
      </w:r>
      <w:r>
        <w:rPr>
          <w:rFonts w:ascii="Arial" w:cs="Arial" w:eastAsia="Arial" w:hAnsi="Arial"/>
          <w:sz w:val="19"/>
          <w:szCs w:val="19"/>
          <w:b w:val="1"/>
          <w:bCs w:val="1"/>
          <w:color w:val="auto"/>
        </w:rPr>
        <w:t>ROFN</w:t>
      </w:r>
      <w:r>
        <w:rPr>
          <w:rFonts w:ascii="Arial" w:cs="Arial" w:eastAsia="Arial" w:hAnsi="Arial"/>
          <w:sz w:val="19"/>
          <w:szCs w:val="19"/>
          <w:color w:val="auto"/>
        </w:rPr>
        <w:t xml:space="preserve"> </w:t>
      </w:r>
      <w:r>
        <w:rPr>
          <w:rFonts w:ascii="Arial" w:cs="Arial" w:eastAsia="Arial" w:hAnsi="Arial"/>
          <w:sz w:val="19"/>
          <w:szCs w:val="19"/>
          <w:b w:val="1"/>
          <w:bCs w:val="1"/>
          <w:color w:val="auto"/>
        </w:rPr>
        <w:t>Exercise Period</w:t>
      </w:r>
      <w:r>
        <w:rPr>
          <w:rFonts w:ascii="Arial" w:cs="Arial" w:eastAsia="Arial" w:hAnsi="Arial"/>
          <w:sz w:val="19"/>
          <w:szCs w:val="19"/>
          <w:color w:val="auto"/>
        </w:rPr>
        <w:t>”), Kaken may exercise its ROFN by providing Spruce with written notice of its intent thereto (the “</w:t>
      </w:r>
      <w:r>
        <w:rPr>
          <w:rFonts w:ascii="Arial" w:cs="Arial" w:eastAsia="Arial" w:hAnsi="Arial"/>
          <w:sz w:val="19"/>
          <w:szCs w:val="19"/>
          <w:b w:val="1"/>
          <w:bCs w:val="1"/>
          <w:color w:val="auto"/>
        </w:rPr>
        <w:t>ROFN Exercise Notice</w:t>
      </w:r>
      <w:r>
        <w:rPr>
          <w:rFonts w:ascii="Arial" w:cs="Arial" w:eastAsia="Arial" w:hAnsi="Arial"/>
          <w:sz w:val="19"/>
          <w:szCs w:val="19"/>
          <w:color w:val="auto"/>
        </w:rPr>
        <w:t>”). For clarity, Kaken’s ROFN with respect to a Global Territory Expansion Opportunity is limited to China,</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South Korea, and the specified ASEAN countries set forth on </w:t>
      </w:r>
      <w:r>
        <w:rPr>
          <w:rFonts w:ascii="Arial" w:cs="Arial" w:eastAsia="Arial" w:hAnsi="Arial"/>
          <w:sz w:val="19"/>
          <w:szCs w:val="19"/>
          <w:b w:val="1"/>
          <w:bCs w:val="1"/>
          <w:color w:val="auto"/>
        </w:rPr>
        <w:t>Schedule 6.6</w:t>
      </w:r>
      <w:r>
        <w:rPr>
          <w:rFonts w:ascii="Arial" w:cs="Arial" w:eastAsia="Arial" w:hAnsi="Arial"/>
          <w:sz w:val="19"/>
          <w:szCs w:val="19"/>
          <w:color w:val="auto"/>
        </w:rPr>
        <w:t xml:space="preserve">. For further clarity, Kaken’s ROFN with respect to a Global Territory Expansion Opportunity or Territory Expansion Opportunity is with respect to each of China, South Korea, and the specified ASEAN countries set forth on </w:t>
      </w:r>
      <w:r>
        <w:rPr>
          <w:rFonts w:ascii="Arial" w:cs="Arial" w:eastAsia="Arial" w:hAnsi="Arial"/>
          <w:sz w:val="19"/>
          <w:szCs w:val="19"/>
          <w:b w:val="1"/>
          <w:bCs w:val="1"/>
          <w:color w:val="auto"/>
        </w:rPr>
        <w:t>Schedule 6.6</w:t>
      </w:r>
      <w:r>
        <w:rPr>
          <w:rFonts w:ascii="Arial" w:cs="Arial" w:eastAsia="Arial" w:hAnsi="Arial"/>
          <w:sz w:val="19"/>
          <w:szCs w:val="19"/>
          <w:color w:val="auto"/>
        </w:rPr>
        <w:t>, and Kaken is not obligated to exercise its ROFN with respect to all countries included in such ROFN Offer Notice. Upon Spruce’s receipt of such ROFN Exercise Notice, Kaken shall have the right to exclusively negotiate in good faith with Spruce for a period of [***] from date of the ROFN Exercise Notice (the “</w:t>
      </w:r>
      <w:r>
        <w:rPr>
          <w:rFonts w:ascii="Arial" w:cs="Arial" w:eastAsia="Arial" w:hAnsi="Arial"/>
          <w:sz w:val="19"/>
          <w:szCs w:val="19"/>
          <w:b w:val="1"/>
          <w:bCs w:val="1"/>
          <w:color w:val="auto"/>
        </w:rPr>
        <w:t>ROFN</w:t>
      </w:r>
      <w:r>
        <w:rPr>
          <w:rFonts w:ascii="Arial" w:cs="Arial" w:eastAsia="Arial" w:hAnsi="Arial"/>
          <w:sz w:val="19"/>
          <w:szCs w:val="19"/>
          <w:color w:val="auto"/>
        </w:rPr>
        <w:t xml:space="preserve"> </w:t>
      </w:r>
      <w:r>
        <w:rPr>
          <w:rFonts w:ascii="Arial" w:cs="Arial" w:eastAsia="Arial" w:hAnsi="Arial"/>
          <w:sz w:val="19"/>
          <w:szCs w:val="19"/>
          <w:b w:val="1"/>
          <w:bCs w:val="1"/>
          <w:color w:val="auto"/>
        </w:rPr>
        <w:t>Negotiation Period</w:t>
      </w:r>
      <w:r>
        <w:rPr>
          <w:rFonts w:ascii="Arial" w:cs="Arial" w:eastAsia="Arial" w:hAnsi="Arial"/>
          <w:sz w:val="19"/>
          <w:szCs w:val="19"/>
          <w:color w:val="auto"/>
        </w:rPr>
        <w:t>”) the terms of a license for such Territory Expansion Opportunity or Additional Indication Opportunity, as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case may be. For clarity, Spruce’s obligations to exclusively negotiate in good faith with Kaken during the ROFN Negotiation period includes the obligation of Spruce not to itself or with or through any of its Affiliates, or with, through or in collaboration with a Third Party, whether through license, assignment, joint venture or otherwise pursue directly or indirectly any Territory Expansion Opportunity or Additional Indication Opportunity. If (A) Kaken does not provide Spruce with a ROFN Exercise Notice within the ROFN Exercise Period, or if (B) Kaken provides Spruce with a ROFN Exercise Notice within the ROFN Exercise Period but the Parties fail to reach a definitive agreement on the terms of a license with respect to such Territory Expansion Opportunity or Additional Indication Opportunity during the ROFN Negotiation Period, the ROFN will expire and Kaken shall have no further rights with respect to such Territory Expansion Opportunity or Additional Indication Opportunity; provided that, in the case of clause (B) above, for a period of [***] following such ROFN expiration, Spruce shall not itself or through any Affiliates enter into a definitive agreement with a Third Party with respect to any Additional Indication Opportunity or Territory Expansion Opportunity on terms that are more favorable to such Third Party than those offered to Kaken during such ROFN Negotiation Period. For clarity, except for any ROFN that has expired pursuant to the terms and conditions above, Kaken shall retain its ROFN with respect to any other Additional Indication Opportunity and any other Territory Expansion Opportunity in China, South Korea, and the specified ASEAN countries set forth on </w:t>
      </w:r>
      <w:r>
        <w:rPr>
          <w:rFonts w:ascii="Arial" w:cs="Arial" w:eastAsia="Arial" w:hAnsi="Arial"/>
          <w:sz w:val="19"/>
          <w:szCs w:val="19"/>
          <w:b w:val="1"/>
          <w:bCs w:val="1"/>
          <w:color w:val="auto"/>
        </w:rPr>
        <w:t>Schedule 6.6</w:t>
      </w:r>
      <w:r>
        <w:rPr>
          <w:rFonts w:ascii="Arial" w:cs="Arial" w:eastAsia="Arial" w:hAnsi="Arial"/>
          <w:sz w:val="19"/>
          <w:szCs w:val="19"/>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MANUFACTURE AND SUPPLY</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7.1  Clinical and CMC Supply</w:t>
      </w:r>
      <w:r>
        <w:rPr>
          <w:rFonts w:ascii="Arial" w:cs="Arial" w:eastAsia="Arial" w:hAnsi="Arial"/>
          <w:sz w:val="22"/>
          <w:szCs w:val="22"/>
          <w:color w:val="auto"/>
        </w:rPr>
        <w:t>.</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Spruce will supply Kaken’s requirements of the Licensed Compound, placebo and Licensed Product for CMC Activities and non-clinical and clinical use in the Field in the Kaken Territory, at Spruce’s Manufacturing Cost plus a mutually agreed upon administrative fee, pursuant to a separate agreement (“</w:t>
      </w:r>
      <w:r>
        <w:rPr>
          <w:rFonts w:ascii="Arial" w:cs="Arial" w:eastAsia="Arial" w:hAnsi="Arial"/>
          <w:sz w:val="19"/>
          <w:szCs w:val="19"/>
          <w:b w:val="1"/>
          <w:bCs w:val="1"/>
          <w:color w:val="auto"/>
        </w:rPr>
        <w:t>Clinical Supply Agreement</w:t>
      </w:r>
      <w:r>
        <w:rPr>
          <w:rFonts w:ascii="Arial" w:cs="Arial" w:eastAsia="Arial" w:hAnsi="Arial"/>
          <w:sz w:val="19"/>
          <w:szCs w:val="19"/>
          <w:color w:val="auto"/>
        </w:rPr>
        <w:t xml:space="preserve">”) that the Parties will negotiate in good faith and endeavor to enter into within [***] following the Effective Date. The Clinical Supply Agreement shall contain commercially reasonable terms as may be agreed upon by the Parties;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such Clinical Supply Agreement shall provide that the supply price for Licensed Product to be supplied by Spruce to Kaken shall be [***]. All Licensed Compound,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1" w:name="page182"/>
    <w:bookmarkEnd w:id="181"/>
    <w:p>
      <w:pPr>
        <w:spacing w:after="0"/>
        <w:rPr>
          <w:sz w:val="20"/>
          <w:szCs w:val="20"/>
          <w:color w:val="auto"/>
        </w:rPr>
      </w:pPr>
      <w:r>
        <w:rPr>
          <w:rFonts w:ascii="Arial" w:cs="Arial" w:eastAsia="Arial" w:hAnsi="Arial"/>
          <w:sz w:val="22"/>
          <w:szCs w:val="22"/>
          <w:color w:val="auto"/>
        </w:rPr>
        <w:t>placebo and Licensed Product to be supplied pursuant to the Clinical Supply Agreement shall be delivered [***].</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7.2  Commercial Supply</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35" w:lineRule="auto"/>
        <w:tabs>
          <w:tab w:leader="none" w:pos="1929"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color w:val="auto"/>
        </w:rPr>
        <w:t>Commercial Licensed Compound and Licensed Product Supply</w:t>
      </w:r>
      <w:r>
        <w:rPr>
          <w:rFonts w:ascii="Arial" w:cs="Arial" w:eastAsia="Arial" w:hAnsi="Arial"/>
          <w:sz w:val="22"/>
          <w:szCs w:val="22"/>
          <w:color w:val="auto"/>
        </w:rPr>
        <w:t>. Kaken may at any time request that</w:t>
      </w:r>
      <w:r>
        <w:rPr>
          <w:rFonts w:ascii="Arial" w:cs="Arial" w:eastAsia="Arial" w:hAnsi="Arial"/>
          <w:sz w:val="22"/>
          <w:szCs w:val="22"/>
          <w:b w:val="1"/>
          <w:bCs w:val="1"/>
          <w:color w:val="auto"/>
        </w:rPr>
        <w:t xml:space="preserve"> </w:t>
      </w:r>
      <w:r>
        <w:rPr>
          <w:rFonts w:ascii="Arial" w:cs="Arial" w:eastAsia="Arial" w:hAnsi="Arial"/>
          <w:sz w:val="22"/>
          <w:szCs w:val="22"/>
          <w:color w:val="auto"/>
        </w:rPr>
        <w:t>Spruce supply Kaken’s commercial requirements of the applicable Licensed Compound and Licensed Product for use in the Field in the Kaken Territory, at the Transfer Price, under a separate agreement (“</w:t>
      </w:r>
      <w:r>
        <w:rPr>
          <w:rFonts w:ascii="Arial" w:cs="Arial" w:eastAsia="Arial" w:hAnsi="Arial"/>
          <w:sz w:val="22"/>
          <w:szCs w:val="22"/>
          <w:b w:val="1"/>
          <w:bCs w:val="1"/>
          <w:color w:val="auto"/>
        </w:rPr>
        <w:t>Commercial Supply Agreement</w:t>
      </w:r>
      <w:r>
        <w:rPr>
          <w:rFonts w:ascii="Arial" w:cs="Arial" w:eastAsia="Arial" w:hAnsi="Arial"/>
          <w:sz w:val="22"/>
          <w:szCs w:val="22"/>
          <w:color w:val="auto"/>
        </w:rPr>
        <w:t xml:space="preserve">”) to be negotiated by the Parties in good faith that the Parties shall endeavor to enter into within [***] following receipt of Kaken’s written request to enter into such Commercial Supply Agreement. The Commercial Supply Agreement shall contain commercially reasonable terms as may be agreed upon in good faith by the Parties;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all Licensed Compound and Licensed Product shall be delivered [***].</w:t>
      </w:r>
    </w:p>
    <w:p>
      <w:pPr>
        <w:spacing w:after="0" w:line="183" w:lineRule="exact"/>
        <w:rPr>
          <w:rFonts w:ascii="Arial" w:cs="Arial" w:eastAsia="Arial" w:hAnsi="Arial"/>
          <w:sz w:val="22"/>
          <w:szCs w:val="22"/>
          <w:b w:val="1"/>
          <w:bCs w:val="1"/>
          <w:color w:val="auto"/>
        </w:rPr>
      </w:pPr>
    </w:p>
    <w:p>
      <w:pPr>
        <w:jc w:val="both"/>
        <w:ind w:firstLine="1505"/>
        <w:spacing w:after="0" w:line="269" w:lineRule="auto"/>
        <w:tabs>
          <w:tab w:leader="none" w:pos="1929" w:val="left"/>
        </w:tabs>
        <w:numPr>
          <w:ilvl w:val="0"/>
          <w:numId w:val="8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Manufacturing Technology Transfer </w:t>
      </w:r>
      <w:r>
        <w:rPr>
          <w:rFonts w:ascii="Arial" w:cs="Arial" w:eastAsia="Arial" w:hAnsi="Arial"/>
          <w:sz w:val="19"/>
          <w:szCs w:val="19"/>
          <w:color w:val="auto"/>
        </w:rPr>
        <w:t>. Spruce shall permit Kaken to negotiate and enter into with</w:t>
      </w:r>
      <w:r>
        <w:rPr>
          <w:rFonts w:ascii="Arial" w:cs="Arial" w:eastAsia="Arial" w:hAnsi="Arial"/>
          <w:sz w:val="19"/>
          <w:szCs w:val="19"/>
          <w:b w:val="1"/>
          <w:bCs w:val="1"/>
          <w:color w:val="auto"/>
        </w:rPr>
        <w:t xml:space="preserve"> </w:t>
      </w:r>
      <w:r>
        <w:rPr>
          <w:rFonts w:ascii="Arial" w:cs="Arial" w:eastAsia="Arial" w:hAnsi="Arial"/>
          <w:sz w:val="19"/>
          <w:szCs w:val="19"/>
          <w:color w:val="auto"/>
        </w:rPr>
        <w:t>Spruce’s Third Party supplier of the Licensed Compound and Licensed Product a separate agreement for the commercial supply of such Licensed Compound and Licensed Product for use in the Field in the Kaken Territory, and Spruce shall use Commercially Reasonable Efforts to facilitate the negotiations of such agreement. Within [***] after the written request of Kaken, the Parties shall negotiate in good faith and endeavor to enter into a manufacturing technology transfer agreement for the Licensed Compound and the Licensed Product (the “</w:t>
      </w:r>
      <w:r>
        <w:rPr>
          <w:rFonts w:ascii="Arial" w:cs="Arial" w:eastAsia="Arial" w:hAnsi="Arial"/>
          <w:sz w:val="19"/>
          <w:szCs w:val="19"/>
          <w:b w:val="1"/>
          <w:bCs w:val="1"/>
          <w:color w:val="auto"/>
        </w:rPr>
        <w:t>Manufacturing Technology Transfer Agreement</w:t>
      </w:r>
      <w:r>
        <w:rPr>
          <w:rFonts w:ascii="Arial" w:cs="Arial" w:eastAsia="Arial" w:hAnsi="Arial"/>
          <w:sz w:val="19"/>
          <w:szCs w:val="19"/>
          <w:color w:val="auto"/>
        </w:rPr>
        <w:t xml:space="preserve">”). Under such Manufacturing Technology Transfer Agreement, Spruce shall transfer or have transferred to Kaken such documents and information, and provide such technical assistance and support, necessary or reasonably useful for Kaken to Manufacture, or have Manufactured by a Third Party supplier engaged by Kaken that is reasonably acceptable to Spruce, the Licensed Compound and Licensed Product in accordance with the specifications as set forth in the Product Approval, to the extent Controlled by Spruce or Spruce’s Third Party supplier as of such date including the DMF;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Kaken shall notify Spruce of any such Third Party supplier and only engage with such Third Party supplier after receiving the prior written consent of Spruce, not to be unreasonably withheld, conditioned or delayed, (B) such Third Party supplier shall be bound by written obligations of confidentiality, non-use and compliance with applicable Laws (including Proper Conduct Practices, GMP and any regulations required by the MHLW or PMDA, the FDA and the EMA), consistent with this Agreement and have agreed in writing to assign to or share with Kaken all Data, Information, inventions or other intellectual property generated by such subcontractor in the course of performing such subcontracted work, and (C) upon reasonable prior written notice given by Spruce to Kaken, Kaken shall cause such Third Party supplier to permit Spruce or its representatives to audit, during such Third Party supplier’s normal business hours and without additional charge, the performance of Manufacturing activities hereunder, the facilities used and relevant processes, systems, books, documents and records, in order to determine Kaken’s compliance with this Agreement. Kaken shall pay any reasonable internal (to the extent budgeted in the Manufacturing Technology Transfer Agreement) and external costs incurred by Spruce in connection with providing such information or assistance pursuant to this Section 7.2(b). Upon the completion of any such Manufacturing technology transfer and Kaken’s confirmation that Kaken or Kaken’s Third Party supplier is capable of Manufacturing the Licensed Compound and Licensed Product, Spruce will have no further obligation to supply Kaken’s commercial</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2" w:name="page183"/>
    <w:bookmarkEnd w:id="182"/>
    <w:p>
      <w:pPr>
        <w:spacing w:after="0"/>
        <w:rPr>
          <w:sz w:val="20"/>
          <w:szCs w:val="20"/>
          <w:color w:val="auto"/>
        </w:rPr>
      </w:pPr>
      <w:r>
        <w:rPr>
          <w:rFonts w:ascii="Arial" w:cs="Arial" w:eastAsia="Arial" w:hAnsi="Arial"/>
          <w:sz w:val="22"/>
          <w:szCs w:val="22"/>
          <w:color w:val="auto"/>
        </w:rPr>
        <w:t>requirements of the Licensed Compound and Licensed Product for use in the Field in the Kaken Territory.</w:t>
      </w:r>
    </w:p>
    <w:p>
      <w:pPr>
        <w:spacing w:after="0" w:line="200"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7.3 Distribution</w:t>
      </w:r>
      <w:r>
        <w:rPr>
          <w:rFonts w:ascii="Arial" w:cs="Arial" w:eastAsia="Arial" w:hAnsi="Arial"/>
          <w:sz w:val="22"/>
          <w:szCs w:val="22"/>
          <w:color w:val="auto"/>
        </w:rPr>
        <w:t>. Kaken will be solely responsible for the distribution of Licensed Products in the Field in the Kaken</w:t>
      </w:r>
      <w:r>
        <w:rPr>
          <w:rFonts w:ascii="Arial" w:cs="Arial" w:eastAsia="Arial" w:hAnsi="Arial"/>
          <w:sz w:val="22"/>
          <w:szCs w:val="22"/>
          <w:b w:val="1"/>
          <w:bCs w:val="1"/>
          <w:color w:val="auto"/>
        </w:rPr>
        <w:t xml:space="preserve"> </w:t>
      </w:r>
      <w:r>
        <w:rPr>
          <w:rFonts w:ascii="Arial" w:cs="Arial" w:eastAsia="Arial" w:hAnsi="Arial"/>
          <w:sz w:val="22"/>
          <w:szCs w:val="22"/>
          <w:color w:val="auto"/>
        </w:rPr>
        <w:t>Territory.</w:t>
      </w:r>
    </w:p>
    <w:p>
      <w:pPr>
        <w:spacing w:after="0" w:line="16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b w:val="1"/>
          <w:bCs w:val="1"/>
          <w:color w:val="auto"/>
        </w:rPr>
        <w:t>7.4 Brand Security and Anti-Counterfeiting</w:t>
      </w:r>
      <w:r>
        <w:rPr>
          <w:rFonts w:ascii="Arial" w:cs="Arial" w:eastAsia="Arial" w:hAnsi="Arial"/>
          <w:sz w:val="22"/>
          <w:szCs w:val="22"/>
          <w:color w:val="auto"/>
        </w:rPr>
        <w:t>. The Parties will establish contacts for communication regarding brand</w:t>
      </w:r>
      <w:r>
        <w:rPr>
          <w:rFonts w:ascii="Arial" w:cs="Arial" w:eastAsia="Arial" w:hAnsi="Arial"/>
          <w:sz w:val="22"/>
          <w:szCs w:val="22"/>
          <w:b w:val="1"/>
          <w:bCs w:val="1"/>
          <w:color w:val="auto"/>
        </w:rPr>
        <w:t xml:space="preserve"> </w:t>
      </w:r>
      <w:r>
        <w:rPr>
          <w:rFonts w:ascii="Arial" w:cs="Arial" w:eastAsia="Arial" w:hAnsi="Arial"/>
          <w:sz w:val="22"/>
          <w:szCs w:val="22"/>
          <w:color w:val="auto"/>
        </w:rPr>
        <w:t>security issues, and each Party shall reasonably cooperate with the other Party with respect thereto. Practices around these incidents will comply with Spruce’s then-current standards as conveyed by Spruce to Kaken in writing, where such standards define product security features, warehouse/cargo protection requirements, and response and communication process for such incidents.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COMPENSATION</w:t>
      </w:r>
    </w:p>
    <w:p>
      <w:pPr>
        <w:spacing w:after="0" w:line="18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8.1 Upfront Payment</w:t>
      </w:r>
      <w:r>
        <w:rPr>
          <w:rFonts w:ascii="Arial" w:cs="Arial" w:eastAsia="Arial" w:hAnsi="Arial"/>
          <w:sz w:val="22"/>
          <w:szCs w:val="22"/>
          <w:color w:val="auto"/>
        </w:rPr>
        <w:t>. Within [***] Kaken shall pay to Spruce a one-time, non-refundable, non-creditable upfront</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of fifteen million U.S. Dollars (US$15,000,000).</w:t>
      </w:r>
    </w:p>
    <w:p>
      <w:pPr>
        <w:spacing w:after="0" w:line="162"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9"/>
          <w:szCs w:val="19"/>
          <w:b w:val="1"/>
          <w:bCs w:val="1"/>
          <w:color w:val="auto"/>
        </w:rPr>
        <w:t xml:space="preserve">8.2 Development and Regulatory Milestone Payments </w:t>
      </w:r>
      <w:r>
        <w:rPr>
          <w:rFonts w:ascii="Arial" w:cs="Arial" w:eastAsia="Arial" w:hAnsi="Arial"/>
          <w:sz w:val="19"/>
          <w:szCs w:val="19"/>
          <w:color w:val="auto"/>
        </w:rPr>
        <w:t>. Kaken shall pay to Spruce the one-time, non-refundable,</w:t>
      </w:r>
      <w:r>
        <w:rPr>
          <w:rFonts w:ascii="Arial" w:cs="Arial" w:eastAsia="Arial" w:hAnsi="Arial"/>
          <w:sz w:val="19"/>
          <w:szCs w:val="19"/>
          <w:b w:val="1"/>
          <w:bCs w:val="1"/>
          <w:color w:val="auto"/>
        </w:rPr>
        <w:t xml:space="preserve"> </w:t>
      </w:r>
      <w:r>
        <w:rPr>
          <w:rFonts w:ascii="Arial" w:cs="Arial" w:eastAsia="Arial" w:hAnsi="Arial"/>
          <w:sz w:val="19"/>
          <w:szCs w:val="19"/>
          <w:color w:val="auto"/>
        </w:rPr>
        <w:t>non-creditable payments set forth in the table below within [***] of the first achievement by a Licensed Product of the applicable milestone event, whether by or on behalf of Kaken, its Affiliate, or their Sublicensees and receipt of an invoice from Spruce.</w:t>
      </w:r>
    </w:p>
    <w:p>
      <w:pPr>
        <w:spacing w:after="0" w:line="130" w:lineRule="exact"/>
        <w:rPr>
          <w:sz w:val="20"/>
          <w:szCs w:val="20"/>
          <w:color w:val="auto"/>
        </w:rPr>
      </w:pPr>
    </w:p>
    <w:tbl>
      <w:tblPr>
        <w:tblLayout w:type="fixed"/>
        <w:tblInd w:w="210" w:type="dxa"/>
        <w:tblCellMar>
          <w:top w:w="0" w:type="dxa"/>
          <w:left w:w="0" w:type="dxa"/>
          <w:bottom w:w="0" w:type="dxa"/>
          <w:right w:w="0" w:type="dxa"/>
        </w:tblCellMar>
      </w:tblPr>
      <w:tr>
        <w:trPr>
          <w:trHeight w:val="391"/>
        </w:trPr>
        <w:tc>
          <w:tcPr>
            <w:tcW w:w="7400" w:type="dxa"/>
            <w:vAlign w:val="bottom"/>
            <w:tcBorders>
              <w:top w:val="single" w:sz="8" w:color="auto"/>
              <w:left w:val="single" w:sz="8" w:color="auto"/>
              <w:right w:val="single" w:sz="8" w:color="auto"/>
            </w:tcBorders>
            <w:shd w:val="clear" w:color="auto" w:fill="BDD6EE"/>
          </w:tcPr>
          <w:p>
            <w:pPr>
              <w:jc w:val="right"/>
              <w:ind w:right="3112"/>
              <w:spacing w:after="0"/>
              <w:rPr>
                <w:sz w:val="20"/>
                <w:szCs w:val="20"/>
                <w:color w:val="auto"/>
              </w:rPr>
            </w:pPr>
            <w:r>
              <w:rPr>
                <w:rFonts w:ascii="Arial" w:cs="Arial" w:eastAsia="Arial" w:hAnsi="Arial"/>
                <w:sz w:val="22"/>
                <w:szCs w:val="22"/>
                <w:b w:val="1"/>
                <w:bCs w:val="1"/>
                <w:color w:val="auto"/>
              </w:rPr>
              <w:t>Milestone Event</w:t>
            </w:r>
          </w:p>
        </w:tc>
        <w:tc>
          <w:tcPr>
            <w:tcW w:w="3620" w:type="dxa"/>
            <w:vAlign w:val="bottom"/>
            <w:tcBorders>
              <w:top w:val="single" w:sz="8" w:color="auto"/>
              <w:right w:val="single" w:sz="8" w:color="auto"/>
            </w:tcBorders>
            <w:shd w:val="clear" w:color="auto" w:fill="BDD6EE"/>
          </w:tcPr>
          <w:p>
            <w:pPr>
              <w:jc w:val="center"/>
              <w:spacing w:after="0"/>
              <w:rPr>
                <w:sz w:val="20"/>
                <w:szCs w:val="20"/>
                <w:color w:val="auto"/>
              </w:rPr>
            </w:pPr>
            <w:r>
              <w:rPr>
                <w:rFonts w:ascii="Arial" w:cs="Arial" w:eastAsia="Arial" w:hAnsi="Arial"/>
                <w:sz w:val="22"/>
                <w:szCs w:val="22"/>
                <w:b w:val="1"/>
                <w:bCs w:val="1"/>
                <w:color w:val="auto"/>
                <w:w w:val="88"/>
              </w:rPr>
              <w:t>Milestone Payment</w:t>
            </w:r>
          </w:p>
        </w:tc>
      </w:tr>
      <w:tr>
        <w:trPr>
          <w:trHeight w:val="108"/>
        </w:trPr>
        <w:tc>
          <w:tcPr>
            <w:tcW w:w="7400" w:type="dxa"/>
            <w:vAlign w:val="bottom"/>
            <w:tcBorders>
              <w:left w:val="single" w:sz="8" w:color="auto"/>
              <w:bottom w:val="single" w:sz="8" w:color="auto"/>
              <w:right w:val="single" w:sz="8" w:color="auto"/>
            </w:tcBorders>
            <w:shd w:val="clear" w:color="auto" w:fill="BDD6EE"/>
          </w:tcPr>
          <w:p>
            <w:pPr>
              <w:spacing w:after="0"/>
              <w:rPr>
                <w:sz w:val="9"/>
                <w:szCs w:val="9"/>
                <w:color w:val="auto"/>
              </w:rPr>
            </w:pPr>
          </w:p>
        </w:tc>
        <w:tc>
          <w:tcPr>
            <w:tcW w:w="3620" w:type="dxa"/>
            <w:vAlign w:val="bottom"/>
            <w:tcBorders>
              <w:bottom w:val="single" w:sz="8" w:color="auto"/>
              <w:right w:val="single" w:sz="8" w:color="auto"/>
            </w:tcBorders>
            <w:shd w:val="clear" w:color="auto" w:fill="BDD6EE"/>
          </w:tcPr>
          <w:p>
            <w:pPr>
              <w:spacing w:after="0"/>
              <w:rPr>
                <w:sz w:val="9"/>
                <w:szCs w:val="9"/>
                <w:color w:val="auto"/>
              </w:rPr>
            </w:pPr>
          </w:p>
        </w:tc>
      </w:tr>
      <w:tr>
        <w:trPr>
          <w:trHeight w:val="317"/>
        </w:trPr>
        <w:tc>
          <w:tcPr>
            <w:tcW w:w="7400" w:type="dxa"/>
            <w:vAlign w:val="bottom"/>
            <w:tcBorders>
              <w:right w:val="single" w:sz="8" w:color="auto"/>
            </w:tcBorders>
          </w:tcPr>
          <w:p>
            <w:pPr>
              <w:jc w:val="right"/>
              <w:ind w:right="6712"/>
              <w:spacing w:after="0"/>
              <w:rPr>
                <w:sz w:val="20"/>
                <w:szCs w:val="20"/>
                <w:color w:val="auto"/>
              </w:rPr>
            </w:pPr>
            <w:r>
              <w:rPr>
                <w:rFonts w:ascii="Arial" w:cs="Arial" w:eastAsia="Arial" w:hAnsi="Arial"/>
                <w:sz w:val="22"/>
                <w:szCs w:val="22"/>
                <w:color w:val="auto"/>
              </w:rPr>
              <w:t>[***]</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58"/>
        </w:trPr>
        <w:tc>
          <w:tcPr>
            <w:tcW w:w="7400" w:type="dxa"/>
            <w:vAlign w:val="bottom"/>
            <w:tcBorders>
              <w:bottom w:val="single" w:sz="8" w:color="auto"/>
              <w:right w:val="single" w:sz="8" w:color="auto"/>
            </w:tcBorders>
          </w:tcPr>
          <w:p>
            <w:pPr>
              <w:spacing w:after="0"/>
              <w:rPr>
                <w:sz w:val="5"/>
                <w:szCs w:val="5"/>
                <w:color w:val="auto"/>
              </w:rPr>
            </w:pPr>
          </w:p>
        </w:tc>
        <w:tc>
          <w:tcPr>
            <w:tcW w:w="3620" w:type="dxa"/>
            <w:vAlign w:val="bottom"/>
            <w:tcBorders>
              <w:bottom w:val="single" w:sz="8" w:color="auto"/>
              <w:right w:val="single" w:sz="8" w:color="auto"/>
            </w:tcBorders>
          </w:tcPr>
          <w:p>
            <w:pPr>
              <w:spacing w:after="0"/>
              <w:rPr>
                <w:sz w:val="5"/>
                <w:szCs w:val="5"/>
                <w:color w:val="auto"/>
              </w:rPr>
            </w:pPr>
          </w:p>
        </w:tc>
      </w:tr>
      <w:tr>
        <w:trPr>
          <w:trHeight w:val="314"/>
        </w:trPr>
        <w:tc>
          <w:tcPr>
            <w:tcW w:w="7400" w:type="dxa"/>
            <w:vAlign w:val="bottom"/>
            <w:tcBorders>
              <w:right w:val="single" w:sz="8" w:color="auto"/>
            </w:tcBorders>
          </w:tcPr>
          <w:p>
            <w:pPr>
              <w:jc w:val="right"/>
              <w:ind w:right="6712"/>
              <w:spacing w:after="0"/>
              <w:rPr>
                <w:sz w:val="20"/>
                <w:szCs w:val="20"/>
                <w:color w:val="auto"/>
              </w:rPr>
            </w:pPr>
            <w:r>
              <w:rPr>
                <w:rFonts w:ascii="Arial" w:cs="Arial" w:eastAsia="Arial" w:hAnsi="Arial"/>
                <w:sz w:val="22"/>
                <w:szCs w:val="22"/>
                <w:color w:val="auto"/>
              </w:rPr>
              <w:t>[***]</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58"/>
        </w:trPr>
        <w:tc>
          <w:tcPr>
            <w:tcW w:w="7400" w:type="dxa"/>
            <w:vAlign w:val="bottom"/>
            <w:tcBorders>
              <w:bottom w:val="single" w:sz="8" w:color="auto"/>
              <w:right w:val="single" w:sz="8" w:color="auto"/>
            </w:tcBorders>
          </w:tcPr>
          <w:p>
            <w:pPr>
              <w:spacing w:after="0"/>
              <w:rPr>
                <w:sz w:val="5"/>
                <w:szCs w:val="5"/>
                <w:color w:val="auto"/>
              </w:rPr>
            </w:pPr>
          </w:p>
        </w:tc>
        <w:tc>
          <w:tcPr>
            <w:tcW w:w="3620" w:type="dxa"/>
            <w:vAlign w:val="bottom"/>
            <w:tcBorders>
              <w:bottom w:val="single" w:sz="8" w:color="auto"/>
              <w:right w:val="single" w:sz="8" w:color="auto"/>
            </w:tcBorders>
          </w:tcPr>
          <w:p>
            <w:pPr>
              <w:spacing w:after="0"/>
              <w:rPr>
                <w:sz w:val="5"/>
                <w:szCs w:val="5"/>
                <w:color w:val="auto"/>
              </w:rPr>
            </w:pPr>
          </w:p>
        </w:tc>
      </w:tr>
      <w:tr>
        <w:trPr>
          <w:trHeight w:val="314"/>
        </w:trPr>
        <w:tc>
          <w:tcPr>
            <w:tcW w:w="7400" w:type="dxa"/>
            <w:vAlign w:val="bottom"/>
            <w:tcBorders>
              <w:right w:val="single" w:sz="8" w:color="auto"/>
            </w:tcBorders>
          </w:tcPr>
          <w:p>
            <w:pPr>
              <w:jc w:val="right"/>
              <w:ind w:right="6712"/>
              <w:spacing w:after="0"/>
              <w:rPr>
                <w:sz w:val="20"/>
                <w:szCs w:val="20"/>
                <w:color w:val="auto"/>
              </w:rPr>
            </w:pPr>
            <w:r>
              <w:rPr>
                <w:rFonts w:ascii="Arial" w:cs="Arial" w:eastAsia="Arial" w:hAnsi="Arial"/>
                <w:sz w:val="22"/>
                <w:szCs w:val="22"/>
                <w:color w:val="auto"/>
              </w:rPr>
              <w:t>[***]</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57"/>
        </w:trPr>
        <w:tc>
          <w:tcPr>
            <w:tcW w:w="7400" w:type="dxa"/>
            <w:vAlign w:val="bottom"/>
            <w:tcBorders>
              <w:bottom w:val="single" w:sz="8" w:color="auto"/>
              <w:right w:val="single" w:sz="8" w:color="auto"/>
            </w:tcBorders>
          </w:tcPr>
          <w:p>
            <w:pPr>
              <w:spacing w:after="0"/>
              <w:rPr>
                <w:sz w:val="5"/>
                <w:szCs w:val="5"/>
                <w:color w:val="auto"/>
              </w:rPr>
            </w:pPr>
          </w:p>
        </w:tc>
        <w:tc>
          <w:tcPr>
            <w:tcW w:w="3620" w:type="dxa"/>
            <w:vAlign w:val="bottom"/>
            <w:tcBorders>
              <w:bottom w:val="single" w:sz="8" w:color="auto"/>
              <w:right w:val="single" w:sz="8" w:color="auto"/>
            </w:tcBorders>
          </w:tcPr>
          <w:p>
            <w:pPr>
              <w:spacing w:after="0"/>
              <w:rPr>
                <w:sz w:val="5"/>
                <w:szCs w:val="5"/>
                <w:color w:val="auto"/>
              </w:rPr>
            </w:pPr>
          </w:p>
        </w:tc>
      </w:tr>
      <w:tr>
        <w:trPr>
          <w:trHeight w:val="314"/>
        </w:trPr>
        <w:tc>
          <w:tcPr>
            <w:tcW w:w="7400" w:type="dxa"/>
            <w:vAlign w:val="bottom"/>
            <w:tcBorders>
              <w:right w:val="single" w:sz="8" w:color="auto"/>
            </w:tcBorders>
          </w:tcPr>
          <w:p>
            <w:pPr>
              <w:jc w:val="right"/>
              <w:ind w:right="6712"/>
              <w:spacing w:after="0"/>
              <w:rPr>
                <w:sz w:val="20"/>
                <w:szCs w:val="20"/>
                <w:color w:val="auto"/>
              </w:rPr>
            </w:pPr>
            <w:r>
              <w:rPr>
                <w:rFonts w:ascii="Arial" w:cs="Arial" w:eastAsia="Arial" w:hAnsi="Arial"/>
                <w:sz w:val="22"/>
                <w:szCs w:val="22"/>
                <w:color w:val="auto"/>
              </w:rPr>
              <w:t>[***]</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58"/>
        </w:trPr>
        <w:tc>
          <w:tcPr>
            <w:tcW w:w="7400" w:type="dxa"/>
            <w:vAlign w:val="bottom"/>
            <w:tcBorders>
              <w:bottom w:val="single" w:sz="8" w:color="auto"/>
              <w:right w:val="single" w:sz="8" w:color="auto"/>
            </w:tcBorders>
          </w:tcPr>
          <w:p>
            <w:pPr>
              <w:spacing w:after="0"/>
              <w:rPr>
                <w:sz w:val="5"/>
                <w:szCs w:val="5"/>
                <w:color w:val="auto"/>
              </w:rPr>
            </w:pPr>
          </w:p>
        </w:tc>
        <w:tc>
          <w:tcPr>
            <w:tcW w:w="362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3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21"/>
          <w:szCs w:val="21"/>
          <w:b w:val="1"/>
          <w:bCs w:val="1"/>
          <w:color w:val="auto"/>
        </w:rPr>
        <w:t xml:space="preserve">8.3 Commercial Milestone Payments </w:t>
      </w:r>
      <w:r>
        <w:rPr>
          <w:rFonts w:ascii="Arial" w:cs="Arial" w:eastAsia="Arial" w:hAnsi="Arial"/>
          <w:sz w:val="21"/>
          <w:szCs w:val="21"/>
          <w:color w:val="auto"/>
        </w:rPr>
        <w:t>. Kaken shall pay to Spruce the additional one-time, non-refundable, non-creditable payments set forth in the table below for the first achievement of the aggregate, annual Net Sales of Licensed Products of the applicable commercial milestone event. Kaken shall notify Spruce of the first achievement of the applicable commercial milestone event within [***] after the end of the Kaken Fiscal Year in which the commercial milestone is achieved. Kaken will pay Spruce the applicable milestone payment set forth below within [***] after receipt of Spruce’s invoice. For clarity, each of the following milestone payments shall be payable by Kaken only once regardless of the number of times Kaken, its Affiliates, or their sublicensees achieve the applicable commercial milestone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128270</wp:posOffset>
            </wp:positionV>
            <wp:extent cx="6988810" cy="3302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9">
                      <a:extLst>
                        <a:ext uri="{28A0092B-C50C-407E-A947-70E740481C1C}"/>
                      </a:extLst>
                    </a:blip>
                    <a:srcRect/>
                    <a:stretch>
                      <a:fillRect/>
                    </a:stretch>
                  </pic:blipFill>
                  <pic:spPr bwMode="auto">
                    <a:xfrm>
                      <a:off x="0" y="0"/>
                      <a:ext cx="6988810" cy="330200"/>
                    </a:xfrm>
                    <a:prstGeom prst="rect">
                      <a:avLst/>
                    </a:prstGeom>
                    <a:noFill/>
                  </pic:spPr>
                </pic:pic>
              </a:graphicData>
            </a:graphic>
          </wp:anchor>
        </w:drawing>
      </w:r>
    </w:p>
    <w:p>
      <w:pPr>
        <w:spacing w:after="0" w:line="184" w:lineRule="exact"/>
        <w:rPr>
          <w:sz w:val="20"/>
          <w:szCs w:val="20"/>
          <w:color w:val="auto"/>
        </w:rPr>
      </w:pPr>
    </w:p>
    <w:tbl>
      <w:tblPr>
        <w:tblLayout w:type="fixed"/>
        <w:tblInd w:w="2540" w:type="dxa"/>
        <w:tblCellMar>
          <w:top w:w="0" w:type="dxa"/>
          <w:left w:w="0" w:type="dxa"/>
          <w:bottom w:w="0" w:type="dxa"/>
          <w:right w:w="0" w:type="dxa"/>
        </w:tblCellMar>
      </w:tblPr>
      <w:tr>
        <w:trPr>
          <w:trHeight w:val="280"/>
        </w:trPr>
        <w:tc>
          <w:tcPr>
            <w:tcW w:w="4320" w:type="dxa"/>
            <w:vAlign w:val="bottom"/>
          </w:tcPr>
          <w:p>
            <w:pPr>
              <w:spacing w:after="0"/>
              <w:rPr>
                <w:sz w:val="20"/>
                <w:szCs w:val="20"/>
                <w:color w:val="auto"/>
              </w:rPr>
            </w:pPr>
            <w:r>
              <w:rPr>
                <w:rFonts w:ascii="Arial" w:cs="Arial" w:eastAsia="Arial" w:hAnsi="Arial"/>
                <w:sz w:val="22"/>
                <w:szCs w:val="22"/>
                <w:b w:val="1"/>
                <w:bCs w:val="1"/>
                <w:color w:val="auto"/>
              </w:rPr>
              <w:t>Commercial Milestone Event</w:t>
            </w:r>
          </w:p>
        </w:tc>
        <w:tc>
          <w:tcPr>
            <w:tcW w:w="3400" w:type="dxa"/>
            <w:vAlign w:val="bottom"/>
          </w:tcPr>
          <w:p>
            <w:pPr>
              <w:ind w:left="1640"/>
              <w:spacing w:after="0"/>
              <w:rPr>
                <w:sz w:val="20"/>
                <w:szCs w:val="20"/>
                <w:color w:val="auto"/>
              </w:rPr>
            </w:pPr>
            <w:r>
              <w:rPr>
                <w:rFonts w:ascii="Arial" w:cs="Arial" w:eastAsia="Arial" w:hAnsi="Arial"/>
                <w:sz w:val="22"/>
                <w:szCs w:val="22"/>
                <w:b w:val="1"/>
                <w:bCs w:val="1"/>
                <w:color w:val="auto"/>
                <w:w w:val="87"/>
              </w:rPr>
              <w:t>Milestone Payment</w:t>
            </w:r>
          </w:p>
        </w:tc>
      </w:tr>
    </w:tbl>
    <w:p>
      <w:pPr>
        <w:spacing w:after="0" w:line="212" w:lineRule="exact"/>
        <w:rPr>
          <w:sz w:val="20"/>
          <w:szCs w:val="20"/>
          <w:color w:val="auto"/>
        </w:rPr>
      </w:pPr>
    </w:p>
    <w:p>
      <w:pPr>
        <w:jc w:val="center"/>
        <w:ind w:right="346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3" w:name="page184"/>
    <w:bookmarkEnd w:id="183"/>
    <w:tbl>
      <w:tblPr>
        <w:tblLayout w:type="fixed"/>
        <w:tblInd w:w="210" w:type="dxa"/>
        <w:tblCellMar>
          <w:top w:w="0" w:type="dxa"/>
          <w:left w:w="0" w:type="dxa"/>
          <w:bottom w:w="0" w:type="dxa"/>
          <w:right w:w="0" w:type="dxa"/>
        </w:tblCellMar>
      </w:tblPr>
      <w:tr>
        <w:trPr>
          <w:trHeight w:val="294"/>
        </w:trPr>
        <w:tc>
          <w:tcPr>
            <w:tcW w:w="7380" w:type="dxa"/>
            <w:vAlign w:val="bottom"/>
            <w:tcBorders>
              <w:top w:val="single" w:sz="8" w:color="auto"/>
              <w:left w:val="single" w:sz="8" w:color="auto"/>
              <w:right w:val="single" w:sz="8" w:color="auto"/>
            </w:tcBorders>
          </w:tcPr>
          <w:p>
            <w:pPr>
              <w:jc w:val="right"/>
              <w:ind w:right="6692"/>
              <w:spacing w:after="0"/>
              <w:rPr>
                <w:sz w:val="20"/>
                <w:szCs w:val="20"/>
                <w:color w:val="auto"/>
              </w:rPr>
            </w:pPr>
            <w:r>
              <w:rPr>
                <w:rFonts w:ascii="Arial" w:cs="Arial" w:eastAsia="Arial" w:hAnsi="Arial"/>
                <w:sz w:val="22"/>
                <w:szCs w:val="22"/>
                <w:color w:val="auto"/>
              </w:rPr>
              <w:t>[***]</w:t>
            </w:r>
          </w:p>
        </w:tc>
        <w:tc>
          <w:tcPr>
            <w:tcW w:w="3640" w:type="dxa"/>
            <w:vAlign w:val="bottom"/>
            <w:tcBorders>
              <w:top w:val="single" w:sz="8" w:color="auto"/>
              <w:right w:val="single" w:sz="8" w:color="auto"/>
            </w:tcBorders>
          </w:tcPr>
          <w:p>
            <w:pPr>
              <w:jc w:val="right"/>
              <w:ind w:right="1492"/>
              <w:spacing w:after="0"/>
              <w:rPr>
                <w:sz w:val="20"/>
                <w:szCs w:val="20"/>
                <w:color w:val="auto"/>
              </w:rPr>
            </w:pPr>
            <w:r>
              <w:rPr>
                <w:rFonts w:ascii="Arial" w:cs="Arial" w:eastAsia="Arial" w:hAnsi="Arial"/>
                <w:sz w:val="22"/>
                <w:szCs w:val="22"/>
                <w:color w:val="auto"/>
              </w:rPr>
              <w:t>[***]</w:t>
            </w:r>
          </w:p>
        </w:tc>
      </w:tr>
      <w:tr>
        <w:trPr>
          <w:trHeight w:val="225"/>
        </w:trPr>
        <w:tc>
          <w:tcPr>
            <w:tcW w:w="7380" w:type="dxa"/>
            <w:vAlign w:val="bottom"/>
            <w:tcBorders>
              <w:left w:val="single" w:sz="8" w:color="auto"/>
              <w:bottom w:val="single" w:sz="8" w:color="auto"/>
              <w:right w:val="single" w:sz="8" w:color="auto"/>
            </w:tcBorders>
          </w:tcPr>
          <w:p>
            <w:pPr>
              <w:spacing w:after="0"/>
              <w:rPr>
                <w:sz w:val="19"/>
                <w:szCs w:val="19"/>
                <w:color w:val="auto"/>
              </w:rPr>
            </w:pPr>
          </w:p>
        </w:tc>
        <w:tc>
          <w:tcPr>
            <w:tcW w:w="3640" w:type="dxa"/>
            <w:vAlign w:val="bottom"/>
            <w:tcBorders>
              <w:bottom w:val="single" w:sz="8" w:color="auto"/>
              <w:right w:val="single" w:sz="8" w:color="auto"/>
            </w:tcBorders>
          </w:tcPr>
          <w:p>
            <w:pPr>
              <w:spacing w:after="0"/>
              <w:rPr>
                <w:sz w:val="19"/>
                <w:szCs w:val="19"/>
                <w:color w:val="auto"/>
              </w:rPr>
            </w:pPr>
          </w:p>
        </w:tc>
      </w:tr>
      <w:tr>
        <w:trPr>
          <w:trHeight w:val="254"/>
        </w:trPr>
        <w:tc>
          <w:tcPr>
            <w:tcW w:w="7380" w:type="dxa"/>
            <w:vAlign w:val="bottom"/>
            <w:tcBorders>
              <w:right w:val="single" w:sz="8" w:color="auto"/>
            </w:tcBorders>
          </w:tcPr>
          <w:p>
            <w:pPr>
              <w:jc w:val="right"/>
              <w:ind w:right="6692"/>
              <w:spacing w:after="0"/>
              <w:rPr>
                <w:sz w:val="20"/>
                <w:szCs w:val="20"/>
                <w:color w:val="auto"/>
              </w:rPr>
            </w:pPr>
            <w:r>
              <w:rPr>
                <w:rFonts w:ascii="Arial" w:cs="Arial" w:eastAsia="Arial" w:hAnsi="Arial"/>
                <w:sz w:val="22"/>
                <w:szCs w:val="22"/>
                <w:color w:val="auto"/>
              </w:rPr>
              <w:t>[***]</w:t>
            </w:r>
          </w:p>
        </w:tc>
        <w:tc>
          <w:tcPr>
            <w:tcW w:w="3640" w:type="dxa"/>
            <w:vAlign w:val="bottom"/>
            <w:tcBorders>
              <w:right w:val="single" w:sz="8" w:color="auto"/>
            </w:tcBorders>
          </w:tcPr>
          <w:p>
            <w:pPr>
              <w:jc w:val="right"/>
              <w:ind w:right="1492"/>
              <w:spacing w:after="0"/>
              <w:rPr>
                <w:sz w:val="20"/>
                <w:szCs w:val="20"/>
                <w:color w:val="auto"/>
              </w:rPr>
            </w:pPr>
            <w:r>
              <w:rPr>
                <w:rFonts w:ascii="Arial" w:cs="Arial" w:eastAsia="Arial" w:hAnsi="Arial"/>
                <w:sz w:val="22"/>
                <w:szCs w:val="22"/>
                <w:color w:val="auto"/>
              </w:rPr>
              <w:t>[***]</w:t>
            </w:r>
          </w:p>
        </w:tc>
      </w:tr>
      <w:tr>
        <w:trPr>
          <w:trHeight w:val="208"/>
        </w:trPr>
        <w:tc>
          <w:tcPr>
            <w:tcW w:w="7380" w:type="dxa"/>
            <w:vAlign w:val="bottom"/>
            <w:tcBorders>
              <w:bottom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spacing w:after="0"/>
              <w:rPr>
                <w:sz w:val="18"/>
                <w:szCs w:val="18"/>
                <w:color w:val="auto"/>
              </w:rPr>
            </w:pPr>
          </w:p>
        </w:tc>
      </w:tr>
      <w:tr>
        <w:trPr>
          <w:trHeight w:val="268"/>
        </w:trPr>
        <w:tc>
          <w:tcPr>
            <w:tcW w:w="7380" w:type="dxa"/>
            <w:vAlign w:val="bottom"/>
            <w:tcBorders>
              <w:right w:val="single" w:sz="8" w:color="auto"/>
            </w:tcBorders>
          </w:tcPr>
          <w:p>
            <w:pPr>
              <w:jc w:val="right"/>
              <w:ind w:right="6692"/>
              <w:spacing w:after="0"/>
              <w:rPr>
                <w:sz w:val="20"/>
                <w:szCs w:val="20"/>
                <w:color w:val="auto"/>
              </w:rPr>
            </w:pPr>
            <w:r>
              <w:rPr>
                <w:rFonts w:ascii="Arial" w:cs="Arial" w:eastAsia="Arial" w:hAnsi="Arial"/>
                <w:sz w:val="22"/>
                <w:szCs w:val="22"/>
                <w:color w:val="auto"/>
              </w:rPr>
              <w:t>[***]</w:t>
            </w:r>
          </w:p>
        </w:tc>
        <w:tc>
          <w:tcPr>
            <w:tcW w:w="3640" w:type="dxa"/>
            <w:vAlign w:val="bottom"/>
            <w:tcBorders>
              <w:right w:val="single" w:sz="8" w:color="auto"/>
            </w:tcBorders>
          </w:tcPr>
          <w:p>
            <w:pPr>
              <w:jc w:val="right"/>
              <w:ind w:right="1492"/>
              <w:spacing w:after="0"/>
              <w:rPr>
                <w:sz w:val="20"/>
                <w:szCs w:val="20"/>
                <w:color w:val="auto"/>
              </w:rPr>
            </w:pPr>
            <w:r>
              <w:rPr>
                <w:rFonts w:ascii="Arial" w:cs="Arial" w:eastAsia="Arial" w:hAnsi="Arial"/>
                <w:sz w:val="22"/>
                <w:szCs w:val="22"/>
                <w:color w:val="auto"/>
              </w:rPr>
              <w:t>[***]</w:t>
            </w:r>
          </w:p>
        </w:tc>
      </w:tr>
      <w:tr>
        <w:trPr>
          <w:trHeight w:val="212"/>
        </w:trPr>
        <w:tc>
          <w:tcPr>
            <w:tcW w:w="7380" w:type="dxa"/>
            <w:vAlign w:val="bottom"/>
            <w:tcBorders>
              <w:bottom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spacing w:after="0"/>
              <w:rPr>
                <w:sz w:val="18"/>
                <w:szCs w:val="18"/>
                <w:color w:val="auto"/>
              </w:rPr>
            </w:pPr>
          </w:p>
        </w:tc>
      </w:tr>
      <w:tr>
        <w:trPr>
          <w:trHeight w:val="268"/>
        </w:trPr>
        <w:tc>
          <w:tcPr>
            <w:tcW w:w="7380" w:type="dxa"/>
            <w:vAlign w:val="bottom"/>
            <w:tcBorders>
              <w:right w:val="single" w:sz="8" w:color="auto"/>
            </w:tcBorders>
          </w:tcPr>
          <w:p>
            <w:pPr>
              <w:jc w:val="right"/>
              <w:ind w:right="6692"/>
              <w:spacing w:after="0"/>
              <w:rPr>
                <w:sz w:val="20"/>
                <w:szCs w:val="20"/>
                <w:color w:val="auto"/>
              </w:rPr>
            </w:pPr>
            <w:r>
              <w:rPr>
                <w:rFonts w:ascii="Arial" w:cs="Arial" w:eastAsia="Arial" w:hAnsi="Arial"/>
                <w:sz w:val="22"/>
                <w:szCs w:val="22"/>
                <w:color w:val="auto"/>
              </w:rPr>
              <w:t>[***]</w:t>
            </w:r>
          </w:p>
        </w:tc>
        <w:tc>
          <w:tcPr>
            <w:tcW w:w="3640" w:type="dxa"/>
            <w:vAlign w:val="bottom"/>
            <w:tcBorders>
              <w:right w:val="single" w:sz="8" w:color="auto"/>
            </w:tcBorders>
          </w:tcPr>
          <w:p>
            <w:pPr>
              <w:jc w:val="right"/>
              <w:ind w:right="1492"/>
              <w:spacing w:after="0"/>
              <w:rPr>
                <w:sz w:val="20"/>
                <w:szCs w:val="20"/>
                <w:color w:val="auto"/>
              </w:rPr>
            </w:pPr>
            <w:r>
              <w:rPr>
                <w:rFonts w:ascii="Arial" w:cs="Arial" w:eastAsia="Arial" w:hAnsi="Arial"/>
                <w:sz w:val="22"/>
                <w:szCs w:val="22"/>
                <w:color w:val="auto"/>
              </w:rPr>
              <w:t>[***]</w:t>
            </w:r>
          </w:p>
        </w:tc>
      </w:tr>
      <w:tr>
        <w:trPr>
          <w:trHeight w:val="212"/>
        </w:trPr>
        <w:tc>
          <w:tcPr>
            <w:tcW w:w="7380" w:type="dxa"/>
            <w:vAlign w:val="bottom"/>
            <w:tcBorders>
              <w:bottom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3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8.4  Royalties on Net Sales</w:t>
      </w:r>
      <w:r>
        <w:rPr>
          <w:rFonts w:ascii="Arial" w:cs="Arial" w:eastAsia="Arial" w:hAnsi="Arial"/>
          <w:sz w:val="22"/>
          <w:szCs w:val="22"/>
          <w:color w:val="auto"/>
        </w:rPr>
        <w:t>.</w:t>
      </w:r>
    </w:p>
    <w:p>
      <w:pPr>
        <w:spacing w:after="0" w:line="206" w:lineRule="exact"/>
        <w:rPr>
          <w:sz w:val="20"/>
          <w:szCs w:val="20"/>
          <w:color w:val="auto"/>
        </w:rPr>
      </w:pPr>
    </w:p>
    <w:p>
      <w:pPr>
        <w:ind w:left="1940" w:hanging="435"/>
        <w:spacing w:after="0"/>
        <w:tabs>
          <w:tab w:leader="none" w:pos="1940"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Transfer Price; Royalty Rates</w:t>
      </w:r>
    </w:p>
    <w:p>
      <w:pPr>
        <w:spacing w:after="0" w:line="206" w:lineRule="exact"/>
        <w:rPr>
          <w:rFonts w:ascii="Arial" w:cs="Arial" w:eastAsia="Arial" w:hAnsi="Arial"/>
          <w:sz w:val="22"/>
          <w:szCs w:val="22"/>
          <w:b w:val="1"/>
          <w:bCs w:val="1"/>
          <w:color w:val="auto"/>
        </w:rPr>
      </w:pPr>
    </w:p>
    <w:p>
      <w:pPr>
        <w:jc w:val="both"/>
        <w:ind w:firstLine="2254"/>
        <w:spacing w:after="0" w:line="272" w:lineRule="auto"/>
        <w:tabs>
          <w:tab w:leader="none" w:pos="2678" w:val="left"/>
        </w:tabs>
        <w:numPr>
          <w:ilvl w:val="1"/>
          <w:numId w:val="8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Transfer Price (Spruce-Manufactured Product </w:t>
      </w:r>
      <w:r>
        <w:rPr>
          <w:rFonts w:ascii="Arial" w:cs="Arial" w:eastAsia="Arial" w:hAnsi="Arial"/>
          <w:sz w:val="19"/>
          <w:szCs w:val="19"/>
          <w:color w:val="auto"/>
        </w:rPr>
        <w:t>). Subject to the terms and conditions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8.4, during the Royalty Term, Kaken shall pay to Spruce a non-creditable, non-refundable purchase price for each unit of Spruce-Manufactured Product equal to [***] subject to such adjustment as shall be set forth in the Commercial Supply Agreement (the “</w:t>
      </w:r>
      <w:r>
        <w:rPr>
          <w:rFonts w:ascii="Arial" w:cs="Arial" w:eastAsia="Arial" w:hAnsi="Arial"/>
          <w:sz w:val="19"/>
          <w:szCs w:val="19"/>
          <w:b w:val="1"/>
          <w:bCs w:val="1"/>
          <w:color w:val="auto"/>
        </w:rPr>
        <w:t>Transfer Price</w:t>
      </w:r>
      <w:r>
        <w:rPr>
          <w:rFonts w:ascii="Arial" w:cs="Arial" w:eastAsia="Arial" w:hAnsi="Arial"/>
          <w:sz w:val="19"/>
          <w:szCs w:val="19"/>
          <w:color w:val="auto"/>
        </w:rPr>
        <w:t>”). If Kaken desires that Spruce continue to Manufacture and supply, or have Manufactured and supplied, Licensed Compound or a Licensed Product to Kaken for Commercial use in the Field in the Kaken Territory after the Royalty Term has expired for such Licensed Product, then (a) Spruce shall sell and supply, or cause to be supplied, to Kaken, and Kaken shall purchase from Spruce, all of Kaken’s, its Affiliates’ and its and their Sublicensees’ requirements of Licensed Compound or Licensed Product for Commercial use in the Field in the Kaken Territory and (b) the Transfer Price for such Licensed Compound or Licensed Product will equal [***] For clarity, in the event that Kaken has already entered into a separate supply agreement with Spruce’s Third Party supplier of the applicable Licensed Compound and Licensed Product for the Commercial supply of such Licensed Compound or Licensed Product or requested a technology transfer in accordance with Section 7.2(b) and Kaken has confirmed that Kaken’s Third Party contract supplier is capable of Manufacturing the Licensed Compound and Licensed Product, then, Spruce will have no further obligation to supply Kaken’s commercial requirements of the Licensed Compound and Licensed Product for use in the Field in the Kaken Territory.</w:t>
      </w:r>
    </w:p>
    <w:p>
      <w:pPr>
        <w:spacing w:after="0" w:line="151" w:lineRule="exact"/>
        <w:rPr>
          <w:rFonts w:ascii="Arial" w:cs="Arial" w:eastAsia="Arial" w:hAnsi="Arial"/>
          <w:sz w:val="19"/>
          <w:szCs w:val="19"/>
          <w:b w:val="1"/>
          <w:bCs w:val="1"/>
          <w:color w:val="auto"/>
        </w:rPr>
      </w:pPr>
    </w:p>
    <w:p>
      <w:pPr>
        <w:jc w:val="both"/>
        <w:ind w:firstLine="2254"/>
        <w:spacing w:after="0" w:line="236" w:lineRule="auto"/>
        <w:tabs>
          <w:tab w:leader="none" w:pos="2678" w:val="left"/>
        </w:tabs>
        <w:numPr>
          <w:ilvl w:val="1"/>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Royalty Rates (Non-Spruce-Manufactured Product) </w:t>
      </w:r>
      <w:r>
        <w:rPr>
          <w:rFonts w:ascii="Arial" w:cs="Arial" w:eastAsia="Arial" w:hAnsi="Arial"/>
          <w:sz w:val="22"/>
          <w:szCs w:val="22"/>
          <w:color w:val="auto"/>
        </w:rPr>
        <w:t>. Subject to the terms and conditions of</w:t>
      </w:r>
      <w:r>
        <w:rPr>
          <w:rFonts w:ascii="Arial" w:cs="Arial" w:eastAsia="Arial" w:hAnsi="Arial"/>
          <w:sz w:val="22"/>
          <w:szCs w:val="22"/>
          <w:b w:val="1"/>
          <w:bCs w:val="1"/>
          <w:color w:val="auto"/>
        </w:rPr>
        <w:t xml:space="preserve"> </w:t>
      </w:r>
      <w:r>
        <w:rPr>
          <w:rFonts w:ascii="Arial" w:cs="Arial" w:eastAsia="Arial" w:hAnsi="Arial"/>
          <w:sz w:val="22"/>
          <w:szCs w:val="22"/>
          <w:color w:val="auto"/>
        </w:rPr>
        <w:t>this Section 8.4, Kaken shall pay to Spruce non-creditable, non-refundable royalties on aggregate annual Net Sales of all Licensed Product in the Kaken Territory (but excluding Net Sales of Spruce-Manufactured Product) during the applicable Royalty Term, as calculated by multiplying the applicable royalty rate below by the corresponding amount of incremental Net Sales of all Licensed Products (including Net Sales of Spruce-Manufactured Product) in the Kaken Territory in each Kaken Fiscal Year.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391"/>
        </w:trPr>
        <w:tc>
          <w:tcPr>
            <w:tcW w:w="260" w:type="dxa"/>
            <w:vAlign w:val="bottom"/>
            <w:tcBorders>
              <w:right w:val="single" w:sz="8" w:color="auto"/>
            </w:tcBorders>
          </w:tcPr>
          <w:p>
            <w:pPr>
              <w:spacing w:after="0"/>
              <w:rPr>
                <w:sz w:val="24"/>
                <w:szCs w:val="24"/>
                <w:color w:val="auto"/>
              </w:rPr>
            </w:pPr>
          </w:p>
        </w:tc>
        <w:tc>
          <w:tcPr>
            <w:tcW w:w="7880" w:type="dxa"/>
            <w:vAlign w:val="bottom"/>
            <w:tcBorders>
              <w:top w:val="single" w:sz="8" w:color="auto"/>
              <w:right w:val="single" w:sz="8" w:color="auto"/>
            </w:tcBorders>
          </w:tcPr>
          <w:p>
            <w:pPr>
              <w:jc w:val="right"/>
              <w:ind w:right="1012"/>
              <w:spacing w:after="0"/>
              <w:rPr>
                <w:sz w:val="20"/>
                <w:szCs w:val="20"/>
                <w:color w:val="auto"/>
              </w:rPr>
            </w:pPr>
            <w:r>
              <w:rPr>
                <w:rFonts w:ascii="Arial" w:cs="Arial" w:eastAsia="Arial" w:hAnsi="Arial"/>
                <w:sz w:val="22"/>
                <w:szCs w:val="22"/>
                <w:b w:val="1"/>
                <w:bCs w:val="1"/>
                <w:color w:val="auto"/>
              </w:rPr>
              <w:t>Annual Net Sales of Licensed Products in the Kaken Territory</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Royalty Rate</w:t>
            </w:r>
          </w:p>
        </w:tc>
        <w:tc>
          <w:tcPr>
            <w:tcW w:w="1260" w:type="dxa"/>
            <w:vAlign w:val="bottom"/>
          </w:tcPr>
          <w:p>
            <w:pPr>
              <w:spacing w:after="0"/>
              <w:rPr>
                <w:sz w:val="24"/>
                <w:szCs w:val="24"/>
                <w:color w:val="auto"/>
              </w:rPr>
            </w:pPr>
          </w:p>
        </w:tc>
      </w:tr>
      <w:tr>
        <w:trPr>
          <w:trHeight w:val="108"/>
        </w:trPr>
        <w:tc>
          <w:tcPr>
            <w:tcW w:w="260" w:type="dxa"/>
            <w:vAlign w:val="bottom"/>
            <w:tcBorders>
              <w:right w:val="single" w:sz="8" w:color="auto"/>
            </w:tcBorders>
          </w:tcPr>
          <w:p>
            <w:pPr>
              <w:spacing w:after="0"/>
              <w:rPr>
                <w:sz w:val="9"/>
                <w:szCs w:val="9"/>
                <w:color w:val="auto"/>
              </w:rPr>
            </w:pPr>
          </w:p>
        </w:tc>
        <w:tc>
          <w:tcPr>
            <w:tcW w:w="788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260" w:type="dxa"/>
            <w:vAlign w:val="bottom"/>
          </w:tcPr>
          <w:p>
            <w:pPr>
              <w:spacing w:after="0"/>
              <w:rPr>
                <w:sz w:val="9"/>
                <w:szCs w:val="9"/>
                <w:color w:val="auto"/>
              </w:rPr>
            </w:pPr>
          </w:p>
        </w:tc>
      </w:tr>
      <w:tr>
        <w:trPr>
          <w:trHeight w:val="371"/>
        </w:trPr>
        <w:tc>
          <w:tcPr>
            <w:tcW w:w="260" w:type="dxa"/>
            <w:vAlign w:val="bottom"/>
            <w:tcBorders>
              <w:right w:val="single" w:sz="8" w:color="auto"/>
            </w:tcBorders>
          </w:tcPr>
          <w:p>
            <w:pPr>
              <w:spacing w:after="0"/>
              <w:rPr>
                <w:sz w:val="24"/>
                <w:szCs w:val="24"/>
                <w:color w:val="auto"/>
              </w:rPr>
            </w:pPr>
          </w:p>
        </w:tc>
        <w:tc>
          <w:tcPr>
            <w:tcW w:w="7880" w:type="dxa"/>
            <w:vAlign w:val="bottom"/>
            <w:tcBorders>
              <w:right w:val="single" w:sz="8" w:color="auto"/>
            </w:tcBorders>
          </w:tcPr>
          <w:p>
            <w:pPr>
              <w:jc w:val="right"/>
              <w:ind w:right="7252"/>
              <w:spacing w:after="0"/>
              <w:rPr>
                <w:sz w:val="20"/>
                <w:szCs w:val="20"/>
                <w:color w:val="auto"/>
              </w:rPr>
            </w:pPr>
            <w:r>
              <w:rPr>
                <w:rFonts w:ascii="Arial" w:cs="Arial" w:eastAsia="Arial" w:hAnsi="Arial"/>
                <w:sz w:val="22"/>
                <w:szCs w:val="22"/>
                <w:color w:val="auto"/>
              </w:rPr>
              <w: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260" w:type="dxa"/>
            <w:vAlign w:val="bottom"/>
          </w:tcPr>
          <w:p>
            <w:pPr>
              <w:spacing w:after="0"/>
              <w:rPr>
                <w:sz w:val="24"/>
                <w:szCs w:val="24"/>
                <w:color w:val="auto"/>
              </w:rPr>
            </w:pPr>
          </w:p>
        </w:tc>
      </w:tr>
      <w:tr>
        <w:trPr>
          <w:trHeight w:val="111"/>
        </w:trPr>
        <w:tc>
          <w:tcPr>
            <w:tcW w:w="260" w:type="dxa"/>
            <w:vAlign w:val="bottom"/>
            <w:tcBorders>
              <w:right w:val="single" w:sz="8" w:color="auto"/>
            </w:tcBorders>
          </w:tcPr>
          <w:p>
            <w:pPr>
              <w:spacing w:after="0"/>
              <w:rPr>
                <w:sz w:val="9"/>
                <w:szCs w:val="9"/>
                <w:color w:val="auto"/>
              </w:rPr>
            </w:pPr>
          </w:p>
        </w:tc>
        <w:tc>
          <w:tcPr>
            <w:tcW w:w="788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260" w:type="dxa"/>
            <w:vAlign w:val="bottom"/>
          </w:tcPr>
          <w:p>
            <w:pPr>
              <w:spacing w:after="0"/>
              <w:rPr>
                <w:sz w:val="9"/>
                <w:szCs w:val="9"/>
                <w:color w:val="auto"/>
              </w:rPr>
            </w:pPr>
          </w:p>
        </w:tc>
      </w:tr>
      <w:tr>
        <w:trPr>
          <w:trHeight w:val="368"/>
        </w:trPr>
        <w:tc>
          <w:tcPr>
            <w:tcW w:w="260" w:type="dxa"/>
            <w:vAlign w:val="bottom"/>
            <w:tcBorders>
              <w:right w:val="single" w:sz="8" w:color="auto"/>
            </w:tcBorders>
          </w:tcPr>
          <w:p>
            <w:pPr>
              <w:spacing w:after="0"/>
              <w:rPr>
                <w:sz w:val="24"/>
                <w:szCs w:val="24"/>
                <w:color w:val="auto"/>
              </w:rPr>
            </w:pPr>
          </w:p>
        </w:tc>
        <w:tc>
          <w:tcPr>
            <w:tcW w:w="7880" w:type="dxa"/>
            <w:vAlign w:val="bottom"/>
            <w:tcBorders>
              <w:right w:val="single" w:sz="8" w:color="auto"/>
            </w:tcBorders>
          </w:tcPr>
          <w:p>
            <w:pPr>
              <w:jc w:val="right"/>
              <w:ind w:right="7252"/>
              <w:spacing w:after="0"/>
              <w:rPr>
                <w:sz w:val="20"/>
                <w:szCs w:val="20"/>
                <w:color w:val="auto"/>
              </w:rPr>
            </w:pPr>
            <w:r>
              <w:rPr>
                <w:rFonts w:ascii="Arial" w:cs="Arial" w:eastAsia="Arial" w:hAnsi="Arial"/>
                <w:sz w:val="22"/>
                <w:szCs w:val="22"/>
                <w:color w:val="auto"/>
              </w:rPr>
              <w: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260" w:type="dxa"/>
            <w:vAlign w:val="bottom"/>
          </w:tcPr>
          <w:p>
            <w:pPr>
              <w:spacing w:after="0"/>
              <w:rPr>
                <w:sz w:val="24"/>
                <w:szCs w:val="24"/>
                <w:color w:val="auto"/>
              </w:rPr>
            </w:pPr>
          </w:p>
        </w:tc>
      </w:tr>
      <w:tr>
        <w:trPr>
          <w:trHeight w:val="111"/>
        </w:trPr>
        <w:tc>
          <w:tcPr>
            <w:tcW w:w="260" w:type="dxa"/>
            <w:vAlign w:val="bottom"/>
            <w:tcBorders>
              <w:right w:val="single" w:sz="8" w:color="auto"/>
            </w:tcBorders>
          </w:tcPr>
          <w:p>
            <w:pPr>
              <w:spacing w:after="0"/>
              <w:rPr>
                <w:sz w:val="9"/>
                <w:szCs w:val="9"/>
                <w:color w:val="auto"/>
              </w:rPr>
            </w:pPr>
          </w:p>
        </w:tc>
        <w:tc>
          <w:tcPr>
            <w:tcW w:w="788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260" w:type="dxa"/>
            <w:vAlign w:val="bottom"/>
          </w:tcPr>
          <w:p>
            <w:pPr>
              <w:spacing w:after="0"/>
              <w:rPr>
                <w:sz w:val="9"/>
                <w:szCs w:val="9"/>
                <w:color w:val="auto"/>
              </w:rPr>
            </w:pPr>
          </w:p>
        </w:tc>
      </w:tr>
      <w:tr>
        <w:trPr>
          <w:trHeight w:val="268"/>
        </w:trPr>
        <w:tc>
          <w:tcPr>
            <w:tcW w:w="260" w:type="dxa"/>
            <w:vAlign w:val="bottom"/>
          </w:tcPr>
          <w:p>
            <w:pPr>
              <w:spacing w:after="0"/>
              <w:rPr>
                <w:sz w:val="23"/>
                <w:szCs w:val="23"/>
                <w:color w:val="auto"/>
              </w:rPr>
            </w:pPr>
          </w:p>
        </w:tc>
        <w:tc>
          <w:tcPr>
            <w:tcW w:w="7880" w:type="dxa"/>
            <w:vAlign w:val="bottom"/>
          </w:tcPr>
          <w:p>
            <w:pPr>
              <w:jc w:val="right"/>
              <w:ind w:right="2292"/>
              <w:spacing w:after="0"/>
              <w:rPr>
                <w:sz w:val="20"/>
                <w:szCs w:val="20"/>
                <w:color w:val="auto"/>
              </w:rPr>
            </w:pPr>
            <w:r>
              <w:rPr>
                <w:rFonts w:ascii="Arial" w:cs="Arial" w:eastAsia="Arial" w:hAnsi="Arial"/>
                <w:sz w:val="22"/>
                <w:szCs w:val="22"/>
                <w:color w:val="auto"/>
              </w:rPr>
              <w:t>32</w:t>
            </w:r>
          </w:p>
        </w:tc>
        <w:tc>
          <w:tcPr>
            <w:tcW w:w="18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327"/>
        </w:trPr>
        <w:tc>
          <w:tcPr>
            <w:tcW w:w="260" w:type="dxa"/>
            <w:vAlign w:val="bottom"/>
            <w:tcBorders>
              <w:bottom w:val="single" w:sz="8" w:color="9A9A9A"/>
            </w:tcBorders>
          </w:tcPr>
          <w:p>
            <w:pPr>
              <w:spacing w:after="0"/>
              <w:rPr>
                <w:sz w:val="24"/>
                <w:szCs w:val="24"/>
                <w:color w:val="auto"/>
              </w:rPr>
            </w:pPr>
          </w:p>
        </w:tc>
        <w:tc>
          <w:tcPr>
            <w:tcW w:w="78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84" w:name="page185"/>
    <w:bookmarkEnd w:id="184"/>
    <w:tbl>
      <w:tblPr>
        <w:tblLayout w:type="fixed"/>
        <w:tblInd w:w="210" w:type="dxa"/>
        <w:tblCellMar>
          <w:top w:w="0" w:type="dxa"/>
          <w:left w:w="0" w:type="dxa"/>
          <w:bottom w:w="0" w:type="dxa"/>
          <w:right w:w="0" w:type="dxa"/>
        </w:tblCellMar>
      </w:tblPr>
      <w:tr>
        <w:trPr>
          <w:trHeight w:val="391"/>
        </w:trPr>
        <w:tc>
          <w:tcPr>
            <w:tcW w:w="7920" w:type="dxa"/>
            <w:vAlign w:val="bottom"/>
            <w:tcBorders>
              <w:top w:val="single" w:sz="8" w:color="auto"/>
              <w:left w:val="single" w:sz="8" w:color="auto"/>
              <w:right w:val="single" w:sz="8" w:color="auto"/>
            </w:tcBorders>
          </w:tcPr>
          <w:p>
            <w:pPr>
              <w:jc w:val="right"/>
              <w:ind w:right="7232"/>
              <w:spacing w:after="0"/>
              <w:rPr>
                <w:sz w:val="20"/>
                <w:szCs w:val="20"/>
                <w:color w:val="auto"/>
              </w:rPr>
            </w:pPr>
            <w:r>
              <w:rPr>
                <w:rFonts w:ascii="Arial" w:cs="Arial" w:eastAsia="Arial" w:hAnsi="Arial"/>
                <w:sz w:val="22"/>
                <w:szCs w:val="22"/>
                <w:color w:val="auto"/>
              </w:rPr>
              <w:t>[***]</w:t>
            </w:r>
          </w:p>
        </w:tc>
        <w:tc>
          <w:tcPr>
            <w:tcW w:w="1860" w:type="dxa"/>
            <w:vAlign w:val="bottom"/>
            <w:tcBorders>
              <w:top w:val="single" w:sz="8" w:color="auto"/>
              <w:right w:val="single" w:sz="8" w:color="auto"/>
            </w:tcBorders>
          </w:tcPr>
          <w:p>
            <w:pPr>
              <w:jc w:val="right"/>
              <w:ind w:right="592"/>
              <w:spacing w:after="0"/>
              <w:rPr>
                <w:sz w:val="20"/>
                <w:szCs w:val="20"/>
                <w:color w:val="auto"/>
              </w:rPr>
            </w:pPr>
            <w:r>
              <w:rPr>
                <w:rFonts w:ascii="Arial" w:cs="Arial" w:eastAsia="Arial" w:hAnsi="Arial"/>
                <w:sz w:val="22"/>
                <w:szCs w:val="22"/>
                <w:color w:val="auto"/>
              </w:rPr>
              <w:t>[***]</w:t>
            </w:r>
          </w:p>
        </w:tc>
      </w:tr>
      <w:tr>
        <w:trPr>
          <w:trHeight w:val="108"/>
        </w:trPr>
        <w:tc>
          <w:tcPr>
            <w:tcW w:w="7920" w:type="dxa"/>
            <w:vAlign w:val="bottom"/>
            <w:tcBorders>
              <w:left w:val="single" w:sz="8" w:color="auto"/>
              <w:bottom w:val="single" w:sz="8" w:color="auto"/>
              <w:right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28" w:lineRule="exact"/>
        <w:rPr>
          <w:sz w:val="20"/>
          <w:szCs w:val="20"/>
          <w:color w:val="auto"/>
        </w:rPr>
      </w:pPr>
    </w:p>
    <w:p>
      <w:pPr>
        <w:jc w:val="both"/>
        <w:ind w:firstLine="1505"/>
        <w:spacing w:after="0" w:line="234" w:lineRule="auto"/>
        <w:tabs>
          <w:tab w:leader="none" w:pos="1929"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color w:val="auto"/>
        </w:rPr>
        <w:t>Royalty Term</w:t>
      </w:r>
      <w:r>
        <w:rPr>
          <w:rFonts w:ascii="Arial" w:cs="Arial" w:eastAsia="Arial" w:hAnsi="Arial"/>
          <w:sz w:val="22"/>
          <w:szCs w:val="22"/>
          <w:color w:val="auto"/>
        </w:rPr>
        <w:t>. The Transfer Price and royalties payable under Section 8.4(a) shall be paid by Kaken on a</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Product-by-Licensed Product basis from the period beginning on the date of the First Commercial Sale of a Licensed Product in the Kaken Territory and continuing until the later of: (i) ten (10) years from the date of First Commercial Sale of such Licensed Product in the Kaken Territory, (ii) expiration of the last Valid Claim of a Spruce Licensed Patent Covering such Licensed Product in the Kaken Territory, and (iii) expiration of Regulatory Exclusivity for such Licensed Product in the Kaken Territory (the “</w:t>
      </w:r>
      <w:r>
        <w:rPr>
          <w:rFonts w:ascii="Arial" w:cs="Arial" w:eastAsia="Arial" w:hAnsi="Arial"/>
          <w:sz w:val="22"/>
          <w:szCs w:val="22"/>
          <w:b w:val="1"/>
          <w:bCs w:val="1"/>
          <w:color w:val="auto"/>
        </w:rPr>
        <w:t>Royalty Term</w:t>
      </w:r>
      <w:r>
        <w:rPr>
          <w:rFonts w:ascii="Arial" w:cs="Arial" w:eastAsia="Arial" w:hAnsi="Arial"/>
          <w:sz w:val="22"/>
          <w:szCs w:val="22"/>
          <w:color w:val="auto"/>
        </w:rPr>
        <w:t>”). For clarity, if a Valid Claim of a Spruce Licensed Patent Covers the Manufacture of such Licensed Product in the Kaken Territory, then regardless of whether such Licensed Product is actually Manufactured in the Kaken Territory, such Licensed Product shall be deemed to be Covered by a Valid Claim of a Spruce Licensed Patent in the Kaken Territory.</w:t>
      </w:r>
    </w:p>
    <w:p>
      <w:pPr>
        <w:spacing w:after="0" w:line="183" w:lineRule="exact"/>
        <w:rPr>
          <w:rFonts w:ascii="Arial" w:cs="Arial" w:eastAsia="Arial" w:hAnsi="Arial"/>
          <w:sz w:val="22"/>
          <w:szCs w:val="22"/>
          <w:b w:val="1"/>
          <w:bCs w:val="1"/>
          <w:color w:val="auto"/>
        </w:rPr>
      </w:pPr>
    </w:p>
    <w:p>
      <w:pPr>
        <w:ind w:left="1940" w:hanging="435"/>
        <w:spacing w:after="0"/>
        <w:tabs>
          <w:tab w:leader="none" w:pos="1940"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color w:val="auto"/>
        </w:rPr>
        <w:t>Royalty Reduction</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jc w:val="both"/>
        <w:ind w:firstLine="2254"/>
        <w:spacing w:after="0" w:line="287" w:lineRule="auto"/>
        <w:tabs>
          <w:tab w:leader="none" w:pos="2678" w:val="left"/>
        </w:tabs>
        <w:numPr>
          <w:ilvl w:val="1"/>
          <w:numId w:val="85"/>
        </w:numPr>
        <w:rPr>
          <w:rFonts w:ascii="Arial" w:cs="Arial" w:eastAsia="Arial" w:hAnsi="Arial"/>
          <w:sz w:val="19"/>
          <w:szCs w:val="19"/>
          <w:b w:val="1"/>
          <w:bCs w:val="1"/>
          <w:color w:val="auto"/>
        </w:rPr>
      </w:pPr>
      <w:r>
        <w:rPr>
          <w:rFonts w:ascii="Arial" w:cs="Arial" w:eastAsia="Arial" w:hAnsi="Arial"/>
          <w:sz w:val="19"/>
          <w:szCs w:val="19"/>
          <w:color w:val="auto"/>
        </w:rPr>
        <w:t>Commencing the day following the day on which a Licensed Product is neither (A) Covered by a Valid Claim of a Spruce Licensed Patent in the Kaken Territory, nor (B) subject to Regulatory Exclusivity in the Kaken Territory, the Transfer Price for each unit of Spruce-Manufactured Product or the royalty rate applicable to Net Sales of the Licensed Product in the Kaken Territory shall be reduced by [***] of the otherwise applicable price or rate set forth in Section 8.4(a).</w:t>
      </w:r>
    </w:p>
    <w:p>
      <w:pPr>
        <w:spacing w:after="0" w:line="142" w:lineRule="exact"/>
        <w:rPr>
          <w:rFonts w:ascii="Arial" w:cs="Arial" w:eastAsia="Arial" w:hAnsi="Arial"/>
          <w:sz w:val="19"/>
          <w:szCs w:val="19"/>
          <w:b w:val="1"/>
          <w:bCs w:val="1"/>
          <w:color w:val="auto"/>
        </w:rPr>
      </w:pPr>
    </w:p>
    <w:p>
      <w:pPr>
        <w:jc w:val="both"/>
        <w:ind w:firstLine="2254"/>
        <w:spacing w:after="0" w:line="234" w:lineRule="auto"/>
        <w:tabs>
          <w:tab w:leader="none" w:pos="2705" w:val="left"/>
        </w:tabs>
        <w:numPr>
          <w:ilvl w:val="1"/>
          <w:numId w:val="85"/>
        </w:numPr>
        <w:rPr>
          <w:rFonts w:ascii="Arial" w:cs="Arial" w:eastAsia="Arial" w:hAnsi="Arial"/>
          <w:sz w:val="22"/>
          <w:szCs w:val="22"/>
          <w:b w:val="1"/>
          <w:bCs w:val="1"/>
          <w:color w:val="auto"/>
        </w:rPr>
      </w:pPr>
      <w:r>
        <w:rPr>
          <w:rFonts w:ascii="Arial" w:cs="Arial" w:eastAsia="Arial" w:hAnsi="Arial"/>
          <w:sz w:val="22"/>
          <w:szCs w:val="22"/>
          <w:color w:val="auto"/>
        </w:rPr>
        <w:t>If, during any Calendar Quarter during the Royalty Term, both (A) any Generic Product to a Licensed Product is sold in the Kaken Territory, and (B) all of the Generic Products to a Licensed Product in the aggregate have a market share of [***] or more in the Kaken Territory in a Calendar Quarter (measured in local currency, as reported by an agreed market intelligence service), then commencing with the immediately succeeding Calendar Quarter the Transfer Price for each unit of Spruce-Manufactured Product or the royalty rate applicable to Net Sales of the Licensed Product in the Kaken Territory shall be reduced by [***] of the otherwise applicable rate set forth in Section 8.4(a). For clarity, the royalty rate after the maximum reduction set forth in Sections 8.4(c)(i) and 8.4(c)(ii) will be [***] of the otherwise applicable price or rate set forth in Section 8.4(a).</w:t>
      </w:r>
    </w:p>
    <w:p>
      <w:pPr>
        <w:spacing w:after="0" w:line="186" w:lineRule="exact"/>
        <w:rPr>
          <w:rFonts w:ascii="Arial" w:cs="Arial" w:eastAsia="Arial" w:hAnsi="Arial"/>
          <w:sz w:val="22"/>
          <w:szCs w:val="22"/>
          <w:b w:val="1"/>
          <w:bCs w:val="1"/>
          <w:color w:val="auto"/>
        </w:rPr>
      </w:pPr>
    </w:p>
    <w:p>
      <w:pPr>
        <w:ind w:left="2680" w:hanging="426"/>
        <w:spacing w:after="0"/>
        <w:tabs>
          <w:tab w:leader="none" w:pos="2680" w:val="left"/>
        </w:tabs>
        <w:numPr>
          <w:ilvl w:val="1"/>
          <w:numId w:val="85"/>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ind w:left="2680" w:hanging="426"/>
        <w:spacing w:after="0"/>
        <w:tabs>
          <w:tab w:leader="none" w:pos="2680" w:val="left"/>
        </w:tabs>
        <w:numPr>
          <w:ilvl w:val="1"/>
          <w:numId w:val="85"/>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jc w:val="both"/>
        <w:ind w:firstLine="2254"/>
        <w:spacing w:after="0" w:line="238" w:lineRule="auto"/>
        <w:tabs>
          <w:tab w:leader="none" w:pos="2719" w:val="left"/>
        </w:tabs>
        <w:numPr>
          <w:ilvl w:val="1"/>
          <w:numId w:val="85"/>
        </w:numPr>
        <w:rPr>
          <w:rFonts w:ascii="Arial" w:cs="Arial" w:eastAsia="Arial" w:hAnsi="Arial"/>
          <w:sz w:val="22"/>
          <w:szCs w:val="22"/>
          <w:b w:val="1"/>
          <w:bCs w:val="1"/>
          <w:color w:val="auto"/>
        </w:rPr>
      </w:pPr>
      <w:r>
        <w:rPr>
          <w:rFonts w:ascii="Arial" w:cs="Arial" w:eastAsia="Arial" w:hAnsi="Arial"/>
          <w:sz w:val="22"/>
          <w:szCs w:val="22"/>
          <w:color w:val="auto"/>
        </w:rPr>
        <w:t>Notwithstanding anything contained in this Agreement to the contrary, including the Transfer Price and royalty rate reductions provided for under this Section 8.4(c), in no event will the Transfer Price for each unit of Spruce-Manufactured Product or the royalty rate applicable to Net Sales of a unit of Licensed Product in the Kaken Territory be less than [***].</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8.5  Payment of Transfer Price; Royalty Payments; Reports</w:t>
      </w:r>
      <w:r>
        <w:rPr>
          <w:rFonts w:ascii="Arial" w:cs="Arial" w:eastAsia="Arial" w:hAnsi="Arial"/>
          <w:sz w:val="22"/>
          <w:szCs w:val="22"/>
          <w:color w:val="auto"/>
        </w:rPr>
        <w:t>.</w:t>
      </w:r>
    </w:p>
    <w:p>
      <w:pPr>
        <w:spacing w:after="0" w:line="206" w:lineRule="exact"/>
        <w:rPr>
          <w:sz w:val="20"/>
          <w:szCs w:val="20"/>
          <w:color w:val="auto"/>
        </w:rPr>
      </w:pPr>
    </w:p>
    <w:p>
      <w:pPr>
        <w:ind w:left="1500"/>
        <w:spacing w:after="0"/>
        <w:tabs>
          <w:tab w:leader="none" w:pos="1920" w:val="left"/>
        </w:tabs>
        <w:rPr>
          <w:sz w:val="20"/>
          <w:szCs w:val="20"/>
          <w:color w:val="auto"/>
        </w:rPr>
      </w:pPr>
      <w:r>
        <w:rPr>
          <w:rFonts w:ascii="Arial" w:cs="Arial" w:eastAsia="Arial" w:hAnsi="Arial"/>
          <w:sz w:val="22"/>
          <w:szCs w:val="22"/>
          <w:b w:val="1"/>
          <w:bCs w:val="1"/>
          <w:color w:val="auto"/>
        </w:rPr>
        <w:t>(a)</w:t>
      </w:r>
      <w:r>
        <w:rPr>
          <w:sz w:val="20"/>
          <w:szCs w:val="20"/>
          <w:color w:val="auto"/>
        </w:rPr>
        <w:tab/>
      </w:r>
      <w:r>
        <w:rPr>
          <w:rFonts w:ascii="Arial" w:cs="Arial" w:eastAsia="Arial" w:hAnsi="Arial"/>
          <w:sz w:val="19"/>
          <w:szCs w:val="19"/>
          <w:b w:val="1"/>
          <w:bCs w:val="1"/>
          <w:color w:val="auto"/>
        </w:rPr>
        <w:t>Spruce-Manufactured Product</w:t>
      </w:r>
      <w:r>
        <w:rPr>
          <w:rFonts w:ascii="Arial" w:cs="Arial" w:eastAsia="Arial" w:hAnsi="Arial"/>
          <w:sz w:val="19"/>
          <w:szCs w:val="19"/>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85" w:name="page186"/>
    <w:bookmarkEnd w:id="185"/>
    <w:p>
      <w:pPr>
        <w:jc w:val="both"/>
        <w:ind w:firstLine="2254"/>
        <w:spacing w:after="0" w:line="243" w:lineRule="auto"/>
        <w:tabs>
          <w:tab w:leader="none" w:pos="2678" w:val="left"/>
        </w:tabs>
        <w:numPr>
          <w:ilvl w:val="1"/>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Initial Payment Prior to Establishment of NHI Price </w:t>
      </w:r>
      <w:r>
        <w:rPr>
          <w:rFonts w:ascii="Arial" w:cs="Arial" w:eastAsia="Arial" w:hAnsi="Arial"/>
          <w:sz w:val="22"/>
          <w:szCs w:val="22"/>
          <w:color w:val="auto"/>
        </w:rPr>
        <w:t>. For all units of Spruce-Manufactured</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delivered to Kaken [***] until a NHI Price is established for such Spruce-Manufactured Product, [***]. Kaken shall [***]. If Kaken [***], Kaken shall [***]. Spruce shall [***]. Kaken shall [***].</w:t>
      </w:r>
    </w:p>
    <w:p>
      <w:pPr>
        <w:spacing w:after="0" w:line="176" w:lineRule="exact"/>
        <w:rPr>
          <w:rFonts w:ascii="Arial" w:cs="Arial" w:eastAsia="Arial" w:hAnsi="Arial"/>
          <w:sz w:val="22"/>
          <w:szCs w:val="22"/>
          <w:b w:val="1"/>
          <w:bCs w:val="1"/>
          <w:color w:val="auto"/>
        </w:rPr>
      </w:pPr>
    </w:p>
    <w:p>
      <w:pPr>
        <w:jc w:val="both"/>
        <w:ind w:firstLine="2254"/>
        <w:spacing w:after="0" w:line="243" w:lineRule="auto"/>
        <w:tabs>
          <w:tab w:leader="none" w:pos="2678" w:val="left"/>
        </w:tabs>
        <w:numPr>
          <w:ilvl w:val="1"/>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Payment of Transfer Price After Establishment of NHI Price</w:t>
      </w:r>
      <w:r>
        <w:rPr>
          <w:rFonts w:ascii="Arial" w:cs="Arial" w:eastAsia="Arial" w:hAnsi="Arial"/>
          <w:sz w:val="22"/>
          <w:szCs w:val="22"/>
          <w:color w:val="auto"/>
        </w:rPr>
        <w:t>. After the establishment of a NHI</w:t>
      </w:r>
      <w:r>
        <w:rPr>
          <w:rFonts w:ascii="Arial" w:cs="Arial" w:eastAsia="Arial" w:hAnsi="Arial"/>
          <w:sz w:val="22"/>
          <w:szCs w:val="22"/>
          <w:b w:val="1"/>
          <w:bCs w:val="1"/>
          <w:color w:val="auto"/>
        </w:rPr>
        <w:t xml:space="preserve"> </w:t>
      </w:r>
      <w:r>
        <w:rPr>
          <w:rFonts w:ascii="Arial" w:cs="Arial" w:eastAsia="Arial" w:hAnsi="Arial"/>
          <w:sz w:val="22"/>
          <w:szCs w:val="22"/>
          <w:color w:val="auto"/>
        </w:rPr>
        <w:t>Price [***], Spruce shall invoice Kaken an amount equal to the Transfer Price for such units. Kaken shall [***]. If Kaken [***], Kaken shall [***]. Spruce shall [***]. Kaken shall [***].</w:t>
      </w:r>
    </w:p>
    <w:p>
      <w:pPr>
        <w:spacing w:after="0" w:line="176" w:lineRule="exact"/>
        <w:rPr>
          <w:rFonts w:ascii="Arial" w:cs="Arial" w:eastAsia="Arial" w:hAnsi="Arial"/>
          <w:sz w:val="22"/>
          <w:szCs w:val="22"/>
          <w:b w:val="1"/>
          <w:bCs w:val="1"/>
          <w:color w:val="auto"/>
        </w:rPr>
      </w:pPr>
    </w:p>
    <w:p>
      <w:pPr>
        <w:jc w:val="both"/>
        <w:ind w:firstLine="1505"/>
        <w:spacing w:after="0" w:line="247" w:lineRule="auto"/>
        <w:tabs>
          <w:tab w:leader="none" w:pos="1929" w:val="left"/>
        </w:tabs>
        <w:numPr>
          <w:ilvl w:val="0"/>
          <w:numId w:val="8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Payments for Non-Spruce Manufactured Products </w:t>
      </w:r>
      <w:r>
        <w:rPr>
          <w:rFonts w:ascii="Arial" w:cs="Arial" w:eastAsia="Arial" w:hAnsi="Arial"/>
          <w:sz w:val="21"/>
          <w:szCs w:val="21"/>
          <w:color w:val="auto"/>
        </w:rPr>
        <w:t>. Royalties under Section 8.4(a)(ii)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calculated and reported for each Calendar Quarter during the Royalty Term within [***] after the end of the applicable Calendar Quarter and shall be paid within [***] after the end of the applicable Calendar Quarter, commencing with the Calendar Quarter in which the First Commercial Sale of a Licensed Product occurs. Each payment of royalties shall be accompanied by a report of Net Sales of Licensed Products by Kaken, its Affiliates and their respective Sublicensees in sufficient detail to permit confirmation of the accuracy of the royalty payment made, including: (a) the amount of gross sales and Net Sales of Licensed Products in the Kaken Territory, and (b) an itemized calculation showing the deductions from gross sales (by major category as set forth in the definition of Net Sales) to determine Net Sales.</w:t>
      </w:r>
    </w:p>
    <w:p>
      <w:pPr>
        <w:spacing w:after="0" w:line="171" w:lineRule="exact"/>
        <w:rPr>
          <w:rFonts w:ascii="Arial" w:cs="Arial" w:eastAsia="Arial" w:hAnsi="Arial"/>
          <w:sz w:val="21"/>
          <w:szCs w:val="21"/>
          <w:b w:val="1"/>
          <w:bCs w:val="1"/>
          <w:color w:val="auto"/>
        </w:rPr>
      </w:pPr>
    </w:p>
    <w:p>
      <w:pPr>
        <w:jc w:val="both"/>
        <w:ind w:firstLine="1505"/>
        <w:spacing w:after="0" w:line="234" w:lineRule="auto"/>
        <w:tabs>
          <w:tab w:leader="none" w:pos="1929"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Payments and Invoicing for Licensed Products after the Royalty Term </w:t>
      </w:r>
      <w:r>
        <w:rPr>
          <w:rFonts w:ascii="Arial" w:cs="Arial" w:eastAsia="Arial" w:hAnsi="Arial"/>
          <w:sz w:val="22"/>
          <w:szCs w:val="22"/>
          <w:color w:val="auto"/>
        </w:rPr>
        <w:t>. For all units of Licensed</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delivered to Kaken in a given month for commercial sale pursuant to the Commercial Supply Agreement that are being supplied after the Royalty Term, promptly after Spruce delivers such Licensed Product to Kaken, Spruce shall invoice Kaken an amount equal to the price as agreed by the Parties pursuant to Section 8.4(a)(i) for such units. Kaken shall pay all undisputed amounts in such invoice no later than [***] after receipt of the invoice. In the event Kaken disputes one or more items in an invoice, Kaken shall promptly notify Spruce in writing and such notice shall contain a reasonably detailed description of the item(s) being disputed and the basis therefor. Spruce shall promptly respond to Kaken and the Parties shall use good faith efforts to promptly resolve the dispute. Amounts determined to be owed following resolution will be paid to Spruce within [***] of resolution of the dispute.</w:t>
      </w:r>
    </w:p>
    <w:p>
      <w:pPr>
        <w:spacing w:after="0" w:line="183"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8.6 Payment Method; Foreign Exchange</w:t>
      </w:r>
      <w:r>
        <w:rPr>
          <w:rFonts w:ascii="Arial" w:cs="Arial" w:eastAsia="Arial" w:hAnsi="Arial"/>
          <w:sz w:val="22"/>
          <w:szCs w:val="22"/>
          <w:color w:val="auto"/>
        </w:rPr>
        <w:t>. All payments owed by Kaken under this Agreement shall be made by wire</w:t>
      </w:r>
      <w:r>
        <w:rPr>
          <w:rFonts w:ascii="Arial" w:cs="Arial" w:eastAsia="Arial" w:hAnsi="Arial"/>
          <w:sz w:val="22"/>
          <w:szCs w:val="22"/>
          <w:b w:val="1"/>
          <w:bCs w:val="1"/>
          <w:color w:val="auto"/>
        </w:rPr>
        <w:t xml:space="preserve"> </w:t>
      </w:r>
      <w:r>
        <w:rPr>
          <w:rFonts w:ascii="Arial" w:cs="Arial" w:eastAsia="Arial" w:hAnsi="Arial"/>
          <w:sz w:val="22"/>
          <w:szCs w:val="22"/>
          <w:color w:val="auto"/>
        </w:rPr>
        <w:t>transfer in immediately available funds to a bank and account designated in writing by Spruce. For clarity, all payments by Kaken to Spruce pursuant to Sections 8.1 and 8.2 shall be in U.S. Dollars and all payments by Kaken to Spruce pursuant to Sections 8.3 and 8.4 shall be in Yen.</w:t>
      </w:r>
    </w:p>
    <w:p>
      <w:pPr>
        <w:spacing w:after="0" w:line="180"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 xml:space="preserve">8.7 Interest on Late Payments </w:t>
      </w:r>
      <w:r>
        <w:rPr>
          <w:rFonts w:ascii="Arial" w:cs="Arial" w:eastAsia="Arial" w:hAnsi="Arial"/>
          <w:sz w:val="22"/>
          <w:szCs w:val="22"/>
          <w:color w:val="auto"/>
        </w:rPr>
        <w:t>. If Spruce does not receive payment of any sum due to it on or before the due date,</w:t>
      </w:r>
      <w:r>
        <w:rPr>
          <w:rFonts w:ascii="Arial" w:cs="Arial" w:eastAsia="Arial" w:hAnsi="Arial"/>
          <w:sz w:val="22"/>
          <w:szCs w:val="22"/>
          <w:b w:val="1"/>
          <w:bCs w:val="1"/>
          <w:color w:val="auto"/>
        </w:rPr>
        <w:t xml:space="preserve"> </w:t>
      </w:r>
      <w:r>
        <w:rPr>
          <w:rFonts w:ascii="Arial" w:cs="Arial" w:eastAsia="Arial" w:hAnsi="Arial"/>
          <w:sz w:val="22"/>
          <w:szCs w:val="22"/>
          <w:color w:val="auto"/>
        </w:rPr>
        <w:t>interest shall thereafter accrue on the sum due to Spruce after a grace period of [***] until the date of payment at the per annum rate of [***] or the maximum rate allowable by applicable Laws, whichever is lower, [***].</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8.8  Records; Audits</w:t>
      </w:r>
      <w:r>
        <w:rPr>
          <w:rFonts w:ascii="Arial" w:cs="Arial" w:eastAsia="Arial" w:hAnsi="Arial"/>
          <w:sz w:val="22"/>
          <w:szCs w:val="22"/>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6" w:name="page187"/>
    <w:bookmarkEnd w:id="186"/>
    <w:p>
      <w:pPr>
        <w:jc w:val="both"/>
        <w:ind w:firstLine="1505"/>
        <w:spacing w:after="0" w:line="272" w:lineRule="auto"/>
        <w:tabs>
          <w:tab w:leader="none" w:pos="1929" w:val="left"/>
        </w:tabs>
        <w:numPr>
          <w:ilvl w:val="0"/>
          <w:numId w:val="88"/>
        </w:numPr>
        <w:rPr>
          <w:rFonts w:ascii="Arial" w:cs="Arial" w:eastAsia="Arial" w:hAnsi="Arial"/>
          <w:sz w:val="19"/>
          <w:szCs w:val="19"/>
          <w:b w:val="1"/>
          <w:bCs w:val="1"/>
          <w:color w:val="auto"/>
        </w:rPr>
      </w:pPr>
      <w:r>
        <w:rPr>
          <w:rFonts w:ascii="Arial" w:cs="Arial" w:eastAsia="Arial" w:hAnsi="Arial"/>
          <w:sz w:val="19"/>
          <w:szCs w:val="19"/>
          <w:color w:val="auto"/>
        </w:rPr>
        <w:t>Kaken shall, and shall cause its Affiliates and their respective Sublicensees to, maintain in accordance with Accounting Standards, reasonably complete and accurate records in sufficient detail to permit Spruce to confirm the accuracy of the calculation of royalty payments and the achievement of the milestone events. All payments and other relevant amounts under this Agreement shall be accounted for in accordance with Accounting Standards. Upon reasonable prior written notice, in any event no less than [***] prior written notice, such records shall be available for examination during regular business hours and in a manner that does not interfere with Kaken’s business activities for a period of [***] from the end of the Kaken Fiscal Year to which they pertain, and not more often than once each Kaken Fiscal Year, by an internationally-recognized independent certified public accountant selected by Spruce and reasonably acceptable to Kaken, for the sole purpose of verifying the accuracy of the financial reports furnished by Kaken pursuant to this Agreement and any payments with respect thereto and which auditor shall enter into a confidentiality agreement with Kaken that is reasonably acceptable to Kaken. Any amounts shown to be owed but unpaid shall be paid within [***] from the accountant’s report, plus interest (as set forth in Section 8.7) from the original due date. Spruce shall bear the full cost of such audit unless such audit discloses an underpayment by Kaken of more than [***] of the amount due for the audited period, in which case Kaken shall bear the full cost of such audit.</w:t>
      </w:r>
    </w:p>
    <w:p>
      <w:pPr>
        <w:spacing w:after="0" w:line="155" w:lineRule="exact"/>
        <w:rPr>
          <w:rFonts w:ascii="Arial" w:cs="Arial" w:eastAsia="Arial" w:hAnsi="Arial"/>
          <w:sz w:val="19"/>
          <w:szCs w:val="19"/>
          <w:b w:val="1"/>
          <w:bCs w:val="1"/>
          <w:color w:val="auto"/>
        </w:rPr>
      </w:pPr>
    </w:p>
    <w:p>
      <w:pPr>
        <w:jc w:val="both"/>
        <w:ind w:firstLine="1505"/>
        <w:spacing w:after="0" w:line="279" w:lineRule="auto"/>
        <w:tabs>
          <w:tab w:leader="none" w:pos="1983" w:val="left"/>
        </w:tabs>
        <w:numPr>
          <w:ilvl w:val="0"/>
          <w:numId w:val="88"/>
        </w:numPr>
        <w:rPr>
          <w:rFonts w:ascii="Arial" w:cs="Arial" w:eastAsia="Arial" w:hAnsi="Arial"/>
          <w:sz w:val="19"/>
          <w:szCs w:val="19"/>
          <w:b w:val="1"/>
          <w:bCs w:val="1"/>
          <w:color w:val="auto"/>
        </w:rPr>
      </w:pPr>
      <w:r>
        <w:rPr>
          <w:rFonts w:ascii="Arial" w:cs="Arial" w:eastAsia="Arial" w:hAnsi="Arial"/>
          <w:sz w:val="19"/>
          <w:szCs w:val="19"/>
          <w:color w:val="auto"/>
        </w:rPr>
        <w:t>Spruce shall, and shall ensure that its Affiliates and its and their respective employees, agents and contractors, maintain complete and accurate records with respect to Spruce’s pharmacovigilance-related obligations set forth in Section 5.8. Upon reasonable prior notice, such records shall be available for examination during regular business hours for a period of [***] from the end of the Fiscal Year to which they pertain, and not more often than once each Fiscal Year, by Kaken or its designee that is reasonably acceptable to Spruce, for the sole purpose of ensuring compliance with MHLW and other Regulatory Authority regulations. Any such records shall be deemed Confidential Information of Spruce.</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8.9  Taxes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39" w:lineRule="auto"/>
        <w:tabs>
          <w:tab w:leader="none" w:pos="1929"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color w:val="auto"/>
        </w:rPr>
        <w:t>Taxes on Income</w:t>
      </w:r>
      <w:r>
        <w:rPr>
          <w:rFonts w:ascii="Arial" w:cs="Arial" w:eastAsia="Arial" w:hAnsi="Arial"/>
          <w:sz w:val="22"/>
          <w:szCs w:val="22"/>
          <w:color w:val="auto"/>
        </w:rPr>
        <w:t>. Except as set forth in this Section 8.9, each Party shall be solely responsible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of all taxes imposed on its share of income arising directly or indirectly from the efforts of the Parties under this Agreement. Neither Party shall have any obligation towards the other Party in case that the other Party fails to fully comply with its Tax obligations.</w:t>
      </w:r>
    </w:p>
    <w:p>
      <w:pPr>
        <w:spacing w:after="0" w:line="180" w:lineRule="exact"/>
        <w:rPr>
          <w:rFonts w:ascii="Arial" w:cs="Arial" w:eastAsia="Arial" w:hAnsi="Arial"/>
          <w:sz w:val="22"/>
          <w:szCs w:val="22"/>
          <w:b w:val="1"/>
          <w:bCs w:val="1"/>
          <w:color w:val="auto"/>
        </w:rPr>
      </w:pPr>
    </w:p>
    <w:p>
      <w:pPr>
        <w:jc w:val="both"/>
        <w:ind w:firstLine="1505"/>
        <w:spacing w:after="0" w:line="245" w:lineRule="auto"/>
        <w:tabs>
          <w:tab w:leader="none" w:pos="1929" w:val="left"/>
        </w:tabs>
        <w:numPr>
          <w:ilvl w:val="0"/>
          <w:numId w:val="89"/>
        </w:numPr>
        <w:rPr>
          <w:rFonts w:ascii="Arial" w:cs="Arial" w:eastAsia="Arial" w:hAnsi="Arial"/>
          <w:sz w:val="21"/>
          <w:szCs w:val="21"/>
          <w:b w:val="1"/>
          <w:bCs w:val="1"/>
          <w:color w:val="auto"/>
        </w:rPr>
      </w:pPr>
      <w:r>
        <w:rPr>
          <w:rFonts w:ascii="Arial" w:cs="Arial" w:eastAsia="Arial" w:hAnsi="Arial"/>
          <w:sz w:val="21"/>
          <w:szCs w:val="21"/>
          <w:b w:val="1"/>
          <w:bCs w:val="1"/>
          <w:color w:val="auto"/>
        </w:rPr>
        <w:t>Withholding Income Taxes</w:t>
      </w:r>
      <w:r>
        <w:rPr>
          <w:rFonts w:ascii="Arial" w:cs="Arial" w:eastAsia="Arial" w:hAnsi="Arial"/>
          <w:sz w:val="21"/>
          <w:szCs w:val="21"/>
          <w:color w:val="auto"/>
        </w:rPr>
        <w:t>. The Parties shall cooperate with one another in accordance with applicable</w:t>
      </w:r>
      <w:r>
        <w:rPr>
          <w:rFonts w:ascii="Arial" w:cs="Arial" w:eastAsia="Arial" w:hAnsi="Arial"/>
          <w:sz w:val="21"/>
          <w:szCs w:val="21"/>
          <w:b w:val="1"/>
          <w:bCs w:val="1"/>
          <w:color w:val="auto"/>
        </w:rPr>
        <w:t xml:space="preserve"> </w:t>
      </w:r>
      <w:r>
        <w:rPr>
          <w:rFonts w:ascii="Arial" w:cs="Arial" w:eastAsia="Arial" w:hAnsi="Arial"/>
          <w:sz w:val="21"/>
          <w:szCs w:val="21"/>
          <w:color w:val="auto"/>
        </w:rPr>
        <w:t>Laws and use commercially reasonable efforts to minimize or eliminate withholding taxes and similar obligation and, prior to making any payments under the Agreement, Kaken will advise Spruce of any applicable Tax Documents required for filing in order to reduce or eliminate withholding taxes. The Parties acknowledge and agree that under the current tax treaty between Japan and the U.S. in effect as of the Effective Date, all amounts payable by Kaken to Spruce pursuant to this Agreement (each, a “</w:t>
      </w:r>
      <w:r>
        <w:rPr>
          <w:rFonts w:ascii="Arial" w:cs="Arial" w:eastAsia="Arial" w:hAnsi="Arial"/>
          <w:sz w:val="21"/>
          <w:szCs w:val="21"/>
          <w:b w:val="1"/>
          <w:bCs w:val="1"/>
          <w:color w:val="auto"/>
        </w:rPr>
        <w:t>Payment</w:t>
      </w:r>
      <w:r>
        <w:rPr>
          <w:rFonts w:ascii="Arial" w:cs="Arial" w:eastAsia="Arial" w:hAnsi="Arial"/>
          <w:sz w:val="21"/>
          <w:szCs w:val="21"/>
          <w:color w:val="auto"/>
        </w:rPr>
        <w:t xml:space="preserve">”) shall not be reduced by any deduction or withholding for any present or future Taxes;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if Kaken is required by applicable Laws to deduct or withhold Taxes directly from any amount paid to Spruce, then, except as otherwise provided herein, Kaken shall deduct or withhold the required amount and will timely pay the full amount deducted or withheld to the relevant governmental authority in accordance with the applicable Laws and promptly transmit to Spruce an official Tax certificate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7" w:name="page188"/>
    <w:bookmarkEnd w:id="187"/>
    <w:p>
      <w:pPr>
        <w:jc w:val="both"/>
        <w:spacing w:after="0" w:line="271" w:lineRule="auto"/>
        <w:rPr>
          <w:sz w:val="20"/>
          <w:szCs w:val="20"/>
          <w:color w:val="auto"/>
        </w:rPr>
      </w:pPr>
      <w:r>
        <w:rPr>
          <w:rFonts w:ascii="Arial" w:cs="Arial" w:eastAsia="Arial" w:hAnsi="Arial"/>
          <w:sz w:val="19"/>
          <w:szCs w:val="19"/>
          <w:color w:val="auto"/>
        </w:rPr>
        <w:t>or other evidence of such withholding sufficient to enable Spruce to claim such payment of Taxes from any applicable Governmental Authority, and the amount paid to Spruce shall be decreased by the amount so deducted or withheld. Notwithstanding the foregoing, to the extent Kaken or its Affiliates (a) assigns or otherwise transfers this Agreement or its obligations hereunder to an Affiliate or Third Party, (b) changes its location of incorporation from Japan to another location, (c) makes payments from an entity, or payments are deemed to be made from an entity, other than the Japan entity originally entering into this Agreement, or (d) fails to comply with applicable Laws or filing or record retention requirements to enjoy the benefit regarding withholding taxes under the applicable Laws but only if such failure is not due to Spruce’s action or inaction, in each case that results in a Tax being required to be withheld under applicable Laws that would not have been required to be withheld if such action had not been taken (each, a “</w:t>
      </w:r>
      <w:r>
        <w:rPr>
          <w:rFonts w:ascii="Arial" w:cs="Arial" w:eastAsia="Arial" w:hAnsi="Arial"/>
          <w:sz w:val="19"/>
          <w:szCs w:val="19"/>
          <w:b w:val="1"/>
          <w:bCs w:val="1"/>
          <w:color w:val="auto"/>
        </w:rPr>
        <w:t>Tax Changing Decision</w:t>
      </w:r>
      <w:r>
        <w:rPr>
          <w:rFonts w:ascii="Arial" w:cs="Arial" w:eastAsia="Arial" w:hAnsi="Arial"/>
          <w:sz w:val="19"/>
          <w:szCs w:val="19"/>
          <w:color w:val="auto"/>
        </w:rPr>
        <w:t>”) such that as a result of a Tax Changing Decision, Kaken is required by applicable Laws to deduct or withhold Taxes directly from any amount paid to Spruce, then (i) notwithstanding anything to the contrary in this Agreement, Kaken shall increase the amount paid to Spruce by the required amount such that the net amount actually received by Spruce after such deduction or withholding equals the full amount originally invoiced or stated by Spruce to be payable and (ii) Kaken shall timely pay the applicable Taxes to the relevant governmental authority in accordance with applicable Laws. In the event applicable Laws require Taxes be deducted or withheld, Kaken shall provide reasonable assistance and documentation to allow Spruce to receive a refund or credit for Taxes paid.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INTELLECTUAL PROPERTY MATTERS</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9.1  Ownership; License Grants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45" w:lineRule="auto"/>
        <w:tabs>
          <w:tab w:leader="none" w:pos="1929" w:val="left"/>
        </w:tabs>
        <w:numPr>
          <w:ilvl w:val="0"/>
          <w:numId w:val="90"/>
        </w:numPr>
        <w:rPr>
          <w:rFonts w:ascii="Arial" w:cs="Arial" w:eastAsia="Arial" w:hAnsi="Arial"/>
          <w:sz w:val="21"/>
          <w:szCs w:val="21"/>
          <w:b w:val="1"/>
          <w:bCs w:val="1"/>
          <w:color w:val="auto"/>
        </w:rPr>
      </w:pPr>
      <w:r>
        <w:rPr>
          <w:rFonts w:ascii="Arial" w:cs="Arial" w:eastAsia="Arial" w:hAnsi="Arial"/>
          <w:sz w:val="21"/>
          <w:szCs w:val="21"/>
          <w:b w:val="1"/>
          <w:bCs w:val="1"/>
          <w:color w:val="auto"/>
        </w:rPr>
        <w:t>Data</w:t>
      </w:r>
      <w:r>
        <w:rPr>
          <w:rFonts w:ascii="Arial" w:cs="Arial" w:eastAsia="Arial" w:hAnsi="Arial"/>
          <w:sz w:val="21"/>
          <w:szCs w:val="21"/>
          <w:color w:val="auto"/>
        </w:rPr>
        <w:t>. Spruce shall solely own all Data generated by Spruce. For clarity, all Data Controlled by Spruce as</w:t>
      </w:r>
      <w:r>
        <w:rPr>
          <w:rFonts w:ascii="Arial" w:cs="Arial" w:eastAsia="Arial" w:hAnsi="Arial"/>
          <w:sz w:val="21"/>
          <w:szCs w:val="21"/>
          <w:b w:val="1"/>
          <w:bCs w:val="1"/>
          <w:color w:val="auto"/>
        </w:rPr>
        <w:t xml:space="preserve"> </w:t>
      </w:r>
      <w:r>
        <w:rPr>
          <w:rFonts w:ascii="Arial" w:cs="Arial" w:eastAsia="Arial" w:hAnsi="Arial"/>
          <w:sz w:val="21"/>
          <w:szCs w:val="21"/>
          <w:color w:val="auto"/>
        </w:rPr>
        <w:t>of the Effective Date and during the Term are included in the Spruce Licensed Know-How and licensed to Kaken under Section 2.1(a). Kaken shall solely own all Data generated by Kaken in the Development of Licensed Products in the Field. Kaken hereby grants to Spruce (i) an irrevocable (except as set forth in Section 13.8(a)), perpetual, royalty-free, fully paid-up, exclusive license, with the right to grant sublicenses, to use such Data generated and owned by Kaken for the Development, Manufacture and Commercialization of the Licensed Compound or Licensed Products in the Spruce Territory, and (ii) upon termination of the Agreement (other than termination of the Agreement by Kaken pursuant to Sections 3.2(d), 13.4, 13.5 or 15.5(b)), an irrevocable, perpetual, royalty-free, fully paid-up, exclusive license, with the right to grant sublicenses, to use such Data generated and owned by Kaken for the Development, Manufacture and Commercialization of the Licensed Compound or Licensed Products in the Field in the Kaken Territory.</w:t>
      </w:r>
    </w:p>
    <w:p>
      <w:pPr>
        <w:spacing w:after="0" w:line="180" w:lineRule="exact"/>
        <w:rPr>
          <w:rFonts w:ascii="Arial" w:cs="Arial" w:eastAsia="Arial" w:hAnsi="Arial"/>
          <w:sz w:val="21"/>
          <w:szCs w:val="21"/>
          <w:b w:val="1"/>
          <w:bCs w:val="1"/>
          <w:color w:val="auto"/>
        </w:rPr>
      </w:pPr>
    </w:p>
    <w:p>
      <w:pPr>
        <w:jc w:val="both"/>
        <w:ind w:firstLine="1505"/>
        <w:spacing w:after="0" w:line="236" w:lineRule="auto"/>
        <w:tabs>
          <w:tab w:leader="none" w:pos="1929"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color w:val="auto"/>
        </w:rPr>
        <w:t>Product Materials</w:t>
      </w:r>
      <w:r>
        <w:rPr>
          <w:rFonts w:ascii="Arial" w:cs="Arial" w:eastAsia="Arial" w:hAnsi="Arial"/>
          <w:sz w:val="22"/>
          <w:szCs w:val="22"/>
          <w:color w:val="auto"/>
        </w:rPr>
        <w:t>. Subject to any applicable Laws and the terms and conditions of this Agreement, each</w:t>
      </w:r>
      <w:r>
        <w:rPr>
          <w:rFonts w:ascii="Arial" w:cs="Arial" w:eastAsia="Arial" w:hAnsi="Arial"/>
          <w:sz w:val="22"/>
          <w:szCs w:val="22"/>
          <w:b w:val="1"/>
          <w:bCs w:val="1"/>
          <w:color w:val="auto"/>
        </w:rPr>
        <w:t xml:space="preserve"> </w:t>
      </w:r>
      <w:r>
        <w:rPr>
          <w:rFonts w:ascii="Arial" w:cs="Arial" w:eastAsia="Arial" w:hAnsi="Arial"/>
          <w:sz w:val="22"/>
          <w:szCs w:val="22"/>
          <w:color w:val="auto"/>
        </w:rPr>
        <w:t>Party hereby grants to the other Party a fully-paid up, royalty-free non-exclusive license, with the right to grant sublicenses under multiple tiers, to use Product Materials generated and owned by such Party, solely to the extent reasonably necessary for the Development, Manufacture and Commercialization of the Licensed Compound and Licensed Product in the Field in the other Party’s respective territory during the Term of this Agreement. Notwithstanding the foregoing, no rights shall be granted by either Party to the other Party under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8" w:name="page189"/>
    <w:bookmarkEnd w:id="188"/>
    <w:p>
      <w:pPr>
        <w:jc w:val="both"/>
        <w:spacing w:after="0"/>
        <w:rPr>
          <w:sz w:val="20"/>
          <w:szCs w:val="20"/>
          <w:color w:val="auto"/>
        </w:rPr>
      </w:pPr>
      <w:r>
        <w:rPr>
          <w:rFonts w:ascii="Arial" w:cs="Arial" w:eastAsia="Arial" w:hAnsi="Arial"/>
          <w:sz w:val="22"/>
          <w:szCs w:val="22"/>
          <w:color w:val="auto"/>
        </w:rPr>
        <w:t>this Section 9.1(b) with respect to the Development, Manufacture or Commercialization of any products containing the Licensed Compound together with one or more API’s other than the Licensed Compound or for use in combination with one or more API’s other than the Licensed Compound.</w:t>
      </w:r>
    </w:p>
    <w:p>
      <w:pPr>
        <w:spacing w:after="0" w:line="180" w:lineRule="exact"/>
        <w:rPr>
          <w:sz w:val="20"/>
          <w:szCs w:val="20"/>
          <w:color w:val="auto"/>
        </w:rPr>
      </w:pPr>
    </w:p>
    <w:p>
      <w:pPr>
        <w:ind w:firstLine="1505"/>
        <w:spacing w:after="0" w:line="256" w:lineRule="auto"/>
        <w:tabs>
          <w:tab w:leader="none" w:pos="1929"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Inventions </w:t>
      </w:r>
      <w:r>
        <w:rPr>
          <w:rFonts w:ascii="Arial" w:cs="Arial" w:eastAsia="Arial" w:hAnsi="Arial"/>
          <w:sz w:val="22"/>
          <w:szCs w:val="22"/>
          <w:color w:val="auto"/>
        </w:rPr>
        <w:t>. Inventorship of any Invention will be determined in accordance with the standards of</w:t>
      </w:r>
      <w:r>
        <w:rPr>
          <w:rFonts w:ascii="Arial" w:cs="Arial" w:eastAsia="Arial" w:hAnsi="Arial"/>
          <w:sz w:val="22"/>
          <w:szCs w:val="22"/>
          <w:b w:val="1"/>
          <w:bCs w:val="1"/>
          <w:color w:val="auto"/>
        </w:rPr>
        <w:t xml:space="preserve"> </w:t>
      </w:r>
      <w:r>
        <w:rPr>
          <w:rFonts w:ascii="Arial" w:cs="Arial" w:eastAsia="Arial" w:hAnsi="Arial"/>
          <w:sz w:val="22"/>
          <w:szCs w:val="22"/>
          <w:color w:val="auto"/>
        </w:rPr>
        <w:t>inventorship and conception under U.S. patent laws.</w:t>
      </w:r>
    </w:p>
    <w:p>
      <w:pPr>
        <w:spacing w:after="0" w:line="162" w:lineRule="exact"/>
        <w:rPr>
          <w:rFonts w:ascii="Arial" w:cs="Arial" w:eastAsia="Arial" w:hAnsi="Arial"/>
          <w:sz w:val="22"/>
          <w:szCs w:val="22"/>
          <w:b w:val="1"/>
          <w:bCs w:val="1"/>
          <w:color w:val="auto"/>
        </w:rPr>
      </w:pPr>
    </w:p>
    <w:p>
      <w:pPr>
        <w:jc w:val="both"/>
        <w:ind w:firstLine="2254"/>
        <w:spacing w:after="0" w:line="280" w:lineRule="auto"/>
        <w:tabs>
          <w:tab w:leader="none" w:pos="2678" w:val="left"/>
        </w:tabs>
        <w:numPr>
          <w:ilvl w:val="1"/>
          <w:numId w:val="9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Spruce Inventions </w:t>
      </w:r>
      <w:r>
        <w:rPr>
          <w:rFonts w:ascii="Arial" w:cs="Arial" w:eastAsia="Arial" w:hAnsi="Arial"/>
          <w:sz w:val="19"/>
          <w:szCs w:val="19"/>
          <w:color w:val="auto"/>
        </w:rPr>
        <w:t>. Any Invention generated, developed, conceived or reduced to practice</w:t>
      </w:r>
      <w:r>
        <w:rPr>
          <w:rFonts w:ascii="Arial" w:cs="Arial" w:eastAsia="Arial" w:hAnsi="Arial"/>
          <w:sz w:val="19"/>
          <w:szCs w:val="19"/>
          <w:b w:val="1"/>
          <w:bCs w:val="1"/>
          <w:color w:val="auto"/>
        </w:rPr>
        <w:t xml:space="preserve"> </w:t>
      </w:r>
      <w:r>
        <w:rPr>
          <w:rFonts w:ascii="Arial" w:cs="Arial" w:eastAsia="Arial" w:hAnsi="Arial"/>
          <w:sz w:val="19"/>
          <w:szCs w:val="19"/>
          <w:color w:val="auto"/>
        </w:rPr>
        <w:t>(constructively or actually) solely by or on behalf of Spruce, its Affiliates and their respective licensees (including Spruce Partners), including their employees, agents and contractors (“</w:t>
      </w:r>
      <w:r>
        <w:rPr>
          <w:rFonts w:ascii="Arial" w:cs="Arial" w:eastAsia="Arial" w:hAnsi="Arial"/>
          <w:sz w:val="19"/>
          <w:szCs w:val="19"/>
          <w:b w:val="1"/>
          <w:bCs w:val="1"/>
          <w:color w:val="auto"/>
        </w:rPr>
        <w:t>Spruce Inventions</w:t>
      </w:r>
      <w:r>
        <w:rPr>
          <w:rFonts w:ascii="Arial" w:cs="Arial" w:eastAsia="Arial" w:hAnsi="Arial"/>
          <w:sz w:val="19"/>
          <w:szCs w:val="19"/>
          <w:color w:val="auto"/>
        </w:rPr>
        <w:t>”) shall be solely and exclusively owned by Spruce. For clarity, any and all Spruce Inventions that are Controlled by Spruce as of the Effective Date and during the Term and necessary for the Development, Manufacture and Commercialization of the Licensed Compound and Licensed Product in the Field shall be included in the Spruce Technology licensed to Kaken under Section 2.1(a), including any Patent rights therein.</w:t>
      </w:r>
    </w:p>
    <w:p>
      <w:pPr>
        <w:spacing w:after="0" w:line="144" w:lineRule="exact"/>
        <w:rPr>
          <w:rFonts w:ascii="Arial" w:cs="Arial" w:eastAsia="Arial" w:hAnsi="Arial"/>
          <w:sz w:val="19"/>
          <w:szCs w:val="19"/>
          <w:b w:val="1"/>
          <w:bCs w:val="1"/>
          <w:color w:val="auto"/>
        </w:rPr>
      </w:pPr>
    </w:p>
    <w:p>
      <w:pPr>
        <w:jc w:val="both"/>
        <w:ind w:firstLine="2254"/>
        <w:spacing w:after="0" w:line="245" w:lineRule="auto"/>
        <w:tabs>
          <w:tab w:leader="none" w:pos="2678" w:val="left"/>
        </w:tabs>
        <w:numPr>
          <w:ilvl w:val="1"/>
          <w:numId w:val="9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Kaken Inventions </w:t>
      </w:r>
      <w:r>
        <w:rPr>
          <w:rFonts w:ascii="Arial" w:cs="Arial" w:eastAsia="Arial" w:hAnsi="Arial"/>
          <w:sz w:val="21"/>
          <w:szCs w:val="21"/>
          <w:color w:val="auto"/>
        </w:rPr>
        <w:t>. Any Inventions generated, developed, conceived or reduced to practice</w:t>
      </w:r>
      <w:r>
        <w:rPr>
          <w:rFonts w:ascii="Arial" w:cs="Arial" w:eastAsia="Arial" w:hAnsi="Arial"/>
          <w:sz w:val="21"/>
          <w:szCs w:val="21"/>
          <w:b w:val="1"/>
          <w:bCs w:val="1"/>
          <w:color w:val="auto"/>
        </w:rPr>
        <w:t xml:space="preserve"> </w:t>
      </w:r>
      <w:r>
        <w:rPr>
          <w:rFonts w:ascii="Arial" w:cs="Arial" w:eastAsia="Arial" w:hAnsi="Arial"/>
          <w:sz w:val="21"/>
          <w:szCs w:val="21"/>
          <w:color w:val="auto"/>
        </w:rPr>
        <w:t>(constructively or actually) solely by or on behalf of Kaken, its Affiliates and their respective Sublicensees, including their employees, agents and contractors (“</w:t>
      </w:r>
      <w:r>
        <w:rPr>
          <w:rFonts w:ascii="Arial" w:cs="Arial" w:eastAsia="Arial" w:hAnsi="Arial"/>
          <w:sz w:val="21"/>
          <w:szCs w:val="21"/>
          <w:b w:val="1"/>
          <w:bCs w:val="1"/>
          <w:color w:val="auto"/>
        </w:rPr>
        <w:t>Kaken Inventions</w:t>
      </w:r>
      <w:r>
        <w:rPr>
          <w:rFonts w:ascii="Arial" w:cs="Arial" w:eastAsia="Arial" w:hAnsi="Arial"/>
          <w:sz w:val="21"/>
          <w:szCs w:val="21"/>
          <w:color w:val="auto"/>
        </w:rPr>
        <w:t>”) shall be solely and exclusively owned by Kaken. Kaken shall disclose in writing to Spruce all Kaken Inventions within a reasonable period following the reduction to practice thereof. Kaken hereby grants Spruce (A) an irrevocable (except as set forth in Section 13.8(a)), perpetual, royalty-free, fully paid-up, exclusive license, with the right to grant sublicenses, under the Kaken Inventions in the Spruce Territory, and (B) upon termination of this Agreement (other than termination of this Agreement by Kaken pursuant to Sections 3.2(d), 13.4, 13.5 or 15.5(b)) an irrevocable, perpetual, royalty-free, fully paid-up, exclusive license, with the right to grant sublicenses, under the Kaken Inventions in the Kaken Territory, in each case of (A) and (B), solely for the Development, Manufacture and Commercialization of the Licensed Compound or Licensed Products in the Field.</w:t>
      </w:r>
    </w:p>
    <w:p>
      <w:pPr>
        <w:spacing w:after="0" w:line="207" w:lineRule="exact"/>
        <w:rPr>
          <w:rFonts w:ascii="Arial" w:cs="Arial" w:eastAsia="Arial" w:hAnsi="Arial"/>
          <w:sz w:val="21"/>
          <w:szCs w:val="21"/>
          <w:b w:val="1"/>
          <w:bCs w:val="1"/>
          <w:color w:val="auto"/>
        </w:rPr>
      </w:pPr>
    </w:p>
    <w:p>
      <w:pPr>
        <w:jc w:val="both"/>
        <w:ind w:firstLine="2254"/>
        <w:spacing w:after="0" w:line="273" w:lineRule="auto"/>
        <w:tabs>
          <w:tab w:leader="none" w:pos="2678" w:val="left"/>
        </w:tabs>
        <w:numPr>
          <w:ilvl w:val="1"/>
          <w:numId w:val="9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Joint Inventions </w:t>
      </w:r>
      <w:r>
        <w:rPr>
          <w:rFonts w:ascii="Arial" w:cs="Arial" w:eastAsia="Arial" w:hAnsi="Arial"/>
          <w:sz w:val="19"/>
          <w:szCs w:val="19"/>
          <w:color w:val="auto"/>
        </w:rPr>
        <w:t>. Any Invention generated, developed, conceived or reduced to practice</w:t>
      </w:r>
      <w:r>
        <w:rPr>
          <w:rFonts w:ascii="Arial" w:cs="Arial" w:eastAsia="Arial" w:hAnsi="Arial"/>
          <w:sz w:val="19"/>
          <w:szCs w:val="19"/>
          <w:b w:val="1"/>
          <w:bCs w:val="1"/>
          <w:color w:val="auto"/>
        </w:rPr>
        <w:t xml:space="preserve"> </w:t>
      </w:r>
      <w:r>
        <w:rPr>
          <w:rFonts w:ascii="Arial" w:cs="Arial" w:eastAsia="Arial" w:hAnsi="Arial"/>
          <w:sz w:val="19"/>
          <w:szCs w:val="19"/>
          <w:color w:val="auto"/>
        </w:rPr>
        <w:t>(constructively or actually) jointly by or on behalf of Kaken and Spruce, their Affiliates and respective Sublicensees, including their employees, agents and contractors (“</w:t>
      </w:r>
      <w:r>
        <w:rPr>
          <w:rFonts w:ascii="Arial" w:cs="Arial" w:eastAsia="Arial" w:hAnsi="Arial"/>
          <w:sz w:val="19"/>
          <w:szCs w:val="19"/>
          <w:b w:val="1"/>
          <w:bCs w:val="1"/>
          <w:color w:val="auto"/>
        </w:rPr>
        <w:t>Joint Inventions</w:t>
      </w:r>
      <w:r>
        <w:rPr>
          <w:rFonts w:ascii="Arial" w:cs="Arial" w:eastAsia="Arial" w:hAnsi="Arial"/>
          <w:sz w:val="19"/>
          <w:szCs w:val="19"/>
          <w:color w:val="auto"/>
        </w:rPr>
        <w:t>”) shall be jointly owned by the Parties, and, subject to the licenses set forth in this Agreement, each Party may freely exploit such Joint Inventions without any duty to account to the other Party. Each Party shall disclose in writing to the other Party all Joint Inventions within a reasonable period following the reduction to practice thereof. Kaken hereby grants Spruce an irrevocable (except as set forth in Section 13.8(a)), perpetual, royalty-free, fully paid-up, exclusive license, with the right to grant sublicenses, under its rights in such Joint Inventions (i) in the Spruce Territory, and (ii) upon termination of the Agreement (other than termination of the Agreement by Kaken pursuant to Sections 3.2(d), 13.4, 13.5 or 15.5(b)), in the Kaken Territory, in each case of (i) and (ii), solely for the Development, Manufacture and Commercialization of the Licensed Compound or Licensed Product in the Field. Spruce hereby grants Kaken an irrevocable, perpetual, royalty-free, fully paid-up, exclusive license, with the right to grant sublicenses, under its rights in such Joint Inventions in the Kaken Territory solely for the Development, Manufacture and Commercialization of the Licensed Compound or Licensed Product in the Field.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9" w:name="page190"/>
    <w:bookmarkEnd w:id="189"/>
    <w:p>
      <w:pPr>
        <w:jc w:val="both"/>
        <w:ind w:firstLine="1505"/>
        <w:spacing w:after="0" w:line="251" w:lineRule="auto"/>
        <w:tabs>
          <w:tab w:leader="none" w:pos="1929" w:val="left"/>
        </w:tabs>
        <w:numPr>
          <w:ilvl w:val="0"/>
          <w:numId w:val="9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Kaken’s Affiliates, Sublicensees and Subcontractors </w:t>
      </w:r>
      <w:r>
        <w:rPr>
          <w:rFonts w:ascii="Arial" w:cs="Arial" w:eastAsia="Arial" w:hAnsi="Arial"/>
          <w:sz w:val="21"/>
          <w:szCs w:val="21"/>
          <w:color w:val="auto"/>
        </w:rPr>
        <w:t>. Kaken shall ensure that each of its Affiliates,</w:t>
      </w:r>
      <w:r>
        <w:rPr>
          <w:rFonts w:ascii="Arial" w:cs="Arial" w:eastAsia="Arial" w:hAnsi="Arial"/>
          <w:sz w:val="21"/>
          <w:szCs w:val="21"/>
          <w:b w:val="1"/>
          <w:bCs w:val="1"/>
          <w:color w:val="auto"/>
        </w:rPr>
        <w:t xml:space="preserve"> </w:t>
      </w:r>
      <w:r>
        <w:rPr>
          <w:rFonts w:ascii="Arial" w:cs="Arial" w:eastAsia="Arial" w:hAnsi="Arial"/>
          <w:sz w:val="21"/>
          <w:szCs w:val="21"/>
          <w:color w:val="auto"/>
        </w:rPr>
        <w:t>Sublicensees and subcontractors under this Agreement has a contractual obligation to disclose and hereby assign to Kaken all Data, Information, Product Materials and Inventions generated, invented, discovered, developed, made or otherwise created by them or their employees, agents or independent contractors, and to provide sufficient rights with respect thereto, so that Kaken can comply with its obligations under Sections 9.1(a), 9.1(b) and 9.1(c).</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9.2  Patent Prosecution</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300" w:lineRule="auto"/>
        <w:tabs>
          <w:tab w:leader="none" w:pos="1929" w:val="left"/>
        </w:tabs>
        <w:numPr>
          <w:ilvl w:val="0"/>
          <w:numId w:val="93"/>
        </w:numPr>
        <w:rPr>
          <w:rFonts w:ascii="Arial" w:cs="Arial" w:eastAsia="Arial" w:hAnsi="Arial"/>
          <w:sz w:val="19"/>
          <w:szCs w:val="19"/>
          <w:b w:val="1"/>
          <w:bCs w:val="1"/>
          <w:color w:val="auto"/>
        </w:rPr>
      </w:pPr>
      <w:r>
        <w:rPr>
          <w:rFonts w:ascii="Arial" w:cs="Arial" w:eastAsia="Arial" w:hAnsi="Arial"/>
          <w:sz w:val="19"/>
          <w:szCs w:val="19"/>
          <w:b w:val="1"/>
          <w:bCs w:val="1"/>
          <w:color w:val="auto"/>
        </w:rPr>
        <w:t>Definition</w:t>
      </w:r>
      <w:r>
        <w:rPr>
          <w:rFonts w:ascii="Arial" w:cs="Arial" w:eastAsia="Arial" w:hAnsi="Arial"/>
          <w:sz w:val="19"/>
          <w:szCs w:val="19"/>
          <w:color w:val="auto"/>
        </w:rPr>
        <w:t>. For the purpose of this Article 9, “prosecution” of Patents shall include, without limitation, all</w:t>
      </w:r>
      <w:r>
        <w:rPr>
          <w:rFonts w:ascii="Arial" w:cs="Arial" w:eastAsia="Arial" w:hAnsi="Arial"/>
          <w:sz w:val="19"/>
          <w:szCs w:val="19"/>
          <w:b w:val="1"/>
          <w:bCs w:val="1"/>
          <w:color w:val="auto"/>
        </w:rPr>
        <w:t xml:space="preserve"> </w:t>
      </w:r>
      <w:r>
        <w:rPr>
          <w:rFonts w:ascii="Arial" w:cs="Arial" w:eastAsia="Arial" w:hAnsi="Arial"/>
          <w:sz w:val="19"/>
          <w:szCs w:val="19"/>
          <w:color w:val="auto"/>
        </w:rPr>
        <w:t>communication and other interaction with any patent office or patent authority having jurisdiction over a Patent application throughout the world in connection with any pre-grant proceedings and post-grant proceeding, including opposition proceedings.</w:t>
      </w:r>
    </w:p>
    <w:p>
      <w:pPr>
        <w:spacing w:after="0" w:line="125" w:lineRule="exact"/>
        <w:rPr>
          <w:rFonts w:ascii="Arial" w:cs="Arial" w:eastAsia="Arial" w:hAnsi="Arial"/>
          <w:sz w:val="19"/>
          <w:szCs w:val="19"/>
          <w:b w:val="1"/>
          <w:bCs w:val="1"/>
          <w:color w:val="auto"/>
        </w:rPr>
      </w:pPr>
    </w:p>
    <w:p>
      <w:pPr>
        <w:jc w:val="both"/>
        <w:ind w:firstLine="1505"/>
        <w:spacing w:after="0" w:line="274" w:lineRule="auto"/>
        <w:tabs>
          <w:tab w:leader="none" w:pos="1929" w:val="left"/>
        </w:tabs>
        <w:numPr>
          <w:ilvl w:val="0"/>
          <w:numId w:val="93"/>
        </w:numPr>
        <w:rPr>
          <w:rFonts w:ascii="Arial" w:cs="Arial" w:eastAsia="Arial" w:hAnsi="Arial"/>
          <w:sz w:val="19"/>
          <w:szCs w:val="19"/>
          <w:b w:val="1"/>
          <w:bCs w:val="1"/>
          <w:color w:val="auto"/>
        </w:rPr>
      </w:pPr>
      <w:r>
        <w:rPr>
          <w:rFonts w:ascii="Arial" w:cs="Arial" w:eastAsia="Arial" w:hAnsi="Arial"/>
          <w:sz w:val="19"/>
          <w:szCs w:val="19"/>
          <w:b w:val="1"/>
          <w:bCs w:val="1"/>
          <w:color w:val="auto"/>
        </w:rPr>
        <w:t>Spruce Licensed Patents</w:t>
      </w:r>
      <w:r>
        <w:rPr>
          <w:rFonts w:ascii="Arial" w:cs="Arial" w:eastAsia="Arial" w:hAnsi="Arial"/>
          <w:sz w:val="19"/>
          <w:szCs w:val="19"/>
          <w:color w:val="auto"/>
        </w:rPr>
        <w:t>. Except as set forth in this Section 9.2 (b) and in Sections 9.2(d) and 9.2(e), as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between the Parties, Spruce shall have the sole right, at its sole expense, to prepare, file, prosecute and maintain or abandon the Spruce Licensed Patents on a worldwide basis. Spruce shall use Commercially Reasonable Efforts to prepare, file, prosecute and defend all Spruce Product-Specific Licensed Patents in the Kaken Territory; </w:t>
      </w:r>
      <w:r>
        <w:rPr>
          <w:rFonts w:ascii="Arial" w:cs="Arial" w:eastAsia="Arial" w:hAnsi="Arial"/>
          <w:sz w:val="19"/>
          <w:szCs w:val="19"/>
          <w:i w:val="1"/>
          <w:iCs w:val="1"/>
          <w:color w:val="auto"/>
        </w:rPr>
        <w:t>provided, however</w:t>
      </w:r>
      <w:r>
        <w:rPr>
          <w:rFonts w:ascii="Arial" w:cs="Arial" w:eastAsia="Arial" w:hAnsi="Arial"/>
          <w:sz w:val="19"/>
          <w:szCs w:val="19"/>
          <w:color w:val="auto"/>
        </w:rPr>
        <w:t>, that Spruce does not represent or warrant that any patent will issue or be granted based on patent applications contained in the Spruce Product-Specific Licensed Patents. Spruce shall provide Kaken with regular updates on the prosecution of the Spruce Product-Specific Licensed Patents in the Field in the Kaken Territory and shall use Commercially Reasonable Efforts to provide Kaken with regular updates on the prosecution of all other Spruce Licensed Patents in the Field in the Kaken Territory. During the Term, Spruce shall maintain and not abandon any Spruce Product-Specific Licensed Patents in the Field in the Kaken Territory once they are issued without the prior written consent of Kaken.</w:t>
      </w:r>
    </w:p>
    <w:p>
      <w:pPr>
        <w:spacing w:after="0" w:line="151" w:lineRule="exact"/>
        <w:rPr>
          <w:rFonts w:ascii="Arial" w:cs="Arial" w:eastAsia="Arial" w:hAnsi="Arial"/>
          <w:sz w:val="19"/>
          <w:szCs w:val="19"/>
          <w:b w:val="1"/>
          <w:bCs w:val="1"/>
          <w:color w:val="auto"/>
        </w:rPr>
      </w:pPr>
    </w:p>
    <w:p>
      <w:pPr>
        <w:jc w:val="both"/>
        <w:ind w:firstLine="1505"/>
        <w:spacing w:after="0" w:line="275" w:lineRule="auto"/>
        <w:tabs>
          <w:tab w:leader="none" w:pos="1929" w:val="left"/>
        </w:tabs>
        <w:numPr>
          <w:ilvl w:val="0"/>
          <w:numId w:val="93"/>
        </w:numPr>
        <w:rPr>
          <w:rFonts w:ascii="Arial" w:cs="Arial" w:eastAsia="Arial" w:hAnsi="Arial"/>
          <w:sz w:val="19"/>
          <w:szCs w:val="19"/>
          <w:b w:val="1"/>
          <w:bCs w:val="1"/>
          <w:color w:val="auto"/>
        </w:rPr>
      </w:pPr>
      <w:r>
        <w:rPr>
          <w:rFonts w:ascii="Arial" w:cs="Arial" w:eastAsia="Arial" w:hAnsi="Arial"/>
          <w:sz w:val="19"/>
          <w:szCs w:val="19"/>
          <w:b w:val="1"/>
          <w:bCs w:val="1"/>
          <w:color w:val="auto"/>
        </w:rPr>
        <w:t>Kaken Patents</w:t>
      </w:r>
      <w:r>
        <w:rPr>
          <w:rFonts w:ascii="Arial" w:cs="Arial" w:eastAsia="Arial" w:hAnsi="Arial"/>
          <w:sz w:val="19"/>
          <w:szCs w:val="19"/>
          <w:color w:val="auto"/>
        </w:rPr>
        <w:t>. Except as set forth in Sections 9.2(d) and 9.2(e), as between the Parties, Kaken shall have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sole right to prepare, file, prosecute and maintain or abandon the Kaken Patents on a worldwide basis. If Kaken decides to prepare and file a Kaken Patent in the Spruce Territory in the Field then Kaken will use Commercially Reasonable Efforts to prosecute, defend and maintain all such Kaken Patents in the Spruce Territory at Kaken’s cost and expense; </w:t>
      </w:r>
      <w:r>
        <w:rPr>
          <w:rFonts w:ascii="Arial" w:cs="Arial" w:eastAsia="Arial" w:hAnsi="Arial"/>
          <w:sz w:val="19"/>
          <w:szCs w:val="19"/>
          <w:i w:val="1"/>
          <w:iCs w:val="1"/>
          <w:color w:val="auto"/>
        </w:rPr>
        <w:t>provided, however</w:t>
      </w:r>
      <w:r>
        <w:rPr>
          <w:rFonts w:ascii="Arial" w:cs="Arial" w:eastAsia="Arial" w:hAnsi="Arial"/>
          <w:sz w:val="19"/>
          <w:szCs w:val="19"/>
          <w:color w:val="auto"/>
        </w:rPr>
        <w:t>, that Kaken does not represent or warrant that any patent will issue or be granted based on patent applications contained in the Kaken Patents. Kaken shall provide Spruce with a copy of the draft prepared for the filing of a Kaken Patent, before the filing of such Kaken Patent to give Spruce a reasonable opportunity to comment on such draft and shall consider in good faith comments thereto provided by Spruce in connection with the filing thereof. Kaken shall provide Spruce with regular updates on the prosecution of the Kaken Patents in the Field in the Spruce Territory.</w:t>
      </w:r>
    </w:p>
    <w:p>
      <w:pPr>
        <w:spacing w:after="0" w:line="149" w:lineRule="exact"/>
        <w:rPr>
          <w:rFonts w:ascii="Arial" w:cs="Arial" w:eastAsia="Arial" w:hAnsi="Arial"/>
          <w:sz w:val="19"/>
          <w:szCs w:val="19"/>
          <w:b w:val="1"/>
          <w:bCs w:val="1"/>
          <w:color w:val="auto"/>
        </w:rPr>
      </w:pPr>
    </w:p>
    <w:p>
      <w:pPr>
        <w:jc w:val="both"/>
        <w:ind w:firstLine="1505"/>
        <w:spacing w:after="0" w:line="251" w:lineRule="auto"/>
        <w:tabs>
          <w:tab w:leader="none" w:pos="1929" w:val="left"/>
        </w:tabs>
        <w:numPr>
          <w:ilvl w:val="0"/>
          <w:numId w:val="93"/>
        </w:numPr>
        <w:rPr>
          <w:rFonts w:ascii="Arial" w:cs="Arial" w:eastAsia="Arial" w:hAnsi="Arial"/>
          <w:sz w:val="21"/>
          <w:szCs w:val="21"/>
          <w:b w:val="1"/>
          <w:bCs w:val="1"/>
          <w:color w:val="auto"/>
        </w:rPr>
      </w:pPr>
      <w:r>
        <w:rPr>
          <w:rFonts w:ascii="Arial" w:cs="Arial" w:eastAsia="Arial" w:hAnsi="Arial"/>
          <w:sz w:val="21"/>
          <w:szCs w:val="21"/>
          <w:b w:val="1"/>
          <w:bCs w:val="1"/>
          <w:color w:val="auto"/>
        </w:rPr>
        <w:t>Joint Patents</w:t>
      </w:r>
      <w:r>
        <w:rPr>
          <w:rFonts w:ascii="Arial" w:cs="Arial" w:eastAsia="Arial" w:hAnsi="Arial"/>
          <w:sz w:val="21"/>
          <w:szCs w:val="21"/>
          <w:color w:val="auto"/>
        </w:rPr>
        <w:t>. Except as set forth in Section 9.2(e), as between the Parties, Spruce shall have the sole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right, at Spruce’s cost, to prepare, file, prosecute and maintain or abandon the Joint Patents; </w:t>
      </w:r>
      <w:r>
        <w:rPr>
          <w:rFonts w:ascii="Arial" w:cs="Arial" w:eastAsia="Arial" w:hAnsi="Arial"/>
          <w:sz w:val="21"/>
          <w:szCs w:val="21"/>
          <w:i w:val="1"/>
          <w:iCs w:val="1"/>
          <w:color w:val="auto"/>
        </w:rPr>
        <w:t>provided, however</w:t>
      </w:r>
      <w:r>
        <w:rPr>
          <w:rFonts w:ascii="Arial" w:cs="Arial" w:eastAsia="Arial" w:hAnsi="Arial"/>
          <w:sz w:val="21"/>
          <w:szCs w:val="21"/>
          <w:color w:val="auto"/>
        </w:rPr>
        <w:t>, that Spruce does not represent or warrant that any patent will issue or be granted based on patent applications contained in the Joint Patents. Spruce shall provide Kaken with a copy of the draft prepared for the filing of a Joint Patent, before the filing of such Joint Patent and will consider in good faith comments thereto provided by Kaken 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0" w:name="page191"/>
    <w:bookmarkEnd w:id="190"/>
    <w:p>
      <w:pPr>
        <w:jc w:val="both"/>
        <w:spacing w:after="0"/>
        <w:rPr>
          <w:sz w:val="20"/>
          <w:szCs w:val="20"/>
          <w:color w:val="auto"/>
        </w:rPr>
      </w:pPr>
      <w:r>
        <w:rPr>
          <w:rFonts w:ascii="Arial" w:cs="Arial" w:eastAsia="Arial" w:hAnsi="Arial"/>
          <w:sz w:val="22"/>
          <w:szCs w:val="22"/>
          <w:color w:val="auto"/>
        </w:rPr>
        <w:t>connection with the filing thereof. Spruce shall provide Kaken with regular updates on the prosecution of the Joint Patents in the Field. For clarity, Kaken shall not have any rights pursuant to this Agreement with respect to any Spruce Licensed Patents in the Spruce Territory (including any Step-In Rights relating thereto).</w:t>
      </w:r>
    </w:p>
    <w:p>
      <w:pPr>
        <w:spacing w:after="0" w:line="180" w:lineRule="exact"/>
        <w:rPr>
          <w:sz w:val="20"/>
          <w:szCs w:val="20"/>
          <w:color w:val="auto"/>
        </w:rPr>
      </w:pPr>
    </w:p>
    <w:p>
      <w:pPr>
        <w:jc w:val="both"/>
        <w:ind w:firstLine="1505"/>
        <w:spacing w:after="0" w:line="270" w:lineRule="auto"/>
        <w:tabs>
          <w:tab w:leader="none" w:pos="1929" w:val="left"/>
        </w:tabs>
        <w:numPr>
          <w:ilvl w:val="0"/>
          <w:numId w:val="94"/>
        </w:numPr>
        <w:rPr>
          <w:rFonts w:ascii="Arial" w:cs="Arial" w:eastAsia="Arial" w:hAnsi="Arial"/>
          <w:sz w:val="19"/>
          <w:szCs w:val="19"/>
          <w:b w:val="1"/>
          <w:bCs w:val="1"/>
          <w:color w:val="auto"/>
        </w:rPr>
      </w:pPr>
      <w:r>
        <w:rPr>
          <w:rFonts w:ascii="Arial" w:cs="Arial" w:eastAsia="Arial" w:hAnsi="Arial"/>
          <w:sz w:val="19"/>
          <w:szCs w:val="19"/>
          <w:b w:val="1"/>
          <w:bCs w:val="1"/>
          <w:color w:val="auto"/>
        </w:rPr>
        <w:t>Step-In Rights</w:t>
      </w:r>
      <w:r>
        <w:rPr>
          <w:rFonts w:ascii="Arial" w:cs="Arial" w:eastAsia="Arial" w:hAnsi="Arial"/>
          <w:sz w:val="19"/>
          <w:szCs w:val="19"/>
          <w:color w:val="auto"/>
        </w:rPr>
        <w:t>. Except as set forth in Section 9.2(b), Spruce may cease prosecution, maintenance and/or</w:t>
      </w:r>
      <w:r>
        <w:rPr>
          <w:rFonts w:ascii="Arial" w:cs="Arial" w:eastAsia="Arial" w:hAnsi="Arial"/>
          <w:sz w:val="19"/>
          <w:szCs w:val="19"/>
          <w:b w:val="1"/>
          <w:bCs w:val="1"/>
          <w:color w:val="auto"/>
        </w:rPr>
        <w:t xml:space="preserve"> </w:t>
      </w:r>
      <w:r>
        <w:rPr>
          <w:rFonts w:ascii="Arial" w:cs="Arial" w:eastAsia="Arial" w:hAnsi="Arial"/>
          <w:sz w:val="19"/>
          <w:szCs w:val="19"/>
          <w:color w:val="auto"/>
        </w:rPr>
        <w:t>defense of any Patent that Spruce is responsible for prosecuting, maintaining and defending pursuant to this Section 9.2 on a country-by-country basis by providing Kaken written notice as soon as is reasonably possible and reasonably in advance of any due date. If Kaken ceases prosecution, maintenance and/or defense of any Kaken Patent for which Kaken is responsible for prosecuting, maintaining and defending pursuant to Section 9.2(c) or if Kaken ceases prosecution, maintenance and/or defense of any Kaken Product-Specific Patent in any country in the Spruce Territory then Kaken shall provide Spruce with written notice as soon as is reasonably possible and reasonably in advance of any due date. A Party receiving a notice pursuant to this Section 9.2(e), shall have the right, but not the obligation, at its sole discretion and cost, to continue prosecution, maintenance or defense of the Patent that is the subject of the notice and in the country set forth in such notice (“</w:t>
      </w:r>
      <w:r>
        <w:rPr>
          <w:rFonts w:ascii="Arial" w:cs="Arial" w:eastAsia="Arial" w:hAnsi="Arial"/>
          <w:sz w:val="19"/>
          <w:szCs w:val="19"/>
          <w:b w:val="1"/>
          <w:bCs w:val="1"/>
          <w:color w:val="auto"/>
        </w:rPr>
        <w:t>Step-In Rights</w:t>
      </w:r>
      <w:r>
        <w:rPr>
          <w:rFonts w:ascii="Arial" w:cs="Arial" w:eastAsia="Arial" w:hAnsi="Arial"/>
          <w:sz w:val="19"/>
          <w:szCs w:val="19"/>
          <w:color w:val="auto"/>
        </w:rPr>
        <w:t>”), provided that Kaken may only exercise its Step-In Rights with respect to Joint Patents in the Spruce Territory and the Kaken Territory, Spruce Product-Specific Licensed Patents in the Kaken Territory and, subject to the rights granted by Spruce after the Effective Date to any Spruce Partner or acquirer of Spruce in the event of a Change in Control, Spruce Licensed Patents that are necessary or useful for the Manufacture of Licensed Compound or Licensed Product. If the other Party elects to continue prosecution, maintenance or defense or elects to file additional applications following the responsible Party’s election to cease prosecution, maintenance or defense pursuant to this Section 9.2(e), the responsible Party shall transfer the applicable patent files to such other Party or its designee and execute such documents and perform such acts at the responsible Party’s expense as may be reasonably necessary to allow the other Party to initiate or continue such filing, prosecution, maintenance or defense at the other Party's sole expense. All Patents for which Kaken exercises its Step-In Rights shall, from the date that Kaken exercises its Step-In Rights, no longer be included in Spruce Licensed Patents for purposes of this Agreement. In addition, if Spruce exercises its Step-In Rights with respect to Kaken Patents or Joint Patents, those Patents shall not become Spruce Licensed Patents for purposes of this Agreement.</w:t>
      </w:r>
    </w:p>
    <w:p>
      <w:pPr>
        <w:spacing w:after="0" w:line="200" w:lineRule="exact"/>
        <w:rPr>
          <w:rFonts w:ascii="Arial" w:cs="Arial" w:eastAsia="Arial" w:hAnsi="Arial"/>
          <w:sz w:val="19"/>
          <w:szCs w:val="19"/>
          <w:b w:val="1"/>
          <w:bCs w:val="1"/>
          <w:color w:val="auto"/>
        </w:rPr>
      </w:pPr>
    </w:p>
    <w:p>
      <w:pPr>
        <w:spacing w:after="0" w:line="203" w:lineRule="exact"/>
        <w:rPr>
          <w:rFonts w:ascii="Arial" w:cs="Arial" w:eastAsia="Arial" w:hAnsi="Arial"/>
          <w:sz w:val="19"/>
          <w:szCs w:val="19"/>
          <w:b w:val="1"/>
          <w:bCs w:val="1"/>
          <w:color w:val="auto"/>
        </w:rPr>
      </w:pPr>
    </w:p>
    <w:p>
      <w:pPr>
        <w:jc w:val="both"/>
        <w:ind w:firstLine="1505"/>
        <w:spacing w:after="0" w:line="243" w:lineRule="auto"/>
        <w:tabs>
          <w:tab w:leader="none" w:pos="1929"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Cooperation</w:t>
      </w:r>
      <w:r>
        <w:rPr>
          <w:rFonts w:ascii="Arial" w:cs="Arial" w:eastAsia="Arial" w:hAnsi="Arial"/>
          <w:sz w:val="22"/>
          <w:szCs w:val="22"/>
          <w:color w:val="auto"/>
        </w:rPr>
        <w:t>. Each Party shall provide the other Party with all reasonable assistance and cooperation in</w:t>
      </w:r>
      <w:r>
        <w:rPr>
          <w:rFonts w:ascii="Arial" w:cs="Arial" w:eastAsia="Arial" w:hAnsi="Arial"/>
          <w:sz w:val="22"/>
          <w:szCs w:val="22"/>
          <w:b w:val="1"/>
          <w:bCs w:val="1"/>
          <w:color w:val="auto"/>
        </w:rPr>
        <w:t xml:space="preserve"> </w:t>
      </w:r>
      <w:r>
        <w:rPr>
          <w:rFonts w:ascii="Arial" w:cs="Arial" w:eastAsia="Arial" w:hAnsi="Arial"/>
          <w:sz w:val="22"/>
          <w:szCs w:val="22"/>
          <w:color w:val="auto"/>
        </w:rPr>
        <w:t>the patent prosecution efforts set forth in this Section 9.2, including providing any necessary powers of attorney and executing any other required documents or instruments for such prosecution.</w:t>
      </w:r>
    </w:p>
    <w:p>
      <w:pPr>
        <w:spacing w:after="0" w:line="177"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9"/>
          <w:szCs w:val="19"/>
          <w:b w:val="1"/>
          <w:bCs w:val="1"/>
          <w:color w:val="auto"/>
        </w:rPr>
        <w:t>9.3 Patent Term Extensions in the Kaken Territory</w:t>
      </w:r>
      <w:r>
        <w:rPr>
          <w:rFonts w:ascii="Arial" w:cs="Arial" w:eastAsia="Arial" w:hAnsi="Arial"/>
          <w:sz w:val="19"/>
          <w:szCs w:val="19"/>
          <w:color w:val="auto"/>
        </w:rPr>
        <w:t>. The JSC will discuss and recommend for which, if any,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Patents within the Spruce Licensed Patents, Kaken Patents and Joint Patents in the Kaken Territory the Parties should seek patent term extensions. If after reasonable discussion and good faith consideration of each Party’s view on a particular matter before the JSC, the representatives of the Parties cannot reach an agreement as to which Patents such extensions should be sought, (a) Spruce, in the case of Spruce Licensed Patents and Joint Patents, and (b) Kaken, in the case of Kaken Patents, shall have the final decision-making authority with respect to applying for any such patent term extension in the Kaken Territory, and will act with reasonable promptness in light of the development stage of Licensed Products to apply for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1" w:name="page192"/>
    <w:bookmarkEnd w:id="191"/>
    <w:p>
      <w:pPr>
        <w:jc w:val="both"/>
        <w:spacing w:after="0" w:line="273" w:lineRule="auto"/>
        <w:rPr>
          <w:sz w:val="20"/>
          <w:szCs w:val="20"/>
          <w:color w:val="auto"/>
        </w:rPr>
      </w:pPr>
      <w:r>
        <w:rPr>
          <w:rFonts w:ascii="Arial" w:cs="Arial" w:eastAsia="Arial" w:hAnsi="Arial"/>
          <w:sz w:val="19"/>
          <w:szCs w:val="19"/>
          <w:color w:val="auto"/>
        </w:rPr>
        <w:t xml:space="preserve">any such patent term extension, where it so elects; provided, however, that if patent term extension can only be obtained for one such Patent, the Parties will consult in good faith to determine which such Patent should be the subject of efforts to obtain a patent term extension, and </w:t>
      </w:r>
      <w:r>
        <w:rPr>
          <w:rFonts w:ascii="Arial" w:cs="Arial" w:eastAsia="Arial" w:hAnsi="Arial"/>
          <w:sz w:val="19"/>
          <w:szCs w:val="19"/>
          <w:i w:val="1"/>
          <w:iCs w:val="1"/>
          <w:color w:val="auto"/>
        </w:rPr>
        <w:t>further provided</w:t>
      </w:r>
      <w:r>
        <w:rPr>
          <w:rFonts w:ascii="Arial" w:cs="Arial" w:eastAsia="Arial" w:hAnsi="Arial"/>
          <w:sz w:val="19"/>
          <w:szCs w:val="19"/>
          <w:color w:val="auto"/>
        </w:rPr>
        <w:t xml:space="preserve"> that, if a Spruce Licensed Patent is the only Patent that is eligible for a patent term extension with respect to a Licensed Product in the Kaken Territory, then (i) Kaken shall have the right, but not the obligation, to request Spruce to apply for such patent term extension at Kaken’s sole discretion and cost, and (ii) upon Spruce’s receipt of such request, Spruce shall use Commercially Reasonable Efforts to apply for such patent term extension. Each Party will cooperate fully with the other Party in making such filings or actions, for example and without limitation, making available all required regulatory Data and Information and executing any required authorizations to apply for such patent term extension. All expenses incurred in connection with activities of each Party with respect to the Patent(s) for which such Party seeks patent term extensions pursuant to this Section 9.3 shall be borne by such Party.</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9.4  Patent Enforcement</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35" w:lineRule="auto"/>
        <w:tabs>
          <w:tab w:leader="none" w:pos="1929"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Notification; Information Sharing </w:t>
      </w:r>
      <w:r>
        <w:rPr>
          <w:rFonts w:ascii="Arial" w:cs="Arial" w:eastAsia="Arial" w:hAnsi="Arial"/>
          <w:sz w:val="22"/>
          <w:szCs w:val="22"/>
          <w:color w:val="auto"/>
        </w:rPr>
        <w:t>. If either Party becomes aware of any existing or threatened</w:t>
      </w:r>
      <w:r>
        <w:rPr>
          <w:rFonts w:ascii="Arial" w:cs="Arial" w:eastAsia="Arial" w:hAnsi="Arial"/>
          <w:sz w:val="22"/>
          <w:szCs w:val="22"/>
          <w:b w:val="1"/>
          <w:bCs w:val="1"/>
          <w:color w:val="auto"/>
        </w:rPr>
        <w:t xml:space="preserve"> </w:t>
      </w:r>
      <w:r>
        <w:rPr>
          <w:rFonts w:ascii="Arial" w:cs="Arial" w:eastAsia="Arial" w:hAnsi="Arial"/>
          <w:sz w:val="22"/>
          <w:szCs w:val="22"/>
          <w:color w:val="auto"/>
        </w:rPr>
        <w:t>infringement of any Spruce Licensed Patent, Kaken Patent or Joint Patent (“</w:t>
      </w:r>
      <w:r>
        <w:rPr>
          <w:rFonts w:ascii="Arial" w:cs="Arial" w:eastAsia="Arial" w:hAnsi="Arial"/>
          <w:sz w:val="22"/>
          <w:szCs w:val="22"/>
          <w:b w:val="1"/>
          <w:bCs w:val="1"/>
          <w:color w:val="auto"/>
        </w:rPr>
        <w:t>Infringement</w:t>
      </w:r>
      <w:r>
        <w:rPr>
          <w:rFonts w:ascii="Arial" w:cs="Arial" w:eastAsia="Arial" w:hAnsi="Arial"/>
          <w:sz w:val="22"/>
          <w:szCs w:val="22"/>
          <w:color w:val="auto"/>
        </w:rPr>
        <w:t>”), it shall promptly notify the other Party in writing to that effect and the Parties will consult with each other regarding any actions to be taken with respect to such Infringement. Each Party shall share with the other Party all Information available to it regarding such alleged Infringement, pursuant to a mutually agreeable “common interest agreement” executed by the Parties under which the Parties agree to their shared, mutual interest in the outcome of any suit or other action to enforce the Spruce Licensed Patents, Kaken Patents and Joint Patents against such Infringement.</w:t>
      </w:r>
    </w:p>
    <w:p>
      <w:pPr>
        <w:spacing w:after="0" w:line="183" w:lineRule="exact"/>
        <w:rPr>
          <w:rFonts w:ascii="Arial" w:cs="Arial" w:eastAsia="Arial" w:hAnsi="Arial"/>
          <w:sz w:val="22"/>
          <w:szCs w:val="22"/>
          <w:b w:val="1"/>
          <w:bCs w:val="1"/>
          <w:color w:val="auto"/>
        </w:rPr>
      </w:pPr>
    </w:p>
    <w:p>
      <w:pPr>
        <w:ind w:left="1940" w:hanging="435"/>
        <w:spacing w:after="0"/>
        <w:tabs>
          <w:tab w:leader="none" w:pos="1940"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color w:val="auto"/>
        </w:rPr>
        <w:t>Enforcement Rights</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ind w:left="2680" w:hanging="426"/>
        <w:spacing w:after="0"/>
        <w:tabs>
          <w:tab w:leader="none" w:pos="2680" w:val="left"/>
        </w:tabs>
        <w:numPr>
          <w:ilvl w:val="1"/>
          <w:numId w:val="95"/>
        </w:numPr>
        <w:rPr>
          <w:rFonts w:ascii="Arial" w:cs="Arial" w:eastAsia="Arial" w:hAnsi="Arial"/>
          <w:sz w:val="22"/>
          <w:szCs w:val="22"/>
          <w:b w:val="1"/>
          <w:bCs w:val="1"/>
          <w:color w:val="auto"/>
        </w:rPr>
      </w:pPr>
      <w:r>
        <w:rPr>
          <w:rFonts w:ascii="Arial" w:cs="Arial" w:eastAsia="Arial" w:hAnsi="Arial"/>
          <w:sz w:val="22"/>
          <w:szCs w:val="22"/>
          <w:b w:val="1"/>
          <w:bCs w:val="1"/>
          <w:color w:val="auto"/>
        </w:rPr>
        <w:t>Spruce Product-Specific Licensed Patents</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jc w:val="both"/>
        <w:ind w:firstLine="3003"/>
        <w:spacing w:after="0" w:line="244" w:lineRule="auto"/>
        <w:tabs>
          <w:tab w:leader="none" w:pos="3454" w:val="left"/>
        </w:tabs>
        <w:numPr>
          <w:ilvl w:val="2"/>
          <w:numId w:val="95"/>
        </w:numPr>
        <w:rPr>
          <w:rFonts w:ascii="Arial" w:cs="Arial" w:eastAsia="Arial" w:hAnsi="Arial"/>
          <w:sz w:val="21"/>
          <w:szCs w:val="21"/>
          <w:b w:val="1"/>
          <w:bCs w:val="1"/>
          <w:color w:val="auto"/>
        </w:rPr>
      </w:pPr>
      <w:r>
        <w:rPr>
          <w:rFonts w:ascii="Arial" w:cs="Arial" w:eastAsia="Arial" w:hAnsi="Arial"/>
          <w:sz w:val="21"/>
          <w:szCs w:val="21"/>
          <w:color w:val="auto"/>
        </w:rPr>
        <w:t>Spruce shall have the first right, but not the obligation, to bring an appropriate suit or other action against any Person engaged in the Infringement of any Spruce Product-Specific Licensed Patent in the Kaken Territory, at Spruce’s cost and expense. If Spruce elects to commence a suit or other action to enforce the applicable Spruce Product-Specific Licensed Patent against such Infringement in the Kaken Territory, then Kaken shall have the right to join such enforcement action upon written notice to Spruce, and the Parties shall share the cost and expense of such enforcement action equally. If Spruce notifies Kaken in writing that it does not intend to commence a suit or other action to enforce the applicable Spruce Product-Specific Licensed Patent against such Infringement or to take other action to secure the abatement of such Infringement, or fails to take any such action after a period of [***] following either Party’s receipt of the notice of Infringement pursuant to Section 9.4(a), then, to the extent that such Infringement is resulting from a Third Party’s use or sale of a product that competes with a Licensed Product in the Field in the Kaken Territory, Kaken shall have the right, but not the obligation, to commence such a suit or take such action, at Kaken’s cost and expense; provided that, in the event the Person engaged in the Infringement of any Spruce Product-Specific Licensed Patent in the Kaken Territory is also engaged in such Infringement in the Spruce Territory, and Spruce has commenced a suit to secure the abatement of such Infringement in the Spruce Territory, then Spruce shall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2" w:name="page193"/>
    <w:bookmarkEnd w:id="192"/>
    <w:p>
      <w:pPr>
        <w:jc w:val="both"/>
        <w:spacing w:after="0"/>
        <w:rPr>
          <w:sz w:val="20"/>
          <w:szCs w:val="20"/>
          <w:color w:val="auto"/>
        </w:rPr>
      </w:pPr>
      <w:r>
        <w:rPr>
          <w:rFonts w:ascii="Arial" w:cs="Arial" w:eastAsia="Arial" w:hAnsi="Arial"/>
          <w:sz w:val="22"/>
          <w:szCs w:val="22"/>
          <w:color w:val="auto"/>
        </w:rPr>
        <w:t>promptly notify Kaken thereof and Kaken shall not have the right to commence such suit or action without the prior written consent of Spruce, not to be unreasonably withheld or delayed. In such case, Spruce shall take appropriate actions in order to enable Kaken to commence a suit or take the actions set forth in the preceding sentence.</w:t>
      </w:r>
    </w:p>
    <w:p>
      <w:pPr>
        <w:spacing w:after="0" w:line="186" w:lineRule="exact"/>
        <w:rPr>
          <w:sz w:val="20"/>
          <w:szCs w:val="20"/>
          <w:color w:val="auto"/>
        </w:rPr>
      </w:pPr>
    </w:p>
    <w:p>
      <w:pPr>
        <w:jc w:val="both"/>
        <w:ind w:firstLine="3003"/>
        <w:spacing w:after="0" w:line="236" w:lineRule="auto"/>
        <w:tabs>
          <w:tab w:leader="none" w:pos="3454" w:val="left"/>
        </w:tabs>
        <w:numPr>
          <w:ilvl w:val="1"/>
          <w:numId w:val="96"/>
        </w:numPr>
        <w:rPr>
          <w:rFonts w:ascii="Arial" w:cs="Arial" w:eastAsia="Arial" w:hAnsi="Arial"/>
          <w:sz w:val="22"/>
          <w:szCs w:val="22"/>
          <w:b w:val="1"/>
          <w:bCs w:val="1"/>
          <w:color w:val="auto"/>
        </w:rPr>
      </w:pPr>
      <w:r>
        <w:rPr>
          <w:rFonts w:ascii="Arial" w:cs="Arial" w:eastAsia="Arial" w:hAnsi="Arial"/>
          <w:sz w:val="22"/>
          <w:szCs w:val="22"/>
          <w:color w:val="auto"/>
        </w:rPr>
        <w:t>Neither Party shall settle any such suit or action under 9.4(b)(i)(1) in any manner that would negatively impact the Spruce Product-Specific Licensed Patents or that would limit or restrict the ability of Kaken to sell the Licensed Products in the Kaken Territory, without the prior written consent of the other Party. For clarity, Kaken shall not have the right to commence any such suit or action against any existing or threatened infringement of the Spruce Product-Specific Licensed Patents outside the Kaken Territory.</w:t>
      </w:r>
    </w:p>
    <w:p>
      <w:pPr>
        <w:spacing w:after="0" w:line="181" w:lineRule="exact"/>
        <w:rPr>
          <w:rFonts w:ascii="Arial" w:cs="Arial" w:eastAsia="Arial" w:hAnsi="Arial"/>
          <w:sz w:val="22"/>
          <w:szCs w:val="22"/>
          <w:b w:val="1"/>
          <w:bCs w:val="1"/>
          <w:color w:val="auto"/>
        </w:rPr>
      </w:pPr>
    </w:p>
    <w:p>
      <w:pPr>
        <w:jc w:val="both"/>
        <w:ind w:firstLine="2254"/>
        <w:spacing w:after="0" w:line="236" w:lineRule="auto"/>
        <w:tabs>
          <w:tab w:leader="none" w:pos="2678"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color w:val="auto"/>
        </w:rPr>
        <w:t>Kaken Patents</w:t>
      </w:r>
      <w:r>
        <w:rPr>
          <w:rFonts w:ascii="Arial" w:cs="Arial" w:eastAsia="Arial" w:hAnsi="Arial"/>
          <w:sz w:val="22"/>
          <w:szCs w:val="22"/>
          <w:color w:val="auto"/>
        </w:rPr>
        <w:t>. Kaken shall have the sole right, but not the obligation, to bring an appropriate</w:t>
      </w:r>
      <w:r>
        <w:rPr>
          <w:rFonts w:ascii="Arial" w:cs="Arial" w:eastAsia="Arial" w:hAnsi="Arial"/>
          <w:sz w:val="22"/>
          <w:szCs w:val="22"/>
          <w:b w:val="1"/>
          <w:bCs w:val="1"/>
          <w:color w:val="auto"/>
        </w:rPr>
        <w:t xml:space="preserve"> </w:t>
      </w:r>
      <w:r>
        <w:rPr>
          <w:rFonts w:ascii="Arial" w:cs="Arial" w:eastAsia="Arial" w:hAnsi="Arial"/>
          <w:sz w:val="22"/>
          <w:szCs w:val="22"/>
          <w:color w:val="auto"/>
        </w:rPr>
        <w:t>suit or other action against any Person engaged in the Infringement of any Kaken Patent, at Kaken’s cost and expense. If Kaken elects to commence a suit to enforce the applicable Kaken Patent against such Infringement, where such Infringement relates to the Commercialization in the Kaken Territory of unauthorized products containing the Licensed Compound, then Spruce shall have the right to join such enforcement action upon notice to Kaken, and in this case the Parties shall share the cost and expense of such enforcement action equally.</w:t>
      </w:r>
    </w:p>
    <w:p>
      <w:pPr>
        <w:spacing w:after="0" w:line="181" w:lineRule="exact"/>
        <w:rPr>
          <w:rFonts w:ascii="Arial" w:cs="Arial" w:eastAsia="Arial" w:hAnsi="Arial"/>
          <w:sz w:val="22"/>
          <w:szCs w:val="22"/>
          <w:b w:val="1"/>
          <w:bCs w:val="1"/>
          <w:color w:val="auto"/>
        </w:rPr>
      </w:pPr>
    </w:p>
    <w:p>
      <w:pPr>
        <w:ind w:left="2680" w:hanging="426"/>
        <w:spacing w:after="0"/>
        <w:tabs>
          <w:tab w:leader="none" w:pos="2680"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color w:val="auto"/>
        </w:rPr>
        <w:t>Joint Patents</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jc w:val="both"/>
        <w:ind w:firstLine="3003"/>
        <w:spacing w:after="0" w:line="273" w:lineRule="auto"/>
        <w:tabs>
          <w:tab w:leader="none" w:pos="3454" w:val="left"/>
        </w:tabs>
        <w:numPr>
          <w:ilvl w:val="1"/>
          <w:numId w:val="97"/>
        </w:numPr>
        <w:rPr>
          <w:rFonts w:ascii="Arial" w:cs="Arial" w:eastAsia="Arial" w:hAnsi="Arial"/>
          <w:sz w:val="19"/>
          <w:szCs w:val="19"/>
          <w:b w:val="1"/>
          <w:bCs w:val="1"/>
          <w:color w:val="auto"/>
        </w:rPr>
      </w:pPr>
      <w:r>
        <w:rPr>
          <w:rFonts w:ascii="Arial" w:cs="Arial" w:eastAsia="Arial" w:hAnsi="Arial"/>
          <w:sz w:val="19"/>
          <w:szCs w:val="19"/>
          <w:color w:val="auto"/>
        </w:rPr>
        <w:t>Kaken shall have the first right, but not the obligation, to bring an appropriate suit or other action against any Person engaged in the Infringement of any Joint Patent in the Kaken Territory, at Kaken’s cost and expense. If Kaken elects to commence a suit or other action to enforce the applicable Joint Patent against such Infringement in the Kaken Territory, then Spruce shall have the right to join such enforcement action upon written notice to Kaken, and the Parties shall share the cost and expense of such enforcement action equally. If Kaken notifies Spruce in writing that it does not intend to commence a suit or other action to enforce the applicable Joint Patent against such Infringement or to take other action to secure the abatement of such Infringement, or fails to take any such action after a period of [***] following either Party’s receipt of the notice of Infringement pursuant to Section 9.4(a), then, Spruce shall have the right, but not the obligation, to commence such a suit or take such action, at Spruce’s cost and expense. In such case, Kaken shall take appropriate actions in order to enable Spruce to commence a suit or take the actions set forth in the preceding sentence.</w:t>
      </w:r>
    </w:p>
    <w:p>
      <w:pPr>
        <w:spacing w:after="0" w:line="160" w:lineRule="exact"/>
        <w:rPr>
          <w:rFonts w:ascii="Arial" w:cs="Arial" w:eastAsia="Arial" w:hAnsi="Arial"/>
          <w:sz w:val="19"/>
          <w:szCs w:val="19"/>
          <w:b w:val="1"/>
          <w:bCs w:val="1"/>
          <w:color w:val="auto"/>
        </w:rPr>
      </w:pPr>
    </w:p>
    <w:p>
      <w:pPr>
        <w:jc w:val="both"/>
        <w:ind w:firstLine="3003"/>
        <w:spacing w:after="0" w:line="246" w:lineRule="auto"/>
        <w:tabs>
          <w:tab w:leader="none" w:pos="3454" w:val="left"/>
        </w:tabs>
        <w:numPr>
          <w:ilvl w:val="1"/>
          <w:numId w:val="97"/>
        </w:numPr>
        <w:rPr>
          <w:rFonts w:ascii="Arial" w:cs="Arial" w:eastAsia="Arial" w:hAnsi="Arial"/>
          <w:sz w:val="21"/>
          <w:szCs w:val="21"/>
          <w:b w:val="1"/>
          <w:bCs w:val="1"/>
          <w:color w:val="auto"/>
        </w:rPr>
      </w:pPr>
      <w:r>
        <w:rPr>
          <w:rFonts w:ascii="Arial" w:cs="Arial" w:eastAsia="Arial" w:hAnsi="Arial"/>
          <w:sz w:val="21"/>
          <w:szCs w:val="21"/>
          <w:color w:val="auto"/>
        </w:rPr>
        <w:t>Spruce shall have the first right, but not the obligation, to bring an appropriate suit or other action against any Person engaged in the Infringement of any Joint Patent in the Spruce Territory, at Spruce’s cost and expense. If Spruce notifies Kaken in writing that it does not intend to commence a suit or other action to enforce the applicable Joint Patent against such Infringement or to take other action to secure the abatement of such Infringement, or fails to take any such action after a period of [***] following either Party’s receipt of the notice of Infringement pursuant to Section 9.4(a), then, Kaken shall have the right, but not the obligation, to commence such a suit or take such action, at Kaken’s cost and expense. In such case, Spruce shall take appropriate actions in order to enable Kaken to commence a suit or take the actions set forth in the preceding sentence.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3" w:name="page194"/>
    <w:bookmarkEnd w:id="193"/>
    <w:p>
      <w:pPr>
        <w:jc w:val="both"/>
        <w:ind w:firstLine="3003"/>
        <w:spacing w:after="0" w:line="297" w:lineRule="auto"/>
        <w:tabs>
          <w:tab w:leader="none" w:pos="3427" w:val="left"/>
        </w:tabs>
        <w:numPr>
          <w:ilvl w:val="2"/>
          <w:numId w:val="98"/>
        </w:numPr>
        <w:rPr>
          <w:rFonts w:ascii="Arial" w:cs="Arial" w:eastAsia="Arial" w:hAnsi="Arial"/>
          <w:sz w:val="19"/>
          <w:szCs w:val="19"/>
          <w:b w:val="1"/>
          <w:bCs w:val="1"/>
          <w:color w:val="auto"/>
        </w:rPr>
      </w:pPr>
      <w:r>
        <w:rPr>
          <w:rFonts w:ascii="Arial" w:cs="Arial" w:eastAsia="Arial" w:hAnsi="Arial"/>
          <w:sz w:val="19"/>
          <w:szCs w:val="19"/>
          <w:color w:val="auto"/>
        </w:rPr>
        <w:t>Neither Party shall settle any such suit or action under 9.4(b)(iii)(1) or 9.4(b)(iii)(2) in any manner that would negatively impact the Joint Patents or that would limit or restrict the ability of Spruce or Kaken to sell the Licensed Products in the Spruce Territory or Kaken Territory, respectively, without the prior written consent of the other Party.</w:t>
      </w:r>
    </w:p>
    <w:p>
      <w:pPr>
        <w:spacing w:after="0" w:line="127" w:lineRule="exact"/>
        <w:rPr>
          <w:rFonts w:ascii="Arial" w:cs="Arial" w:eastAsia="Arial" w:hAnsi="Arial"/>
          <w:sz w:val="19"/>
          <w:szCs w:val="19"/>
          <w:b w:val="1"/>
          <w:bCs w:val="1"/>
          <w:color w:val="auto"/>
        </w:rPr>
      </w:pPr>
    </w:p>
    <w:p>
      <w:pPr>
        <w:jc w:val="both"/>
        <w:ind w:firstLine="1505"/>
        <w:spacing w:after="0" w:line="280" w:lineRule="auto"/>
        <w:tabs>
          <w:tab w:leader="none" w:pos="1929" w:val="left"/>
        </w:tabs>
        <w:numPr>
          <w:ilvl w:val="0"/>
          <w:numId w:val="99"/>
        </w:numPr>
        <w:rPr>
          <w:rFonts w:ascii="Arial" w:cs="Arial" w:eastAsia="Arial" w:hAnsi="Arial"/>
          <w:sz w:val="19"/>
          <w:szCs w:val="19"/>
          <w:b w:val="1"/>
          <w:bCs w:val="1"/>
          <w:color w:val="auto"/>
        </w:rPr>
      </w:pPr>
      <w:r>
        <w:rPr>
          <w:rFonts w:ascii="Arial" w:cs="Arial" w:eastAsia="Arial" w:hAnsi="Arial"/>
          <w:sz w:val="19"/>
          <w:szCs w:val="19"/>
          <w:b w:val="1"/>
          <w:bCs w:val="1"/>
          <w:color w:val="auto"/>
        </w:rPr>
        <w:t>Collaboration</w:t>
      </w:r>
      <w:r>
        <w:rPr>
          <w:rFonts w:ascii="Arial" w:cs="Arial" w:eastAsia="Arial" w:hAnsi="Arial"/>
          <w:sz w:val="19"/>
          <w:szCs w:val="19"/>
          <w:color w:val="auto"/>
        </w:rPr>
        <w:t>. Each Party shall provide to the Party bringing a claim, suit or action under Section 9.4(b)</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color w:val="auto"/>
        </w:rPr>
        <w:t>Enforcing Party</w:t>
      </w:r>
      <w:r>
        <w:rPr>
          <w:rFonts w:ascii="Arial" w:cs="Arial" w:eastAsia="Arial" w:hAnsi="Arial"/>
          <w:sz w:val="19"/>
          <w:szCs w:val="19"/>
          <w:color w:val="auto"/>
        </w:rPr>
        <w:t>”) with reasonable assistance in such enforcement, including joining such action as a party plaintiff if required by applicable Laws to pursue such action. The Enforcing Party shall keep the other Party regularly informed of the status and progress of such enforcement efforts and shall reasonably consider the other Party’s comments on any such efforts. The non-enforcing Party shall be entitled to separate representation in such matter by counsel of its own choice and at its own expense, but such Party shall at all times cooperate fully with the Enforcing Party.</w:t>
      </w:r>
    </w:p>
    <w:p>
      <w:pPr>
        <w:spacing w:after="0" w:line="144" w:lineRule="exact"/>
        <w:rPr>
          <w:rFonts w:ascii="Arial" w:cs="Arial" w:eastAsia="Arial" w:hAnsi="Arial"/>
          <w:sz w:val="19"/>
          <w:szCs w:val="19"/>
          <w:b w:val="1"/>
          <w:bCs w:val="1"/>
          <w:color w:val="auto"/>
        </w:rPr>
      </w:pPr>
    </w:p>
    <w:p>
      <w:pPr>
        <w:jc w:val="both"/>
        <w:ind w:firstLine="1505"/>
        <w:spacing w:after="0" w:line="235" w:lineRule="auto"/>
        <w:tabs>
          <w:tab w:leader="none" w:pos="1929"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color w:val="auto"/>
        </w:rPr>
        <w:t>Expenses and Recoveries</w:t>
      </w:r>
      <w:r>
        <w:rPr>
          <w:rFonts w:ascii="Arial" w:cs="Arial" w:eastAsia="Arial" w:hAnsi="Arial"/>
          <w:sz w:val="22"/>
          <w:szCs w:val="22"/>
          <w:color w:val="auto"/>
        </w:rPr>
        <w:t>. The Enforcing Party shall be solely responsible for any expenses it incurs as a</w:t>
      </w:r>
      <w:r>
        <w:rPr>
          <w:rFonts w:ascii="Arial" w:cs="Arial" w:eastAsia="Arial" w:hAnsi="Arial"/>
          <w:sz w:val="22"/>
          <w:szCs w:val="22"/>
          <w:b w:val="1"/>
          <w:bCs w:val="1"/>
          <w:color w:val="auto"/>
        </w:rPr>
        <w:t xml:space="preserve"> </w:t>
      </w:r>
      <w:r>
        <w:rPr>
          <w:rFonts w:ascii="Arial" w:cs="Arial" w:eastAsia="Arial" w:hAnsi="Arial"/>
          <w:sz w:val="22"/>
          <w:szCs w:val="22"/>
          <w:color w:val="auto"/>
        </w:rPr>
        <w:t>result of such enforcement action, except that the Parties shall share equally the cost and expense of the enforcement action when one Party is the Enforcing Party and the other Party elects to join the enforcement action. If the Enforcing Party recovers monetary damages in such claim, suit or action brought under Section 9.4(b) with respect to the applicable territory for which a Party has the right to commence an enforcement action under this Section 9.4, such recovery shall be allocated first to the reimbursement of any documented expenses incurred by the Parties in such enforcement action, and any remaining amounts shall be shared by the Parties as follows:</w:t>
      </w:r>
    </w:p>
    <w:p>
      <w:pPr>
        <w:spacing w:after="0" w:line="189" w:lineRule="exact"/>
        <w:rPr>
          <w:rFonts w:ascii="Arial" w:cs="Arial" w:eastAsia="Arial" w:hAnsi="Arial"/>
          <w:sz w:val="22"/>
          <w:szCs w:val="22"/>
          <w:b w:val="1"/>
          <w:bCs w:val="1"/>
          <w:color w:val="auto"/>
        </w:rPr>
      </w:pPr>
    </w:p>
    <w:p>
      <w:pPr>
        <w:ind w:left="2680" w:hanging="426"/>
        <w:spacing w:after="0"/>
        <w:tabs>
          <w:tab w:leader="none" w:pos="2680" w:val="left"/>
        </w:tabs>
        <w:numPr>
          <w:ilvl w:val="1"/>
          <w:numId w:val="99"/>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ind w:left="2680" w:hanging="426"/>
        <w:spacing w:after="0"/>
        <w:tabs>
          <w:tab w:leader="none" w:pos="2680" w:val="left"/>
        </w:tabs>
        <w:numPr>
          <w:ilvl w:val="1"/>
          <w:numId w:val="99"/>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ind w:left="2680" w:hanging="426"/>
        <w:spacing w:after="0"/>
        <w:tabs>
          <w:tab w:leader="none" w:pos="2680" w:val="left"/>
        </w:tabs>
        <w:numPr>
          <w:ilvl w:val="1"/>
          <w:numId w:val="99"/>
        </w:numPr>
        <w:rPr>
          <w:rFonts w:ascii="Arial" w:cs="Arial" w:eastAsia="Arial" w:hAnsi="Arial"/>
          <w:sz w:val="22"/>
          <w:szCs w:val="22"/>
          <w:b w:val="1"/>
          <w:bCs w:val="1"/>
          <w:color w:val="auto"/>
        </w:rPr>
      </w:pPr>
      <w:r>
        <w:rPr>
          <w:rFonts w:ascii="Arial" w:cs="Arial" w:eastAsia="Arial" w:hAnsi="Arial"/>
          <w:sz w:val="22"/>
          <w:szCs w:val="22"/>
          <w:color w:val="auto"/>
        </w:rPr>
        <w:t>[***]; and</w:t>
      </w:r>
    </w:p>
    <w:p>
      <w:pPr>
        <w:spacing w:after="0" w:line="206" w:lineRule="exact"/>
        <w:rPr>
          <w:rFonts w:ascii="Arial" w:cs="Arial" w:eastAsia="Arial" w:hAnsi="Arial"/>
          <w:sz w:val="22"/>
          <w:szCs w:val="22"/>
          <w:b w:val="1"/>
          <w:bCs w:val="1"/>
          <w:color w:val="auto"/>
        </w:rPr>
      </w:pPr>
    </w:p>
    <w:p>
      <w:pPr>
        <w:ind w:left="2680" w:hanging="426"/>
        <w:spacing w:after="0"/>
        <w:tabs>
          <w:tab w:leader="none" w:pos="2680" w:val="left"/>
        </w:tabs>
        <w:numPr>
          <w:ilvl w:val="1"/>
          <w:numId w:val="99"/>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ind w:firstLine="1505"/>
        <w:spacing w:after="0" w:line="250" w:lineRule="auto"/>
        <w:tabs>
          <w:tab w:leader="none" w:pos="1970" w:val="left"/>
        </w:tabs>
        <w:numPr>
          <w:ilvl w:val="0"/>
          <w:numId w:val="99"/>
        </w:numPr>
        <w:rPr>
          <w:rFonts w:ascii="Arial" w:cs="Arial" w:eastAsia="Arial" w:hAnsi="Arial"/>
          <w:sz w:val="22"/>
          <w:szCs w:val="22"/>
          <w:b w:val="1"/>
          <w:bCs w:val="1"/>
          <w:color w:val="auto"/>
        </w:rPr>
      </w:pPr>
      <w:r>
        <w:rPr>
          <w:rFonts w:ascii="Arial" w:cs="Arial" w:eastAsia="Arial" w:hAnsi="Arial"/>
          <w:sz w:val="22"/>
          <w:szCs w:val="22"/>
          <w:color w:val="auto"/>
        </w:rPr>
        <w:t>Sections 9.4(c) and 9.4(d) shall survive the termination of this Agreement solely with respect to any pending enforcement action initiated during the Term under this Section 9.4.</w:t>
      </w:r>
    </w:p>
    <w:p>
      <w:pPr>
        <w:spacing w:after="0" w:line="169"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b w:val="1"/>
          <w:bCs w:val="1"/>
          <w:color w:val="auto"/>
        </w:rPr>
        <w:t>9.5 Third Party Infringement Claims</w:t>
      </w:r>
      <w:r>
        <w:rPr>
          <w:rFonts w:ascii="Arial" w:cs="Arial" w:eastAsia="Arial" w:hAnsi="Arial"/>
          <w:sz w:val="21"/>
          <w:szCs w:val="21"/>
          <w:color w:val="auto"/>
        </w:rPr>
        <w:t>. If the Manufacture, use or sale of the Licensed Products in the Field in the</w:t>
      </w:r>
      <w:r>
        <w:rPr>
          <w:rFonts w:ascii="Arial" w:cs="Arial" w:eastAsia="Arial" w:hAnsi="Arial"/>
          <w:sz w:val="21"/>
          <w:szCs w:val="21"/>
          <w:b w:val="1"/>
          <w:bCs w:val="1"/>
          <w:color w:val="auto"/>
        </w:rPr>
        <w:t xml:space="preserve"> </w:t>
      </w:r>
      <w:r>
        <w:rPr>
          <w:rFonts w:ascii="Arial" w:cs="Arial" w:eastAsia="Arial" w:hAnsi="Arial"/>
          <w:sz w:val="21"/>
          <w:szCs w:val="21"/>
          <w:color w:val="auto"/>
        </w:rPr>
        <w:t>Kaken Territory pursuant to this Agreement results in a claim, suit or proceeding alleging patent infringement against Spruce or Kaken (or their respective Affiliates, licensees or Sublicensees) (collectively, “</w:t>
      </w:r>
      <w:r>
        <w:rPr>
          <w:rFonts w:ascii="Arial" w:cs="Arial" w:eastAsia="Arial" w:hAnsi="Arial"/>
          <w:sz w:val="21"/>
          <w:szCs w:val="21"/>
          <w:b w:val="1"/>
          <w:bCs w:val="1"/>
          <w:color w:val="auto"/>
        </w:rPr>
        <w:t>Infringement Actions</w:t>
      </w:r>
      <w:r>
        <w:rPr>
          <w:rFonts w:ascii="Arial" w:cs="Arial" w:eastAsia="Arial" w:hAnsi="Arial"/>
          <w:sz w:val="21"/>
          <w:szCs w:val="21"/>
          <w:color w:val="auto"/>
        </w:rPr>
        <w:t>”), such Party shall promptly notify the other Party hereto in writing. Subject to Article 11, the Party for which the Infringement Action is brought against (the “</w:t>
      </w:r>
      <w:r>
        <w:rPr>
          <w:rFonts w:ascii="Arial" w:cs="Arial" w:eastAsia="Arial" w:hAnsi="Arial"/>
          <w:sz w:val="21"/>
          <w:szCs w:val="21"/>
          <w:b w:val="1"/>
          <w:bCs w:val="1"/>
          <w:color w:val="auto"/>
        </w:rPr>
        <w:t>Accused Party</w:t>
      </w:r>
      <w:r>
        <w:rPr>
          <w:rFonts w:ascii="Arial" w:cs="Arial" w:eastAsia="Arial" w:hAnsi="Arial"/>
          <w:sz w:val="21"/>
          <w:szCs w:val="21"/>
          <w:color w:val="auto"/>
        </w:rPr>
        <w:t xml:space="preserve">”) shall have the right to direct and control the defense of such Infringement Action, at its own expense with counsel of its choice;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the other Party may participate in the defense and/or settlement thereof, at its own expense with counsel of its choice. In any event, the Accused Party agrees to keep the other Party reasonably informed of all material developments in connection with any such Infringement Action for which the Accused Party exercises its right to direct and control the defense. The Accused Party agrees not to settle such Infringement Action, or make any admissions or assert 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4" w:name="page195"/>
    <w:bookmarkEnd w:id="194"/>
    <w:p>
      <w:pPr>
        <w:jc w:val="both"/>
        <w:spacing w:after="0" w:line="234" w:lineRule="auto"/>
        <w:rPr>
          <w:sz w:val="20"/>
          <w:szCs w:val="20"/>
          <w:color w:val="auto"/>
        </w:rPr>
      </w:pPr>
      <w:r>
        <w:rPr>
          <w:rFonts w:ascii="Arial" w:cs="Arial" w:eastAsia="Arial" w:hAnsi="Arial"/>
          <w:sz w:val="22"/>
          <w:szCs w:val="22"/>
          <w:color w:val="auto"/>
        </w:rPr>
        <w:t>position in such Infringement Action, in a manner that would adversely affect the rights or interests of the other Party, without the prior written consent of the other Party, which shall not be unreasonably withheld or delayed. Subject to Article 11, if the Accused Party does not exercise its right to direct and control the defense of an Infringement Action that is brought against the other Party, then the other Party shall have such right and it shall agree to keep the Accused Party reasonably informed of all material developments in connection with such Infringement Action and it shall not settle such Infringement Action, or make any admissions or assert any position in such Infringement Action, in a manner that would materially adversely affect the rights or interests of the Accused Party, without the prior written consent of the Accused Party, which shall not be unreasonably withheld or delayed.</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9.6  Trademarks</w:t>
      </w:r>
      <w:r>
        <w:rPr>
          <w:rFonts w:ascii="Arial" w:cs="Arial" w:eastAsia="Arial" w:hAnsi="Arial"/>
          <w:sz w:val="22"/>
          <w:szCs w:val="22"/>
          <w:color w:val="auto"/>
        </w:rPr>
        <w:t>.</w:t>
      </w:r>
    </w:p>
    <w:p>
      <w:pPr>
        <w:spacing w:after="0" w:line="212" w:lineRule="exact"/>
        <w:rPr>
          <w:sz w:val="20"/>
          <w:szCs w:val="20"/>
          <w:color w:val="auto"/>
        </w:rPr>
      </w:pPr>
    </w:p>
    <w:p>
      <w:pPr>
        <w:jc w:val="both"/>
        <w:ind w:firstLine="1505"/>
        <w:spacing w:after="0" w:line="246" w:lineRule="auto"/>
        <w:tabs>
          <w:tab w:leader="none" w:pos="1956" w:val="left"/>
        </w:tabs>
        <w:numPr>
          <w:ilvl w:val="0"/>
          <w:numId w:val="100"/>
        </w:numPr>
        <w:rPr>
          <w:rFonts w:ascii="Arial" w:cs="Arial" w:eastAsia="Arial" w:hAnsi="Arial"/>
          <w:sz w:val="21"/>
          <w:szCs w:val="21"/>
          <w:b w:val="1"/>
          <w:bCs w:val="1"/>
          <w:color w:val="auto"/>
        </w:rPr>
      </w:pPr>
      <w:r>
        <w:rPr>
          <w:rFonts w:ascii="Arial" w:cs="Arial" w:eastAsia="Arial" w:hAnsi="Arial"/>
          <w:sz w:val="21"/>
          <w:szCs w:val="21"/>
          <w:color w:val="auto"/>
        </w:rPr>
        <w:t>Subject to Section 9.6(c) below, Kaken shall Commercialize the Licensed Products in the Field in the Kaken Territory under any trademark owned or Controlled by Kaken (the “</w:t>
      </w:r>
      <w:r>
        <w:rPr>
          <w:rFonts w:ascii="Arial" w:cs="Arial" w:eastAsia="Arial" w:hAnsi="Arial"/>
          <w:sz w:val="21"/>
          <w:szCs w:val="21"/>
          <w:b w:val="1"/>
          <w:bCs w:val="1"/>
          <w:color w:val="auto"/>
        </w:rPr>
        <w:t>Kaken Product Mark</w:t>
      </w:r>
      <w:r>
        <w:rPr>
          <w:rFonts w:ascii="Arial" w:cs="Arial" w:eastAsia="Arial" w:hAnsi="Arial"/>
          <w:sz w:val="21"/>
          <w:szCs w:val="21"/>
          <w:color w:val="auto"/>
        </w:rPr>
        <w:t>”); provided that, prior to finalizing any Kaken Product Mark, Kaken shall provide Spruce with such proposed trademark and related trade dress and shall reasonably consider in good faith Spruce’s comments with respect thereto. Kaken shall, and shall cause its Affiliates and Sublicensees to, use the Kaken Product Mark solely in connection with the Development, Manufacturing, and Commercialization of the Licensed Products in the Field in the Kaken Territory. Kaken shall own all rights in the Kaken Product Mark, and all goodwill in the Kaken Product Mark shall accrue to Kaken. Kaken shall register and maintain, at Kaken’s cost and expense, the Kaken Product Marks in the Kaken Territory.</w:t>
      </w:r>
    </w:p>
    <w:p>
      <w:pPr>
        <w:spacing w:after="0" w:line="179" w:lineRule="exact"/>
        <w:rPr>
          <w:rFonts w:ascii="Arial" w:cs="Arial" w:eastAsia="Arial" w:hAnsi="Arial"/>
          <w:sz w:val="21"/>
          <w:szCs w:val="21"/>
          <w:b w:val="1"/>
          <w:bCs w:val="1"/>
          <w:color w:val="auto"/>
        </w:rPr>
      </w:pPr>
    </w:p>
    <w:p>
      <w:pPr>
        <w:jc w:val="both"/>
        <w:ind w:firstLine="1505"/>
        <w:spacing w:after="0" w:line="297" w:lineRule="auto"/>
        <w:tabs>
          <w:tab w:leader="none" w:pos="1929" w:val="left"/>
        </w:tabs>
        <w:numPr>
          <w:ilvl w:val="0"/>
          <w:numId w:val="100"/>
        </w:numPr>
        <w:rPr>
          <w:rFonts w:ascii="Arial" w:cs="Arial" w:eastAsia="Arial" w:hAnsi="Arial"/>
          <w:sz w:val="19"/>
          <w:szCs w:val="19"/>
          <w:b w:val="1"/>
          <w:bCs w:val="1"/>
          <w:color w:val="auto"/>
        </w:rPr>
      </w:pPr>
      <w:r>
        <w:rPr>
          <w:rFonts w:ascii="Arial" w:cs="Arial" w:eastAsia="Arial" w:hAnsi="Arial"/>
          <w:sz w:val="19"/>
          <w:szCs w:val="19"/>
          <w:color w:val="auto"/>
        </w:rPr>
        <w:t>Subject to Section 9.6(c) below, Kaken shall have the right to brand the Licensed Products in the Field in the Kaken Territory with those trademarks of Kaken that are associated with Kaken’s name or identity (“</w:t>
      </w:r>
      <w:r>
        <w:rPr>
          <w:rFonts w:ascii="Arial" w:cs="Arial" w:eastAsia="Arial" w:hAnsi="Arial"/>
          <w:sz w:val="19"/>
          <w:szCs w:val="19"/>
          <w:b w:val="1"/>
          <w:bCs w:val="1"/>
          <w:color w:val="auto"/>
        </w:rPr>
        <w:t>Kaken Housemarks</w:t>
      </w:r>
      <w:r>
        <w:rPr>
          <w:rFonts w:ascii="Arial" w:cs="Arial" w:eastAsia="Arial" w:hAnsi="Arial"/>
          <w:sz w:val="19"/>
          <w:szCs w:val="19"/>
          <w:color w:val="auto"/>
        </w:rPr>
        <w:t>”). Kaken shall own all rights in the Kaken Housemarks, and all goodwill in the Kaken Housemarks shall accrue to Kaken.</w:t>
      </w:r>
    </w:p>
    <w:p>
      <w:pPr>
        <w:spacing w:after="0" w:line="133" w:lineRule="exact"/>
        <w:rPr>
          <w:rFonts w:ascii="Arial" w:cs="Arial" w:eastAsia="Arial" w:hAnsi="Arial"/>
          <w:sz w:val="19"/>
          <w:szCs w:val="19"/>
          <w:b w:val="1"/>
          <w:bCs w:val="1"/>
          <w:color w:val="auto"/>
        </w:rPr>
      </w:pPr>
    </w:p>
    <w:p>
      <w:pPr>
        <w:jc w:val="both"/>
        <w:ind w:firstLine="1505"/>
        <w:spacing w:after="0" w:line="248" w:lineRule="auto"/>
        <w:tabs>
          <w:tab w:leader="none" w:pos="1956" w:val="left"/>
        </w:tabs>
        <w:numPr>
          <w:ilvl w:val="0"/>
          <w:numId w:val="100"/>
        </w:numPr>
        <w:rPr>
          <w:rFonts w:ascii="Arial" w:cs="Arial" w:eastAsia="Arial" w:hAnsi="Arial"/>
          <w:sz w:val="21"/>
          <w:szCs w:val="21"/>
          <w:b w:val="1"/>
          <w:bCs w:val="1"/>
          <w:color w:val="auto"/>
        </w:rPr>
      </w:pPr>
      <w:r>
        <w:rPr>
          <w:rFonts w:ascii="Arial" w:cs="Arial" w:eastAsia="Arial" w:hAnsi="Arial"/>
          <w:sz w:val="21"/>
          <w:szCs w:val="21"/>
          <w:color w:val="auto"/>
        </w:rPr>
        <w:t>In connection with Kaken’s use of any Kaken Product Mark or Kaken Housemark, subject to Section 9.6(d), Kaken shall not, and shall cause its Affiliates and their respective Sublicensees to not: (i) make any use of trademarks that are confusingly similar to any trademarks or housemarks of Spruce or its Affiliates (including the corporate name of Spruce or any of its Affiliates), without the prior written consent of Spruce; or (ii) use any trademarks, other than the Kaken Product Marks and the Kaken Housemarks, in connection with the Commercialization of Licensed Products in the Field in the Kaken Territory, without the prior written consent of Spruce.</w:t>
      </w:r>
    </w:p>
    <w:p>
      <w:pPr>
        <w:spacing w:after="0" w:line="176" w:lineRule="exact"/>
        <w:rPr>
          <w:rFonts w:ascii="Arial" w:cs="Arial" w:eastAsia="Arial" w:hAnsi="Arial"/>
          <w:sz w:val="21"/>
          <w:szCs w:val="21"/>
          <w:b w:val="1"/>
          <w:bCs w:val="1"/>
          <w:color w:val="auto"/>
        </w:rPr>
      </w:pPr>
    </w:p>
    <w:p>
      <w:pPr>
        <w:jc w:val="both"/>
        <w:ind w:firstLine="1505"/>
        <w:spacing w:after="0" w:line="234" w:lineRule="auto"/>
        <w:tabs>
          <w:tab w:leader="none" w:pos="1929" w:val="left"/>
        </w:tabs>
        <w:numPr>
          <w:ilvl w:val="0"/>
          <w:numId w:val="100"/>
        </w:numPr>
        <w:rPr>
          <w:rFonts w:ascii="Arial" w:cs="Arial" w:eastAsia="Arial" w:hAnsi="Arial"/>
          <w:sz w:val="22"/>
          <w:szCs w:val="22"/>
          <w:b w:val="1"/>
          <w:bCs w:val="1"/>
          <w:color w:val="auto"/>
        </w:rPr>
      </w:pPr>
      <w:r>
        <w:rPr>
          <w:rFonts w:ascii="Arial" w:cs="Arial" w:eastAsia="Arial" w:hAnsi="Arial"/>
          <w:sz w:val="22"/>
          <w:szCs w:val="22"/>
          <w:color w:val="auto"/>
        </w:rPr>
        <w:t>Notwithstanding anything to the contrary, to the extent required by applicable Laws, (i) Kaken may include Spruce’s name and corporate logo on the Licensed Product label, packaging, promotional/marketing materials to indicate that the Licensed Product is in-licensed from Spruce, and shall use Commercially Reasonable Efforts to display Spruce’s name and corporate logo with equal prominence and comparable size, resolution, print quality, and location as Kaken’s name and corporate logo is displayed, and (ii) Spruce hereby grants to Kaken a non-exclusive, fully paid-up, royalty free, sublicensable license to use Spruce’s name and corporate logo for the Commercialization of the Licensed Product in the Kaken Territory, to the extent consistent with the foregoing.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22"/>
          <w:szCs w:val="22"/>
          <w:b w:val="1"/>
          <w:bCs w:val="1"/>
          <w:color w:val="auto"/>
        </w:rPr>
        <w:t>ARTICLE 10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COVENANTS</w:t>
      </w:r>
    </w:p>
    <w:p>
      <w:pPr>
        <w:spacing w:after="0" w:line="182" w:lineRule="exact"/>
        <w:rPr>
          <w:sz w:val="20"/>
          <w:szCs w:val="20"/>
          <w:color w:val="auto"/>
        </w:rPr>
      </w:pPr>
    </w:p>
    <w:p>
      <w:pPr>
        <w:ind w:left="760"/>
        <w:spacing w:after="0"/>
        <w:tabs>
          <w:tab w:leader="none" w:pos="5300" w:val="left"/>
        </w:tabs>
        <w:rPr>
          <w:sz w:val="20"/>
          <w:szCs w:val="20"/>
          <w:color w:val="auto"/>
        </w:rPr>
      </w:pPr>
      <w:r>
        <w:rPr>
          <w:rFonts w:ascii="Arial" w:cs="Arial" w:eastAsia="Arial" w:hAnsi="Arial"/>
          <w:sz w:val="22"/>
          <w:szCs w:val="22"/>
          <w:b w:val="1"/>
          <w:bCs w:val="1"/>
          <w:color w:val="auto"/>
        </w:rPr>
        <w:t xml:space="preserve">10.1 Mutual Representations and Warranties </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Each Party hereby represents and warrants to the other Party, as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82" w:lineRule="exact"/>
        <w:rPr>
          <w:sz w:val="20"/>
          <w:szCs w:val="20"/>
          <w:color w:val="auto"/>
        </w:rPr>
      </w:pPr>
    </w:p>
    <w:p>
      <w:pPr>
        <w:ind w:right="20" w:firstLine="1505"/>
        <w:spacing w:after="0" w:line="256" w:lineRule="auto"/>
        <w:tabs>
          <w:tab w:leader="none" w:pos="1929"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color w:val="auto"/>
        </w:rPr>
        <w:t>Corporate Existence</w:t>
      </w:r>
      <w:r>
        <w:rPr>
          <w:rFonts w:ascii="Arial" w:cs="Arial" w:eastAsia="Arial" w:hAnsi="Arial"/>
          <w:sz w:val="22"/>
          <w:szCs w:val="22"/>
          <w:color w:val="auto"/>
        </w:rPr>
        <w:t>. As of the Effective Date, it is a company or corporation duly organized, validly</w:t>
      </w:r>
      <w:r>
        <w:rPr>
          <w:rFonts w:ascii="Arial" w:cs="Arial" w:eastAsia="Arial" w:hAnsi="Arial"/>
          <w:sz w:val="22"/>
          <w:szCs w:val="22"/>
          <w:b w:val="1"/>
          <w:bCs w:val="1"/>
          <w:color w:val="auto"/>
        </w:rPr>
        <w:t xml:space="preserve"> </w:t>
      </w:r>
      <w:r>
        <w:rPr>
          <w:rFonts w:ascii="Arial" w:cs="Arial" w:eastAsia="Arial" w:hAnsi="Arial"/>
          <w:sz w:val="22"/>
          <w:szCs w:val="22"/>
          <w:color w:val="auto"/>
        </w:rPr>
        <w:t>existing, and in good standing under the Laws of the jurisdiction in which it is incorporated;</w:t>
      </w:r>
    </w:p>
    <w:p>
      <w:pPr>
        <w:spacing w:after="0" w:line="162" w:lineRule="exact"/>
        <w:rPr>
          <w:rFonts w:ascii="Arial" w:cs="Arial" w:eastAsia="Arial" w:hAnsi="Arial"/>
          <w:sz w:val="22"/>
          <w:szCs w:val="22"/>
          <w:b w:val="1"/>
          <w:bCs w:val="1"/>
          <w:color w:val="auto"/>
        </w:rPr>
      </w:pPr>
    </w:p>
    <w:p>
      <w:pPr>
        <w:jc w:val="both"/>
        <w:ind w:firstLine="1505"/>
        <w:spacing w:after="0" w:line="280" w:lineRule="auto"/>
        <w:tabs>
          <w:tab w:leader="none" w:pos="1929" w:val="left"/>
        </w:tabs>
        <w:numPr>
          <w:ilvl w:val="0"/>
          <w:numId w:val="101"/>
        </w:numPr>
        <w:rPr>
          <w:rFonts w:ascii="Arial" w:cs="Arial" w:eastAsia="Arial" w:hAnsi="Arial"/>
          <w:sz w:val="19"/>
          <w:szCs w:val="19"/>
          <w:b w:val="1"/>
          <w:bCs w:val="1"/>
          <w:color w:val="auto"/>
        </w:rPr>
      </w:pPr>
      <w:r>
        <w:rPr>
          <w:rFonts w:ascii="Arial" w:cs="Arial" w:eastAsia="Arial" w:hAnsi="Arial"/>
          <w:sz w:val="19"/>
          <w:szCs w:val="19"/>
          <w:b w:val="1"/>
          <w:bCs w:val="1"/>
          <w:color w:val="auto"/>
        </w:rPr>
        <w:t>Corporate Power, Authority and Binding Agreement</w:t>
      </w:r>
      <w:r>
        <w:rPr>
          <w:rFonts w:ascii="Arial" w:cs="Arial" w:eastAsia="Arial" w:hAnsi="Arial"/>
          <w:sz w:val="19"/>
          <w:szCs w:val="19"/>
          <w:color w:val="auto"/>
        </w:rPr>
        <w:t>. As of the Effective Date, (i) it has the corporate</w:t>
      </w:r>
      <w:r>
        <w:rPr>
          <w:rFonts w:ascii="Arial" w:cs="Arial" w:eastAsia="Arial" w:hAnsi="Arial"/>
          <w:sz w:val="19"/>
          <w:szCs w:val="19"/>
          <w:b w:val="1"/>
          <w:bCs w:val="1"/>
          <w:color w:val="auto"/>
        </w:rPr>
        <w:t xml:space="preserve"> </w:t>
      </w:r>
      <w:r>
        <w:rPr>
          <w:rFonts w:ascii="Arial" w:cs="Arial" w:eastAsia="Arial" w:hAnsi="Arial"/>
          <w:sz w:val="19"/>
          <w:szCs w:val="19"/>
          <w:color w:val="auto"/>
        </w:rPr>
        <w:t>power and authority and the legal right to enter into this Agreement and perform its obligations hereunder; (ii) it has taken all necessary corporate action on its part required to authorize the execution and delivery of this Agreement and the performance of its obligations hereunder; and (iii) this Agreement has been duly executed and delivered on behalf of such Party, and constitutes a legal, valid, and binding obligation of such Party that is enforceable against it in accordance with its terms, subject to applicable bankruptcy, insolvency, reorganization, moratorium and similar Laws affecting creditors’ rights and remedies generally;</w:t>
      </w:r>
    </w:p>
    <w:p>
      <w:pPr>
        <w:spacing w:after="0" w:line="144" w:lineRule="exact"/>
        <w:rPr>
          <w:rFonts w:ascii="Arial" w:cs="Arial" w:eastAsia="Arial" w:hAnsi="Arial"/>
          <w:sz w:val="19"/>
          <w:szCs w:val="19"/>
          <w:b w:val="1"/>
          <w:bCs w:val="1"/>
          <w:color w:val="auto"/>
        </w:rPr>
      </w:pPr>
    </w:p>
    <w:p>
      <w:pPr>
        <w:jc w:val="both"/>
        <w:ind w:firstLine="1505"/>
        <w:spacing w:after="0" w:line="249" w:lineRule="auto"/>
        <w:tabs>
          <w:tab w:leader="none" w:pos="1929" w:val="left"/>
        </w:tabs>
        <w:numPr>
          <w:ilvl w:val="0"/>
          <w:numId w:val="101"/>
        </w:numPr>
        <w:rPr>
          <w:rFonts w:ascii="Arial" w:cs="Arial" w:eastAsia="Arial" w:hAnsi="Arial"/>
          <w:sz w:val="21"/>
          <w:szCs w:val="21"/>
          <w:b w:val="1"/>
          <w:bCs w:val="1"/>
          <w:color w:val="auto"/>
        </w:rPr>
      </w:pPr>
      <w:r>
        <w:rPr>
          <w:rFonts w:ascii="Arial" w:cs="Arial" w:eastAsia="Arial" w:hAnsi="Arial"/>
          <w:sz w:val="21"/>
          <w:szCs w:val="21"/>
          <w:b w:val="1"/>
          <w:bCs w:val="1"/>
          <w:color w:val="auto"/>
        </w:rPr>
        <w:t>No Conflict</w:t>
      </w:r>
      <w:r>
        <w:rPr>
          <w:rFonts w:ascii="Arial" w:cs="Arial" w:eastAsia="Arial" w:hAnsi="Arial"/>
          <w:sz w:val="21"/>
          <w:szCs w:val="21"/>
          <w:color w:val="auto"/>
        </w:rPr>
        <w:t>. The execution and delivery of this Agreement, the performance of such Party’s obligations in</w:t>
      </w:r>
      <w:r>
        <w:rPr>
          <w:rFonts w:ascii="Arial" w:cs="Arial" w:eastAsia="Arial" w:hAnsi="Arial"/>
          <w:sz w:val="21"/>
          <w:szCs w:val="21"/>
          <w:b w:val="1"/>
          <w:bCs w:val="1"/>
          <w:color w:val="auto"/>
        </w:rPr>
        <w:t xml:space="preserve"> </w:t>
      </w:r>
      <w:r>
        <w:rPr>
          <w:rFonts w:ascii="Arial" w:cs="Arial" w:eastAsia="Arial" w:hAnsi="Arial"/>
          <w:sz w:val="21"/>
          <w:szCs w:val="21"/>
          <w:color w:val="auto"/>
        </w:rPr>
        <w:t>the conduct of the Territory Development Plan and the license to be granted pursuant to this Agreement (i) do not and will not conflict with or violate any requirement of applicable Law existing as of the Effective Date; (ii) do not and will not conflict with or violate the certificate of incorporation or by-laws (or other constating documents) of such Party; and (iii) do not and will not conflict with, violate, breach or constitute a material default under any contractual obligations of such Party or any of its Affiliates existing as of the Effective Date;</w:t>
      </w:r>
    </w:p>
    <w:p>
      <w:pPr>
        <w:spacing w:after="0" w:line="170" w:lineRule="exact"/>
        <w:rPr>
          <w:rFonts w:ascii="Arial" w:cs="Arial" w:eastAsia="Arial" w:hAnsi="Arial"/>
          <w:sz w:val="21"/>
          <w:szCs w:val="21"/>
          <w:b w:val="1"/>
          <w:bCs w:val="1"/>
          <w:color w:val="auto"/>
        </w:rPr>
      </w:pPr>
    </w:p>
    <w:p>
      <w:pPr>
        <w:jc w:val="both"/>
        <w:ind w:firstLine="1505"/>
        <w:spacing w:after="0" w:line="243" w:lineRule="auto"/>
        <w:tabs>
          <w:tab w:leader="none" w:pos="1929"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Violation </w:t>
      </w:r>
      <w:r>
        <w:rPr>
          <w:rFonts w:ascii="Arial" w:cs="Arial" w:eastAsia="Arial" w:hAnsi="Arial"/>
          <w:sz w:val="22"/>
          <w:szCs w:val="22"/>
          <w:color w:val="auto"/>
        </w:rPr>
        <w:t>. Neither such Party nor any of its Affiliates is under any obligation to any Person,</w:t>
      </w:r>
      <w:r>
        <w:rPr>
          <w:rFonts w:ascii="Arial" w:cs="Arial" w:eastAsia="Arial" w:hAnsi="Arial"/>
          <w:sz w:val="22"/>
          <w:szCs w:val="22"/>
          <w:b w:val="1"/>
          <w:bCs w:val="1"/>
          <w:color w:val="auto"/>
        </w:rPr>
        <w:t xml:space="preserve"> </w:t>
      </w:r>
      <w:r>
        <w:rPr>
          <w:rFonts w:ascii="Arial" w:cs="Arial" w:eastAsia="Arial" w:hAnsi="Arial"/>
          <w:sz w:val="22"/>
          <w:szCs w:val="22"/>
          <w:color w:val="auto"/>
        </w:rPr>
        <w:t>contractual or otherwise, that is in violation of the terms of this Agreement or that would impede the fulfillment of such Party’s obligations hereunder;</w:t>
      </w:r>
    </w:p>
    <w:p>
      <w:pPr>
        <w:spacing w:after="0" w:line="176" w:lineRule="exact"/>
        <w:rPr>
          <w:rFonts w:ascii="Arial" w:cs="Arial" w:eastAsia="Arial" w:hAnsi="Arial"/>
          <w:sz w:val="22"/>
          <w:szCs w:val="22"/>
          <w:b w:val="1"/>
          <w:bCs w:val="1"/>
          <w:color w:val="auto"/>
        </w:rPr>
      </w:pPr>
    </w:p>
    <w:p>
      <w:pPr>
        <w:ind w:firstLine="1505"/>
        <w:spacing w:after="0" w:line="256" w:lineRule="auto"/>
        <w:tabs>
          <w:tab w:leader="none" w:pos="1929"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color w:val="auto"/>
        </w:rPr>
        <w:t>No Debarment</w:t>
      </w:r>
      <w:r>
        <w:rPr>
          <w:rFonts w:ascii="Arial" w:cs="Arial" w:eastAsia="Arial" w:hAnsi="Arial"/>
          <w:sz w:val="22"/>
          <w:szCs w:val="22"/>
          <w:color w:val="auto"/>
        </w:rPr>
        <w:t>. Neither such Party nor any of its Affiliates is debarred or disqualified under the Act or</w:t>
      </w:r>
      <w:r>
        <w:rPr>
          <w:rFonts w:ascii="Arial" w:cs="Arial" w:eastAsia="Arial" w:hAnsi="Arial"/>
          <w:sz w:val="22"/>
          <w:szCs w:val="22"/>
          <w:b w:val="1"/>
          <w:bCs w:val="1"/>
          <w:color w:val="auto"/>
        </w:rPr>
        <w:t xml:space="preserve"> </w:t>
      </w:r>
      <w:r>
        <w:rPr>
          <w:rFonts w:ascii="Arial" w:cs="Arial" w:eastAsia="Arial" w:hAnsi="Arial"/>
          <w:sz w:val="22"/>
          <w:szCs w:val="22"/>
          <w:color w:val="auto"/>
        </w:rPr>
        <w:t>comparable applicable Laws outside the U.S.; and</w:t>
      </w:r>
    </w:p>
    <w:p>
      <w:pPr>
        <w:spacing w:after="0" w:line="162" w:lineRule="exact"/>
        <w:rPr>
          <w:rFonts w:ascii="Arial" w:cs="Arial" w:eastAsia="Arial" w:hAnsi="Arial"/>
          <w:sz w:val="22"/>
          <w:szCs w:val="22"/>
          <w:b w:val="1"/>
          <w:bCs w:val="1"/>
          <w:color w:val="auto"/>
        </w:rPr>
      </w:pPr>
    </w:p>
    <w:p>
      <w:pPr>
        <w:jc w:val="both"/>
        <w:ind w:firstLine="1505"/>
        <w:spacing w:after="0" w:line="239" w:lineRule="auto"/>
        <w:tabs>
          <w:tab w:leader="none" w:pos="1929"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color w:val="auto"/>
        </w:rPr>
        <w:t>No Consents</w:t>
      </w:r>
      <w:r>
        <w:rPr>
          <w:rFonts w:ascii="Arial" w:cs="Arial" w:eastAsia="Arial" w:hAnsi="Arial"/>
          <w:sz w:val="22"/>
          <w:szCs w:val="22"/>
          <w:color w:val="auto"/>
        </w:rPr>
        <w:t>. No authorization, consent, approval of a Third Party, nor to such Party’s knowledge, any</w:t>
      </w:r>
      <w:r>
        <w:rPr>
          <w:rFonts w:ascii="Arial" w:cs="Arial" w:eastAsia="Arial" w:hAnsi="Arial"/>
          <w:sz w:val="22"/>
          <w:szCs w:val="22"/>
          <w:b w:val="1"/>
          <w:bCs w:val="1"/>
          <w:color w:val="auto"/>
        </w:rPr>
        <w:t xml:space="preserve"> </w:t>
      </w:r>
      <w:r>
        <w:rPr>
          <w:rFonts w:ascii="Arial" w:cs="Arial" w:eastAsia="Arial" w:hAnsi="Arial"/>
          <w:sz w:val="22"/>
          <w:szCs w:val="22"/>
          <w:color w:val="auto"/>
        </w:rPr>
        <w:t>license, permit, exemption of or filing or registration with or notification to any court or Governmental Authority is or will be necessary for the (i) valid execution and delivery of this Agreement by such Party; or (ii) the consummation by such Party of the transactions contemplated hereby.</w:t>
      </w:r>
    </w:p>
    <w:p>
      <w:pPr>
        <w:spacing w:after="0" w:line="180" w:lineRule="exact"/>
        <w:rPr>
          <w:sz w:val="20"/>
          <w:szCs w:val="20"/>
          <w:color w:val="auto"/>
        </w:rPr>
      </w:pPr>
    </w:p>
    <w:p>
      <w:pPr>
        <w:ind w:left="760"/>
        <w:spacing w:after="0"/>
        <w:tabs>
          <w:tab w:leader="none" w:pos="6560" w:val="left"/>
        </w:tabs>
        <w:rPr>
          <w:sz w:val="20"/>
          <w:szCs w:val="20"/>
          <w:color w:val="auto"/>
        </w:rPr>
      </w:pPr>
      <w:r>
        <w:rPr>
          <w:rFonts w:ascii="Arial" w:cs="Arial" w:eastAsia="Arial" w:hAnsi="Arial"/>
          <w:sz w:val="22"/>
          <w:szCs w:val="22"/>
          <w:b w:val="1"/>
          <w:bCs w:val="1"/>
          <w:color w:val="auto"/>
        </w:rPr>
        <w:t xml:space="preserve">10.2 Additional Representations and Warranties of Spruce </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Spruce represents and warrants to Kaken, as of the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Effective Date, as follows:</w:t>
      </w:r>
    </w:p>
    <w:p>
      <w:pPr>
        <w:spacing w:after="0" w:line="182" w:lineRule="exact"/>
        <w:rPr>
          <w:sz w:val="20"/>
          <w:szCs w:val="20"/>
          <w:color w:val="auto"/>
        </w:rPr>
      </w:pPr>
    </w:p>
    <w:p>
      <w:pPr>
        <w:jc w:val="both"/>
        <w:ind w:firstLine="1505"/>
        <w:spacing w:after="0" w:line="289" w:lineRule="auto"/>
        <w:tabs>
          <w:tab w:leader="none" w:pos="1929" w:val="left"/>
        </w:tabs>
        <w:numPr>
          <w:ilvl w:val="0"/>
          <w:numId w:val="10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Encumbrances </w:t>
      </w:r>
      <w:r>
        <w:rPr>
          <w:rFonts w:ascii="Arial" w:cs="Arial" w:eastAsia="Arial" w:hAnsi="Arial"/>
          <w:sz w:val="19"/>
          <w:szCs w:val="19"/>
          <w:color w:val="auto"/>
        </w:rPr>
        <w:t>. (i) It solely owns the Spruce Licensed Patents or otherwise has sufficient legal</w:t>
      </w:r>
      <w:r>
        <w:rPr>
          <w:rFonts w:ascii="Arial" w:cs="Arial" w:eastAsia="Arial" w:hAnsi="Arial"/>
          <w:sz w:val="19"/>
          <w:szCs w:val="19"/>
          <w:b w:val="1"/>
          <w:bCs w:val="1"/>
          <w:color w:val="auto"/>
        </w:rPr>
        <w:t xml:space="preserve"> </w:t>
      </w:r>
      <w:r>
        <w:rPr>
          <w:rFonts w:ascii="Arial" w:cs="Arial" w:eastAsia="Arial" w:hAnsi="Arial"/>
          <w:sz w:val="19"/>
          <w:szCs w:val="19"/>
          <w:color w:val="auto"/>
        </w:rPr>
        <w:t>and/or beneficial title or ownership or license with respect to the Spruce Technology, as necessary to grant the licenses to Kaken as purported to be granted pursuant to this Agreement, free and clear from any mortgages, pledges, liens, security interests, conditional and installment sale agreement, encumbrances, charges or claim of any kind, (ii) the Spruce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6" w:name="page197"/>
    <w:bookmarkEnd w:id="196"/>
    <w:p>
      <w:pPr>
        <w:jc w:val="both"/>
        <w:spacing w:after="0" w:line="270" w:lineRule="auto"/>
        <w:rPr>
          <w:sz w:val="20"/>
          <w:szCs w:val="20"/>
          <w:color w:val="auto"/>
        </w:rPr>
      </w:pPr>
      <w:r>
        <w:rPr>
          <w:rFonts w:ascii="Arial" w:cs="Arial" w:eastAsia="Arial" w:hAnsi="Arial"/>
          <w:sz w:val="19"/>
          <w:szCs w:val="19"/>
          <w:color w:val="auto"/>
        </w:rPr>
        <w:t>Product-Specific Licensed Patents are valid, subsisting and enforceable (or will be enforceable upon issuance) and have not in any respect lapsed or expired, been cancelled, held unpatentable, held unenforceable or held invalidated, or become abandoned and no circumstance and to Spruce’s knowledge no grounds exist that would lead to any Spruce Product-Specific Licensed Patents being held unpatentable, unenforceable or invalid or reduce or restrict the ownership or use of such Spruce Product-Specific Licensed Patents that in any way would adversely affect the rights granted to Kaken pursuant to this Agreement and (iii)</w:t>
      </w:r>
    </w:p>
    <w:p>
      <w:pPr>
        <w:spacing w:after="0" w:line="4" w:lineRule="exact"/>
        <w:rPr>
          <w:sz w:val="20"/>
          <w:szCs w:val="20"/>
          <w:color w:val="auto"/>
        </w:rPr>
      </w:pPr>
    </w:p>
    <w:p>
      <w:pPr>
        <w:jc w:val="both"/>
        <w:ind w:firstLine="8"/>
        <w:spacing w:after="0" w:line="280" w:lineRule="auto"/>
        <w:tabs>
          <w:tab w:leader="none" w:pos="559" w:val="left"/>
        </w:tabs>
        <w:numPr>
          <w:ilvl w:val="0"/>
          <w:numId w:val="103"/>
        </w:numPr>
        <w:rPr>
          <w:rFonts w:ascii="Arial" w:cs="Arial" w:eastAsia="Arial" w:hAnsi="Arial"/>
          <w:sz w:val="19"/>
          <w:szCs w:val="19"/>
          <w:color w:val="auto"/>
        </w:rPr>
      </w:pPr>
      <w:r>
        <w:rPr>
          <w:rFonts w:ascii="Arial" w:cs="Arial" w:eastAsia="Arial" w:hAnsi="Arial"/>
          <w:sz w:val="19"/>
          <w:szCs w:val="19"/>
          <w:color w:val="auto"/>
        </w:rPr>
        <w:t>Spruce has not received any written notice challenging the ownership of any Spruce Licensed Technology (including inventorship of the Spruce Product-Specific Licensed Patents) and, to Spruce’s knowledge, no Third Party has taken any legal or other action including proceedings before the United States Patent and Trademark Office, or any counterpart thereof outside the U.S., claiming legal and/or beneficial title or ownership or license of any Spruce Technology;</w:t>
      </w:r>
    </w:p>
    <w:p>
      <w:pPr>
        <w:spacing w:after="0" w:line="144" w:lineRule="exact"/>
        <w:rPr>
          <w:rFonts w:ascii="Arial" w:cs="Arial" w:eastAsia="Arial" w:hAnsi="Arial"/>
          <w:sz w:val="19"/>
          <w:szCs w:val="19"/>
          <w:color w:val="auto"/>
        </w:rPr>
      </w:pPr>
    </w:p>
    <w:p>
      <w:pPr>
        <w:jc w:val="both"/>
        <w:ind w:firstLine="1505"/>
        <w:spacing w:after="0" w:line="280" w:lineRule="auto"/>
        <w:tabs>
          <w:tab w:leader="none" w:pos="1929" w:val="left"/>
        </w:tabs>
        <w:numPr>
          <w:ilvl w:val="1"/>
          <w:numId w:val="103"/>
        </w:numPr>
        <w:rPr>
          <w:rFonts w:ascii="Arial" w:cs="Arial" w:eastAsia="Arial" w:hAnsi="Arial"/>
          <w:sz w:val="19"/>
          <w:szCs w:val="19"/>
          <w:b w:val="1"/>
          <w:bCs w:val="1"/>
          <w:color w:val="auto"/>
        </w:rPr>
      </w:pPr>
      <w:r>
        <w:rPr>
          <w:rFonts w:ascii="Arial" w:cs="Arial" w:eastAsia="Arial" w:hAnsi="Arial"/>
          <w:sz w:val="19"/>
          <w:szCs w:val="19"/>
          <w:b w:val="1"/>
          <w:bCs w:val="1"/>
          <w:color w:val="auto"/>
        </w:rPr>
        <w:t>Notice of Infringement or Misappropriation</w:t>
      </w:r>
      <w:r>
        <w:rPr>
          <w:rFonts w:ascii="Arial" w:cs="Arial" w:eastAsia="Arial" w:hAnsi="Arial"/>
          <w:sz w:val="19"/>
          <w:szCs w:val="19"/>
          <w:color w:val="auto"/>
        </w:rPr>
        <w:t>. It has not received any written notice from any Third Party</w:t>
      </w:r>
      <w:r>
        <w:rPr>
          <w:rFonts w:ascii="Arial" w:cs="Arial" w:eastAsia="Arial" w:hAnsi="Arial"/>
          <w:sz w:val="19"/>
          <w:szCs w:val="19"/>
          <w:b w:val="1"/>
          <w:bCs w:val="1"/>
          <w:color w:val="auto"/>
        </w:rPr>
        <w:t xml:space="preserve"> </w:t>
      </w:r>
      <w:r>
        <w:rPr>
          <w:rFonts w:ascii="Arial" w:cs="Arial" w:eastAsia="Arial" w:hAnsi="Arial"/>
          <w:sz w:val="19"/>
          <w:szCs w:val="19"/>
          <w:color w:val="auto"/>
        </w:rPr>
        <w:t>asserting or alleging that (i) any research, development, manufacture, or commercialization of a Licensed Product or Licensed Compound by Spruce prior to the Effective Date infringed or misappropriated the intellectual property rights of such Third Party, or (ii) the Development or Commercialization of the Licensed Products or Licensed Compound in the Kaken Territory or Manufacture of Licensed Products or Licensed Compound anywhere for Development and Commercialization in the Kaken Territory would infringe or misappropriate the intellectual property rights of such Third Party;</w:t>
      </w:r>
    </w:p>
    <w:p>
      <w:pPr>
        <w:spacing w:after="0" w:line="144" w:lineRule="exact"/>
        <w:rPr>
          <w:rFonts w:ascii="Arial" w:cs="Arial" w:eastAsia="Arial" w:hAnsi="Arial"/>
          <w:sz w:val="19"/>
          <w:szCs w:val="19"/>
          <w:b w:val="1"/>
          <w:bCs w:val="1"/>
          <w:color w:val="auto"/>
        </w:rPr>
      </w:pPr>
    </w:p>
    <w:p>
      <w:pPr>
        <w:ind w:firstLine="1505"/>
        <w:spacing w:after="0" w:line="256" w:lineRule="auto"/>
        <w:tabs>
          <w:tab w:leader="none" w:pos="1929" w:val="left"/>
        </w:tabs>
        <w:numPr>
          <w:ilvl w:val="1"/>
          <w:numId w:val="103"/>
        </w:numPr>
        <w:rPr>
          <w:rFonts w:ascii="Arial" w:cs="Arial" w:eastAsia="Arial" w:hAnsi="Arial"/>
          <w:sz w:val="22"/>
          <w:szCs w:val="22"/>
          <w:b w:val="1"/>
          <w:bCs w:val="1"/>
          <w:color w:val="auto"/>
        </w:rPr>
      </w:pPr>
      <w:r>
        <w:rPr>
          <w:rFonts w:ascii="Arial" w:cs="Arial" w:eastAsia="Arial" w:hAnsi="Arial"/>
          <w:sz w:val="22"/>
          <w:szCs w:val="22"/>
          <w:b w:val="1"/>
          <w:bCs w:val="1"/>
          <w:color w:val="auto"/>
        </w:rPr>
        <w:t>Non-Infringement of Rights by Third Parties</w:t>
      </w:r>
      <w:r>
        <w:rPr>
          <w:rFonts w:ascii="Arial" w:cs="Arial" w:eastAsia="Arial" w:hAnsi="Arial"/>
          <w:sz w:val="22"/>
          <w:szCs w:val="22"/>
          <w:color w:val="auto"/>
        </w:rPr>
        <w:t>. To Spruce’s knowledge, no Third Party is infringing or</w:t>
      </w:r>
      <w:r>
        <w:rPr>
          <w:rFonts w:ascii="Arial" w:cs="Arial" w:eastAsia="Arial" w:hAnsi="Arial"/>
          <w:sz w:val="22"/>
          <w:szCs w:val="22"/>
          <w:b w:val="1"/>
          <w:bCs w:val="1"/>
          <w:color w:val="auto"/>
        </w:rPr>
        <w:t xml:space="preserve"> </w:t>
      </w:r>
      <w:r>
        <w:rPr>
          <w:rFonts w:ascii="Arial" w:cs="Arial" w:eastAsia="Arial" w:hAnsi="Arial"/>
          <w:sz w:val="22"/>
          <w:szCs w:val="22"/>
          <w:color w:val="auto"/>
        </w:rPr>
        <w:t>has infringed the Spruce Technology as of the Effective Date;</w:t>
      </w:r>
    </w:p>
    <w:p>
      <w:pPr>
        <w:spacing w:after="0" w:line="162" w:lineRule="exact"/>
        <w:rPr>
          <w:rFonts w:ascii="Arial" w:cs="Arial" w:eastAsia="Arial" w:hAnsi="Arial"/>
          <w:sz w:val="22"/>
          <w:szCs w:val="22"/>
          <w:b w:val="1"/>
          <w:bCs w:val="1"/>
          <w:color w:val="auto"/>
        </w:rPr>
      </w:pPr>
    </w:p>
    <w:p>
      <w:pPr>
        <w:jc w:val="both"/>
        <w:ind w:firstLine="1505"/>
        <w:spacing w:after="0" w:line="243" w:lineRule="auto"/>
        <w:tabs>
          <w:tab w:leader="none" w:pos="1929" w:val="left"/>
        </w:tabs>
        <w:numPr>
          <w:ilvl w:val="1"/>
          <w:numId w:val="103"/>
        </w:numPr>
        <w:rPr>
          <w:rFonts w:ascii="Arial" w:cs="Arial" w:eastAsia="Arial" w:hAnsi="Arial"/>
          <w:sz w:val="22"/>
          <w:szCs w:val="22"/>
          <w:b w:val="1"/>
          <w:bCs w:val="1"/>
          <w:color w:val="auto"/>
        </w:rPr>
      </w:pPr>
      <w:r>
        <w:rPr>
          <w:rFonts w:ascii="Arial" w:cs="Arial" w:eastAsia="Arial" w:hAnsi="Arial"/>
          <w:sz w:val="22"/>
          <w:szCs w:val="22"/>
          <w:b w:val="1"/>
          <w:bCs w:val="1"/>
          <w:color w:val="auto"/>
        </w:rPr>
        <w:t>Non-Assertion by Third Parties</w:t>
      </w:r>
      <w:r>
        <w:rPr>
          <w:rFonts w:ascii="Arial" w:cs="Arial" w:eastAsia="Arial" w:hAnsi="Arial"/>
          <w:sz w:val="22"/>
          <w:szCs w:val="22"/>
          <w:color w:val="auto"/>
        </w:rPr>
        <w:t>. [***], (i) to Spruce’s knowledge, no Third Party has asserted in writing</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that the Upstream Patents are invalid or unenforceable and (ii) no Third Party has asserted in writing that any other issued patents within the Spruce Licensed Patents set forth in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xml:space="preserve"> are invalid or unenforceable;</w:t>
      </w:r>
    </w:p>
    <w:p>
      <w:pPr>
        <w:spacing w:after="0" w:line="176" w:lineRule="exact"/>
        <w:rPr>
          <w:rFonts w:ascii="Arial" w:cs="Arial" w:eastAsia="Arial" w:hAnsi="Arial"/>
          <w:sz w:val="22"/>
          <w:szCs w:val="22"/>
          <w:b w:val="1"/>
          <w:bCs w:val="1"/>
          <w:color w:val="auto"/>
        </w:rPr>
      </w:pPr>
    </w:p>
    <w:p>
      <w:pPr>
        <w:jc w:val="both"/>
        <w:ind w:firstLine="1505"/>
        <w:spacing w:after="0" w:line="243" w:lineRule="auto"/>
        <w:tabs>
          <w:tab w:leader="none" w:pos="1929" w:val="left"/>
        </w:tabs>
        <w:numPr>
          <w:ilvl w:val="1"/>
          <w:numId w:val="103"/>
        </w:numPr>
        <w:rPr>
          <w:rFonts w:ascii="Arial" w:cs="Arial" w:eastAsia="Arial" w:hAnsi="Arial"/>
          <w:sz w:val="22"/>
          <w:szCs w:val="22"/>
          <w:b w:val="1"/>
          <w:bCs w:val="1"/>
          <w:color w:val="auto"/>
        </w:rPr>
      </w:pPr>
      <w:r>
        <w:rPr>
          <w:rFonts w:ascii="Arial" w:cs="Arial" w:eastAsia="Arial" w:hAnsi="Arial"/>
          <w:sz w:val="22"/>
          <w:szCs w:val="22"/>
          <w:b w:val="1"/>
          <w:bCs w:val="1"/>
          <w:color w:val="auto"/>
        </w:rPr>
        <w:t>No Proceeding</w:t>
      </w:r>
      <w:r>
        <w:rPr>
          <w:rFonts w:ascii="Arial" w:cs="Arial" w:eastAsia="Arial" w:hAnsi="Arial"/>
          <w:sz w:val="22"/>
          <w:szCs w:val="22"/>
          <w:color w:val="auto"/>
        </w:rPr>
        <w:t>. [***], there is no pending, and to Spruce’s knowledge, no threatened, adverse action, suit</w:t>
      </w:r>
      <w:r>
        <w:rPr>
          <w:rFonts w:ascii="Arial" w:cs="Arial" w:eastAsia="Arial" w:hAnsi="Arial"/>
          <w:sz w:val="22"/>
          <w:szCs w:val="22"/>
          <w:b w:val="1"/>
          <w:bCs w:val="1"/>
          <w:color w:val="auto"/>
        </w:rPr>
        <w:t xml:space="preserve"> </w:t>
      </w:r>
      <w:r>
        <w:rPr>
          <w:rFonts w:ascii="Arial" w:cs="Arial" w:eastAsia="Arial" w:hAnsi="Arial"/>
          <w:sz w:val="22"/>
          <w:szCs w:val="22"/>
          <w:color w:val="auto"/>
        </w:rPr>
        <w:t>or proceeding against Spruce involving any Spruce Technology or the safety (including any product liability claim) of the Licensed Compound or a Licensed Product;</w:t>
      </w:r>
    </w:p>
    <w:p>
      <w:pPr>
        <w:spacing w:after="0" w:line="176" w:lineRule="exact"/>
        <w:rPr>
          <w:rFonts w:ascii="Arial" w:cs="Arial" w:eastAsia="Arial" w:hAnsi="Arial"/>
          <w:sz w:val="22"/>
          <w:szCs w:val="22"/>
          <w:b w:val="1"/>
          <w:bCs w:val="1"/>
          <w:color w:val="auto"/>
        </w:rPr>
      </w:pPr>
    </w:p>
    <w:p>
      <w:pPr>
        <w:jc w:val="both"/>
        <w:ind w:firstLine="1505"/>
        <w:spacing w:after="0" w:line="237" w:lineRule="auto"/>
        <w:tabs>
          <w:tab w:leader="none" w:pos="1929" w:val="left"/>
        </w:tabs>
        <w:numPr>
          <w:ilvl w:val="1"/>
          <w:numId w:val="10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Compliance with Laws </w:t>
      </w:r>
      <w:r>
        <w:rPr>
          <w:rFonts w:ascii="Arial" w:cs="Arial" w:eastAsia="Arial" w:hAnsi="Arial"/>
          <w:sz w:val="22"/>
          <w:szCs w:val="22"/>
          <w:color w:val="auto"/>
        </w:rPr>
        <w:t>. To Spruce’s knowledge, Spruce has complied with all applicable Laws in</w:t>
      </w:r>
      <w:r>
        <w:rPr>
          <w:rFonts w:ascii="Arial" w:cs="Arial" w:eastAsia="Arial" w:hAnsi="Arial"/>
          <w:sz w:val="22"/>
          <w:szCs w:val="22"/>
          <w:b w:val="1"/>
          <w:bCs w:val="1"/>
          <w:color w:val="auto"/>
        </w:rPr>
        <w:t xml:space="preserve"> </w:t>
      </w:r>
      <w:r>
        <w:rPr>
          <w:rFonts w:ascii="Arial" w:cs="Arial" w:eastAsia="Arial" w:hAnsi="Arial"/>
          <w:sz w:val="22"/>
          <w:szCs w:val="22"/>
          <w:color w:val="auto"/>
        </w:rPr>
        <w:t>connection with (i) the prosecution of the Spruce Product-Specific Licensed Patents, including the duty of candor owed to any patent office pursuant to such Laws and (ii) the Development, Commercialization and Manufacture of Licensed Compounds and Licensed Products and, Spruce’s Third Party suppliers have complied with all applicable Laws in connection with the Manufacture of the Licensed Products and Licensed Compound;</w:t>
      </w:r>
    </w:p>
    <w:p>
      <w:pPr>
        <w:spacing w:after="0" w:line="181" w:lineRule="exact"/>
        <w:rPr>
          <w:rFonts w:ascii="Arial" w:cs="Arial" w:eastAsia="Arial" w:hAnsi="Arial"/>
          <w:sz w:val="22"/>
          <w:szCs w:val="22"/>
          <w:b w:val="1"/>
          <w:bCs w:val="1"/>
          <w:color w:val="auto"/>
        </w:rPr>
      </w:pPr>
    </w:p>
    <w:p>
      <w:pPr>
        <w:jc w:val="both"/>
        <w:ind w:firstLine="1505"/>
        <w:spacing w:after="0" w:line="239" w:lineRule="auto"/>
        <w:tabs>
          <w:tab w:leader="none" w:pos="1929" w:val="left"/>
        </w:tabs>
        <w:numPr>
          <w:ilvl w:val="1"/>
          <w:numId w:val="103"/>
        </w:numPr>
        <w:rPr>
          <w:rFonts w:ascii="Arial" w:cs="Arial" w:eastAsia="Arial" w:hAnsi="Arial"/>
          <w:sz w:val="22"/>
          <w:szCs w:val="22"/>
          <w:b w:val="1"/>
          <w:bCs w:val="1"/>
          <w:color w:val="auto"/>
        </w:rPr>
      </w:pPr>
      <w:r>
        <w:rPr>
          <w:rFonts w:ascii="Arial" w:cs="Arial" w:eastAsia="Arial" w:hAnsi="Arial"/>
          <w:sz w:val="22"/>
          <w:szCs w:val="22"/>
          <w:b w:val="1"/>
          <w:bCs w:val="1"/>
          <w:color w:val="auto"/>
        </w:rPr>
        <w:t>No Conflicts</w:t>
      </w:r>
      <w:r>
        <w:rPr>
          <w:rFonts w:ascii="Arial" w:cs="Arial" w:eastAsia="Arial" w:hAnsi="Arial"/>
          <w:sz w:val="22"/>
          <w:szCs w:val="22"/>
          <w:color w:val="auto"/>
        </w:rPr>
        <w:t>. Spruce has not entered, and shall not enter, into any agreement with any Third Party that is</w:t>
      </w:r>
      <w:r>
        <w:rPr>
          <w:rFonts w:ascii="Arial" w:cs="Arial" w:eastAsia="Arial" w:hAnsi="Arial"/>
          <w:sz w:val="22"/>
          <w:szCs w:val="22"/>
          <w:b w:val="1"/>
          <w:bCs w:val="1"/>
          <w:color w:val="auto"/>
        </w:rPr>
        <w:t xml:space="preserve"> </w:t>
      </w:r>
      <w:r>
        <w:rPr>
          <w:rFonts w:ascii="Arial" w:cs="Arial" w:eastAsia="Arial" w:hAnsi="Arial"/>
          <w:sz w:val="22"/>
          <w:szCs w:val="22"/>
          <w:color w:val="auto"/>
        </w:rPr>
        <w:t>in conflict with the rights granted to Kaken under this Agreement, and has not taken and shall not take any action that would in any way prevent it from granting the rights granted to Kaken under this Agreement, or that would otherwise materially conflict with or adversely affect Kaken’s rights under this Agreement;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7" w:name="page198"/>
    <w:bookmarkEnd w:id="197"/>
    <w:p>
      <w:pPr>
        <w:jc w:val="both"/>
        <w:ind w:firstLine="1505"/>
        <w:spacing w:after="0" w:line="235" w:lineRule="auto"/>
        <w:tabs>
          <w:tab w:leader="none" w:pos="1929" w:val="left"/>
        </w:tabs>
        <w:numPr>
          <w:ilvl w:val="0"/>
          <w:numId w:val="10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Upstream Agreement </w:t>
      </w:r>
      <w:r>
        <w:rPr>
          <w:rFonts w:ascii="Arial" w:cs="Arial" w:eastAsia="Arial" w:hAnsi="Arial"/>
          <w:sz w:val="22"/>
          <w:szCs w:val="22"/>
          <w:color w:val="auto"/>
        </w:rPr>
        <w:t>. Spruce has provided Kaken with a true and complete copy of the Upstream</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The Upstream Agreement is a valid and binding obligation of the parties thereto, enforceable in accordance with its terms subject to applicable bankruptcy, insolvency, reorganization, moratorium and similar Laws affecting creditors’ rights and remedies generally and is in full force and effect, and neither Spruce nor, to Spruce’s knowledge, Lilly is in material breach thereof or default thereunder. Spruce has not received any written notice from Lilly asserting or threatening to assert, circumstances that could reasonably be expected to result in the cancellation, termination or invalidation of the Upstream Agreement (or any provision thereof).</w:t>
      </w:r>
    </w:p>
    <w:p>
      <w:pPr>
        <w:spacing w:after="0" w:line="183"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10.3 Additional Representations and Warranties of Kaken</w:t>
      </w:r>
      <w:r>
        <w:rPr>
          <w:rFonts w:ascii="Arial" w:cs="Arial" w:eastAsia="Arial" w:hAnsi="Arial"/>
          <w:sz w:val="22"/>
          <w:szCs w:val="22"/>
          <w:color w:val="auto"/>
        </w:rPr>
        <w:t>. Kaken represents and warrants to Spruce that, to Kaken’s</w:t>
      </w:r>
      <w:r>
        <w:rPr>
          <w:rFonts w:ascii="Arial" w:cs="Arial" w:eastAsia="Arial" w:hAnsi="Arial"/>
          <w:sz w:val="22"/>
          <w:szCs w:val="22"/>
          <w:b w:val="1"/>
          <w:bCs w:val="1"/>
          <w:color w:val="auto"/>
        </w:rPr>
        <w:t xml:space="preserve"> </w:t>
      </w:r>
      <w:r>
        <w:rPr>
          <w:rFonts w:ascii="Arial" w:cs="Arial" w:eastAsia="Arial" w:hAnsi="Arial"/>
          <w:sz w:val="22"/>
          <w:szCs w:val="22"/>
          <w:color w:val="auto"/>
        </w:rPr>
        <w:t>knowledge, after due diligence and inquiry, as of the Effective Date Kaken does not Control any Patent that is necessary to make, use, import, offer for sale or sell Licensed Products in the Field.</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10.4 Compliance with Laws</w:t>
      </w:r>
      <w:r>
        <w:rPr>
          <w:rFonts w:ascii="Arial" w:cs="Arial" w:eastAsia="Arial" w:hAnsi="Arial"/>
          <w:sz w:val="22"/>
          <w:szCs w:val="22"/>
          <w:color w:val="auto"/>
        </w:rPr>
        <w:t>.</w:t>
      </w:r>
    </w:p>
    <w:p>
      <w:pPr>
        <w:spacing w:after="0" w:line="212" w:lineRule="exact"/>
        <w:rPr>
          <w:sz w:val="20"/>
          <w:szCs w:val="20"/>
          <w:color w:val="auto"/>
        </w:rPr>
      </w:pPr>
    </w:p>
    <w:p>
      <w:pPr>
        <w:jc w:val="both"/>
        <w:ind w:firstLine="1505"/>
        <w:spacing w:after="0" w:line="249" w:lineRule="auto"/>
        <w:tabs>
          <w:tab w:leader="none" w:pos="1943" w:val="left"/>
        </w:tabs>
        <w:numPr>
          <w:ilvl w:val="0"/>
          <w:numId w:val="105"/>
        </w:numPr>
        <w:rPr>
          <w:rFonts w:ascii="Arial" w:cs="Arial" w:eastAsia="Arial" w:hAnsi="Arial"/>
          <w:sz w:val="21"/>
          <w:szCs w:val="21"/>
          <w:b w:val="1"/>
          <w:bCs w:val="1"/>
          <w:color w:val="auto"/>
        </w:rPr>
      </w:pPr>
      <w:r>
        <w:rPr>
          <w:rFonts w:ascii="Arial" w:cs="Arial" w:eastAsia="Arial" w:hAnsi="Arial"/>
          <w:sz w:val="21"/>
          <w:szCs w:val="21"/>
          <w:color w:val="auto"/>
        </w:rPr>
        <w:t>Each Party shall, and shall ensure that its Affiliates and their respective Sublicensees will, comply in all respects with Proper Conduct Practices, and all applicable Laws (including Export Control Laws) in the Development, Manufacturing, and Commercialization of Licensed Products and performance of its obligations under this Agreement, including the ICH, GCP, GLP and any Regulatory Authority and Governmental Authority health care programs having jurisdiction in such Party’s respective territory, each as may be amended from time to time.</w:t>
      </w:r>
    </w:p>
    <w:p>
      <w:pPr>
        <w:spacing w:after="0" w:line="178" w:lineRule="exact"/>
        <w:rPr>
          <w:rFonts w:ascii="Arial" w:cs="Arial" w:eastAsia="Arial" w:hAnsi="Arial"/>
          <w:sz w:val="21"/>
          <w:szCs w:val="21"/>
          <w:b w:val="1"/>
          <w:bCs w:val="1"/>
          <w:color w:val="auto"/>
        </w:rPr>
      </w:pPr>
    </w:p>
    <w:p>
      <w:pPr>
        <w:jc w:val="both"/>
        <w:ind w:firstLine="1505"/>
        <w:spacing w:after="0" w:line="235" w:lineRule="auto"/>
        <w:tabs>
          <w:tab w:leader="none" w:pos="1956" w:val="left"/>
        </w:tabs>
        <w:numPr>
          <w:ilvl w:val="0"/>
          <w:numId w:val="105"/>
        </w:numPr>
        <w:rPr>
          <w:rFonts w:ascii="Arial" w:cs="Arial" w:eastAsia="Arial" w:hAnsi="Arial"/>
          <w:sz w:val="22"/>
          <w:szCs w:val="22"/>
          <w:b w:val="1"/>
          <w:bCs w:val="1"/>
          <w:color w:val="auto"/>
        </w:rPr>
      </w:pPr>
      <w:r>
        <w:rPr>
          <w:rFonts w:ascii="Arial" w:cs="Arial" w:eastAsia="Arial" w:hAnsi="Arial"/>
          <w:sz w:val="22"/>
          <w:szCs w:val="22"/>
          <w:color w:val="auto"/>
        </w:rPr>
        <w:t>Each Party shall immediately (but in any event no later than [***]) notify the other Party if it has any information or suspicion that there may be a violation of any applicable Laws (including Anti-Corruption Laws or Export Control Laws) in connection with its performance under this Agreement or the Development or Commercialization of any Licensed Product hereunder. In the event that either Party has violated or been suspected of violating any of its obligations, representations, warranties or covenants in Section 10.4(a), such Party will take reasonable actions to remedy such breach and to prevent further such breaches from occurring.</w:t>
      </w:r>
    </w:p>
    <w:p>
      <w:pPr>
        <w:spacing w:after="0" w:line="187" w:lineRule="exact"/>
        <w:rPr>
          <w:rFonts w:ascii="Arial" w:cs="Arial" w:eastAsia="Arial" w:hAnsi="Arial"/>
          <w:sz w:val="22"/>
          <w:szCs w:val="22"/>
          <w:b w:val="1"/>
          <w:bCs w:val="1"/>
          <w:color w:val="auto"/>
        </w:rPr>
      </w:pPr>
    </w:p>
    <w:p>
      <w:pPr>
        <w:jc w:val="both"/>
        <w:ind w:firstLine="1505"/>
        <w:spacing w:after="0" w:line="272" w:lineRule="auto"/>
        <w:tabs>
          <w:tab w:leader="none" w:pos="1997" w:val="left"/>
        </w:tabs>
        <w:numPr>
          <w:ilvl w:val="0"/>
          <w:numId w:val="105"/>
        </w:numPr>
        <w:rPr>
          <w:rFonts w:ascii="Arial" w:cs="Arial" w:eastAsia="Arial" w:hAnsi="Arial"/>
          <w:sz w:val="19"/>
          <w:szCs w:val="19"/>
          <w:b w:val="1"/>
          <w:bCs w:val="1"/>
          <w:color w:val="auto"/>
        </w:rPr>
      </w:pPr>
      <w:r>
        <w:rPr>
          <w:rFonts w:ascii="Arial" w:cs="Arial" w:eastAsia="Arial" w:hAnsi="Arial"/>
          <w:sz w:val="19"/>
          <w:szCs w:val="19"/>
          <w:color w:val="auto"/>
        </w:rPr>
        <w:t>Notwithstanding the foregoing, each Party will have the right, at its own expense, to cause an internationally-recognized independent accounting firm (the “</w:t>
      </w:r>
      <w:r>
        <w:rPr>
          <w:rFonts w:ascii="Arial" w:cs="Arial" w:eastAsia="Arial" w:hAnsi="Arial"/>
          <w:sz w:val="19"/>
          <w:szCs w:val="19"/>
          <w:b w:val="1"/>
          <w:bCs w:val="1"/>
          <w:color w:val="auto"/>
        </w:rPr>
        <w:t>Auditor</w:t>
      </w:r>
      <w:r>
        <w:rPr>
          <w:rFonts w:ascii="Arial" w:cs="Arial" w:eastAsia="Arial" w:hAnsi="Arial"/>
          <w:sz w:val="19"/>
          <w:szCs w:val="19"/>
          <w:color w:val="auto"/>
        </w:rPr>
        <w:t>”), which is reasonably acceptable to the other Party, upon reasonable prior written notice and during the other Party’s regular business hours, to audit the other Party’s books and records in the event that a suspected violation of any Anti-Corruption Law needs to be investigated (in such Party’s reasonable, good-faith discretion). Such other Party shall, within [***] after receiving the first Party’s written request for auditing, make its records available for inspection by the Auditor during regular business hours at such place or places where such records are customarily kept. The records shall be reviewed solely to verify the other Party’s compliance with any Anti-Corruption Law. Such inspection right shall not be exercised more than once in any Fiscal Year and not more frequently than once with respect to records covering any specific period of time and shall be performed in a manner that will not unduly interfere with the other Party’s or its Affiliates’ or sublicensees’ normal course of business. Notwithstanding anything to the contrary herein, the first Party shall only be entitled to audit the books and records of the other Party of the [***] Fiscal Years prior to the Fiscal Year in which the audit request is made. The first Party agrees to hold in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8" w:name="page199"/>
    <w:bookmarkEnd w:id="198"/>
    <w:p>
      <w:pPr>
        <w:jc w:val="both"/>
        <w:spacing w:after="0" w:line="235" w:lineRule="auto"/>
        <w:rPr>
          <w:sz w:val="20"/>
          <w:szCs w:val="20"/>
          <w:color w:val="auto"/>
        </w:rPr>
      </w:pPr>
      <w:r>
        <w:rPr>
          <w:rFonts w:ascii="Arial" w:cs="Arial" w:eastAsia="Arial" w:hAnsi="Arial"/>
          <w:sz w:val="22"/>
          <w:szCs w:val="22"/>
          <w:color w:val="auto"/>
        </w:rPr>
        <w:t>strict confidence all information received and all information learned in the course of any audit or inspection and any audit summary or reports, except to the extent necessary to enforce its rights under this Agreement or to the extent required to comply with applicable Laws. For clarity, a credible finding, after a reasonable investigation, of any breach of Section 10.4(a) or 10.4(b) with respect to any Anti-Corruption Law, shall be deemed a material breach of this Agreement and allow the non-breaching Party to terminate this Agreement in accordance with Section 13.4 and, without prejudice to any other rights or remedies, to recoup the cost of such audit.</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21"/>
          <w:szCs w:val="21"/>
          <w:b w:val="1"/>
          <w:bCs w:val="1"/>
          <w:color w:val="auto"/>
        </w:rPr>
        <w:t>10.5 Additional Covenants</w:t>
      </w:r>
      <w:r>
        <w:rPr>
          <w:rFonts w:ascii="Arial" w:cs="Arial" w:eastAsia="Arial" w:hAnsi="Arial"/>
          <w:sz w:val="21"/>
          <w:szCs w:val="21"/>
          <w:color w:val="auto"/>
        </w:rPr>
        <w:t>. In addition to any covenants made by the Parties elsewhere in this Agreement:</w:t>
      </w:r>
    </w:p>
    <w:p>
      <w:pPr>
        <w:spacing w:after="0" w:line="224" w:lineRule="exact"/>
        <w:rPr>
          <w:sz w:val="20"/>
          <w:szCs w:val="20"/>
          <w:color w:val="auto"/>
        </w:rPr>
      </w:pPr>
    </w:p>
    <w:p>
      <w:pPr>
        <w:jc w:val="both"/>
        <w:ind w:firstLine="1505"/>
        <w:spacing w:after="0" w:line="277" w:lineRule="auto"/>
        <w:tabs>
          <w:tab w:leader="none" w:pos="1929" w:val="left"/>
        </w:tabs>
        <w:numPr>
          <w:ilvl w:val="0"/>
          <w:numId w:val="106"/>
        </w:numPr>
        <w:rPr>
          <w:rFonts w:ascii="Arial" w:cs="Arial" w:eastAsia="Arial" w:hAnsi="Arial"/>
          <w:sz w:val="19"/>
          <w:szCs w:val="19"/>
          <w:b w:val="1"/>
          <w:bCs w:val="1"/>
          <w:color w:val="auto"/>
        </w:rPr>
      </w:pPr>
      <w:r>
        <w:rPr>
          <w:rFonts w:ascii="Arial" w:cs="Arial" w:eastAsia="Arial" w:hAnsi="Arial"/>
          <w:sz w:val="19"/>
          <w:szCs w:val="19"/>
          <w:color w:val="auto"/>
        </w:rPr>
        <w:t>Kaken hereby covenants to Spruce that neither Kaken nor any of its Affiliates or Sublicensees, will employ or use the services of any Person who is debarred or disqualified under any applicable Laws in the Kaken Territory comparable to the Act, in connection with activities relating to any Licensed Product; and in the event that Kaken becomes aware of the debarment or disqualification or threatened debarment or disqualification of any Person providing services to Kaken or any of its Affiliates with respect to any activities relating to any Licensed Product, Kaken will immediately (but in any event no later than [***]) notify Spruce in writing and Kaken will cease, or cause its Affiliate to cease (as applicable), employing, contracting with, or retaining any such Person to perform any services relating to any Licensed Product;</w:t>
      </w:r>
    </w:p>
    <w:p>
      <w:pPr>
        <w:spacing w:after="0" w:line="151" w:lineRule="exact"/>
        <w:rPr>
          <w:rFonts w:ascii="Arial" w:cs="Arial" w:eastAsia="Arial" w:hAnsi="Arial"/>
          <w:sz w:val="19"/>
          <w:szCs w:val="19"/>
          <w:b w:val="1"/>
          <w:bCs w:val="1"/>
          <w:color w:val="auto"/>
        </w:rPr>
      </w:pPr>
    </w:p>
    <w:p>
      <w:pPr>
        <w:jc w:val="both"/>
        <w:ind w:firstLine="1505"/>
        <w:spacing w:after="0" w:line="277" w:lineRule="auto"/>
        <w:tabs>
          <w:tab w:leader="none" w:pos="1943" w:val="left"/>
        </w:tabs>
        <w:numPr>
          <w:ilvl w:val="0"/>
          <w:numId w:val="106"/>
        </w:numPr>
        <w:rPr>
          <w:rFonts w:ascii="Arial" w:cs="Arial" w:eastAsia="Arial" w:hAnsi="Arial"/>
          <w:sz w:val="19"/>
          <w:szCs w:val="19"/>
          <w:b w:val="1"/>
          <w:bCs w:val="1"/>
          <w:color w:val="auto"/>
        </w:rPr>
      </w:pPr>
      <w:r>
        <w:rPr>
          <w:rFonts w:ascii="Arial" w:cs="Arial" w:eastAsia="Arial" w:hAnsi="Arial"/>
          <w:sz w:val="19"/>
          <w:szCs w:val="19"/>
          <w:color w:val="auto"/>
        </w:rPr>
        <w:t>Spruce hereby covenants to Kaken that neither Spruce nor any of its Affiliates, Third Party suppliers or Sublicensees, will employ or use the services of any Person who is debarred or disqualified under the Act or any comparable applicable Laws, in connection with activities relating to any Licensed Product; and in the event that Spruce becomes aware of the debarment or disqualification or threatened debarment or disqualification of any Person providing services to Spruce or any of its Affiliates with respect to any activities relating to any Licensed Product, Spruce will immediately (but in any event no later than [***]) notify Kaken in writing and Spruce will cease, or cause its Affiliate to cease (as applicable), employing, contracting with, or retaining any such Person to perform any services relating to any Licensed Product; and</w:t>
      </w:r>
    </w:p>
    <w:p>
      <w:pPr>
        <w:spacing w:after="0" w:line="151" w:lineRule="exact"/>
        <w:rPr>
          <w:rFonts w:ascii="Arial" w:cs="Arial" w:eastAsia="Arial" w:hAnsi="Arial"/>
          <w:sz w:val="19"/>
          <w:szCs w:val="19"/>
          <w:b w:val="1"/>
          <w:bCs w:val="1"/>
          <w:color w:val="auto"/>
        </w:rPr>
      </w:pPr>
    </w:p>
    <w:p>
      <w:pPr>
        <w:jc w:val="both"/>
        <w:ind w:firstLine="1505"/>
        <w:spacing w:after="0" w:line="246" w:lineRule="auto"/>
        <w:tabs>
          <w:tab w:leader="none" w:pos="1929" w:val="left"/>
        </w:tabs>
        <w:numPr>
          <w:ilvl w:val="0"/>
          <w:numId w:val="106"/>
        </w:numPr>
        <w:rPr>
          <w:rFonts w:ascii="Arial" w:cs="Arial" w:eastAsia="Arial" w:hAnsi="Arial"/>
          <w:sz w:val="21"/>
          <w:szCs w:val="21"/>
          <w:b w:val="1"/>
          <w:bCs w:val="1"/>
          <w:color w:val="auto"/>
        </w:rPr>
      </w:pPr>
      <w:r>
        <w:rPr>
          <w:rFonts w:ascii="Arial" w:cs="Arial" w:eastAsia="Arial" w:hAnsi="Arial"/>
          <w:sz w:val="21"/>
          <w:szCs w:val="21"/>
          <w:color w:val="auto"/>
        </w:rPr>
        <w:t>Each Party hereby covenants to the other Party that neither such Party nor any of its Affiliates, nor any of their respective employees shall use any confidential information obtained from any Third Party (including any prior employer) to which such Party or any of its Affiliates, or any of their respective employees has a duty to keep in confidence such information, directly or indirectly, whether obtained prior to the Effective Date or during the Term, in connection with activities performed under this Agreement, unless consented to in writing by such Third party, and such Party shall be solely responsible and liable for, and shall indemnify the other Party pursuant to Article 11 in connection with, any breach of this covenant by such Party, any of its Affiliates, or their respective employees.</w:t>
      </w:r>
    </w:p>
    <w:p>
      <w:pPr>
        <w:spacing w:after="0" w:line="184" w:lineRule="exact"/>
        <w:rPr>
          <w:rFonts w:ascii="Arial" w:cs="Arial" w:eastAsia="Arial" w:hAnsi="Arial"/>
          <w:sz w:val="21"/>
          <w:szCs w:val="21"/>
          <w:b w:val="1"/>
          <w:bCs w:val="1"/>
          <w:color w:val="auto"/>
        </w:rPr>
      </w:pPr>
    </w:p>
    <w:p>
      <w:pPr>
        <w:jc w:val="both"/>
        <w:ind w:firstLine="1505"/>
        <w:spacing w:after="0" w:line="287" w:lineRule="auto"/>
        <w:tabs>
          <w:tab w:leader="none" w:pos="1943" w:val="left"/>
        </w:tabs>
        <w:numPr>
          <w:ilvl w:val="0"/>
          <w:numId w:val="106"/>
        </w:numPr>
        <w:rPr>
          <w:rFonts w:ascii="Arial" w:cs="Arial" w:eastAsia="Arial" w:hAnsi="Arial"/>
          <w:sz w:val="19"/>
          <w:szCs w:val="19"/>
          <w:b w:val="1"/>
          <w:bCs w:val="1"/>
          <w:color w:val="auto"/>
        </w:rPr>
      </w:pPr>
      <w:r>
        <w:rPr>
          <w:rFonts w:ascii="Arial" w:cs="Arial" w:eastAsia="Arial" w:hAnsi="Arial"/>
          <w:sz w:val="19"/>
          <w:szCs w:val="19"/>
          <w:color w:val="auto"/>
        </w:rPr>
        <w:t>Spruce shall not (i) assign or otherwise transfer the Upstream Agreement or (ii) terminate the Upstream Agreement or agree or consent to any amendments to the Upstream Agreement that would adversely affect Kaken's rights or obligations under this Agreement, without the prior written consent of Kaken. Spruce shall comply with all material terms of the Upstream Agreement. A material breach by Spruce of the Upstream Agreement that Spruce does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9" w:name="page200"/>
    <w:bookmarkEnd w:id="199"/>
    <w:p>
      <w:pPr>
        <w:spacing w:after="0" w:line="250" w:lineRule="auto"/>
        <w:rPr>
          <w:sz w:val="20"/>
          <w:szCs w:val="20"/>
          <w:color w:val="auto"/>
        </w:rPr>
      </w:pPr>
      <w:r>
        <w:rPr>
          <w:rFonts w:ascii="Arial" w:cs="Arial" w:eastAsia="Arial" w:hAnsi="Arial"/>
          <w:sz w:val="22"/>
          <w:szCs w:val="22"/>
          <w:color w:val="auto"/>
        </w:rPr>
        <w:t>not cure within the cure period set forth in Section 9.4 of the Upstream Agreement shall constitute a material breach of this Agreement.</w:t>
      </w:r>
    </w:p>
    <w:p>
      <w:pPr>
        <w:spacing w:after="0" w:line="175" w:lineRule="exact"/>
        <w:rPr>
          <w:sz w:val="20"/>
          <w:szCs w:val="20"/>
          <w:color w:val="auto"/>
        </w:rPr>
      </w:pPr>
    </w:p>
    <w:p>
      <w:pPr>
        <w:ind w:firstLine="1505"/>
        <w:spacing w:after="0" w:line="250" w:lineRule="auto"/>
        <w:tabs>
          <w:tab w:leader="none" w:pos="1943" w:val="left"/>
        </w:tabs>
        <w:numPr>
          <w:ilvl w:val="0"/>
          <w:numId w:val="107"/>
        </w:numPr>
        <w:rPr>
          <w:rFonts w:ascii="Arial" w:cs="Arial" w:eastAsia="Arial" w:hAnsi="Arial"/>
          <w:sz w:val="22"/>
          <w:szCs w:val="22"/>
          <w:b w:val="1"/>
          <w:bCs w:val="1"/>
          <w:color w:val="auto"/>
        </w:rPr>
      </w:pPr>
      <w:r>
        <w:rPr>
          <w:rFonts w:ascii="Arial" w:cs="Arial" w:eastAsia="Arial" w:hAnsi="Arial"/>
          <w:sz w:val="22"/>
          <w:szCs w:val="22"/>
          <w:color w:val="auto"/>
        </w:rPr>
        <w:t>Spruce shall promptly notify Kaken in writing if Spruce receives written notice from Lilly alleging that Spruce is in breach under the Upstream Agreement, and, [***].</w:t>
      </w:r>
    </w:p>
    <w:p>
      <w:pPr>
        <w:spacing w:after="0" w:line="174" w:lineRule="exact"/>
        <w:rPr>
          <w:rFonts w:ascii="Arial" w:cs="Arial" w:eastAsia="Arial" w:hAnsi="Arial"/>
          <w:sz w:val="22"/>
          <w:szCs w:val="22"/>
          <w:b w:val="1"/>
          <w:bCs w:val="1"/>
          <w:color w:val="auto"/>
        </w:rPr>
      </w:pPr>
    </w:p>
    <w:p>
      <w:pPr>
        <w:ind w:left="1940" w:hanging="435"/>
        <w:spacing w:after="0"/>
        <w:tabs>
          <w:tab w:leader="none" w:pos="1940" w:val="left"/>
        </w:tabs>
        <w:numPr>
          <w:ilvl w:val="0"/>
          <w:numId w:val="107"/>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0"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9"/>
          <w:szCs w:val="19"/>
          <w:b w:val="1"/>
          <w:bCs w:val="1"/>
          <w:color w:val="auto"/>
        </w:rPr>
        <w:t>10.6 No Other Representations or Warranties</w:t>
      </w:r>
      <w:r>
        <w:rPr>
          <w:rFonts w:ascii="Arial" w:cs="Arial" w:eastAsia="Arial" w:hAnsi="Arial"/>
          <w:sz w:val="19"/>
          <w:szCs w:val="19"/>
          <w:color w:val="auto"/>
        </w:rPr>
        <w:t>. EXCEPT AS EXPRESSLY STATED IN THIS AGREEMENT, NO</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REPRESENTATIONS OR WARRANTIES WHATSOEVER, WHETHER EXPRESS OR IMPLIED, INCLUDING WARRANTIES OF MERCHANTABILITY, FITNESS FOR A PARTICULAR PURPOSE, NON-INFRINGEMENT OR NON-MISAPPROPRIATION OF THIRD PARTY INTELLECTUAL PROPERTY RIGHTS, ARE MADE OR GIVEN BY OR ON BEHALF OF A PARTY OR ITS AFFILIATES, AND ALL REPRESENTATIONS AND WARRANTIES, WHETHER ARISING BY OPERATION OF LAW OR OTHERWISE, ARE HEREBY EXPRESSLY EXCLUDED. FOR CLARITY AND WITHOUT LIMITING THE FOREGOING, SPRUCE MAKES NO REPRESENTATION OR WARRANTY CONCERNING THE LICENSED PRODUCTS OR SPRUCE TECHNOLOGY EXCEPT AS EXPRESSLY SET FORTH IN THIS ARTICLE 10.</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w:t>
      </w:r>
    </w:p>
    <w:p>
      <w:pPr>
        <w:spacing w:after="0" w:line="18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b w:val="1"/>
          <w:bCs w:val="1"/>
          <w:color w:val="auto"/>
        </w:rPr>
        <w:t>11.1 Indemnification by Spruce</w:t>
      </w:r>
      <w:r>
        <w:rPr>
          <w:rFonts w:ascii="Arial" w:cs="Arial" w:eastAsia="Arial" w:hAnsi="Arial"/>
          <w:sz w:val="19"/>
          <w:szCs w:val="19"/>
          <w:color w:val="auto"/>
        </w:rPr>
        <w:t>. Spruce shall defend, indemnify, and hold Kaken and its Affiliates and their respective</w:t>
      </w:r>
      <w:r>
        <w:rPr>
          <w:rFonts w:ascii="Arial" w:cs="Arial" w:eastAsia="Arial" w:hAnsi="Arial"/>
          <w:sz w:val="19"/>
          <w:szCs w:val="19"/>
          <w:b w:val="1"/>
          <w:bCs w:val="1"/>
          <w:color w:val="auto"/>
        </w:rPr>
        <w:t xml:space="preserve"> </w:t>
      </w:r>
      <w:r>
        <w:rPr>
          <w:rFonts w:ascii="Arial" w:cs="Arial" w:eastAsia="Arial" w:hAnsi="Arial"/>
          <w:sz w:val="19"/>
          <w:szCs w:val="19"/>
          <w:color w:val="auto"/>
        </w:rPr>
        <w:t>officers, directors, employees, agents, successors and assigns (the “</w:t>
      </w:r>
      <w:r>
        <w:rPr>
          <w:rFonts w:ascii="Arial" w:cs="Arial" w:eastAsia="Arial" w:hAnsi="Arial"/>
          <w:sz w:val="19"/>
          <w:szCs w:val="19"/>
          <w:b w:val="1"/>
          <w:bCs w:val="1"/>
          <w:color w:val="auto"/>
        </w:rPr>
        <w:t>Kaken Indemnitees</w:t>
      </w:r>
      <w:r>
        <w:rPr>
          <w:rFonts w:ascii="Arial" w:cs="Arial" w:eastAsia="Arial" w:hAnsi="Arial"/>
          <w:sz w:val="19"/>
          <w:szCs w:val="19"/>
          <w:color w:val="auto"/>
        </w:rPr>
        <w:t>”) harmless from and against any and all losses, damages, liabilities, actually incurred expenses and costs, including reasonable legal expense and attorneys’ fees (“</w:t>
      </w:r>
      <w:r>
        <w:rPr>
          <w:rFonts w:ascii="Arial" w:cs="Arial" w:eastAsia="Arial" w:hAnsi="Arial"/>
          <w:sz w:val="19"/>
          <w:szCs w:val="19"/>
          <w:b w:val="1"/>
          <w:bCs w:val="1"/>
          <w:color w:val="auto"/>
        </w:rPr>
        <w:t>Losses</w:t>
      </w:r>
      <w:r>
        <w:rPr>
          <w:rFonts w:ascii="Arial" w:cs="Arial" w:eastAsia="Arial" w:hAnsi="Arial"/>
          <w:sz w:val="19"/>
          <w:szCs w:val="19"/>
          <w:color w:val="auto"/>
        </w:rPr>
        <w:t>”) to which any Kaken Indemnitee may become subject as a result of any claim, demand, action or other proceeding by any Third Party (collectively, “</w:t>
      </w:r>
      <w:r>
        <w:rPr>
          <w:rFonts w:ascii="Arial" w:cs="Arial" w:eastAsia="Arial" w:hAnsi="Arial"/>
          <w:sz w:val="19"/>
          <w:szCs w:val="19"/>
          <w:b w:val="1"/>
          <w:bCs w:val="1"/>
          <w:color w:val="auto"/>
        </w:rPr>
        <w:t>Claims</w:t>
      </w:r>
      <w:r>
        <w:rPr>
          <w:rFonts w:ascii="Arial" w:cs="Arial" w:eastAsia="Arial" w:hAnsi="Arial"/>
          <w:sz w:val="19"/>
          <w:szCs w:val="19"/>
          <w:color w:val="auto"/>
        </w:rPr>
        <w:t>”) arising out of, based on, or resulting from (a) the Development, Manufacture, or Commercialization of Licensed Products by or on behalf of Spruce or its Affiliates prior to the Effective Date, (b) the Development, Manufacture, or Commercialization of Licensed Products by or on behalf of Spruce or its Affiliates or Spruce’s Sublicenses or Third Party suppliers, (c) the breach of any of Spruce’s obligations under this Agreement, including Spruce’s representations, warranties or covenants set forth herein, (d) the conduct of any pharmacovigilance-related activities set forth in Section 5.8 by or on behalf of Spruce (except to the extent that such Claim arises from Kaken’s provision of false, misleading, inaccurate or incomplete information to Spruce under Section 5.8 or Kaken’s breach of its obligations under the Pharmacovigilance Agreement) or (e) [***] of any Spruce Indemnitee. The foregoing indemnity obligation shall not apply to the extent that (i) the Kaken Indemnitees fail to comply with the indemnification procedures set forth in Section 11.3 and Spruce’s defense of the relevant Claim is materially prejudiced by such failure, or (ii) any Claim arises from, is based on, or results from any activity or occurrence for which Kaken is obligated to indemnify the Spruce Indemnitees under Section 11.2.</w:t>
      </w:r>
    </w:p>
    <w:p>
      <w:pPr>
        <w:spacing w:after="0" w:line="160"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11.2 Indemnification by Kaken</w:t>
      </w:r>
      <w:r>
        <w:rPr>
          <w:rFonts w:ascii="Arial" w:cs="Arial" w:eastAsia="Arial" w:hAnsi="Arial"/>
          <w:sz w:val="22"/>
          <w:szCs w:val="22"/>
          <w:color w:val="auto"/>
        </w:rPr>
        <w:t>. Kaken shall defend, indemnify, and hold Spruce and its Affiliates and their respective</w:t>
      </w:r>
      <w:r>
        <w:rPr>
          <w:rFonts w:ascii="Arial" w:cs="Arial" w:eastAsia="Arial" w:hAnsi="Arial"/>
          <w:sz w:val="22"/>
          <w:szCs w:val="22"/>
          <w:b w:val="1"/>
          <w:bCs w:val="1"/>
          <w:color w:val="auto"/>
        </w:rPr>
        <w:t xml:space="preserve"> </w:t>
      </w:r>
      <w:r>
        <w:rPr>
          <w:rFonts w:ascii="Arial" w:cs="Arial" w:eastAsia="Arial" w:hAnsi="Arial"/>
          <w:sz w:val="22"/>
          <w:szCs w:val="22"/>
          <w:color w:val="auto"/>
        </w:rPr>
        <w:t>officers, directors, employees, agents, successors and assigns (the “</w:t>
      </w:r>
      <w:r>
        <w:rPr>
          <w:rFonts w:ascii="Arial" w:cs="Arial" w:eastAsia="Arial" w:hAnsi="Arial"/>
          <w:sz w:val="22"/>
          <w:szCs w:val="22"/>
          <w:b w:val="1"/>
          <w:bCs w:val="1"/>
          <w:color w:val="auto"/>
        </w:rPr>
        <w:t>Spruce Indemnitees</w:t>
      </w:r>
      <w:r>
        <w:rPr>
          <w:rFonts w:ascii="Arial" w:cs="Arial" w:eastAsia="Arial" w:hAnsi="Arial"/>
          <w:sz w:val="22"/>
          <w:szCs w:val="22"/>
          <w:color w:val="auto"/>
        </w:rPr>
        <w:t>”) harmless from and against any and all Losses to which any Spruce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0" w:name="page201"/>
    <w:bookmarkEnd w:id="200"/>
    <w:p>
      <w:pPr>
        <w:jc w:val="both"/>
        <w:spacing w:after="0" w:line="233" w:lineRule="auto"/>
        <w:rPr>
          <w:sz w:val="20"/>
          <w:szCs w:val="20"/>
          <w:color w:val="auto"/>
        </w:rPr>
      </w:pPr>
      <w:r>
        <w:rPr>
          <w:rFonts w:ascii="Arial" w:cs="Arial" w:eastAsia="Arial" w:hAnsi="Arial"/>
          <w:sz w:val="22"/>
          <w:szCs w:val="22"/>
          <w:color w:val="auto"/>
        </w:rPr>
        <w:t>Indemnitee may become subject as a result of any Claims arising out of, based on, or resulting from (a) the Development, Manufacture, or Commercialization of Licensed Products by or on behalf of Kaken or its Affiliates or Sublicensees on or after the Effective Date (except to the extent that any such activities are conducted by or on behalf of Spruce or its Affiliates) (including any Infringement Actions), (b) the breach of any of Kaken’s obligations under this Agreement, including Kaken’s representations, warranties, or covenants set forth herein, or (c) [***] of any Kaken Indemnitee. The foregoing indemnity obligation shall not apply to the extent that (i) the Spruce Indemnitees fail to comply with the indemnification procedures set forth in Section 11.3 and Kaken’s defense of the relevant Claim is materially prejudiced by such failure, or (ii) any Claim arises from, is based on, or results from any activity or occurrence for which Spruce is obligated to indemnify the Kaken Indemnitees under Section 11.1</w:t>
      </w:r>
    </w:p>
    <w:p>
      <w:pPr>
        <w:spacing w:after="0" w:line="187"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b w:val="1"/>
          <w:bCs w:val="1"/>
          <w:color w:val="auto"/>
        </w:rPr>
        <w:t>11.3 Indemnification Procedures</w:t>
      </w:r>
      <w:r>
        <w:rPr>
          <w:rFonts w:ascii="Arial" w:cs="Arial" w:eastAsia="Arial" w:hAnsi="Arial"/>
          <w:sz w:val="19"/>
          <w:szCs w:val="19"/>
          <w:color w:val="auto"/>
        </w:rPr>
        <w:t>. The Party claiming indemnity under this Article 11 (the “</w:t>
      </w:r>
      <w:r>
        <w:rPr>
          <w:rFonts w:ascii="Arial" w:cs="Arial" w:eastAsia="Arial" w:hAnsi="Arial"/>
          <w:sz w:val="19"/>
          <w:szCs w:val="19"/>
          <w:b w:val="1"/>
          <w:bCs w:val="1"/>
          <w:color w:val="auto"/>
        </w:rPr>
        <w:t>Indemnified Party</w:t>
      </w:r>
      <w:r>
        <w:rPr>
          <w:rFonts w:ascii="Arial" w:cs="Arial" w:eastAsia="Arial" w:hAnsi="Arial"/>
          <w:sz w:val="19"/>
          <w:szCs w:val="19"/>
          <w:color w:val="auto"/>
        </w:rPr>
        <w:t>”) shall</w:t>
      </w:r>
      <w:r>
        <w:rPr>
          <w:rFonts w:ascii="Arial" w:cs="Arial" w:eastAsia="Arial" w:hAnsi="Arial"/>
          <w:sz w:val="19"/>
          <w:szCs w:val="19"/>
          <w:b w:val="1"/>
          <w:bCs w:val="1"/>
          <w:color w:val="auto"/>
        </w:rPr>
        <w:t xml:space="preserve"> </w:t>
      </w:r>
      <w:r>
        <w:rPr>
          <w:rFonts w:ascii="Arial" w:cs="Arial" w:eastAsia="Arial" w:hAnsi="Arial"/>
          <w:sz w:val="19"/>
          <w:szCs w:val="19"/>
          <w:color w:val="auto"/>
        </w:rPr>
        <w:t>give written notice to the Party from whom indemnity is being sought (the “</w:t>
      </w:r>
      <w:r>
        <w:rPr>
          <w:rFonts w:ascii="Arial" w:cs="Arial" w:eastAsia="Arial" w:hAnsi="Arial"/>
          <w:sz w:val="19"/>
          <w:szCs w:val="19"/>
          <w:b w:val="1"/>
          <w:bCs w:val="1"/>
          <w:color w:val="auto"/>
        </w:rPr>
        <w:t>Indemnifying Party</w:t>
      </w:r>
      <w:r>
        <w:rPr>
          <w:rFonts w:ascii="Arial" w:cs="Arial" w:eastAsia="Arial" w:hAnsi="Arial"/>
          <w:sz w:val="19"/>
          <w:szCs w:val="19"/>
          <w:color w:val="auto"/>
        </w:rPr>
        <w:t xml:space="preserve">”) promptly after learning of such Claim and shall offer control of the defense of such Claim to the Indemnifying Party. The Indemnified Party shall provide the Indemnifying Party with reasonable assistance, at the Indemnifying Party’s expense, in connection with the defense of the Claim for which indemnity is being sought. The Indemnified Party may participate in and monitor such defense with counsel of its own choosing at its sole expense;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the Indemnifying Party shall have the right to assume and conduct the defense of the Claim with counsel of its choice. The Indemnifying Party shall not settle any Claim without the prior written consent of the Indemnified Party, not to be unreasonably withheld, unless the settlement involves only the payment of money. So long as the Indemnifying Party is actively defending the Claim in good faith, the Indemnified Party shall not settle or compromise any such Claim without the prior written consent of the Indemnifying Party. If the Indemnifying Party does not assume and conduct the defense of the Claim as provided above, (a) the Indemnified Party may defend against, consent to the entry of any judgment, or enter into any settlement with respect to such Claim in any manner the Indemnified Party may deem reasonably appropriate (and the Indemnified Party need not consult with, or obtain any consent from, the Indemnifying Party in connection therewith), and (b) the Indemnifying Party shall remain responsible to indemnify the Indemnified Party as provided in this Article 11. Notwithstanding anything contained in this Section 11.3, the provisions of Section 9.5 shall govern the defense of any Infringement Actions. Additionally, in the event that Spruce has elected to defend any such Infringement Action, then Kaken shall not be obligated to indemnify Spruce for any Claims related to such Infringement Action; rather, the Parties shall share equal responsibility for any Losses resulting therefrom.</w:t>
      </w:r>
    </w:p>
    <w:p>
      <w:pPr>
        <w:spacing w:after="0" w:line="396"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b w:val="1"/>
          <w:bCs w:val="1"/>
          <w:color w:val="auto"/>
        </w:rPr>
        <w:t xml:space="preserve">11.4 Limitation of Liability </w:t>
      </w:r>
      <w:r>
        <w:rPr>
          <w:rFonts w:ascii="Arial" w:cs="Arial" w:eastAsia="Arial" w:hAnsi="Arial"/>
          <w:sz w:val="22"/>
          <w:szCs w:val="22"/>
          <w:color w:val="auto"/>
        </w:rPr>
        <w:t>. NEITHER PARTY SHALL BE LIABLE TO THE OTHER PARTY FOR ANY</w:t>
      </w:r>
      <w:r>
        <w:rPr>
          <w:rFonts w:ascii="Arial" w:cs="Arial" w:eastAsia="Arial" w:hAnsi="Arial"/>
          <w:sz w:val="22"/>
          <w:szCs w:val="22"/>
          <w:b w:val="1"/>
          <w:bCs w:val="1"/>
          <w:color w:val="auto"/>
        </w:rPr>
        <w:t xml:space="preserve"> </w:t>
      </w:r>
      <w:r>
        <w:rPr>
          <w:rFonts w:ascii="Arial" w:cs="Arial" w:eastAsia="Arial" w:hAnsi="Arial"/>
          <w:sz w:val="22"/>
          <w:szCs w:val="22"/>
          <w:color w:val="auto"/>
        </w:rPr>
        <w:t>SPECIAL, CONSEQUENTIAL, INCIDENTAL, PUNITIVE, OR INDIRECT DAMAGES ARISING FROM OR RELATING TO ANY BREACH OF THIS AGREEMENT, REGARDLESS OF ANY NOTICE OF THE POSSIBILITY OF SUCH DAMAGES. NOTWITHSTANDING THE FOREGOING, NOTHING IN THIS SECTION 11.4 IS INTENDED TO OR SHALL LIMIT OR RESTRICT THE INDEMNIFICATION RIGHTS OR OBLIGATIONS OF ANY PARTY UNDER SECTION 11.1 OR 11.2, OR DAMAGES AVAILABLE FOR A PARTY’S BREACH OF ITS EXCLUSIVITY OBLIGATIONS IN SECTION 2.5 OR ITS CONFIDENTIALITY OBLIGATIONS IN ARTICLE 12.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1" w:name="page202"/>
    <w:bookmarkEnd w:id="201"/>
    <w:p>
      <w:pPr>
        <w:jc w:val="both"/>
        <w:ind w:firstLine="749"/>
        <w:spacing w:after="0" w:line="249" w:lineRule="exact"/>
        <w:rPr>
          <w:sz w:val="20"/>
          <w:szCs w:val="20"/>
          <w:color w:val="auto"/>
        </w:rPr>
      </w:pPr>
      <w:r>
        <w:rPr>
          <w:rFonts w:ascii="Arial" w:cs="Arial" w:eastAsia="Arial" w:hAnsi="Arial"/>
          <w:sz w:val="22"/>
          <w:szCs w:val="22"/>
          <w:b w:val="1"/>
          <w:bCs w:val="1"/>
          <w:color w:val="auto"/>
        </w:rPr>
        <w:t xml:space="preserve">11.5 Insurance </w:t>
      </w:r>
      <w:r>
        <w:rPr>
          <w:rFonts w:ascii="Arial" w:cs="Arial" w:eastAsia="Arial" w:hAnsi="Arial"/>
          <w:sz w:val="22"/>
          <w:szCs w:val="22"/>
          <w:color w:val="auto"/>
        </w:rPr>
        <w:t>. Each Party shall procure and maintain insurance, including product liability insurance, adequate to</w:t>
      </w:r>
      <w:r>
        <w:rPr>
          <w:rFonts w:ascii="Arial" w:cs="Arial" w:eastAsia="Arial" w:hAnsi="Arial"/>
          <w:sz w:val="22"/>
          <w:szCs w:val="22"/>
          <w:b w:val="1"/>
          <w:bCs w:val="1"/>
          <w:color w:val="auto"/>
        </w:rPr>
        <w:t xml:space="preserve"> </w:t>
      </w:r>
      <w:r>
        <w:rPr>
          <w:rFonts w:ascii="Arial" w:cs="Arial" w:eastAsia="Arial" w:hAnsi="Arial"/>
          <w:sz w:val="22"/>
          <w:szCs w:val="22"/>
          <w:color w:val="auto"/>
        </w:rPr>
        <w:t>cover its obligations hereunder and consistent with normal business practices of prudent companies similarly situated. It is understood that such insurance shall not be construed to create a limit of either Party’s liability with respect to its indemnification obligations under this Article 11. Each Party shall provide the other Party with written evidence of such insurance upon request. Each Party shall provide the other Party with written notice at least [***] prior to the cancellation, non</w:t>
      </w:r>
      <w:r>
        <w:rPr>
          <w:rFonts w:ascii="MS PGothic" w:cs="MS PGothic" w:eastAsia="MS PGothic" w:hAnsi="MS PGothic"/>
          <w:sz w:val="22"/>
          <w:szCs w:val="22"/>
          <w:color w:val="auto"/>
        </w:rPr>
        <w:t>‑</w:t>
      </w:r>
      <w:r>
        <w:rPr>
          <w:rFonts w:ascii="Arial" w:cs="Arial" w:eastAsia="Arial" w:hAnsi="Arial"/>
          <w:sz w:val="22"/>
          <w:szCs w:val="22"/>
          <w:color w:val="auto"/>
        </w:rPr>
        <w:t>renewal or material change in such insurance.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w:t>
      </w:r>
    </w:p>
    <w:p>
      <w:pPr>
        <w:spacing w:after="0" w:line="18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b w:val="1"/>
          <w:bCs w:val="1"/>
          <w:color w:val="auto"/>
        </w:rPr>
        <w:t xml:space="preserve">12.1 Confidentiality </w:t>
      </w:r>
      <w:r>
        <w:rPr>
          <w:rFonts w:ascii="Arial" w:cs="Arial" w:eastAsia="Arial" w:hAnsi="Arial"/>
          <w:sz w:val="22"/>
          <w:szCs w:val="22"/>
          <w:color w:val="auto"/>
        </w:rPr>
        <w:t>. Each Party agrees that, during the Term and for a period of [***] thereafter, it shall keep</w:t>
      </w:r>
      <w:r>
        <w:rPr>
          <w:rFonts w:ascii="Arial" w:cs="Arial" w:eastAsia="Arial" w:hAnsi="Arial"/>
          <w:sz w:val="22"/>
          <w:szCs w:val="22"/>
          <w:b w:val="1"/>
          <w:bCs w:val="1"/>
          <w:color w:val="auto"/>
        </w:rPr>
        <w:t xml:space="preserve"> </w:t>
      </w:r>
      <w:r>
        <w:rPr>
          <w:rFonts w:ascii="Arial" w:cs="Arial" w:eastAsia="Arial" w:hAnsi="Arial"/>
          <w:sz w:val="22"/>
          <w:szCs w:val="22"/>
          <w:color w:val="auto"/>
        </w:rPr>
        <w:t>confidential and shall not publish or otherwise disclose and shall not use for any purpose other than as provided for in this Agreement (which includes the exercise of any rights or the performance of any obligations hereunder or thereunder) any Confidential Information of the other Party, except to the extent expressly agreed in writing by the Parties. The foregoing confidentiality and non-use obligations shall not apply to any portion of the other Party’s Confidential Information that the receiving Party can demonstrate by competent written proof:</w:t>
      </w:r>
    </w:p>
    <w:p>
      <w:pPr>
        <w:spacing w:after="0" w:line="188" w:lineRule="exact"/>
        <w:rPr>
          <w:sz w:val="20"/>
          <w:szCs w:val="20"/>
          <w:color w:val="auto"/>
        </w:rPr>
      </w:pPr>
    </w:p>
    <w:p>
      <w:pPr>
        <w:ind w:firstLine="1505"/>
        <w:spacing w:after="0" w:line="250" w:lineRule="auto"/>
        <w:tabs>
          <w:tab w:leader="none" w:pos="1929" w:val="left"/>
        </w:tabs>
        <w:numPr>
          <w:ilvl w:val="0"/>
          <w:numId w:val="108"/>
        </w:numPr>
        <w:rPr>
          <w:rFonts w:ascii="Arial" w:cs="Arial" w:eastAsia="Arial" w:hAnsi="Arial"/>
          <w:sz w:val="22"/>
          <w:szCs w:val="22"/>
          <w:b w:val="1"/>
          <w:bCs w:val="1"/>
          <w:color w:val="auto"/>
        </w:rPr>
      </w:pPr>
      <w:r>
        <w:rPr>
          <w:rFonts w:ascii="Arial" w:cs="Arial" w:eastAsia="Arial" w:hAnsi="Arial"/>
          <w:sz w:val="22"/>
          <w:szCs w:val="22"/>
          <w:color w:val="auto"/>
        </w:rPr>
        <w:t>was already known to the receiving Party or its Affiliate, other than under an obligation of confidentiality, at the time of disclosure by the other Party;</w:t>
      </w:r>
    </w:p>
    <w:p>
      <w:pPr>
        <w:spacing w:after="0" w:line="174" w:lineRule="exact"/>
        <w:rPr>
          <w:rFonts w:ascii="Arial" w:cs="Arial" w:eastAsia="Arial" w:hAnsi="Arial"/>
          <w:sz w:val="22"/>
          <w:szCs w:val="22"/>
          <w:b w:val="1"/>
          <w:bCs w:val="1"/>
          <w:color w:val="auto"/>
        </w:rPr>
      </w:pPr>
    </w:p>
    <w:p>
      <w:pPr>
        <w:ind w:left="1940" w:hanging="435"/>
        <w:spacing w:after="0"/>
        <w:tabs>
          <w:tab w:leader="none" w:pos="1940" w:val="left"/>
        </w:tabs>
        <w:numPr>
          <w:ilvl w:val="0"/>
          <w:numId w:val="108"/>
        </w:numPr>
        <w:rPr>
          <w:rFonts w:ascii="Arial" w:cs="Arial" w:eastAsia="Arial" w:hAnsi="Arial"/>
          <w:sz w:val="19"/>
          <w:szCs w:val="19"/>
          <w:b w:val="1"/>
          <w:bCs w:val="1"/>
          <w:color w:val="auto"/>
        </w:rPr>
      </w:pPr>
      <w:r>
        <w:rPr>
          <w:rFonts w:ascii="Arial" w:cs="Arial" w:eastAsia="Arial" w:hAnsi="Arial"/>
          <w:sz w:val="19"/>
          <w:szCs w:val="19"/>
          <w:color w:val="auto"/>
        </w:rPr>
        <w:t>was generally available to the public or otherwise part of the public domain at the time of its disclosure to</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the receiving Party;</w:t>
      </w:r>
    </w:p>
    <w:p>
      <w:pPr>
        <w:spacing w:after="0" w:line="188" w:lineRule="exact"/>
        <w:rPr>
          <w:rFonts w:ascii="Arial" w:cs="Arial" w:eastAsia="Arial" w:hAnsi="Arial"/>
          <w:sz w:val="19"/>
          <w:szCs w:val="19"/>
          <w:b w:val="1"/>
          <w:bCs w:val="1"/>
          <w:color w:val="auto"/>
        </w:rPr>
      </w:pPr>
    </w:p>
    <w:p>
      <w:pPr>
        <w:ind w:firstLine="1505"/>
        <w:spacing w:after="0" w:line="274" w:lineRule="auto"/>
        <w:tabs>
          <w:tab w:leader="none" w:pos="1943" w:val="left"/>
        </w:tabs>
        <w:numPr>
          <w:ilvl w:val="0"/>
          <w:numId w:val="108"/>
        </w:numPr>
        <w:rPr>
          <w:rFonts w:ascii="Arial" w:cs="Arial" w:eastAsia="Arial" w:hAnsi="Arial"/>
          <w:sz w:val="21"/>
          <w:szCs w:val="21"/>
          <w:b w:val="1"/>
          <w:bCs w:val="1"/>
          <w:color w:val="auto"/>
        </w:rPr>
      </w:pPr>
      <w:r>
        <w:rPr>
          <w:rFonts w:ascii="Arial" w:cs="Arial" w:eastAsia="Arial" w:hAnsi="Arial"/>
          <w:sz w:val="21"/>
          <w:szCs w:val="21"/>
          <w:color w:val="auto"/>
        </w:rPr>
        <w:t>became generally available to the public or otherwise part of the public domain after its disclosure and other than through any act or omission of the receiving Party or its Affiliate in breach of this Agreement;</w:t>
      </w:r>
    </w:p>
    <w:p>
      <w:pPr>
        <w:spacing w:after="0" w:line="150" w:lineRule="exact"/>
        <w:rPr>
          <w:rFonts w:ascii="Arial" w:cs="Arial" w:eastAsia="Arial" w:hAnsi="Arial"/>
          <w:sz w:val="21"/>
          <w:szCs w:val="21"/>
          <w:b w:val="1"/>
          <w:bCs w:val="1"/>
          <w:color w:val="auto"/>
        </w:rPr>
      </w:pPr>
    </w:p>
    <w:p>
      <w:pPr>
        <w:jc w:val="both"/>
        <w:ind w:firstLine="1505"/>
        <w:spacing w:after="0"/>
        <w:tabs>
          <w:tab w:leader="none" w:pos="1929" w:val="left"/>
        </w:tabs>
        <w:numPr>
          <w:ilvl w:val="0"/>
          <w:numId w:val="108"/>
        </w:numPr>
        <w:rPr>
          <w:rFonts w:ascii="Arial" w:cs="Arial" w:eastAsia="Arial" w:hAnsi="Arial"/>
          <w:sz w:val="22"/>
          <w:szCs w:val="22"/>
          <w:b w:val="1"/>
          <w:bCs w:val="1"/>
          <w:color w:val="auto"/>
        </w:rPr>
      </w:pPr>
      <w:r>
        <w:rPr>
          <w:rFonts w:ascii="Arial" w:cs="Arial" w:eastAsia="Arial" w:hAnsi="Arial"/>
          <w:sz w:val="22"/>
          <w:szCs w:val="22"/>
          <w:color w:val="auto"/>
        </w:rPr>
        <w:t>was disclosed to the receiving Party or its Affiliate without any confidentiality obligations by a Third Party who, to the Party’s knowledge, had a legal right to make such disclosure and who did not obtain such information directly or indirectly from the other Party; or</w:t>
      </w:r>
    </w:p>
    <w:p>
      <w:pPr>
        <w:spacing w:after="0" w:line="186" w:lineRule="exact"/>
        <w:rPr>
          <w:rFonts w:ascii="Arial" w:cs="Arial" w:eastAsia="Arial" w:hAnsi="Arial"/>
          <w:sz w:val="22"/>
          <w:szCs w:val="22"/>
          <w:b w:val="1"/>
          <w:bCs w:val="1"/>
          <w:color w:val="auto"/>
        </w:rPr>
      </w:pPr>
    </w:p>
    <w:p>
      <w:pPr>
        <w:ind w:firstLine="1505"/>
        <w:spacing w:after="0" w:line="250" w:lineRule="auto"/>
        <w:tabs>
          <w:tab w:leader="none" w:pos="1970" w:val="left"/>
        </w:tabs>
        <w:numPr>
          <w:ilvl w:val="0"/>
          <w:numId w:val="108"/>
        </w:numPr>
        <w:rPr>
          <w:rFonts w:ascii="Arial" w:cs="Arial" w:eastAsia="Arial" w:hAnsi="Arial"/>
          <w:sz w:val="22"/>
          <w:szCs w:val="22"/>
          <w:b w:val="1"/>
          <w:bCs w:val="1"/>
          <w:color w:val="auto"/>
        </w:rPr>
      </w:pPr>
      <w:r>
        <w:rPr>
          <w:rFonts w:ascii="Arial" w:cs="Arial" w:eastAsia="Arial" w:hAnsi="Arial"/>
          <w:sz w:val="22"/>
          <w:szCs w:val="22"/>
          <w:color w:val="auto"/>
        </w:rPr>
        <w:t>was independently discovered or developed by the receiving Party or its Affiliate without use of or reference to the other Party’s Confidential Information, as evidenced by a contemporaneous writing.</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9"/>
          <w:szCs w:val="19"/>
          <w:b w:val="1"/>
          <w:bCs w:val="1"/>
          <w:color w:val="auto"/>
        </w:rPr>
        <w:t>12.2 Authorized Disclosure</w:t>
      </w:r>
      <w:r>
        <w:rPr>
          <w:rFonts w:ascii="Arial" w:cs="Arial" w:eastAsia="Arial" w:hAnsi="Arial"/>
          <w:sz w:val="19"/>
          <w:szCs w:val="19"/>
          <w:color w:val="auto"/>
        </w:rPr>
        <w:t>. Notwithstanding the obligations set forth in Section 12.1, a Party may disclose the other</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Party’s Confidential Information and the terms of this Agreement to the extent:</w:t>
      </w:r>
    </w:p>
    <w:p>
      <w:pPr>
        <w:spacing w:after="0" w:line="188" w:lineRule="exact"/>
        <w:rPr>
          <w:sz w:val="20"/>
          <w:szCs w:val="20"/>
          <w:color w:val="auto"/>
        </w:rPr>
      </w:pPr>
    </w:p>
    <w:p>
      <w:pPr>
        <w:jc w:val="both"/>
        <w:ind w:firstLine="1505"/>
        <w:spacing w:after="0" w:line="297" w:lineRule="auto"/>
        <w:tabs>
          <w:tab w:leader="none" w:pos="1943" w:val="left"/>
        </w:tabs>
        <w:numPr>
          <w:ilvl w:val="0"/>
          <w:numId w:val="109"/>
        </w:numPr>
        <w:rPr>
          <w:rFonts w:ascii="Arial" w:cs="Arial" w:eastAsia="Arial" w:hAnsi="Arial"/>
          <w:sz w:val="19"/>
          <w:szCs w:val="19"/>
          <w:b w:val="1"/>
          <w:bCs w:val="1"/>
          <w:color w:val="auto"/>
        </w:rPr>
      </w:pPr>
      <w:r>
        <w:rPr>
          <w:rFonts w:ascii="Arial" w:cs="Arial" w:eastAsia="Arial" w:hAnsi="Arial"/>
          <w:sz w:val="19"/>
          <w:szCs w:val="19"/>
          <w:color w:val="auto"/>
        </w:rPr>
        <w:t>such disclosure is reasonably necessary (i) for the filing or prosecuting of Patent rights as contemplated herein; (ii) to comply with the requirements of Regulatory Authorities with respect to obtaining and maintaining Regulatory Approval of Licensed Product; or (iii) for the prosecuting or defending litigation as contemplated herein;</w:t>
      </w:r>
    </w:p>
    <w:p>
      <w:pPr>
        <w:spacing w:after="0" w:line="133" w:lineRule="exact"/>
        <w:rPr>
          <w:rFonts w:ascii="Arial" w:cs="Arial" w:eastAsia="Arial" w:hAnsi="Arial"/>
          <w:sz w:val="19"/>
          <w:szCs w:val="19"/>
          <w:b w:val="1"/>
          <w:bCs w:val="1"/>
          <w:color w:val="auto"/>
        </w:rPr>
      </w:pPr>
    </w:p>
    <w:p>
      <w:pPr>
        <w:ind w:left="5520" w:right="60" w:hanging="4015"/>
        <w:spacing w:after="0" w:line="455" w:lineRule="auto"/>
        <w:tabs>
          <w:tab w:leader="none" w:pos="1941" w:val="left"/>
        </w:tabs>
        <w:numPr>
          <w:ilvl w:val="0"/>
          <w:numId w:val="109"/>
        </w:numPr>
        <w:rPr>
          <w:rFonts w:ascii="Arial" w:cs="Arial" w:eastAsia="Arial" w:hAnsi="Arial"/>
          <w:sz w:val="22"/>
          <w:szCs w:val="22"/>
          <w:b w:val="1"/>
          <w:bCs w:val="1"/>
          <w:color w:val="auto"/>
        </w:rPr>
      </w:pPr>
      <w:r>
        <w:rPr>
          <w:rFonts w:ascii="Arial" w:cs="Arial" w:eastAsia="Arial" w:hAnsi="Arial"/>
          <w:sz w:val="22"/>
          <w:szCs w:val="22"/>
          <w:color w:val="auto"/>
        </w:rPr>
        <w:t>such disclosure is reasonably necessary to comply with or enforce any of the provisions of this Agreement;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2" w:name="page203"/>
    <w:bookmarkEnd w:id="202"/>
    <w:p>
      <w:pPr>
        <w:jc w:val="both"/>
        <w:ind w:firstLine="1505"/>
        <w:spacing w:after="0" w:line="238" w:lineRule="auto"/>
        <w:tabs>
          <w:tab w:leader="none" w:pos="1929" w:val="left"/>
        </w:tabs>
        <w:numPr>
          <w:ilvl w:val="0"/>
          <w:numId w:val="110"/>
        </w:numPr>
        <w:rPr>
          <w:rFonts w:ascii="Arial" w:cs="Arial" w:eastAsia="Arial" w:hAnsi="Arial"/>
          <w:sz w:val="22"/>
          <w:szCs w:val="22"/>
          <w:b w:val="1"/>
          <w:bCs w:val="1"/>
          <w:color w:val="auto"/>
        </w:rPr>
      </w:pPr>
      <w:r>
        <w:rPr>
          <w:rFonts w:ascii="Arial" w:cs="Arial" w:eastAsia="Arial" w:hAnsi="Arial"/>
          <w:sz w:val="22"/>
          <w:szCs w:val="22"/>
          <w:color w:val="auto"/>
        </w:rPr>
        <w:t>such disclosure is reasonably necessary to its or its Affiliate’s employees, agents, consultants, contractors, licensees or Sublicensees, (including Spruce Partners) on a need-to-know basis for the sole purpose of performing its obligations or exercising its rights hereunder; provided that in each case, the disclosees are bound by written obligations of confidentiality substantially similar to those contained in this Article 12; or</w:t>
      </w:r>
    </w:p>
    <w:p>
      <w:pPr>
        <w:spacing w:after="0" w:line="184" w:lineRule="exact"/>
        <w:rPr>
          <w:rFonts w:ascii="Arial" w:cs="Arial" w:eastAsia="Arial" w:hAnsi="Arial"/>
          <w:sz w:val="22"/>
          <w:szCs w:val="22"/>
          <w:b w:val="1"/>
          <w:bCs w:val="1"/>
          <w:color w:val="auto"/>
        </w:rPr>
      </w:pPr>
    </w:p>
    <w:p>
      <w:pPr>
        <w:jc w:val="both"/>
        <w:ind w:firstLine="1505"/>
        <w:spacing w:after="0"/>
        <w:tabs>
          <w:tab w:leader="none" w:pos="1956" w:val="left"/>
        </w:tabs>
        <w:numPr>
          <w:ilvl w:val="0"/>
          <w:numId w:val="110"/>
        </w:numPr>
        <w:rPr>
          <w:rFonts w:ascii="Arial" w:cs="Arial" w:eastAsia="Arial" w:hAnsi="Arial"/>
          <w:sz w:val="22"/>
          <w:szCs w:val="22"/>
          <w:b w:val="1"/>
          <w:bCs w:val="1"/>
          <w:color w:val="auto"/>
        </w:rPr>
      </w:pPr>
      <w:r>
        <w:rPr>
          <w:rFonts w:ascii="Arial" w:cs="Arial" w:eastAsia="Arial" w:hAnsi="Arial"/>
          <w:sz w:val="22"/>
          <w:szCs w:val="22"/>
          <w:color w:val="auto"/>
        </w:rPr>
        <w:t>such disclosure is reasonably necessary to comply with applicable Laws, including regulations or rules promulgated by applicable securities commissions (or other securities regulatory authorities), security exchanges, court order, administrative subpoena or order; and</w:t>
      </w:r>
    </w:p>
    <w:p>
      <w:pPr>
        <w:spacing w:after="0" w:line="186" w:lineRule="exact"/>
        <w:rPr>
          <w:rFonts w:ascii="Arial" w:cs="Arial" w:eastAsia="Arial" w:hAnsi="Arial"/>
          <w:sz w:val="22"/>
          <w:szCs w:val="22"/>
          <w:b w:val="1"/>
          <w:bCs w:val="1"/>
          <w:color w:val="auto"/>
        </w:rPr>
      </w:pPr>
    </w:p>
    <w:p>
      <w:pPr>
        <w:jc w:val="both"/>
        <w:ind w:firstLine="1505"/>
        <w:spacing w:after="0" w:line="248" w:lineRule="auto"/>
        <w:tabs>
          <w:tab w:leader="none" w:pos="1956" w:val="left"/>
        </w:tabs>
        <w:numPr>
          <w:ilvl w:val="0"/>
          <w:numId w:val="110"/>
        </w:numPr>
        <w:rPr>
          <w:rFonts w:ascii="Arial" w:cs="Arial" w:eastAsia="Arial" w:hAnsi="Arial"/>
          <w:sz w:val="21"/>
          <w:szCs w:val="21"/>
          <w:b w:val="1"/>
          <w:bCs w:val="1"/>
          <w:color w:val="auto"/>
        </w:rPr>
      </w:pPr>
      <w:r>
        <w:rPr>
          <w:rFonts w:ascii="Arial" w:cs="Arial" w:eastAsia="Arial" w:hAnsi="Arial"/>
          <w:sz w:val="21"/>
          <w:szCs w:val="21"/>
          <w:color w:val="auto"/>
        </w:rPr>
        <w:t>solely with respect to the terms of this Agreement and excluding disclosure of any other Confidential Information, such disclosure is reasonably necessary to any bona fide potential or actual investor, acquiror, merger partner, or other financial or commercial partner for the sole purpose of evaluating or carrying out an actual or potential investment, financing, acquisition or other business relationship; provided that in connection with such disclosure, such Party shall inform each disclosee of the confidential nature of such Confidential Information and require each disclosee to treat such Confidential Information as confidential on terms substantially similar to those set forth in this Article 12.</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Notwithstanding the foregoing, in the event a Party is required to make a disclosure of the other Party’s Confidential Information pursuant to Section 12.2(a), 12.2(c) or 12.2(e), such Party shall promptly notify the other Party of such required disclosure, to the extent that it is legally authorized or permitted to do so, and shall use reasonable efforts to obtain, or to assist the other Party in obtaining, where necessary, a protective order preventing or limiting the required disclosure or otherwise ensure confidential treatment of such Confidential Information.</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12.3 Publicity; Terms of Agreement</w:t>
      </w:r>
      <w:r>
        <w:rPr>
          <w:rFonts w:ascii="Arial" w:cs="Arial" w:eastAsia="Arial" w:hAnsi="Arial"/>
          <w:sz w:val="22"/>
          <w:szCs w:val="22"/>
          <w:color w:val="auto"/>
        </w:rPr>
        <w:t>.</w:t>
      </w:r>
    </w:p>
    <w:p>
      <w:pPr>
        <w:spacing w:after="0" w:line="212" w:lineRule="exact"/>
        <w:rPr>
          <w:sz w:val="20"/>
          <w:szCs w:val="20"/>
          <w:color w:val="auto"/>
        </w:rPr>
      </w:pPr>
    </w:p>
    <w:p>
      <w:pPr>
        <w:ind w:firstLine="1505"/>
        <w:spacing w:after="0" w:line="250" w:lineRule="auto"/>
        <w:tabs>
          <w:tab w:leader="none" w:pos="1929" w:val="left"/>
        </w:tabs>
        <w:numPr>
          <w:ilvl w:val="0"/>
          <w:numId w:val="111"/>
        </w:numPr>
        <w:rPr>
          <w:rFonts w:ascii="Arial" w:cs="Arial" w:eastAsia="Arial" w:hAnsi="Arial"/>
          <w:sz w:val="22"/>
          <w:szCs w:val="22"/>
          <w:b w:val="1"/>
          <w:bCs w:val="1"/>
          <w:color w:val="auto"/>
        </w:rPr>
      </w:pPr>
      <w:r>
        <w:rPr>
          <w:rFonts w:ascii="Arial" w:cs="Arial" w:eastAsia="Arial" w:hAnsi="Arial"/>
          <w:sz w:val="22"/>
          <w:szCs w:val="22"/>
          <w:color w:val="auto"/>
        </w:rPr>
        <w:t>The Parties agree that the terms of this Agreement are the Confidential Information of both Parties, subject to the special authorized disclosure provisions set forth in this Section 12.3 and Section 12.2(d).</w:t>
      </w:r>
    </w:p>
    <w:p>
      <w:pPr>
        <w:spacing w:after="0" w:line="174" w:lineRule="exact"/>
        <w:rPr>
          <w:rFonts w:ascii="Arial" w:cs="Arial" w:eastAsia="Arial" w:hAnsi="Arial"/>
          <w:sz w:val="22"/>
          <w:szCs w:val="22"/>
          <w:b w:val="1"/>
          <w:bCs w:val="1"/>
          <w:color w:val="auto"/>
        </w:rPr>
      </w:pPr>
    </w:p>
    <w:p>
      <w:pPr>
        <w:jc w:val="both"/>
        <w:ind w:firstLine="1505"/>
        <w:spacing w:after="0" w:line="273" w:lineRule="auto"/>
        <w:tabs>
          <w:tab w:leader="none" w:pos="1929" w:val="left"/>
        </w:tabs>
        <w:numPr>
          <w:ilvl w:val="0"/>
          <w:numId w:val="111"/>
        </w:numPr>
        <w:rPr>
          <w:rFonts w:ascii="Arial" w:cs="Arial" w:eastAsia="Arial" w:hAnsi="Arial"/>
          <w:sz w:val="19"/>
          <w:szCs w:val="19"/>
          <w:b w:val="1"/>
          <w:bCs w:val="1"/>
          <w:color w:val="auto"/>
        </w:rPr>
      </w:pPr>
      <w:r>
        <w:rPr>
          <w:rFonts w:ascii="Arial" w:cs="Arial" w:eastAsia="Arial" w:hAnsi="Arial"/>
          <w:sz w:val="19"/>
          <w:szCs w:val="19"/>
          <w:color w:val="auto"/>
        </w:rPr>
        <w:t>If either Party desires to make a public disclosure concerning the terms of this Agreement, such Party shall give the proposed text of such disclosure to the other Party reasonably in advance (but in any case no less than [***] prior to the disclosure) for its prior review and approval (except as otherwise provided herein), which approval shall not be unreasonably withheld or delayed. A Party commenting on such a proposed disclosure shall provide its comments, if any, within [***] after receiving the proposed disclosure for review (or such shorter period of time as necessitated by regulatory requirements). In addition, where required by applicable Law, including regulations promulgated by applicable security exchanges, either Party shall have the right to make a press release or other public disclosure regarding the achievement of each milestone under this Agreement as it is achieved, the achievements of Regulatory Approval in the Kaken Territory as they occur, or the occurrence of other events that affect either Party’s rights or obligations under this Agreement, including the results of any Clinical Trial of Licensed Products, whether in the Kaken Territory or the Spruce Territory; provided that such Party shall provide the proposed text of such disclosure to the other Party at least [***] in advance, and the other Party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3" w:name="page204"/>
    <w:bookmarkEnd w:id="203"/>
    <w:p>
      <w:pPr>
        <w:jc w:val="both"/>
        <w:spacing w:after="0" w:line="249" w:lineRule="auto"/>
        <w:rPr>
          <w:sz w:val="20"/>
          <w:szCs w:val="20"/>
          <w:color w:val="auto"/>
        </w:rPr>
      </w:pPr>
      <w:r>
        <w:rPr>
          <w:rFonts w:ascii="Arial" w:cs="Arial" w:eastAsia="Arial" w:hAnsi="Arial"/>
          <w:sz w:val="21"/>
          <w:szCs w:val="21"/>
          <w:color w:val="auto"/>
        </w:rPr>
        <w:t>shall provide its comments thereto within such [***] (or such shorter period as necessary to comply with SEC reporting obligations). In relation to the other Party’s review of such an announcement, such other Party may make specific, reasonable comments on such proposed press release within the prescribed time for commentary. Neither Party shall be required to seek the permission of the other Party to repeat any information regarding the terms of this Agreement that has already been publicly disclosed by such Party, or by the other Party, in accordance with this Section 12.3.</w:t>
      </w:r>
    </w:p>
    <w:p>
      <w:pPr>
        <w:spacing w:after="0" w:line="178" w:lineRule="exact"/>
        <w:rPr>
          <w:sz w:val="20"/>
          <w:szCs w:val="20"/>
          <w:color w:val="auto"/>
        </w:rPr>
      </w:pPr>
    </w:p>
    <w:p>
      <w:pPr>
        <w:jc w:val="both"/>
        <w:ind w:firstLine="1505"/>
        <w:spacing w:after="0" w:line="233" w:lineRule="auto"/>
        <w:tabs>
          <w:tab w:leader="none" w:pos="1970" w:val="left"/>
        </w:tabs>
        <w:numPr>
          <w:ilvl w:val="0"/>
          <w:numId w:val="112"/>
        </w:numPr>
        <w:rPr>
          <w:rFonts w:ascii="Arial" w:cs="Arial" w:eastAsia="Arial" w:hAnsi="Arial"/>
          <w:sz w:val="22"/>
          <w:szCs w:val="22"/>
          <w:b w:val="1"/>
          <w:bCs w:val="1"/>
          <w:color w:val="auto"/>
        </w:rPr>
      </w:pPr>
      <w:r>
        <w:rPr>
          <w:rFonts w:ascii="Arial" w:cs="Arial" w:eastAsia="Arial" w:hAnsi="Arial"/>
          <w:sz w:val="22"/>
          <w:szCs w:val="22"/>
          <w:color w:val="auto"/>
        </w:rPr>
        <w:t>The Parties acknowledge that either or both Parties or their Affiliates may be obligated to file under applicable Laws a copy of this Agreement with Governmental Authorities, including, without limitation, the U.S. Securities and Exchange Commission (the “</w:t>
      </w:r>
      <w:r>
        <w:rPr>
          <w:rFonts w:ascii="Arial" w:cs="Arial" w:eastAsia="Arial" w:hAnsi="Arial"/>
          <w:sz w:val="22"/>
          <w:szCs w:val="22"/>
          <w:b w:val="1"/>
          <w:bCs w:val="1"/>
          <w:color w:val="auto"/>
        </w:rPr>
        <w:t>SEC</w:t>
      </w:r>
      <w:r>
        <w:rPr>
          <w:rFonts w:ascii="Arial" w:cs="Arial" w:eastAsia="Arial" w:hAnsi="Arial"/>
          <w:sz w:val="22"/>
          <w:szCs w:val="22"/>
          <w:color w:val="auto"/>
        </w:rPr>
        <w:t>”). Each Party and its Affiliates shall be entitled to make such a required filing, provided that it requests confidential treatment of the commercial, financial and sensitive technical terms hereof to the extent such confidential treatment is reasonably available. In the event of any such filing, each Party will provide the other Party with a copy of this Agreement marked to show provisions for which such Party or its Affiliate intends to seek confidential treatment and shall reasonably consider and incorporate the other Party’s timely comments thereon to the extent consistent with the legal requirements, with respect to the filing Party or Affiliate, governing disclosure of material agreements and material information that must be publicly filed.</w:t>
      </w:r>
    </w:p>
    <w:p>
      <w:pPr>
        <w:spacing w:after="0" w:line="187"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b w:val="1"/>
          <w:bCs w:val="1"/>
          <w:color w:val="auto"/>
        </w:rPr>
        <w:t xml:space="preserve">12.4 Technical Publication </w:t>
      </w:r>
      <w:r>
        <w:rPr>
          <w:rFonts w:ascii="Arial" w:cs="Arial" w:eastAsia="Arial" w:hAnsi="Arial"/>
          <w:sz w:val="19"/>
          <w:szCs w:val="19"/>
          <w:color w:val="auto"/>
        </w:rPr>
        <w:t>. Neither Party may publish peer reviewed manuscripts, or give other forms of public</w:t>
      </w:r>
      <w:r>
        <w:rPr>
          <w:rFonts w:ascii="Arial" w:cs="Arial" w:eastAsia="Arial" w:hAnsi="Arial"/>
          <w:sz w:val="19"/>
          <w:szCs w:val="19"/>
          <w:b w:val="1"/>
          <w:bCs w:val="1"/>
          <w:color w:val="auto"/>
        </w:rPr>
        <w:t xml:space="preserve"> </w:t>
      </w:r>
      <w:r>
        <w:rPr>
          <w:rFonts w:ascii="Arial" w:cs="Arial" w:eastAsia="Arial" w:hAnsi="Arial"/>
          <w:sz w:val="19"/>
          <w:szCs w:val="19"/>
          <w:color w:val="auto"/>
        </w:rPr>
        <w:t>disclosure such as abstracts and presentations, of results of studies carried out under this Agreement or otherwise pertaining to the Development of the Licensed Compound or Licensed Products in the Field in the Kaken Territory, without the opportunity for prior review and comment by the other Party in accordance with this Section 12.4, except to the extent required by applicable Laws. A Party seeking publication shall provide the other Party the opportunity to review and comment on any such proposed publication at least [***] for abstracts or [***] for manuscripts prior to its intended submission for publication. The other Party shall provide the Party seeking publication with its comments in writing, if any, within [***] for abstracts and [***] for manuscripts after receipt of such proposed publication. The Party seeking publication shall consider in good faith any comments thereto provided by the other Party and shall comply with the other Party’s request to remove any and all of such other Party’s Confidential Information from the proposed publication. Further, if either Party reasonably determines and notifies the other Party that a proposed publication is reasonably likely to result in Adverse Risk in the Spruce Territory in the case of Spruce, or the Kaken Territory in the case of Kaken, then the Party to whom such notice was sent shall not submit such publication unless and until the Parties agree to a proposal to mitigate such Adverse Risk. In addition, the Party seeking publication shall delay the submission for a period up to [***] in the event that the other Party can demonstrate reasonable need for such delay for the preparation and filing of a patent application. If the other Party fails to provide its comments to the Party seeking publication within the specified time frame, such other Party shall be deemed to not have any comments, and the Party seeking publication shall be free to publish in accordance with this Section 12.4. The Party seeking publication shall provide the other Party a copy of the manuscript at the time of the submission. Each Party agrees to acknowledge the contributions of the other Party and its employees in all publications in accordance with scientific practices.</w:t>
      </w:r>
    </w:p>
    <w:p>
      <w:pPr>
        <w:spacing w:after="0" w:line="200" w:lineRule="exact"/>
        <w:rPr>
          <w:sz w:val="20"/>
          <w:szCs w:val="20"/>
          <w:color w:val="auto"/>
        </w:rPr>
      </w:pPr>
    </w:p>
    <w:p>
      <w:pPr>
        <w:spacing w:after="0" w:line="20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12.5 Equitable Relief</w:t>
      </w:r>
      <w:r>
        <w:rPr>
          <w:rFonts w:ascii="Arial" w:cs="Arial" w:eastAsia="Arial" w:hAnsi="Arial"/>
          <w:sz w:val="22"/>
          <w:szCs w:val="22"/>
          <w:color w:val="auto"/>
        </w:rPr>
        <w:t>. Each Party acknowledges that its breach of this Article 12 will cause irreparable harm to the</w:t>
      </w:r>
      <w:r>
        <w:rPr>
          <w:rFonts w:ascii="Arial" w:cs="Arial" w:eastAsia="Arial" w:hAnsi="Arial"/>
          <w:sz w:val="22"/>
          <w:szCs w:val="22"/>
          <w:b w:val="1"/>
          <w:bCs w:val="1"/>
          <w:color w:val="auto"/>
        </w:rPr>
        <w:t xml:space="preserve"> </w:t>
      </w:r>
      <w:r>
        <w:rPr>
          <w:rFonts w:ascii="Arial" w:cs="Arial" w:eastAsia="Arial" w:hAnsi="Arial"/>
          <w:sz w:val="22"/>
          <w:szCs w:val="22"/>
          <w:color w:val="auto"/>
        </w:rPr>
        <w:t>other Party, which cannot be reasonably or adequately compensated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4" w:name="page205"/>
    <w:bookmarkEnd w:id="204"/>
    <w:p>
      <w:pPr>
        <w:jc w:val="both"/>
        <w:spacing w:after="0" w:line="238" w:lineRule="auto"/>
        <w:rPr>
          <w:sz w:val="20"/>
          <w:szCs w:val="20"/>
          <w:color w:val="auto"/>
        </w:rPr>
      </w:pPr>
      <w:r>
        <w:rPr>
          <w:rFonts w:ascii="Arial" w:cs="Arial" w:eastAsia="Arial" w:hAnsi="Arial"/>
          <w:sz w:val="22"/>
          <w:szCs w:val="22"/>
          <w:color w:val="auto"/>
        </w:rPr>
        <w:t>in damages in an action at law. By reasons thereof, each Party agrees that the other Party shall be entitled, in addition to any other remedies it may have under this Agreement or otherwise, to preliminary and permanent injunctive and other equitable relief to prevent or curtail any actual or threatened breach of the obligations relating to Confidential Information set forth in this Article 12 by the other Party.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 AND TERMINATION</w:t>
      </w:r>
    </w:p>
    <w:p>
      <w:pPr>
        <w:spacing w:after="0" w:line="18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b w:val="1"/>
          <w:bCs w:val="1"/>
          <w:color w:val="auto"/>
        </w:rPr>
        <w:t xml:space="preserve">13.1 Term </w:t>
      </w:r>
      <w:r>
        <w:rPr>
          <w:rFonts w:ascii="Arial" w:cs="Arial" w:eastAsia="Arial" w:hAnsi="Arial"/>
          <w:sz w:val="22"/>
          <w:szCs w:val="22"/>
          <w:color w:val="auto"/>
        </w:rPr>
        <w:t>. The term of this Agreement (the “</w:t>
      </w:r>
      <w:r>
        <w:rPr>
          <w:rFonts w:ascii="Arial" w:cs="Arial" w:eastAsia="Arial" w:hAnsi="Arial"/>
          <w:sz w:val="22"/>
          <w:szCs w:val="22"/>
          <w:b w:val="1"/>
          <w:bCs w:val="1"/>
          <w:color w:val="auto"/>
        </w:rPr>
        <w:t>Term</w:t>
      </w:r>
      <w:r>
        <w:rPr>
          <w:rFonts w:ascii="Arial" w:cs="Arial" w:eastAsia="Arial" w:hAnsi="Arial"/>
          <w:sz w:val="22"/>
          <w:szCs w:val="22"/>
          <w:color w:val="auto"/>
        </w:rPr>
        <w:t>”) shall commence upon the Effective Date and, unless earlier</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terminated pursuant to this Article 13, shall remain in effect on a Licensed Product-by-Licensed Product basis until the expiration of the applicable Royalty Term. Upon the expiration of the Royalty Term on a Licensed Product-by-Licensed Product basis (but not in case this Agreement is terminated prior to the expiration of a Royalty Term), the licenses granted hereunder by Spruce to Kaken shall become fully paid-up, royalty free, irrevocable and perpetual; provided that such licenses shall thereafter be granted on a non-exclusive basis.</w:t>
      </w:r>
    </w:p>
    <w:p>
      <w:pPr>
        <w:spacing w:after="0" w:line="18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13.2 Termination by Kaken</w:t>
      </w:r>
      <w:r>
        <w:rPr>
          <w:rFonts w:ascii="Arial" w:cs="Arial" w:eastAsia="Arial" w:hAnsi="Arial"/>
          <w:sz w:val="22"/>
          <w:szCs w:val="22"/>
          <w:color w:val="auto"/>
        </w:rPr>
        <w:t>. At any time [***], Kaken may terminate this Agreement in its entirety for convenience</w:t>
      </w:r>
      <w:r>
        <w:rPr>
          <w:rFonts w:ascii="Arial" w:cs="Arial" w:eastAsia="Arial" w:hAnsi="Arial"/>
          <w:sz w:val="22"/>
          <w:szCs w:val="22"/>
          <w:b w:val="1"/>
          <w:bCs w:val="1"/>
          <w:color w:val="auto"/>
        </w:rPr>
        <w:t xml:space="preserve"> </w:t>
      </w:r>
      <w:r>
        <w:rPr>
          <w:rFonts w:ascii="Arial" w:cs="Arial" w:eastAsia="Arial" w:hAnsi="Arial"/>
          <w:sz w:val="22"/>
          <w:szCs w:val="22"/>
          <w:color w:val="auto"/>
        </w:rPr>
        <w:t>upon (i) [***] prior written notice to Spruce (if such notice is provided before the First Commercial Sale in the Kaken Territory) or (ii) [***] prior written notice to Spruce (if such notice is provided following the First Commercial Sale in the Kaken Territory).</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13.3 Termination by Spruce</w:t>
      </w:r>
      <w:r>
        <w:rPr>
          <w:rFonts w:ascii="Arial" w:cs="Arial" w:eastAsia="Arial" w:hAnsi="Arial"/>
          <w:sz w:val="22"/>
          <w:szCs w:val="22"/>
          <w:color w:val="auto"/>
        </w:rPr>
        <w:t>.</w:t>
      </w:r>
    </w:p>
    <w:p>
      <w:pPr>
        <w:spacing w:after="0" w:line="212" w:lineRule="exact"/>
        <w:rPr>
          <w:sz w:val="20"/>
          <w:szCs w:val="20"/>
          <w:color w:val="auto"/>
        </w:rPr>
      </w:pPr>
    </w:p>
    <w:p>
      <w:pPr>
        <w:jc w:val="both"/>
        <w:ind w:firstLine="1505"/>
        <w:spacing w:after="0" w:line="274" w:lineRule="auto"/>
        <w:tabs>
          <w:tab w:leader="none" w:pos="1956" w:val="left"/>
        </w:tabs>
        <w:numPr>
          <w:ilvl w:val="0"/>
          <w:numId w:val="113"/>
        </w:numPr>
        <w:rPr>
          <w:rFonts w:ascii="Arial" w:cs="Arial" w:eastAsia="Arial" w:hAnsi="Arial"/>
          <w:sz w:val="19"/>
          <w:szCs w:val="19"/>
          <w:b w:val="1"/>
          <w:bCs w:val="1"/>
          <w:color w:val="auto"/>
        </w:rPr>
      </w:pPr>
      <w:r>
        <w:rPr>
          <w:rFonts w:ascii="Arial" w:cs="Arial" w:eastAsia="Arial" w:hAnsi="Arial"/>
          <w:sz w:val="19"/>
          <w:szCs w:val="19"/>
          <w:color w:val="auto"/>
        </w:rPr>
        <w:t>Spruce may terminate this Agreement upon written notice to Kaken, if Kaken ceases substantially all Development (including all regulatory activities) and all Commercialization of Licensed Products (including through Sublicensees and contractors) in the Kaken Territory for a period of [***] or more consecutive months, unless Development or Commercialization of Licensed Products was prevented throughout such period by a force majeure for which Kaken provided notice pursuant to Section 15.2 a reasonable period of time after the start of such period and that persisted throughout such period despite Kaken’s Commercially Reasonable Efforts to remove or mitigate it. Such termination shall go into effect on the date specified in the applicable termination notice. For clarity, a delay by Regulatory Authorities and/or a decision by Regulatory Authorities to suspend a Clinical Trial (e.g., a “regulatory hold”) shall not give Spruce the right to terminate this Agreement under this Section 13.3(a), so long as Kaken continues to use Commercially Reasonable Efforts to remove such regulatory hold.</w:t>
      </w:r>
    </w:p>
    <w:p>
      <w:pPr>
        <w:spacing w:after="0" w:line="158" w:lineRule="exact"/>
        <w:rPr>
          <w:rFonts w:ascii="Arial" w:cs="Arial" w:eastAsia="Arial" w:hAnsi="Arial"/>
          <w:sz w:val="19"/>
          <w:szCs w:val="19"/>
          <w:b w:val="1"/>
          <w:bCs w:val="1"/>
          <w:color w:val="auto"/>
        </w:rPr>
      </w:pPr>
    </w:p>
    <w:p>
      <w:pPr>
        <w:jc w:val="both"/>
        <w:ind w:firstLine="1505"/>
        <w:spacing w:after="0" w:line="234" w:lineRule="auto"/>
        <w:tabs>
          <w:tab w:leader="none" w:pos="1929" w:val="left"/>
        </w:tabs>
        <w:numPr>
          <w:ilvl w:val="0"/>
          <w:numId w:val="113"/>
        </w:numPr>
        <w:rPr>
          <w:rFonts w:ascii="Arial" w:cs="Arial" w:eastAsia="Arial" w:hAnsi="Arial"/>
          <w:sz w:val="22"/>
          <w:szCs w:val="22"/>
          <w:b w:val="1"/>
          <w:bCs w:val="1"/>
          <w:color w:val="auto"/>
        </w:rPr>
      </w:pPr>
      <w:r>
        <w:rPr>
          <w:rFonts w:ascii="Arial" w:cs="Arial" w:eastAsia="Arial" w:hAnsi="Arial"/>
          <w:sz w:val="22"/>
          <w:szCs w:val="22"/>
          <w:color w:val="auto"/>
        </w:rPr>
        <w:t>Spruce may terminate this Agreement in its entirety upon [***] prior written notice to Kaken, if Kaken or its Affiliates or their respective Sublicensees (directly or indirectly, individually or in association with any other Person) challenges the validity, enforceability or scope of any Spruce Licensed Patent, unless during such [***] period the subject challenge is permanently dismissed or withdrawn and is not thereafter reinstituted or continued; provided that in the event a Sublicensee of Kaken initiates such challenge, Spruce may not terminate this Agreement if (i) Kaken successfully causes such Sublicensee to abort such challenge within such [***] period, or (ii) Kaken (A) provides Spruce a written notice of its intent to terminate its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5" w:name="page206"/>
    <w:bookmarkEnd w:id="205"/>
    <w:p>
      <w:pPr>
        <w:jc w:val="both"/>
        <w:spacing w:after="0" w:line="250" w:lineRule="auto"/>
        <w:rPr>
          <w:sz w:val="20"/>
          <w:szCs w:val="20"/>
          <w:color w:val="auto"/>
        </w:rPr>
      </w:pPr>
      <w:r>
        <w:rPr>
          <w:rFonts w:ascii="Arial" w:cs="Arial" w:eastAsia="Arial" w:hAnsi="Arial"/>
          <w:sz w:val="22"/>
          <w:szCs w:val="22"/>
          <w:color w:val="auto"/>
        </w:rPr>
        <w:t>sublicense with such Sublicensee within such [***] period, and (B) successfully terminates such sublicense within such [***] period.</w:t>
      </w:r>
    </w:p>
    <w:p>
      <w:pPr>
        <w:spacing w:after="0" w:line="169"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9"/>
          <w:szCs w:val="19"/>
          <w:b w:val="1"/>
          <w:bCs w:val="1"/>
          <w:color w:val="auto"/>
        </w:rPr>
        <w:t>13.4 Termination for Breach</w:t>
      </w:r>
      <w:r>
        <w:rPr>
          <w:rFonts w:ascii="Arial" w:cs="Arial" w:eastAsia="Arial" w:hAnsi="Arial"/>
          <w:sz w:val="19"/>
          <w:szCs w:val="19"/>
          <w:color w:val="auto"/>
        </w:rPr>
        <w:t>. Each Party shall have the right to terminate this Agreement in its entirety immediately</w:t>
      </w:r>
      <w:r>
        <w:rPr>
          <w:rFonts w:ascii="Arial" w:cs="Arial" w:eastAsia="Arial" w:hAnsi="Arial"/>
          <w:sz w:val="19"/>
          <w:szCs w:val="19"/>
          <w:b w:val="1"/>
          <w:bCs w:val="1"/>
          <w:color w:val="auto"/>
        </w:rPr>
        <w:t xml:space="preserve"> </w:t>
      </w:r>
      <w:r>
        <w:rPr>
          <w:rFonts w:ascii="Arial" w:cs="Arial" w:eastAsia="Arial" w:hAnsi="Arial"/>
          <w:sz w:val="19"/>
          <w:szCs w:val="19"/>
          <w:color w:val="auto"/>
        </w:rPr>
        <w:t>upon written notice to the other Party if the other Party materially breaches its obligations under this Agreement and, after receiving written notice identifying such material breach in reasonable detail, fails to cure such material breach within [***] from the date of such notice; provided that, if either Party disputes (a) whether such material breach has occurred, or (b) whether the defaulting Party has cured such material breach, the Parties agree to resolve the dispute as expeditiously as possible under Article 14. It is understood and acknowledged that during the pendency of such a dispute, all of the terms and conditions of this Agreement shall remain in effect and the Parties shall continue to perform all of their respective obligations hereunder.</w:t>
      </w:r>
    </w:p>
    <w:p>
      <w:pPr>
        <w:spacing w:after="0" w:line="14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21"/>
          <w:szCs w:val="21"/>
          <w:b w:val="1"/>
          <w:bCs w:val="1"/>
          <w:color w:val="auto"/>
        </w:rPr>
        <w:t>13.5 Termination Due to Bankruptcy</w:t>
      </w:r>
      <w:r>
        <w:rPr>
          <w:rFonts w:ascii="Arial" w:cs="Arial" w:eastAsia="Arial" w:hAnsi="Arial"/>
          <w:sz w:val="21"/>
          <w:szCs w:val="21"/>
          <w:color w:val="auto"/>
        </w:rPr>
        <w:t>. Either Party may terminate this Agreement if, at any time, the other Party files</w:t>
      </w:r>
      <w:r>
        <w:rPr>
          <w:rFonts w:ascii="Arial" w:cs="Arial" w:eastAsia="Arial" w:hAnsi="Arial"/>
          <w:sz w:val="21"/>
          <w:szCs w:val="21"/>
          <w:b w:val="1"/>
          <w:bCs w:val="1"/>
          <w:color w:val="auto"/>
        </w:rPr>
        <w:t xml:space="preserve"> </w:t>
      </w:r>
      <w:r>
        <w:rPr>
          <w:rFonts w:ascii="Arial" w:cs="Arial" w:eastAsia="Arial" w:hAnsi="Arial"/>
          <w:sz w:val="21"/>
          <w:szCs w:val="21"/>
          <w:color w:val="auto"/>
        </w:rPr>
        <w:t>in any court or agency pursuant to any statute or regulation of any state, country or jurisdiction, a petition in bankruptcy or insolvency or for reorganization or for an arrangement or for the appointment of a receiver or trustee of that Party or of its assets, or if the other Party proposes a written agreement of composition or extension of its debts, or if the other Party is served with an involuntary petition against it, filed in any insolvency proceeding, and such petition is not dismissed within [***] after the filing thereof, or if the other Party proposes or becomes a Party to any dissolution or liquidation, or if the other Party makes an assignment for the benefit of its creditors (“</w:t>
      </w:r>
      <w:r>
        <w:rPr>
          <w:rFonts w:ascii="Arial" w:cs="Arial" w:eastAsia="Arial" w:hAnsi="Arial"/>
          <w:sz w:val="21"/>
          <w:szCs w:val="21"/>
          <w:b w:val="1"/>
          <w:bCs w:val="1"/>
          <w:color w:val="auto"/>
        </w:rPr>
        <w:t>Bankruptcy Event</w:t>
      </w:r>
      <w:r>
        <w:rPr>
          <w:rFonts w:ascii="Arial" w:cs="Arial" w:eastAsia="Arial" w:hAnsi="Arial"/>
          <w:sz w:val="21"/>
          <w:szCs w:val="21"/>
          <w:color w:val="auto"/>
        </w:rPr>
        <w:t>”).</w:t>
      </w:r>
    </w:p>
    <w:p>
      <w:pPr>
        <w:spacing w:after="0" w:line="177" w:lineRule="exact"/>
        <w:rPr>
          <w:sz w:val="20"/>
          <w:szCs w:val="20"/>
          <w:color w:val="auto"/>
        </w:rPr>
      </w:pPr>
    </w:p>
    <w:p>
      <w:pPr>
        <w:jc w:val="both"/>
        <w:ind w:right="20" w:firstLine="749"/>
        <w:spacing w:after="0" w:line="256" w:lineRule="auto"/>
        <w:rPr>
          <w:sz w:val="20"/>
          <w:szCs w:val="20"/>
          <w:color w:val="auto"/>
        </w:rPr>
      </w:pPr>
      <w:r>
        <w:rPr>
          <w:rFonts w:ascii="Arial" w:cs="Arial" w:eastAsia="Arial" w:hAnsi="Arial"/>
          <w:sz w:val="22"/>
          <w:szCs w:val="22"/>
          <w:b w:val="1"/>
          <w:bCs w:val="1"/>
          <w:color w:val="auto"/>
        </w:rPr>
        <w:t>13.6 Effect of Termination</w:t>
      </w:r>
      <w:r>
        <w:rPr>
          <w:rFonts w:ascii="Arial" w:cs="Arial" w:eastAsia="Arial" w:hAnsi="Arial"/>
          <w:sz w:val="22"/>
          <w:szCs w:val="22"/>
          <w:color w:val="auto"/>
        </w:rPr>
        <w:t>. Upon any termination of this Agreement, the following terms shall apply (in addition to</w:t>
      </w:r>
      <w:r>
        <w:rPr>
          <w:rFonts w:ascii="Arial" w:cs="Arial" w:eastAsia="Arial" w:hAnsi="Arial"/>
          <w:sz w:val="22"/>
          <w:szCs w:val="22"/>
          <w:b w:val="1"/>
          <w:bCs w:val="1"/>
          <w:color w:val="auto"/>
        </w:rPr>
        <w:t xml:space="preserve"> </w:t>
      </w:r>
      <w:r>
        <w:rPr>
          <w:rFonts w:ascii="Arial" w:cs="Arial" w:eastAsia="Arial" w:hAnsi="Arial"/>
          <w:sz w:val="22"/>
          <w:szCs w:val="22"/>
          <w:color w:val="auto"/>
        </w:rPr>
        <w:t>any other rights and obligations under this Agreement with respect to such termination):</w:t>
      </w:r>
    </w:p>
    <w:p>
      <w:pPr>
        <w:spacing w:after="0" w:line="162" w:lineRule="exact"/>
        <w:rPr>
          <w:sz w:val="20"/>
          <w:szCs w:val="20"/>
          <w:color w:val="auto"/>
        </w:rPr>
      </w:pPr>
    </w:p>
    <w:p>
      <w:pPr>
        <w:jc w:val="both"/>
        <w:ind w:firstLine="1505"/>
        <w:spacing w:after="0" w:line="243" w:lineRule="auto"/>
        <w:tabs>
          <w:tab w:leader="none" w:pos="1929"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Licenses</w:t>
      </w:r>
      <w:r>
        <w:rPr>
          <w:rFonts w:ascii="Arial" w:cs="Arial" w:eastAsia="Arial" w:hAnsi="Arial"/>
          <w:sz w:val="22"/>
          <w:szCs w:val="22"/>
          <w:color w:val="auto"/>
        </w:rPr>
        <w:t>. All licenses and other rights granted by Spruce to Kaken under this Agreement shall terminate.</w:t>
      </w:r>
      <w:r>
        <w:rPr>
          <w:rFonts w:ascii="Arial" w:cs="Arial" w:eastAsia="Arial" w:hAnsi="Arial"/>
          <w:sz w:val="22"/>
          <w:szCs w:val="22"/>
          <w:b w:val="1"/>
          <w:bCs w:val="1"/>
          <w:color w:val="auto"/>
        </w:rPr>
        <w:t xml:space="preserve"> </w:t>
      </w:r>
      <w:r>
        <w:rPr>
          <w:rFonts w:ascii="Arial" w:cs="Arial" w:eastAsia="Arial" w:hAnsi="Arial"/>
          <w:sz w:val="22"/>
          <w:szCs w:val="22"/>
          <w:color w:val="auto"/>
        </w:rPr>
        <w:t>Spruce shall have a reversion of all rights previously licensed to Kaken hereunder for which the relevant licenses have terminated on a fully paid-up and royalty-free basis.</w:t>
      </w:r>
    </w:p>
    <w:p>
      <w:pPr>
        <w:spacing w:after="0" w:line="176" w:lineRule="exact"/>
        <w:rPr>
          <w:rFonts w:ascii="Arial" w:cs="Arial" w:eastAsia="Arial" w:hAnsi="Arial"/>
          <w:sz w:val="22"/>
          <w:szCs w:val="22"/>
          <w:b w:val="1"/>
          <w:bCs w:val="1"/>
          <w:color w:val="auto"/>
        </w:rPr>
      </w:pPr>
    </w:p>
    <w:p>
      <w:pPr>
        <w:jc w:val="both"/>
        <w:ind w:firstLine="1505"/>
        <w:spacing w:after="0" w:line="273" w:lineRule="auto"/>
        <w:tabs>
          <w:tab w:leader="none" w:pos="1929" w:val="left"/>
        </w:tabs>
        <w:numPr>
          <w:ilvl w:val="0"/>
          <w:numId w:val="114"/>
        </w:numPr>
        <w:rPr>
          <w:rFonts w:ascii="Arial" w:cs="Arial" w:eastAsia="Arial" w:hAnsi="Arial"/>
          <w:sz w:val="19"/>
          <w:szCs w:val="19"/>
          <w:b w:val="1"/>
          <w:bCs w:val="1"/>
          <w:color w:val="auto"/>
        </w:rPr>
      </w:pPr>
      <w:r>
        <w:rPr>
          <w:rFonts w:ascii="Arial" w:cs="Arial" w:eastAsia="Arial" w:hAnsi="Arial"/>
          <w:sz w:val="19"/>
          <w:szCs w:val="19"/>
          <w:b w:val="1"/>
          <w:bCs w:val="1"/>
          <w:color w:val="auto"/>
        </w:rPr>
        <w:t>Wind-Down</w:t>
      </w:r>
      <w:r>
        <w:rPr>
          <w:rFonts w:ascii="Arial" w:cs="Arial" w:eastAsia="Arial" w:hAnsi="Arial"/>
          <w:sz w:val="19"/>
          <w:szCs w:val="19"/>
          <w:color w:val="auto"/>
        </w:rPr>
        <w:t>. Kaken will (i) responsibly wind-down, in accordance with accepted pharmaceutical industry</w:t>
      </w:r>
      <w:r>
        <w:rPr>
          <w:rFonts w:ascii="Arial" w:cs="Arial" w:eastAsia="Arial" w:hAnsi="Arial"/>
          <w:sz w:val="19"/>
          <w:szCs w:val="19"/>
          <w:b w:val="1"/>
          <w:bCs w:val="1"/>
          <w:color w:val="auto"/>
        </w:rPr>
        <w:t xml:space="preserve"> </w:t>
      </w:r>
      <w:r>
        <w:rPr>
          <w:rFonts w:ascii="Arial" w:cs="Arial" w:eastAsia="Arial" w:hAnsi="Arial"/>
          <w:sz w:val="19"/>
          <w:szCs w:val="19"/>
          <w:color w:val="auto"/>
        </w:rPr>
        <w:t>norms and ethical practices, any on-going Clinical Trials for which it has responsibility hereunder in which patient dosing has commenced or, (ii) unless if this Agreement is terminated by Kaken pursuant to Sections 13.4, 13.5 or 15.5(b), at Spruce’s reasonable request, (A) transfer to Spruce of its designee such Clinical Trial to the extent permitted under applicable Laws and accepted pharmaceutical industry norms and ethical practices, or (B) if reasonably practicable and not adverse to patient safety, complete such Clinical Trials and Spruce shall reimburse Kaken its reasonable, out-of-pocket costs associated therewith. For clarity, except as provided for above, Kaken may transfer to Spruce or its designee or wind-down any ongoing Clinical Trials prior to the date of termination in accordance with accepted pharmaceutical industry norms and ethical practices and Kaken will be responsible for any costs associated with such transfer or wind-down. Notwithstanding the foregoing, if this Agreement is terminated by Kaken pursuant to Sections 13.4, 13.5 or 15.5(b) or by Spruce pursuant to Section 3.2(d), then Spruce will be responsible for any costs associated with such wind-down.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6" w:name="page207"/>
    <w:bookmarkEnd w:id="206"/>
    <w:p>
      <w:pPr>
        <w:jc w:val="both"/>
        <w:ind w:firstLine="1505"/>
        <w:spacing w:after="0" w:line="283" w:lineRule="auto"/>
        <w:tabs>
          <w:tab w:leader="none" w:pos="1929" w:val="left"/>
        </w:tabs>
        <w:numPr>
          <w:ilvl w:val="0"/>
          <w:numId w:val="115"/>
        </w:numPr>
        <w:rPr>
          <w:rFonts w:ascii="Arial" w:cs="Arial" w:eastAsia="Arial" w:hAnsi="Arial"/>
          <w:sz w:val="19"/>
          <w:szCs w:val="19"/>
          <w:b w:val="1"/>
          <w:bCs w:val="1"/>
          <w:color w:val="auto"/>
        </w:rPr>
      </w:pPr>
      <w:r>
        <w:rPr>
          <w:rFonts w:ascii="Arial" w:cs="Arial" w:eastAsia="Arial" w:hAnsi="Arial"/>
          <w:sz w:val="19"/>
          <w:szCs w:val="19"/>
          <w:b w:val="1"/>
          <w:bCs w:val="1"/>
          <w:color w:val="auto"/>
        </w:rPr>
        <w:t>Regulatory Materials; Data</w:t>
      </w:r>
      <w:r>
        <w:rPr>
          <w:rFonts w:ascii="Arial" w:cs="Arial" w:eastAsia="Arial" w:hAnsi="Arial"/>
          <w:sz w:val="19"/>
          <w:szCs w:val="19"/>
          <w:color w:val="auto"/>
        </w:rPr>
        <w:t>. Except if this Agreement is terminated by Kaken pursuant to Sections 13.4,</w:t>
      </w:r>
      <w:r>
        <w:rPr>
          <w:rFonts w:ascii="Arial" w:cs="Arial" w:eastAsia="Arial" w:hAnsi="Arial"/>
          <w:sz w:val="19"/>
          <w:szCs w:val="19"/>
          <w:b w:val="1"/>
          <w:bCs w:val="1"/>
          <w:color w:val="auto"/>
        </w:rPr>
        <w:t xml:space="preserve"> </w:t>
      </w:r>
      <w:r>
        <w:rPr>
          <w:rFonts w:ascii="Arial" w:cs="Arial" w:eastAsia="Arial" w:hAnsi="Arial"/>
          <w:sz w:val="19"/>
          <w:szCs w:val="19"/>
          <w:color w:val="auto"/>
        </w:rPr>
        <w:t>13.5 or 15.5(b), Kaken shall (i) provide and assign to Spruce or its designee all Regulatory Materials, including Regulatory Approvals, for the Licensed Products to the extent possible under applicable Law in the Kaken Territory, (ii) promptly provide to Spruce all Data (to the extent not already provided to Spruce), including pharmacovigilance data, generated by or on behalf of Kaken, and (iii) promptly return or destroy, at Spruce’s election, all Confidential Information of Spruce.</w:t>
      </w:r>
    </w:p>
    <w:p>
      <w:pPr>
        <w:spacing w:after="0" w:line="142" w:lineRule="exact"/>
        <w:rPr>
          <w:rFonts w:ascii="Arial" w:cs="Arial" w:eastAsia="Arial" w:hAnsi="Arial"/>
          <w:sz w:val="19"/>
          <w:szCs w:val="19"/>
          <w:b w:val="1"/>
          <w:bCs w:val="1"/>
          <w:color w:val="auto"/>
        </w:rPr>
      </w:pPr>
    </w:p>
    <w:p>
      <w:pPr>
        <w:jc w:val="both"/>
        <w:ind w:firstLine="1505"/>
        <w:spacing w:after="0" w:line="237" w:lineRule="auto"/>
        <w:tabs>
          <w:tab w:leader="none" w:pos="1929" w:val="left"/>
        </w:tabs>
        <w:numPr>
          <w:ilvl w:val="0"/>
          <w:numId w:val="115"/>
        </w:numPr>
        <w:rPr>
          <w:rFonts w:ascii="Arial" w:cs="Arial" w:eastAsia="Arial" w:hAnsi="Arial"/>
          <w:sz w:val="22"/>
          <w:szCs w:val="22"/>
          <w:b w:val="1"/>
          <w:bCs w:val="1"/>
          <w:color w:val="auto"/>
        </w:rPr>
      </w:pPr>
      <w:r>
        <w:rPr>
          <w:rFonts w:ascii="Arial" w:cs="Arial" w:eastAsia="Arial" w:hAnsi="Arial"/>
          <w:sz w:val="22"/>
          <w:szCs w:val="22"/>
          <w:b w:val="1"/>
          <w:bCs w:val="1"/>
          <w:color w:val="auto"/>
        </w:rPr>
        <w:t>Trademarks</w:t>
      </w:r>
      <w:r>
        <w:rPr>
          <w:rFonts w:ascii="Arial" w:cs="Arial" w:eastAsia="Arial" w:hAnsi="Arial"/>
          <w:sz w:val="22"/>
          <w:szCs w:val="22"/>
          <w:color w:val="auto"/>
        </w:rPr>
        <w:t>. Except if this Agreement is terminated by Kaken pursuant to Sections 3.2(d), 13.4, 13.5 or</w:t>
      </w:r>
      <w:r>
        <w:rPr>
          <w:rFonts w:ascii="Arial" w:cs="Arial" w:eastAsia="Arial" w:hAnsi="Arial"/>
          <w:sz w:val="22"/>
          <w:szCs w:val="22"/>
          <w:b w:val="1"/>
          <w:bCs w:val="1"/>
          <w:color w:val="auto"/>
        </w:rPr>
        <w:t xml:space="preserve"> </w:t>
      </w:r>
      <w:r>
        <w:rPr>
          <w:rFonts w:ascii="Arial" w:cs="Arial" w:eastAsia="Arial" w:hAnsi="Arial"/>
          <w:sz w:val="22"/>
          <w:szCs w:val="22"/>
          <w:color w:val="auto"/>
        </w:rPr>
        <w:t>15.5(b) or by Spruce pursuant to Section 3.2(d), upon Spruce’s written request, Kaken shall grant to Spruce, effective as of the date of such request, an exclusive, transferable, fully paid-up, royalty free, sublicensable license to use Kaken Product Marks in connection with the Commercialization of Licensed Products in the Kaken Territory (and excluding, for clarity, any Kaken Housemarks).</w:t>
      </w:r>
    </w:p>
    <w:p>
      <w:pPr>
        <w:spacing w:after="0" w:line="181" w:lineRule="exact"/>
        <w:rPr>
          <w:rFonts w:ascii="Arial" w:cs="Arial" w:eastAsia="Arial" w:hAnsi="Arial"/>
          <w:sz w:val="22"/>
          <w:szCs w:val="22"/>
          <w:b w:val="1"/>
          <w:bCs w:val="1"/>
          <w:color w:val="auto"/>
        </w:rPr>
      </w:pPr>
    </w:p>
    <w:p>
      <w:pPr>
        <w:jc w:val="both"/>
        <w:ind w:firstLine="1505"/>
        <w:spacing w:after="0" w:line="273" w:lineRule="auto"/>
        <w:tabs>
          <w:tab w:leader="none" w:pos="1929" w:val="left"/>
        </w:tabs>
        <w:numPr>
          <w:ilvl w:val="0"/>
          <w:numId w:val="115"/>
        </w:numPr>
        <w:rPr>
          <w:rFonts w:ascii="Arial" w:cs="Arial" w:eastAsia="Arial" w:hAnsi="Arial"/>
          <w:sz w:val="19"/>
          <w:szCs w:val="19"/>
          <w:b w:val="1"/>
          <w:bCs w:val="1"/>
          <w:color w:val="auto"/>
        </w:rPr>
      </w:pPr>
      <w:r>
        <w:rPr>
          <w:rFonts w:ascii="Arial" w:cs="Arial" w:eastAsia="Arial" w:hAnsi="Arial"/>
          <w:sz w:val="19"/>
          <w:szCs w:val="19"/>
          <w:b w:val="1"/>
          <w:bCs w:val="1"/>
          <w:color w:val="auto"/>
        </w:rPr>
        <w:t>Transition Assistance</w:t>
      </w:r>
      <w:r>
        <w:rPr>
          <w:rFonts w:ascii="Arial" w:cs="Arial" w:eastAsia="Arial" w:hAnsi="Arial"/>
          <w:sz w:val="19"/>
          <w:szCs w:val="19"/>
          <w:color w:val="auto"/>
        </w:rPr>
        <w:t>. Upon Spruce’s reasonable request, (i) Kaken shall provide such assistance as may</w:t>
      </w:r>
      <w:r>
        <w:rPr>
          <w:rFonts w:ascii="Arial" w:cs="Arial" w:eastAsia="Arial" w:hAnsi="Arial"/>
          <w:sz w:val="19"/>
          <w:szCs w:val="19"/>
          <w:b w:val="1"/>
          <w:bCs w:val="1"/>
          <w:color w:val="auto"/>
        </w:rPr>
        <w:t xml:space="preserve"> </w:t>
      </w:r>
      <w:r>
        <w:rPr>
          <w:rFonts w:ascii="Arial" w:cs="Arial" w:eastAsia="Arial" w:hAnsi="Arial"/>
          <w:sz w:val="19"/>
          <w:szCs w:val="19"/>
          <w:color w:val="auto"/>
        </w:rPr>
        <w:t>be reasonably necessary or useful for Spruce to continue the Development and Commercialization of Licensed Products in the Kaken Territory, to the extent Kaken or its Affiliate is then performing or having performed such activities, including upon the reasonable request of Spruce, assigning (to the extent Kaken has rights to assign) or using Commercially Reasonable Efforts to amend as appropriate any agreements or arrangements Kaken or its Affiliate have with any Third Party for the Development, distribution, sale or otherwise Commercialization of Licensed Products; and (ii) Kaken shall provide Spruce with copies of any promotional and marketing materials generated by or on behalf of Kaken with respect to Licensed Products prior to the effective date of termination. If this Agreement is terminated by Kaken pursuant to Sections 3.2(d), 13.4, 13.5 or 15.5(b) or by Spruce pursuant to Section 3.2(d), Spruce shall bear all costs arising out of any of the transition assistance activities set forth in clause (i) or (ii) performed by Kaken. If this Agreement is terminated by Kaken pursuant to Section 13.2 or by Spruce pursuant to Sections 13.3, 13.4, 13.5 or 15.5(b), Kaken shall bear all costs arising out of any of the transition assistance activities set forth in clause (i) or (ii) performed by Kaken.</w:t>
      </w:r>
    </w:p>
    <w:p>
      <w:pPr>
        <w:spacing w:after="0" w:line="398" w:lineRule="exact"/>
        <w:rPr>
          <w:rFonts w:ascii="Arial" w:cs="Arial" w:eastAsia="Arial" w:hAnsi="Arial"/>
          <w:sz w:val="19"/>
          <w:szCs w:val="19"/>
          <w:b w:val="1"/>
          <w:bCs w:val="1"/>
          <w:color w:val="auto"/>
        </w:rPr>
      </w:pPr>
    </w:p>
    <w:p>
      <w:pPr>
        <w:jc w:val="both"/>
        <w:ind w:firstLine="1505"/>
        <w:spacing w:after="0" w:line="273" w:lineRule="auto"/>
        <w:tabs>
          <w:tab w:leader="none" w:pos="1929" w:val="left"/>
        </w:tabs>
        <w:numPr>
          <w:ilvl w:val="0"/>
          <w:numId w:val="115"/>
        </w:numPr>
        <w:rPr>
          <w:rFonts w:ascii="Arial" w:cs="Arial" w:eastAsia="Arial" w:hAnsi="Arial"/>
          <w:sz w:val="19"/>
          <w:szCs w:val="19"/>
          <w:b w:val="1"/>
          <w:bCs w:val="1"/>
          <w:color w:val="auto"/>
        </w:rPr>
      </w:pPr>
      <w:r>
        <w:rPr>
          <w:rFonts w:ascii="Arial" w:cs="Arial" w:eastAsia="Arial" w:hAnsi="Arial"/>
          <w:sz w:val="19"/>
          <w:szCs w:val="19"/>
          <w:b w:val="1"/>
          <w:bCs w:val="1"/>
          <w:color w:val="auto"/>
        </w:rPr>
        <w:t>Inventory</w:t>
      </w:r>
      <w:r>
        <w:rPr>
          <w:rFonts w:ascii="Arial" w:cs="Arial" w:eastAsia="Arial" w:hAnsi="Arial"/>
          <w:sz w:val="19"/>
          <w:szCs w:val="19"/>
          <w:color w:val="auto"/>
        </w:rPr>
        <w:t>. Spruce shall have the right, but not the obligation, to purchase any and all of the inventory of</w:t>
      </w:r>
      <w:r>
        <w:rPr>
          <w:rFonts w:ascii="Arial" w:cs="Arial" w:eastAsia="Arial" w:hAnsi="Arial"/>
          <w:sz w:val="19"/>
          <w:szCs w:val="19"/>
          <w:b w:val="1"/>
          <w:bCs w:val="1"/>
          <w:color w:val="auto"/>
        </w:rPr>
        <w:t xml:space="preserve"> </w:t>
      </w:r>
      <w:r>
        <w:rPr>
          <w:rFonts w:ascii="Arial" w:cs="Arial" w:eastAsia="Arial" w:hAnsi="Arial"/>
          <w:sz w:val="19"/>
          <w:szCs w:val="19"/>
          <w:color w:val="auto"/>
        </w:rPr>
        <w:t>Licensed Products held by Kaken or its Affiliates as of the date of termination, at a price equal to the Transfer Price paid by Kaken to Spruce (if supplied by Spruce) or Kaken’s manufacturing cost (if manufactured by Kaken or its subcontractor) for such inventory by providing notice to Kaken no later than [***] after the date of termination. If Spruce does not provide such notice to Kaken or does not purchase all of the Inventory of Licensed Product held by Kaken as of the date of termination, Kaken shall also have the right to continue to be permitted to sell such inventory for up to at least [***] after the effective date of termination of this Agreement. Additionally, if this Agreement is terminated by Kaken pursuant to Sections 13.4, 13.5 or 15.5(b) or by Spruce pursuant to Section 3.2(d), upon Kaken’s request, at its sole discretion, Spruce shall re-purchase any and/or all of its inventory of the Licensed Products, at a price equal to the Transfer Price paid by Kaken to Spruce (if supplied by Spruce) or Kaken’s manufacturing cost (if manufactured by Kaken or its subcontractor) therefor. Kaken shall also have the right to continue to be permitted to sell such inventory for up to at least [***] after the effective date of termination of this Agreement.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7" w:name="page208"/>
    <w:bookmarkEnd w:id="207"/>
    <w:p>
      <w:pPr>
        <w:jc w:val="both"/>
        <w:ind w:firstLine="749"/>
        <w:spacing w:after="0" w:line="247" w:lineRule="auto"/>
        <w:rPr>
          <w:sz w:val="20"/>
          <w:szCs w:val="20"/>
          <w:color w:val="auto"/>
        </w:rPr>
      </w:pPr>
      <w:r>
        <w:rPr>
          <w:rFonts w:ascii="Arial" w:cs="Arial" w:eastAsia="Arial" w:hAnsi="Arial"/>
          <w:sz w:val="21"/>
          <w:szCs w:val="21"/>
          <w:b w:val="1"/>
          <w:bCs w:val="1"/>
          <w:color w:val="auto"/>
        </w:rPr>
        <w:t>13.7 Survival</w:t>
      </w:r>
      <w:r>
        <w:rPr>
          <w:rFonts w:ascii="Arial" w:cs="Arial" w:eastAsia="Arial" w:hAnsi="Arial"/>
          <w:sz w:val="21"/>
          <w:szCs w:val="21"/>
          <w:color w:val="auto"/>
        </w:rPr>
        <w:t>. Any expiration or termination of this Agreement shall not affect rights or obligations of the Parties under</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that have accrued prior to the date of expiration or termination. Notwithstanding anything to the contrary, the following provisions shall survive any expiration or termination of this Agreement: Section 2.4, Section 4.4 (to the extent necessary to comply with applicable Laws), Section 9.1, Section 10.6, Section 13.6, this Section 13.7, Section 13.8, Article 8 (to the extent, and with respect to, any payment obligations that have accrued prior to the date of expiration or termination), Article 11, Article 12 (as set forth therein), Article 14, Article 15 and Article 1 (to the extent defined terms therein are referenced in any of the foregoing Sections or Article).</w:t>
      </w:r>
    </w:p>
    <w:p>
      <w:pPr>
        <w:spacing w:after="0" w:line="177" w:lineRule="exact"/>
        <w:rPr>
          <w:sz w:val="20"/>
          <w:szCs w:val="20"/>
          <w:color w:val="auto"/>
        </w:rPr>
      </w:pPr>
    </w:p>
    <w:p>
      <w:pPr>
        <w:ind w:right="100" w:firstLine="749"/>
        <w:spacing w:after="0" w:line="243" w:lineRule="auto"/>
        <w:rPr>
          <w:sz w:val="20"/>
          <w:szCs w:val="20"/>
          <w:color w:val="auto"/>
        </w:rPr>
      </w:pPr>
      <w:r>
        <w:rPr>
          <w:rFonts w:ascii="Arial" w:cs="Arial" w:eastAsia="Arial" w:hAnsi="Arial"/>
          <w:sz w:val="22"/>
          <w:szCs w:val="22"/>
          <w:b w:val="1"/>
          <w:bCs w:val="1"/>
          <w:color w:val="auto"/>
        </w:rPr>
        <w:t>13.8 Termination Not Sole Remedy</w:t>
      </w:r>
      <w:r>
        <w:rPr>
          <w:rFonts w:ascii="Arial" w:cs="Arial" w:eastAsia="Arial" w:hAnsi="Arial"/>
          <w:sz w:val="22"/>
          <w:szCs w:val="22"/>
          <w:color w:val="auto"/>
        </w:rPr>
        <w:t>. Termination is not the sole remedy under this Agreement and, whether or not</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is effected and notwithstanding anything contained in this Agreement to the contrary, all other remedies shall remain available except as agreed to otherwise herein. [***]:</w:t>
      </w:r>
    </w:p>
    <w:p>
      <w:pPr>
        <w:spacing w:after="0" w:line="183" w:lineRule="exact"/>
        <w:rPr>
          <w:sz w:val="20"/>
          <w:szCs w:val="20"/>
          <w:color w:val="auto"/>
        </w:rPr>
      </w:pPr>
    </w:p>
    <w:p>
      <w:pPr>
        <w:ind w:left="1820" w:hanging="315"/>
        <w:spacing w:after="0"/>
        <w:tabs>
          <w:tab w:leader="none" w:pos="1820" w:val="left"/>
        </w:tabs>
        <w:numPr>
          <w:ilvl w:val="0"/>
          <w:numId w:val="116"/>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ind w:left="1820" w:hanging="315"/>
        <w:spacing w:after="0"/>
        <w:tabs>
          <w:tab w:leader="none" w:pos="1820" w:val="left"/>
        </w:tabs>
        <w:numPr>
          <w:ilvl w:val="0"/>
          <w:numId w:val="116"/>
        </w:numPr>
        <w:rPr>
          <w:rFonts w:ascii="Arial" w:cs="Arial" w:eastAsia="Arial" w:hAnsi="Arial"/>
          <w:sz w:val="22"/>
          <w:szCs w:val="22"/>
          <w:b w:val="1"/>
          <w:bCs w:val="1"/>
          <w:color w:val="auto"/>
        </w:rPr>
      </w:pPr>
      <w:r>
        <w:rPr>
          <w:rFonts w:ascii="Arial" w:cs="Arial" w:eastAsia="Arial" w:hAnsi="Arial"/>
          <w:sz w:val="22"/>
          <w:szCs w:val="22"/>
          <w:color w:val="auto"/>
        </w:rPr>
        <w:t>[***]; and</w:t>
      </w:r>
    </w:p>
    <w:p>
      <w:pPr>
        <w:spacing w:after="0" w:line="206" w:lineRule="exact"/>
        <w:rPr>
          <w:rFonts w:ascii="Arial" w:cs="Arial" w:eastAsia="Arial" w:hAnsi="Arial"/>
          <w:sz w:val="22"/>
          <w:szCs w:val="22"/>
          <w:b w:val="1"/>
          <w:bCs w:val="1"/>
          <w:color w:val="auto"/>
        </w:rPr>
      </w:pPr>
    </w:p>
    <w:p>
      <w:pPr>
        <w:ind w:left="1800" w:hanging="295"/>
        <w:spacing w:after="0"/>
        <w:tabs>
          <w:tab w:leader="none" w:pos="1800" w:val="left"/>
        </w:tabs>
        <w:numPr>
          <w:ilvl w:val="0"/>
          <w:numId w:val="116"/>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DISPUTE RESOLUTION</w:t>
      </w:r>
    </w:p>
    <w:p>
      <w:pPr>
        <w:spacing w:after="0" w:line="182"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b w:val="1"/>
          <w:bCs w:val="1"/>
          <w:color w:val="auto"/>
        </w:rPr>
        <w:t>14.1 Disputes; Internal Resolution</w:t>
      </w:r>
      <w:r>
        <w:rPr>
          <w:rFonts w:ascii="Arial" w:cs="Arial" w:eastAsia="Arial" w:hAnsi="Arial"/>
          <w:sz w:val="19"/>
          <w:szCs w:val="19"/>
          <w:color w:val="auto"/>
        </w:rPr>
        <w:t>. The Parties recognize that disputes as to certain matters may from time to time</w:t>
      </w:r>
      <w:r>
        <w:rPr>
          <w:rFonts w:ascii="Arial" w:cs="Arial" w:eastAsia="Arial" w:hAnsi="Arial"/>
          <w:sz w:val="19"/>
          <w:szCs w:val="19"/>
          <w:b w:val="1"/>
          <w:bCs w:val="1"/>
          <w:color w:val="auto"/>
        </w:rPr>
        <w:t xml:space="preserve"> </w:t>
      </w:r>
      <w:r>
        <w:rPr>
          <w:rFonts w:ascii="Arial" w:cs="Arial" w:eastAsia="Arial" w:hAnsi="Arial"/>
          <w:sz w:val="19"/>
          <w:szCs w:val="19"/>
          <w:color w:val="auto"/>
        </w:rPr>
        <w:t>arise that relate to either Party’s rights and/or obligations hereunder. It is the objective of the Parties to establish procedures to facilitate the resolution of disputes arising under this Agreement in an expedient manner by mutual cooperation. To accomplish this objective, the Parties agree that, except as otherwise provided in Section 3.2(d), if a dispute arises under or relates to this Agreement, including, without limitation, any alleged breach under this Agreement or any issue relating to the interpretation or application of this Agreement, and the Parties are unable to resolve such dispute within [***] after such dispute is first identified by either Party in writing to the other, the Parties shall refer such dispute to a senior executive of each of Spruce (or one of its Affiliates) and Kaken (the “</w:t>
      </w:r>
      <w:r>
        <w:rPr>
          <w:rFonts w:ascii="Arial" w:cs="Arial" w:eastAsia="Arial" w:hAnsi="Arial"/>
          <w:sz w:val="19"/>
          <w:szCs w:val="19"/>
          <w:b w:val="1"/>
          <w:bCs w:val="1"/>
          <w:color w:val="auto"/>
        </w:rPr>
        <w:t>Executive Officers</w:t>
      </w:r>
      <w:r>
        <w:rPr>
          <w:rFonts w:ascii="Arial" w:cs="Arial" w:eastAsia="Arial" w:hAnsi="Arial"/>
          <w:sz w:val="19"/>
          <w:szCs w:val="19"/>
          <w:color w:val="auto"/>
        </w:rPr>
        <w:t>”) for attempted resolution by good faith negotiations within [***] after notice referring to the dispute is received. If the dispute is not resolved within such [***], then the dispute shall be resolved by arbitration in accordance with Section 14.2 and thereafter neither Party shall have any further obligation under this Section 14.1. Notwithstanding the foregoing, and without waiting for the expiration of any such [***] periods, each Party shall each have the right to apply to any court of competent jurisdiction for appropriate interim or provisional relief, as necessary to protect the rights or property of such Party.</w:t>
      </w:r>
    </w:p>
    <w:p>
      <w:pPr>
        <w:spacing w:after="0" w:line="200" w:lineRule="exact"/>
        <w:rPr>
          <w:sz w:val="20"/>
          <w:szCs w:val="20"/>
          <w:color w:val="auto"/>
        </w:rPr>
      </w:pPr>
    </w:p>
    <w:p>
      <w:pPr>
        <w:spacing w:after="0" w:line="204"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21"/>
          <w:szCs w:val="21"/>
          <w:b w:val="1"/>
          <w:bCs w:val="1"/>
          <w:color w:val="auto"/>
        </w:rPr>
        <w:t>14.2 Arbitration</w:t>
      </w:r>
      <w:r>
        <w:rPr>
          <w:rFonts w:ascii="Arial" w:cs="Arial" w:eastAsia="Arial" w:hAnsi="Arial"/>
          <w:sz w:val="21"/>
          <w:szCs w:val="21"/>
          <w:color w:val="auto"/>
        </w:rPr>
        <w:t>. All disputes arising out of or in connection with this Agreement, including any questions regarding its</w:t>
      </w:r>
      <w:r>
        <w:rPr>
          <w:rFonts w:ascii="Arial" w:cs="Arial" w:eastAsia="Arial" w:hAnsi="Arial"/>
          <w:sz w:val="21"/>
          <w:szCs w:val="21"/>
          <w:b w:val="1"/>
          <w:bCs w:val="1"/>
          <w:color w:val="auto"/>
        </w:rPr>
        <w:t xml:space="preserve"> </w:t>
      </w:r>
      <w:r>
        <w:rPr>
          <w:rFonts w:ascii="Arial" w:cs="Arial" w:eastAsia="Arial" w:hAnsi="Arial"/>
          <w:sz w:val="21"/>
          <w:szCs w:val="21"/>
          <w:color w:val="auto"/>
        </w:rPr>
        <w:t>formation, existence, validity or termination, or the scope or applicability of this agreement to arbitrate, shall be finally settled under the Rules of Arbitration of the International Chamber of Commerce (“</w:t>
      </w:r>
      <w:r>
        <w:rPr>
          <w:rFonts w:ascii="Arial" w:cs="Arial" w:eastAsia="Arial" w:hAnsi="Arial"/>
          <w:sz w:val="21"/>
          <w:szCs w:val="21"/>
          <w:b w:val="1"/>
          <w:bCs w:val="1"/>
          <w:color w:val="auto"/>
        </w:rPr>
        <w:t>ICC</w:t>
      </w:r>
      <w:r>
        <w:rPr>
          <w:rFonts w:ascii="Arial" w:cs="Arial" w:eastAsia="Arial" w:hAnsi="Arial"/>
          <w:sz w:val="21"/>
          <w:szCs w:val="21"/>
          <w:color w:val="auto"/>
        </w:rPr>
        <w:t>”) by a tribunal comprised of three (3) arbitrators. Each Party shall nominate one arbitrator and the two Party-nominated arbitrators shall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8" w:name="page209"/>
    <w:bookmarkEnd w:id="208"/>
    <w:p>
      <w:pPr>
        <w:spacing w:after="0"/>
        <w:rPr>
          <w:sz w:val="20"/>
          <w:szCs w:val="20"/>
          <w:color w:val="auto"/>
        </w:rPr>
      </w:pPr>
      <w:r>
        <w:rPr>
          <w:rFonts w:ascii="Arial" w:cs="Arial" w:eastAsia="Arial" w:hAnsi="Arial"/>
          <w:sz w:val="19"/>
          <w:szCs w:val="19"/>
          <w:color w:val="auto"/>
        </w:rPr>
        <w:t>nominate the third arbitrator, who shall serve as the presiding arbitrator, within [***] after the second arbitrator’s appointment.</w:t>
      </w:r>
    </w:p>
    <w:p>
      <w:pPr>
        <w:spacing w:after="0" w:line="241" w:lineRule="exact"/>
        <w:rPr>
          <w:sz w:val="20"/>
          <w:szCs w:val="20"/>
          <w:color w:val="auto"/>
        </w:rPr>
      </w:pPr>
    </w:p>
    <w:p>
      <w:pPr>
        <w:jc w:val="both"/>
        <w:ind w:firstLine="1505"/>
        <w:spacing w:after="0"/>
        <w:tabs>
          <w:tab w:leader="none" w:pos="1929" w:val="left"/>
        </w:tabs>
        <w:numPr>
          <w:ilvl w:val="0"/>
          <w:numId w:val="117"/>
        </w:numPr>
        <w:rPr>
          <w:rFonts w:ascii="Arial" w:cs="Arial" w:eastAsia="Arial" w:hAnsi="Arial"/>
          <w:sz w:val="22"/>
          <w:szCs w:val="22"/>
          <w:b w:val="1"/>
          <w:bCs w:val="1"/>
          <w:color w:val="auto"/>
        </w:rPr>
      </w:pPr>
      <w:r>
        <w:rPr>
          <w:rFonts w:ascii="Arial" w:cs="Arial" w:eastAsia="Arial" w:hAnsi="Arial"/>
          <w:sz w:val="22"/>
          <w:szCs w:val="22"/>
          <w:color w:val="auto"/>
        </w:rPr>
        <w:t>The seat, or legal place, of arbitration shall be New York, New York. The language of the arbitration shall be English. The arbitral award shall be final and binding on the Parties, and the Parties undertake to carry out any award without delay. Judgment on the award may be entered in any court of competent jurisdiction.</w:t>
      </w:r>
    </w:p>
    <w:p>
      <w:pPr>
        <w:spacing w:after="0" w:line="186" w:lineRule="exact"/>
        <w:rPr>
          <w:rFonts w:ascii="Arial" w:cs="Arial" w:eastAsia="Arial" w:hAnsi="Arial"/>
          <w:sz w:val="22"/>
          <w:szCs w:val="22"/>
          <w:b w:val="1"/>
          <w:bCs w:val="1"/>
          <w:color w:val="auto"/>
        </w:rPr>
      </w:pPr>
    </w:p>
    <w:p>
      <w:pPr>
        <w:jc w:val="both"/>
        <w:ind w:firstLine="1505"/>
        <w:spacing w:after="0"/>
        <w:tabs>
          <w:tab w:leader="none" w:pos="1929" w:val="left"/>
        </w:tabs>
        <w:numPr>
          <w:ilvl w:val="0"/>
          <w:numId w:val="117"/>
        </w:numPr>
        <w:rPr>
          <w:rFonts w:ascii="Arial" w:cs="Arial" w:eastAsia="Arial" w:hAnsi="Arial"/>
          <w:sz w:val="22"/>
          <w:szCs w:val="22"/>
          <w:b w:val="1"/>
          <w:bCs w:val="1"/>
          <w:color w:val="auto"/>
        </w:rPr>
      </w:pPr>
      <w:r>
        <w:rPr>
          <w:rFonts w:ascii="Arial" w:cs="Arial" w:eastAsia="Arial" w:hAnsi="Arial"/>
          <w:sz w:val="22"/>
          <w:szCs w:val="22"/>
          <w:color w:val="auto"/>
        </w:rPr>
        <w:t>Each Party retains the right to apply to any court of competent jurisdiction for interim and/or conservatory measures, including pre-arbitral attachments or preliminary injunctions, and any such request shall not be deemed incompatible with, or a waiver of, this agreement to arbitrate.</w:t>
      </w:r>
    </w:p>
    <w:p>
      <w:pPr>
        <w:spacing w:after="0" w:line="186" w:lineRule="exact"/>
        <w:rPr>
          <w:rFonts w:ascii="Arial" w:cs="Arial" w:eastAsia="Arial" w:hAnsi="Arial"/>
          <w:sz w:val="22"/>
          <w:szCs w:val="22"/>
          <w:b w:val="1"/>
          <w:bCs w:val="1"/>
          <w:color w:val="auto"/>
        </w:rPr>
      </w:pPr>
    </w:p>
    <w:p>
      <w:pPr>
        <w:jc w:val="both"/>
        <w:ind w:firstLine="1505"/>
        <w:spacing w:after="0" w:line="248" w:lineRule="auto"/>
        <w:tabs>
          <w:tab w:leader="none" w:pos="1929" w:val="left"/>
        </w:tabs>
        <w:numPr>
          <w:ilvl w:val="0"/>
          <w:numId w:val="117"/>
        </w:numPr>
        <w:rPr>
          <w:rFonts w:ascii="Arial" w:cs="Arial" w:eastAsia="Arial" w:hAnsi="Arial"/>
          <w:sz w:val="21"/>
          <w:szCs w:val="21"/>
          <w:b w:val="1"/>
          <w:bCs w:val="1"/>
          <w:color w:val="auto"/>
        </w:rPr>
      </w:pPr>
      <w:r>
        <w:rPr>
          <w:rFonts w:ascii="Arial" w:cs="Arial" w:eastAsia="Arial" w:hAnsi="Arial"/>
          <w:sz w:val="21"/>
          <w:szCs w:val="21"/>
          <w:color w:val="auto"/>
        </w:rPr>
        <w:t>The existence and content of the arbitral proceedings and any rulings or awards shall be kept confidential by the Parties and members of the arbitral tribunal except (i) to the extent that disclosure may be required of a Party to fulfill a legal duty, protect or pursue a legal right, or enforce or challenge an award in bona fide legal proceedings before a state court or other judicial authority, (ii) with the consent of all Parties, (iii) where needed for the preparation or presentation of a claim or defense in this arbitration, (iv) where such information is already in the public domain other than as a result of a breach of this clause, or (v) by order of the arbitral tribunal upon application of a Party.</w:t>
      </w:r>
    </w:p>
    <w:p>
      <w:pPr>
        <w:spacing w:after="0" w:line="171"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14.3 Governing Law</w:t>
      </w:r>
      <w:r>
        <w:rPr>
          <w:rFonts w:ascii="Arial" w:cs="Arial" w:eastAsia="Arial" w:hAnsi="Arial"/>
          <w:sz w:val="22"/>
          <w:szCs w:val="22"/>
          <w:color w:val="auto"/>
        </w:rPr>
        <w:t>. This Agreement shall be governed by and construed under, and all disputes arising under or in</w:t>
      </w:r>
      <w:r>
        <w:rPr>
          <w:rFonts w:ascii="Arial" w:cs="Arial" w:eastAsia="Arial" w:hAnsi="Arial"/>
          <w:sz w:val="22"/>
          <w:szCs w:val="22"/>
          <w:b w:val="1"/>
          <w:bCs w:val="1"/>
          <w:color w:val="auto"/>
        </w:rPr>
        <w:t xml:space="preserve"> </w:t>
      </w:r>
      <w:r>
        <w:rPr>
          <w:rFonts w:ascii="Arial" w:cs="Arial" w:eastAsia="Arial" w:hAnsi="Arial"/>
          <w:sz w:val="22"/>
          <w:szCs w:val="22"/>
          <w:color w:val="auto"/>
        </w:rPr>
        <w:t>connection with this Agreement shall be resolved in accordance with, the laws of the State of New York, without giving effect to any choice of law rules or principles. The United Nations Convention on International Contracts on the Sale of Goods does not apply to this Agreement and is expressly and entirely excluded.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182"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b w:val="1"/>
          <w:bCs w:val="1"/>
          <w:color w:val="auto"/>
        </w:rPr>
        <w:t>15.1 Entire Agreement; Amendment</w:t>
      </w:r>
      <w:r>
        <w:rPr>
          <w:rFonts w:ascii="Arial" w:cs="Arial" w:eastAsia="Arial" w:hAnsi="Arial"/>
          <w:sz w:val="19"/>
          <w:szCs w:val="19"/>
          <w:color w:val="auto"/>
        </w:rPr>
        <w:t>. This Agreement, including the Exhibits hereto, sets forth the complete, final and</w:t>
      </w:r>
      <w:r>
        <w:rPr>
          <w:rFonts w:ascii="Arial" w:cs="Arial" w:eastAsia="Arial" w:hAnsi="Arial"/>
          <w:sz w:val="19"/>
          <w:szCs w:val="19"/>
          <w:b w:val="1"/>
          <w:bCs w:val="1"/>
          <w:color w:val="auto"/>
        </w:rPr>
        <w:t xml:space="preserve"> </w:t>
      </w:r>
      <w:r>
        <w:rPr>
          <w:rFonts w:ascii="Arial" w:cs="Arial" w:eastAsia="Arial" w:hAnsi="Arial"/>
          <w:sz w:val="19"/>
          <w:szCs w:val="19"/>
          <w:color w:val="auto"/>
        </w:rPr>
        <w:t>exclusive agreement and all the covenants, promises, agreements, warranties, representations, conditions and understandings between the Parties hereto with respect to the subject matter hereof and supersedes, as of the Effective Date, all prior and contemporaneous agreements and understandings between the Parties with respect to the subject matter hereof, including the Confidentiality Agreement. The foregoing shall not be interpreted as a waiver of any remedies available to either Party as a result of any breach, prior to the Effective Date, by the other Party of its obligations under the Confidentiality Agreement. There are no covenants, promises, agreements, warranties, representations, conditions or understandings, either oral or written, between the Parties other than as are set forth in this Agreement. No subsequent alteration, amendment, change or addition to this Agreement shall be binding upon the Parties unless reduced to writing and signed by an authorized officer of each Party.</w:t>
      </w:r>
    </w:p>
    <w:p>
      <w:pPr>
        <w:spacing w:after="0" w:line="150"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15.2 Force Majeure</w:t>
      </w:r>
      <w:r>
        <w:rPr>
          <w:rFonts w:ascii="Arial" w:cs="Arial" w:eastAsia="Arial" w:hAnsi="Arial"/>
          <w:sz w:val="22"/>
          <w:szCs w:val="22"/>
          <w:color w:val="auto"/>
        </w:rPr>
        <w:t>. Both Parties shall be excused from the performance of their obligations under this Agreement to</w:t>
      </w:r>
      <w:r>
        <w:rPr>
          <w:rFonts w:ascii="Arial" w:cs="Arial" w:eastAsia="Arial" w:hAnsi="Arial"/>
          <w:sz w:val="22"/>
          <w:szCs w:val="22"/>
          <w:b w:val="1"/>
          <w:bCs w:val="1"/>
          <w:color w:val="auto"/>
        </w:rPr>
        <w:t xml:space="preserve"> </w:t>
      </w:r>
      <w:r>
        <w:rPr>
          <w:rFonts w:ascii="Arial" w:cs="Arial" w:eastAsia="Arial" w:hAnsi="Arial"/>
          <w:sz w:val="22"/>
          <w:szCs w:val="22"/>
          <w:color w:val="auto"/>
        </w:rPr>
        <w:t>the extent that such performance is prevented by force majeure and the nonperforming Party promptly provides notice of the prevention to the other Party. Such</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9" w:name="page210"/>
    <w:bookmarkEnd w:id="209"/>
    <w:p>
      <w:pPr>
        <w:jc w:val="both"/>
        <w:spacing w:after="0" w:line="274" w:lineRule="auto"/>
        <w:rPr>
          <w:sz w:val="20"/>
          <w:szCs w:val="20"/>
          <w:color w:val="auto"/>
        </w:rPr>
      </w:pPr>
      <w:r>
        <w:rPr>
          <w:rFonts w:ascii="Arial" w:cs="Arial" w:eastAsia="Arial" w:hAnsi="Arial"/>
          <w:sz w:val="19"/>
          <w:szCs w:val="19"/>
          <w:color w:val="auto"/>
        </w:rPr>
        <w:t>excuse shall be continued only for so long as (a) the condition constituting force majeure continues and (b) the nonperforming Party takes all reasonable efforts to remove the condition. For purposes of this Agreement, force majeure shall include conditions beyond the reasonable control of the applicable Party, which may include an act of God, war, civil commotion, terrorist act, epidemic, failure or default of public utilities or common carriers, destruction of production facilities or materials by fire, earthquake, storm or like catastrophe, action or inaction of any Governmental Authority (including export controls), and failure of plant or machinery. Notwithstanding the foregoing, a Party shall not be excused from making payments owed hereunder because of a force majeure affecting such Party, but specifically excluding a labor strike by a Party’s employees or a lock-out of a Party’s employees. If a force majeure persists for more than [***], then the Parties will discuss in good faith the modification of the Parties’ obligations under this Agreement in order to mitigate the delays caused by such force majeure.</w:t>
      </w:r>
    </w:p>
    <w:p>
      <w:pPr>
        <w:spacing w:after="0" w:line="152"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9"/>
          <w:szCs w:val="19"/>
          <w:b w:val="1"/>
          <w:bCs w:val="1"/>
          <w:color w:val="auto"/>
        </w:rPr>
        <w:t>15.3 Notices</w:t>
      </w:r>
      <w:r>
        <w:rPr>
          <w:rFonts w:ascii="Arial" w:cs="Arial" w:eastAsia="Arial" w:hAnsi="Arial"/>
          <w:sz w:val="19"/>
          <w:szCs w:val="19"/>
          <w:color w:val="auto"/>
        </w:rPr>
        <w:t>. Any notice required or permitted to be given under this Agreement shall be in writing, shall specifically</w:t>
      </w:r>
      <w:r>
        <w:rPr>
          <w:rFonts w:ascii="Arial" w:cs="Arial" w:eastAsia="Arial" w:hAnsi="Arial"/>
          <w:sz w:val="19"/>
          <w:szCs w:val="19"/>
          <w:b w:val="1"/>
          <w:bCs w:val="1"/>
          <w:color w:val="auto"/>
        </w:rPr>
        <w:t xml:space="preserve"> </w:t>
      </w:r>
      <w:r>
        <w:rPr>
          <w:rFonts w:ascii="Arial" w:cs="Arial" w:eastAsia="Arial" w:hAnsi="Arial"/>
          <w:sz w:val="19"/>
          <w:szCs w:val="19"/>
          <w:color w:val="auto"/>
        </w:rPr>
        <w:t>refer to this Agreement, and shall be addressed to the appropriate Party at the address specified below or such other address as may be specified by such Party in writing in accordance with this Section 15.3, and shall be deemed to have been given for all purposes (a) when received, if hand-delivered or sent by a reputable courier service, or (b) five (5) Business Days after mailing, if mailed by first class certified or registered airmail, postage prepaid, return receipt requested.</w:t>
      </w:r>
    </w:p>
    <w:p>
      <w:pPr>
        <w:spacing w:after="0" w:line="149" w:lineRule="exact"/>
        <w:rPr>
          <w:sz w:val="20"/>
          <w:szCs w:val="20"/>
          <w:color w:val="auto"/>
        </w:rPr>
      </w:pPr>
    </w:p>
    <w:p>
      <w:pPr>
        <w:ind w:left="760"/>
        <w:spacing w:after="0"/>
        <w:tabs>
          <w:tab w:leader="none" w:pos="2040" w:val="left"/>
        </w:tabs>
        <w:rPr>
          <w:sz w:val="20"/>
          <w:szCs w:val="20"/>
          <w:color w:val="auto"/>
        </w:rPr>
      </w:pPr>
      <w:r>
        <w:rPr>
          <w:rFonts w:ascii="Arial" w:cs="Arial" w:eastAsia="Arial" w:hAnsi="Arial"/>
          <w:sz w:val="22"/>
          <w:szCs w:val="22"/>
          <w:color w:val="auto"/>
        </w:rPr>
        <w:t>If to Spruce:</w:t>
      </w:r>
      <w:r>
        <w:rPr>
          <w:sz w:val="20"/>
          <w:szCs w:val="20"/>
          <w:color w:val="auto"/>
        </w:rPr>
        <w:tab/>
      </w:r>
      <w:r>
        <w:rPr>
          <w:rFonts w:ascii="Arial" w:cs="Arial" w:eastAsia="Arial" w:hAnsi="Arial"/>
          <w:sz w:val="19"/>
          <w:szCs w:val="19"/>
          <w:color w:val="auto"/>
        </w:rPr>
        <w:t>Spruce Biosciences, Inc.</w:t>
      </w:r>
    </w:p>
    <w:p>
      <w:pPr>
        <w:ind w:left="3580"/>
        <w:spacing w:after="0" w:line="238" w:lineRule="auto"/>
        <w:rPr>
          <w:sz w:val="20"/>
          <w:szCs w:val="20"/>
          <w:color w:val="auto"/>
        </w:rPr>
      </w:pPr>
      <w:r>
        <w:rPr>
          <w:rFonts w:ascii="Arial" w:cs="Arial" w:eastAsia="Arial" w:hAnsi="Arial"/>
          <w:sz w:val="22"/>
          <w:szCs w:val="22"/>
          <w:color w:val="auto"/>
        </w:rPr>
        <w:t>611 Gateway Boulevard</w:t>
      </w:r>
    </w:p>
    <w:p>
      <w:pPr>
        <w:ind w:left="3580"/>
        <w:spacing w:after="0" w:line="230" w:lineRule="auto"/>
        <w:rPr>
          <w:sz w:val="20"/>
          <w:szCs w:val="20"/>
          <w:color w:val="auto"/>
        </w:rPr>
      </w:pPr>
      <w:r>
        <w:rPr>
          <w:rFonts w:ascii="Arial" w:cs="Arial" w:eastAsia="Arial" w:hAnsi="Arial"/>
          <w:sz w:val="22"/>
          <w:szCs w:val="22"/>
          <w:color w:val="auto"/>
        </w:rPr>
        <w:t>Suite 740</w:t>
      </w:r>
    </w:p>
    <w:p>
      <w:pPr>
        <w:ind w:left="3580"/>
        <w:spacing w:after="0" w:line="231" w:lineRule="auto"/>
        <w:rPr>
          <w:sz w:val="20"/>
          <w:szCs w:val="20"/>
          <w:color w:val="auto"/>
        </w:rPr>
      </w:pPr>
      <w:r>
        <w:rPr>
          <w:rFonts w:ascii="Arial" w:cs="Arial" w:eastAsia="Arial" w:hAnsi="Arial"/>
          <w:sz w:val="22"/>
          <w:szCs w:val="22"/>
          <w:color w:val="auto"/>
        </w:rPr>
        <w:t>South San Francisco, California 94080</w:t>
      </w:r>
    </w:p>
    <w:p>
      <w:pPr>
        <w:ind w:left="3580"/>
        <w:spacing w:after="0"/>
        <w:rPr>
          <w:sz w:val="20"/>
          <w:szCs w:val="20"/>
          <w:color w:val="auto"/>
        </w:rPr>
      </w:pPr>
      <w:r>
        <w:rPr>
          <w:rFonts w:ascii="Arial" w:cs="Arial" w:eastAsia="Arial" w:hAnsi="Arial"/>
          <w:sz w:val="22"/>
          <w:szCs w:val="22"/>
          <w:color w:val="auto"/>
        </w:rPr>
        <w:t>USA</w:t>
      </w:r>
    </w:p>
    <w:p>
      <w:pPr>
        <w:spacing w:after="0" w:line="215"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Attn: Chief Financial Officer</w:t>
      </w:r>
    </w:p>
    <w:p>
      <w:pPr>
        <w:spacing w:after="0" w:line="200" w:lineRule="exact"/>
        <w:rPr>
          <w:sz w:val="20"/>
          <w:szCs w:val="20"/>
          <w:color w:val="auto"/>
        </w:rPr>
      </w:pPr>
    </w:p>
    <w:p>
      <w:pPr>
        <w:spacing w:after="0" w:line="27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with copies to (which shall not constitute notice):</w:t>
      </w:r>
    </w:p>
    <w:p>
      <w:pPr>
        <w:spacing w:after="0" w:line="23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Cooley LLP</w:t>
      </w:r>
    </w:p>
    <w:p>
      <w:pPr>
        <w:ind w:left="3580"/>
        <w:spacing w:after="0" w:line="238" w:lineRule="auto"/>
        <w:rPr>
          <w:sz w:val="20"/>
          <w:szCs w:val="20"/>
          <w:color w:val="auto"/>
        </w:rPr>
      </w:pPr>
      <w:r>
        <w:rPr>
          <w:rFonts w:ascii="Arial" w:cs="Arial" w:eastAsia="Arial" w:hAnsi="Arial"/>
          <w:sz w:val="22"/>
          <w:szCs w:val="22"/>
          <w:color w:val="auto"/>
        </w:rPr>
        <w:t>500 Boylston Street</w:t>
      </w:r>
    </w:p>
    <w:p>
      <w:pPr>
        <w:ind w:left="3580"/>
        <w:spacing w:after="0" w:line="230" w:lineRule="auto"/>
        <w:rPr>
          <w:sz w:val="20"/>
          <w:szCs w:val="20"/>
          <w:color w:val="auto"/>
        </w:rPr>
      </w:pPr>
      <w:r>
        <w:rPr>
          <w:rFonts w:ascii="Arial" w:cs="Arial" w:eastAsia="Arial" w:hAnsi="Arial"/>
          <w:sz w:val="22"/>
          <w:szCs w:val="22"/>
          <w:color w:val="auto"/>
        </w:rPr>
        <w:t>Boston, MA 02116-3737</w:t>
      </w:r>
    </w:p>
    <w:p>
      <w:pPr>
        <w:ind w:left="3580"/>
        <w:spacing w:after="0" w:line="231" w:lineRule="auto"/>
        <w:rPr>
          <w:sz w:val="20"/>
          <w:szCs w:val="20"/>
          <w:color w:val="auto"/>
        </w:rPr>
      </w:pPr>
      <w:r>
        <w:rPr>
          <w:rFonts w:ascii="Arial" w:cs="Arial" w:eastAsia="Arial" w:hAnsi="Arial"/>
          <w:sz w:val="22"/>
          <w:szCs w:val="22"/>
          <w:color w:val="auto"/>
        </w:rPr>
        <w:t>USA</w:t>
      </w:r>
    </w:p>
    <w:p>
      <w:pPr>
        <w:ind w:left="440"/>
        <w:spacing w:after="0"/>
        <w:rPr>
          <w:sz w:val="20"/>
          <w:szCs w:val="20"/>
          <w:color w:val="auto"/>
        </w:rPr>
      </w:pPr>
      <w:r>
        <w:rPr>
          <w:rFonts w:ascii="Arial" w:cs="Arial" w:eastAsia="Arial" w:hAnsi="Arial"/>
          <w:sz w:val="22"/>
          <w:szCs w:val="22"/>
          <w:color w:val="auto"/>
        </w:rPr>
        <w:t>Attn: [***]</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60"/>
        <w:spacing w:after="0"/>
        <w:tabs>
          <w:tab w:leader="none" w:pos="2040" w:val="left"/>
        </w:tabs>
        <w:rPr>
          <w:sz w:val="20"/>
          <w:szCs w:val="20"/>
          <w:color w:val="auto"/>
        </w:rPr>
      </w:pPr>
      <w:r>
        <w:rPr>
          <w:rFonts w:ascii="Arial" w:cs="Arial" w:eastAsia="Arial" w:hAnsi="Arial"/>
          <w:sz w:val="22"/>
          <w:szCs w:val="22"/>
          <w:color w:val="auto"/>
        </w:rPr>
        <w:t>If to Kaken:</w:t>
      </w:r>
      <w:r>
        <w:rPr>
          <w:sz w:val="20"/>
          <w:szCs w:val="20"/>
          <w:color w:val="auto"/>
        </w:rPr>
        <w:tab/>
      </w:r>
      <w:r>
        <w:rPr>
          <w:rFonts w:ascii="Arial" w:cs="Arial" w:eastAsia="Arial" w:hAnsi="Arial"/>
          <w:sz w:val="19"/>
          <w:szCs w:val="19"/>
          <w:color w:val="auto"/>
        </w:rPr>
        <w:t>Kaken Pharmaceutical Co., LTD.</w:t>
      </w:r>
    </w:p>
    <w:p>
      <w:pPr>
        <w:ind w:left="3560"/>
        <w:spacing w:after="0" w:line="238" w:lineRule="auto"/>
        <w:rPr>
          <w:sz w:val="20"/>
          <w:szCs w:val="20"/>
          <w:color w:val="auto"/>
        </w:rPr>
      </w:pPr>
      <w:r>
        <w:rPr>
          <w:rFonts w:ascii="Arial" w:cs="Arial" w:eastAsia="Arial" w:hAnsi="Arial"/>
          <w:sz w:val="22"/>
          <w:szCs w:val="22"/>
          <w:color w:val="auto"/>
        </w:rPr>
        <w:t>28-8, Honkomagome 2-chome</w:t>
      </w:r>
    </w:p>
    <w:p>
      <w:pPr>
        <w:ind w:left="3560"/>
        <w:spacing w:after="0" w:line="230" w:lineRule="auto"/>
        <w:rPr>
          <w:sz w:val="20"/>
          <w:szCs w:val="20"/>
          <w:color w:val="auto"/>
        </w:rPr>
      </w:pPr>
      <w:r>
        <w:rPr>
          <w:rFonts w:ascii="Arial" w:cs="Arial" w:eastAsia="Arial" w:hAnsi="Arial"/>
          <w:sz w:val="22"/>
          <w:szCs w:val="22"/>
          <w:color w:val="auto"/>
        </w:rPr>
        <w:t>Bunkyo-ku, Tokyo 113-8650</w:t>
      </w:r>
    </w:p>
    <w:p>
      <w:pPr>
        <w:spacing w:after="0" w:line="1"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Japan</w:t>
      </w:r>
    </w:p>
    <w:p>
      <w:pPr>
        <w:spacing w:after="0" w:line="21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Attn: Business Development Department</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0" w:name="page211"/>
    <w:bookmarkEnd w:id="210"/>
    <w:p>
      <w:pPr>
        <w:ind w:left="760"/>
        <w:spacing w:after="0"/>
        <w:rPr>
          <w:sz w:val="20"/>
          <w:szCs w:val="20"/>
          <w:color w:val="auto"/>
        </w:rPr>
      </w:pPr>
      <w:r>
        <w:rPr>
          <w:rFonts w:ascii="Arial" w:cs="Arial" w:eastAsia="Arial" w:hAnsi="Arial"/>
          <w:sz w:val="22"/>
          <w:szCs w:val="22"/>
          <w:color w:val="auto"/>
        </w:rPr>
        <w:t>with copies to (which shall not constitute notice):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Squire Gaikokuho Kyodo Jigyo Horitsu Jimusho</w:t>
      </w:r>
    </w:p>
    <w:p>
      <w:pPr>
        <w:ind w:left="3560"/>
        <w:spacing w:after="0" w:line="197" w:lineRule="auto"/>
        <w:rPr>
          <w:sz w:val="20"/>
          <w:szCs w:val="20"/>
          <w:color w:val="auto"/>
        </w:rPr>
      </w:pPr>
      <w:r>
        <w:rPr>
          <w:rFonts w:ascii="Arial" w:cs="Arial" w:eastAsia="Arial" w:hAnsi="Arial"/>
          <w:sz w:val="22"/>
          <w:szCs w:val="22"/>
          <w:color w:val="auto"/>
        </w:rPr>
        <w:t>Ebisu Prime Square Tower, 16</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3560"/>
        <w:spacing w:after="0" w:line="230" w:lineRule="auto"/>
        <w:rPr>
          <w:sz w:val="20"/>
          <w:szCs w:val="20"/>
          <w:color w:val="auto"/>
        </w:rPr>
      </w:pPr>
      <w:r>
        <w:rPr>
          <w:rFonts w:ascii="Arial" w:cs="Arial" w:eastAsia="Arial" w:hAnsi="Arial"/>
          <w:sz w:val="22"/>
          <w:szCs w:val="22"/>
          <w:color w:val="auto"/>
        </w:rPr>
        <w:t>1-1-39 Hiroo, Shibuya-ku Tokyo 150-0012</w:t>
      </w:r>
    </w:p>
    <w:p>
      <w:pPr>
        <w:ind w:left="3560"/>
        <w:spacing w:after="0" w:line="231" w:lineRule="auto"/>
        <w:rPr>
          <w:sz w:val="20"/>
          <w:szCs w:val="20"/>
          <w:color w:val="auto"/>
        </w:rPr>
      </w:pPr>
      <w:r>
        <w:rPr>
          <w:rFonts w:ascii="Arial" w:cs="Arial" w:eastAsia="Arial" w:hAnsi="Arial"/>
          <w:sz w:val="22"/>
          <w:szCs w:val="22"/>
          <w:color w:val="auto"/>
        </w:rPr>
        <w:t>Japan</w:t>
      </w:r>
    </w:p>
    <w:p>
      <w:pPr>
        <w:ind w:left="3560"/>
        <w:spacing w:after="0"/>
        <w:rPr>
          <w:sz w:val="20"/>
          <w:szCs w:val="20"/>
          <w:color w:val="auto"/>
        </w:rPr>
      </w:pPr>
      <w:r>
        <w:rPr>
          <w:rFonts w:ascii="Arial" w:cs="Arial" w:eastAsia="Arial" w:hAnsi="Arial"/>
          <w:sz w:val="22"/>
          <w:szCs w:val="22"/>
          <w:color w:val="auto"/>
        </w:rPr>
        <w:t>Attn: [***]</w:t>
      </w:r>
    </w:p>
    <w:p>
      <w:pPr>
        <w:spacing w:after="0" w:line="200" w:lineRule="exact"/>
        <w:rPr>
          <w:sz w:val="20"/>
          <w:szCs w:val="20"/>
          <w:color w:val="auto"/>
        </w:rPr>
      </w:pPr>
    </w:p>
    <w:p>
      <w:pPr>
        <w:spacing w:after="0" w:line="252"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9"/>
          <w:szCs w:val="19"/>
          <w:b w:val="1"/>
          <w:bCs w:val="1"/>
          <w:color w:val="auto"/>
        </w:rPr>
        <w:t xml:space="preserve">15.4 No Strict Construction; Headings </w:t>
      </w:r>
      <w:r>
        <w:rPr>
          <w:rFonts w:ascii="Arial" w:cs="Arial" w:eastAsia="Arial" w:hAnsi="Arial"/>
          <w:sz w:val="19"/>
          <w:szCs w:val="19"/>
          <w:color w:val="auto"/>
        </w:rPr>
        <w:t>. This Agreement has been prepared jointly by the Parties and shall not be</w:t>
      </w:r>
      <w:r>
        <w:rPr>
          <w:rFonts w:ascii="Arial" w:cs="Arial" w:eastAsia="Arial" w:hAnsi="Arial"/>
          <w:sz w:val="19"/>
          <w:szCs w:val="19"/>
          <w:b w:val="1"/>
          <w:bCs w:val="1"/>
          <w:color w:val="auto"/>
        </w:rPr>
        <w:t xml:space="preserve"> </w:t>
      </w:r>
      <w:r>
        <w:rPr>
          <w:rFonts w:ascii="Arial" w:cs="Arial" w:eastAsia="Arial" w:hAnsi="Arial"/>
          <w:sz w:val="19"/>
          <w:szCs w:val="19"/>
          <w:color w:val="auto"/>
        </w:rPr>
        <w:t>strictly construed against either Party. Ambiguities, if any, in this Agreement shall not be construed against any Party, irrespective of which Party may be deemed to have authored the ambiguous provision. The headings of each Article and Section in this Agreement have been inserted for convenience of reference only and are not intended to limit or expand on the meaning of the language contained in the particular Article or Section. Except where the context otherwise requires, the use of any gender shall be applicable to all genders, and the word “or” is used in the inclusive sense (and/or). The term “including” as used herein means including, without limiting the generality of any description preceding such term</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15.5 Assignment; Change of Control</w:t>
      </w:r>
      <w:r>
        <w:rPr>
          <w:rFonts w:ascii="Arial" w:cs="Arial" w:eastAsia="Arial" w:hAnsi="Arial"/>
          <w:sz w:val="22"/>
          <w:szCs w:val="22"/>
          <w:color w:val="auto"/>
        </w:rPr>
        <w:t>.</w:t>
      </w:r>
    </w:p>
    <w:p>
      <w:pPr>
        <w:spacing w:after="0" w:line="212" w:lineRule="exact"/>
        <w:rPr>
          <w:sz w:val="20"/>
          <w:szCs w:val="20"/>
          <w:color w:val="auto"/>
        </w:rPr>
      </w:pPr>
    </w:p>
    <w:p>
      <w:pPr>
        <w:jc w:val="both"/>
        <w:ind w:firstLine="1505"/>
        <w:spacing w:after="0" w:line="238" w:lineRule="auto"/>
        <w:tabs>
          <w:tab w:leader="none" w:pos="2089" w:val="left"/>
        </w:tabs>
        <w:numPr>
          <w:ilvl w:val="0"/>
          <w:numId w:val="118"/>
        </w:numPr>
        <w:rPr>
          <w:rFonts w:ascii="Arial" w:cs="Arial" w:eastAsia="Arial" w:hAnsi="Arial"/>
          <w:sz w:val="22"/>
          <w:szCs w:val="22"/>
          <w:b w:val="1"/>
          <w:bCs w:val="1"/>
          <w:color w:val="auto"/>
        </w:rPr>
      </w:pPr>
      <w:r>
        <w:rPr>
          <w:rFonts w:ascii="Arial" w:cs="Arial" w:eastAsia="Arial" w:hAnsi="Arial"/>
          <w:sz w:val="22"/>
          <w:szCs w:val="22"/>
          <w:color w:val="auto"/>
        </w:rPr>
        <w:t>Neither Party may assign or transfer this Agreement or any rights or obligations hereunder without the prior written consent of the other Party, except that either Party may make such an assignment without the other Party’s consent to an Affiliate of such Party. Any such assignment by a Party to its Affiliate shall not relieve the assigning Party of its obligations set forth in this Agreement.</w:t>
      </w:r>
    </w:p>
    <w:p>
      <w:pPr>
        <w:spacing w:after="0" w:line="184" w:lineRule="exact"/>
        <w:rPr>
          <w:rFonts w:ascii="Arial" w:cs="Arial" w:eastAsia="Arial" w:hAnsi="Arial"/>
          <w:sz w:val="22"/>
          <w:szCs w:val="22"/>
          <w:b w:val="1"/>
          <w:bCs w:val="1"/>
          <w:color w:val="auto"/>
        </w:rPr>
      </w:pPr>
    </w:p>
    <w:p>
      <w:pPr>
        <w:jc w:val="both"/>
        <w:ind w:firstLine="1505"/>
        <w:spacing w:after="0" w:line="287" w:lineRule="auto"/>
        <w:tabs>
          <w:tab w:leader="none" w:pos="1929" w:val="left"/>
        </w:tabs>
        <w:numPr>
          <w:ilvl w:val="0"/>
          <w:numId w:val="118"/>
        </w:numPr>
        <w:rPr>
          <w:rFonts w:ascii="Arial" w:cs="Arial" w:eastAsia="Arial" w:hAnsi="Arial"/>
          <w:sz w:val="19"/>
          <w:szCs w:val="19"/>
          <w:b w:val="1"/>
          <w:bCs w:val="1"/>
          <w:color w:val="auto"/>
        </w:rPr>
      </w:pPr>
      <w:r>
        <w:rPr>
          <w:rFonts w:ascii="Arial" w:cs="Arial" w:eastAsia="Arial" w:hAnsi="Arial"/>
          <w:sz w:val="19"/>
          <w:szCs w:val="19"/>
          <w:color w:val="auto"/>
        </w:rPr>
        <w:t>Notwithstanding Section 15.5(a), either Party may without such consent but with prior written notice to the other Party, assign this Agreement and its rights and obligations hereunder in connection with a Change of Control, provided that, however, if a Party’s assignee has an active program for developing, manufacturing or commercializing a Competing Product in or outside the Field in the Kaken Territory (a “</w:t>
      </w:r>
      <w:r>
        <w:rPr>
          <w:rFonts w:ascii="Arial" w:cs="Arial" w:eastAsia="Arial" w:hAnsi="Arial"/>
          <w:sz w:val="19"/>
          <w:szCs w:val="19"/>
          <w:b w:val="1"/>
          <w:bCs w:val="1"/>
          <w:color w:val="auto"/>
        </w:rPr>
        <w:t>Competing Program</w:t>
      </w:r>
      <w:r>
        <w:rPr>
          <w:rFonts w:ascii="Arial" w:cs="Arial" w:eastAsia="Arial" w:hAnsi="Arial"/>
          <w:sz w:val="19"/>
          <w:szCs w:val="19"/>
          <w:color w:val="auto"/>
        </w:rPr>
        <w:t>”), then, [***].</w:t>
      </w:r>
    </w:p>
    <w:p>
      <w:pPr>
        <w:spacing w:after="0" w:line="142" w:lineRule="exact"/>
        <w:rPr>
          <w:rFonts w:ascii="Arial" w:cs="Arial" w:eastAsia="Arial" w:hAnsi="Arial"/>
          <w:sz w:val="19"/>
          <w:szCs w:val="19"/>
          <w:b w:val="1"/>
          <w:bCs w:val="1"/>
          <w:color w:val="auto"/>
        </w:rPr>
      </w:pPr>
    </w:p>
    <w:p>
      <w:pPr>
        <w:jc w:val="both"/>
        <w:ind w:firstLine="1505"/>
        <w:spacing w:after="0"/>
        <w:tabs>
          <w:tab w:leader="none" w:pos="1929" w:val="left"/>
        </w:tabs>
        <w:numPr>
          <w:ilvl w:val="0"/>
          <w:numId w:val="118"/>
        </w:numPr>
        <w:rPr>
          <w:rFonts w:ascii="Arial" w:cs="Arial" w:eastAsia="Arial" w:hAnsi="Arial"/>
          <w:sz w:val="22"/>
          <w:szCs w:val="22"/>
          <w:b w:val="1"/>
          <w:bCs w:val="1"/>
          <w:color w:val="auto"/>
        </w:rPr>
      </w:pPr>
      <w:r>
        <w:rPr>
          <w:rFonts w:ascii="Arial" w:cs="Arial" w:eastAsia="Arial" w:hAnsi="Arial"/>
          <w:sz w:val="22"/>
          <w:szCs w:val="22"/>
          <w:color w:val="auto"/>
        </w:rPr>
        <w:t>Any permitted assignee shall assume all obligations of its assignor under this Agreement. Any assignment or attempted assignment by either Party in violation of the terms of Sections 15.5(a) and 15.5(b) shall be null, void and of no legal effect.</w:t>
      </w:r>
    </w:p>
    <w:p>
      <w:pPr>
        <w:spacing w:after="0" w:line="180"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9"/>
          <w:szCs w:val="19"/>
          <w:b w:val="1"/>
          <w:bCs w:val="1"/>
          <w:color w:val="auto"/>
        </w:rPr>
        <w:t>15.6 Performance by Affiliates</w:t>
      </w:r>
      <w:r>
        <w:rPr>
          <w:rFonts w:ascii="Arial" w:cs="Arial" w:eastAsia="Arial" w:hAnsi="Arial"/>
          <w:sz w:val="19"/>
          <w:szCs w:val="19"/>
          <w:color w:val="auto"/>
        </w:rPr>
        <w:t>. Each Party may discharge any obligations and exercise any right hereunder through</w:t>
      </w:r>
      <w:r>
        <w:rPr>
          <w:rFonts w:ascii="Arial" w:cs="Arial" w:eastAsia="Arial" w:hAnsi="Arial"/>
          <w:sz w:val="19"/>
          <w:szCs w:val="19"/>
          <w:b w:val="1"/>
          <w:bCs w:val="1"/>
          <w:color w:val="auto"/>
        </w:rPr>
        <w:t xml:space="preserve"> </w:t>
      </w:r>
      <w:r>
        <w:rPr>
          <w:rFonts w:ascii="Arial" w:cs="Arial" w:eastAsia="Arial" w:hAnsi="Arial"/>
          <w:sz w:val="19"/>
          <w:szCs w:val="19"/>
          <w:color w:val="auto"/>
        </w:rPr>
        <w:t>any of its Affiliates. Each Party hereby guarantees the performance by its Affiliates of such Party’s obligations under this Agreement and shall cause its Affiliates to comply with the provisions of this Agreement in connection with such performance. Any breach by a Party’s Affiliate of any of such Party’s obligations under this Agreement shall be deemed a breach by such Party, and the other Party may proceed directly against such Party without any obligation to first proceed against such Party’s Affiliate.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1" w:name="page212"/>
    <w:bookmarkEnd w:id="211"/>
    <w:p>
      <w:pPr>
        <w:jc w:val="both"/>
        <w:ind w:right="20" w:firstLine="749"/>
        <w:spacing w:after="0" w:line="334" w:lineRule="auto"/>
        <w:rPr>
          <w:sz w:val="20"/>
          <w:szCs w:val="20"/>
          <w:color w:val="auto"/>
        </w:rPr>
      </w:pPr>
      <w:r>
        <w:rPr>
          <w:rFonts w:ascii="Arial" w:cs="Arial" w:eastAsia="Arial" w:hAnsi="Arial"/>
          <w:sz w:val="19"/>
          <w:szCs w:val="19"/>
          <w:b w:val="1"/>
          <w:bCs w:val="1"/>
          <w:color w:val="auto"/>
        </w:rPr>
        <w:t>15.7 Further Actions</w:t>
      </w:r>
      <w:r>
        <w:rPr>
          <w:rFonts w:ascii="Arial" w:cs="Arial" w:eastAsia="Arial" w:hAnsi="Arial"/>
          <w:sz w:val="19"/>
          <w:szCs w:val="19"/>
          <w:color w:val="auto"/>
        </w:rPr>
        <w:t>. Each Party agrees to execute, acknowledge and deliver such further instruments, and to do all</w:t>
      </w:r>
      <w:r>
        <w:rPr>
          <w:rFonts w:ascii="Arial" w:cs="Arial" w:eastAsia="Arial" w:hAnsi="Arial"/>
          <w:sz w:val="19"/>
          <w:szCs w:val="19"/>
          <w:b w:val="1"/>
          <w:bCs w:val="1"/>
          <w:color w:val="auto"/>
        </w:rPr>
        <w:t xml:space="preserve"> </w:t>
      </w:r>
      <w:r>
        <w:rPr>
          <w:rFonts w:ascii="Arial" w:cs="Arial" w:eastAsia="Arial" w:hAnsi="Arial"/>
          <w:sz w:val="19"/>
          <w:szCs w:val="19"/>
          <w:color w:val="auto"/>
        </w:rPr>
        <w:t>such other acts, as may be necessary or appropriate in order to carry out the purposes and intent of this Agreement.</w:t>
      </w:r>
    </w:p>
    <w:p>
      <w:pPr>
        <w:spacing w:after="0" w:line="94"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b w:val="1"/>
          <w:bCs w:val="1"/>
          <w:color w:val="auto"/>
        </w:rPr>
        <w:t>15.8 Severability</w:t>
      </w:r>
      <w:r>
        <w:rPr>
          <w:rFonts w:ascii="Arial" w:cs="Arial" w:eastAsia="Arial" w:hAnsi="Arial"/>
          <w:sz w:val="22"/>
          <w:szCs w:val="22"/>
          <w:color w:val="auto"/>
        </w:rPr>
        <w:t>. If any one or more of the provisions of this Agreement is held to be invalid or unenforceable by an</w:t>
      </w:r>
      <w:r>
        <w:rPr>
          <w:rFonts w:ascii="Arial" w:cs="Arial" w:eastAsia="Arial" w:hAnsi="Arial"/>
          <w:sz w:val="22"/>
          <w:szCs w:val="22"/>
          <w:b w:val="1"/>
          <w:bCs w:val="1"/>
          <w:color w:val="auto"/>
        </w:rPr>
        <w:t xml:space="preserve"> </w:t>
      </w:r>
      <w:r>
        <w:rPr>
          <w:rFonts w:ascii="Arial" w:cs="Arial" w:eastAsia="Arial" w:hAnsi="Arial"/>
          <w:sz w:val="22"/>
          <w:szCs w:val="22"/>
          <w:color w:val="auto"/>
        </w:rPr>
        <w:t>arbitral tribunal constituted in accordance with Section 14.2, the provision shall be considered severed from this Agreement and shall not serve to invalidate any remaining provisions hereof. The Parties shall make a good faith effort to replace any invalid or unenforceable provision with a valid and enforceable one such that the objectives contemplated by the Parties when entering this Agreement may be realized.</w:t>
      </w:r>
    </w:p>
    <w:p>
      <w:pPr>
        <w:spacing w:after="0" w:line="182"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9"/>
          <w:szCs w:val="19"/>
          <w:b w:val="1"/>
          <w:bCs w:val="1"/>
          <w:color w:val="auto"/>
        </w:rPr>
        <w:t>15.9 No Waiver</w:t>
      </w:r>
      <w:r>
        <w:rPr>
          <w:rFonts w:ascii="Arial" w:cs="Arial" w:eastAsia="Arial" w:hAnsi="Arial"/>
          <w:sz w:val="19"/>
          <w:szCs w:val="19"/>
          <w:color w:val="auto"/>
        </w:rPr>
        <w:t>. Any delay in enforcing a Party’s rights under this Agreement or any waiver as to a particular default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 matter shall not constitute a waiver of such Party’s rights to the future enforcement of its rights under this Agreement, except with respect to an express written and signed waiver relating to a particular matter for a particular period of time.</w:t>
      </w:r>
    </w:p>
    <w:p>
      <w:pPr>
        <w:spacing w:after="0" w:line="12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b w:val="1"/>
          <w:bCs w:val="1"/>
          <w:color w:val="auto"/>
        </w:rPr>
        <w:t xml:space="preserve">15.10 Independent Contractors </w:t>
      </w:r>
      <w:r>
        <w:rPr>
          <w:rFonts w:ascii="Arial" w:cs="Arial" w:eastAsia="Arial" w:hAnsi="Arial"/>
          <w:sz w:val="22"/>
          <w:szCs w:val="22"/>
          <w:color w:val="auto"/>
        </w:rPr>
        <w:t>. Each Party shall act solely as an independent contractor, and nothing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be construed to give either Party the power or authority to act for, bind, or commit the other Party in any way. Nothing herein shall be construed to create the relationship of partners, principal and agent, or joint-venture partners between the Parties.</w:t>
      </w:r>
    </w:p>
    <w:p>
      <w:pPr>
        <w:spacing w:after="0" w:line="180"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15.11 English Language</w:t>
      </w:r>
      <w:r>
        <w:rPr>
          <w:rFonts w:ascii="Arial" w:cs="Arial" w:eastAsia="Arial" w:hAnsi="Arial"/>
          <w:sz w:val="22"/>
          <w:szCs w:val="22"/>
          <w:color w:val="auto"/>
        </w:rPr>
        <w:t>. This Agreement was prepared in the English language, which language shall govern the</w:t>
      </w:r>
      <w:r>
        <w:rPr>
          <w:rFonts w:ascii="Arial" w:cs="Arial" w:eastAsia="Arial" w:hAnsi="Arial"/>
          <w:sz w:val="22"/>
          <w:szCs w:val="22"/>
          <w:b w:val="1"/>
          <w:bCs w:val="1"/>
          <w:color w:val="auto"/>
        </w:rPr>
        <w:t xml:space="preserve"> </w:t>
      </w:r>
      <w:r>
        <w:rPr>
          <w:rFonts w:ascii="Arial" w:cs="Arial" w:eastAsia="Arial" w:hAnsi="Arial"/>
          <w:sz w:val="22"/>
          <w:szCs w:val="22"/>
          <w:color w:val="auto"/>
        </w:rPr>
        <w:t>interpretation of, and any dispute regarding, the terms of this Agreement.</w:t>
      </w:r>
    </w:p>
    <w:p>
      <w:pPr>
        <w:spacing w:after="0" w:line="16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 xml:space="preserve">15.12 Counterparts </w:t>
      </w:r>
      <w:r>
        <w:rPr>
          <w:rFonts w:ascii="Arial" w:cs="Arial" w:eastAsia="Arial" w:hAnsi="Arial"/>
          <w:sz w:val="22"/>
          <w:szCs w:val="22"/>
          <w:color w:val="auto"/>
        </w:rPr>
        <w:t>. This Agreement may be executed in one (1) or more counterparts, each of which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an original, but all of which together shall constitute one and the same instrument.</w:t>
      </w:r>
    </w:p>
    <w:p>
      <w:pPr>
        <w:spacing w:after="0" w:line="162"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b w:val="1"/>
          <w:bCs w:val="1"/>
          <w:color w:val="auto"/>
        </w:rPr>
        <w:t>15.13 Rights in Bankruptcy</w:t>
      </w:r>
      <w:r>
        <w:rPr>
          <w:rFonts w:ascii="Arial" w:cs="Arial" w:eastAsia="Arial" w:hAnsi="Arial"/>
          <w:sz w:val="19"/>
          <w:szCs w:val="19"/>
          <w:color w:val="auto"/>
        </w:rPr>
        <w:t>. All rights and licenses granted under or pursuant to this Agreement by one Party to</w:t>
      </w:r>
      <w:r>
        <w:rPr>
          <w:rFonts w:ascii="Arial" w:cs="Arial" w:eastAsia="Arial" w:hAnsi="Arial"/>
          <w:sz w:val="19"/>
          <w:szCs w:val="19"/>
          <w:b w:val="1"/>
          <w:bCs w:val="1"/>
          <w:color w:val="auto"/>
        </w:rPr>
        <w:t xml:space="preserve"> </w:t>
      </w:r>
      <w:r>
        <w:rPr>
          <w:rFonts w:ascii="Arial" w:cs="Arial" w:eastAsia="Arial" w:hAnsi="Arial"/>
          <w:sz w:val="19"/>
          <w:szCs w:val="19"/>
          <w:color w:val="auto"/>
        </w:rPr>
        <w:t>the other Party are, and otherwise will be deemed to be, for purposes of Section 365(n) of the U.S. Bankruptcy Code or comparable provision of applicable bankruptcy or insolvency laws, licenses of right to “intellectual property” as defined under Section 101 of the U.S. Bankruptcy Code or comparable provision of applicable bankruptcy or insolvency laws. The Parties agree that a Party that is a licensee of such rights under this Agreement will retain and may fully exercise all of its rights and elections under the U.S. Bankruptcy Code or comparable provision of applicable bankruptcy or insolvency laws. The Parties further agree that, in the event of the commencement of a bankruptcy proceeding by or against a Party (the “</w:t>
      </w:r>
      <w:r>
        <w:rPr>
          <w:rFonts w:ascii="Arial" w:cs="Arial" w:eastAsia="Arial" w:hAnsi="Arial"/>
          <w:sz w:val="19"/>
          <w:szCs w:val="19"/>
          <w:b w:val="1"/>
          <w:bCs w:val="1"/>
          <w:color w:val="auto"/>
        </w:rPr>
        <w:t>Bankrupt Party</w:t>
      </w:r>
      <w:r>
        <w:rPr>
          <w:rFonts w:ascii="Arial" w:cs="Arial" w:eastAsia="Arial" w:hAnsi="Arial"/>
          <w:sz w:val="19"/>
          <w:szCs w:val="19"/>
          <w:color w:val="auto"/>
        </w:rPr>
        <w:t>”) to this Agreement under the U.S. Bankruptcy Code or comparable provision of applicable bankruptcy or insolvency laws, the other Party (the “</w:t>
      </w:r>
      <w:r>
        <w:rPr>
          <w:rFonts w:ascii="Arial" w:cs="Arial" w:eastAsia="Arial" w:hAnsi="Arial"/>
          <w:sz w:val="19"/>
          <w:szCs w:val="19"/>
          <w:b w:val="1"/>
          <w:bCs w:val="1"/>
          <w:color w:val="auto"/>
        </w:rPr>
        <w:t>Non-Bankrupt Party</w:t>
      </w:r>
      <w:r>
        <w:rPr>
          <w:rFonts w:ascii="Arial" w:cs="Arial" w:eastAsia="Arial" w:hAnsi="Arial"/>
          <w:sz w:val="19"/>
          <w:szCs w:val="19"/>
          <w:color w:val="auto"/>
        </w:rPr>
        <w:t>”) will be entitled to a complete duplicate of (or complete access to, as appropriate) any such intellectual property and all embodiments of such intellectual property, and same, if not already in its possession, will be promptly delivered to it (i) upon any such commencement of a bankruptcy or insolvency proceeding upon its written request therefor, unless the Bankrupt Party elects to continue to perform all of its obligations under this Agreement, or (ii) if not delivered under (i) above, following the rejection of this Agreement by or on behalf of the Bankrupt Party upon written request therefor by the Non-Bankrupt Party. Without limiting the generality of the foregoing,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2" w:name="page213"/>
    <w:bookmarkEnd w:id="212"/>
    <w:p>
      <w:pPr>
        <w:jc w:val="both"/>
        <w:ind w:firstLine="757"/>
        <w:spacing w:after="0" w:line="257" w:lineRule="auto"/>
        <w:tabs>
          <w:tab w:leader="none" w:pos="1046" w:val="left"/>
        </w:tabs>
        <w:numPr>
          <w:ilvl w:val="0"/>
          <w:numId w:val="119"/>
        </w:numPr>
        <w:rPr>
          <w:rFonts w:ascii="Arial" w:cs="Arial" w:eastAsia="Arial" w:hAnsi="Arial"/>
          <w:sz w:val="21"/>
          <w:szCs w:val="21"/>
          <w:color w:val="auto"/>
        </w:rPr>
      </w:pPr>
      <w:r>
        <w:rPr>
          <w:rFonts w:ascii="Arial" w:cs="Arial" w:eastAsia="Arial" w:hAnsi="Arial"/>
          <w:sz w:val="21"/>
          <w:szCs w:val="21"/>
          <w:color w:val="auto"/>
        </w:rPr>
        <w:t>subject to the Non-Bankrupt Party’s rights of election under Section 365(n) of the U.S. Bankruptcy Code, all licenses granted to the Non-Bankrupt Party under this Agreement will continue subject to the respective terms and conditions hereof and thereof, and will not be affected, even by the Bankrupt Party’s rejection of this Agreement;</w:t>
      </w:r>
    </w:p>
    <w:p>
      <w:pPr>
        <w:spacing w:after="0" w:line="169" w:lineRule="exact"/>
        <w:rPr>
          <w:rFonts w:ascii="Arial" w:cs="Arial" w:eastAsia="Arial" w:hAnsi="Arial"/>
          <w:sz w:val="21"/>
          <w:szCs w:val="21"/>
          <w:color w:val="auto"/>
        </w:rPr>
      </w:pPr>
    </w:p>
    <w:p>
      <w:pPr>
        <w:jc w:val="both"/>
        <w:ind w:left="100" w:firstLine="658"/>
        <w:spacing w:after="0" w:line="274" w:lineRule="auto"/>
        <w:tabs>
          <w:tab w:leader="none" w:pos="1102" w:val="left"/>
        </w:tabs>
        <w:numPr>
          <w:ilvl w:val="0"/>
          <w:numId w:val="119"/>
        </w:numPr>
        <w:rPr>
          <w:rFonts w:ascii="Arial" w:cs="Arial" w:eastAsia="Arial" w:hAnsi="Arial"/>
          <w:sz w:val="19"/>
          <w:szCs w:val="19"/>
          <w:color w:val="auto"/>
        </w:rPr>
      </w:pPr>
      <w:r>
        <w:rPr>
          <w:rFonts w:ascii="Arial" w:cs="Arial" w:eastAsia="Arial" w:hAnsi="Arial"/>
          <w:sz w:val="19"/>
          <w:szCs w:val="19"/>
          <w:color w:val="auto"/>
        </w:rPr>
        <w:t>the Non-Bankrupt Party shall be entitled to a complete duplicate of (or complete access to, as appropriate) all intellectual property licensed to the Non-Bankrupt Party and all embodiments of such intellectual property, which, if not already in the Non-Bankrupt Party’s possession, shall be promptly delivered to the Non-Bankrupt Party (x) upon any such commencement of a bankruptcy proceeding upon the Non-Bankrupt Party’s written request therefore, unless the Bankrupt Party elects to continue to perform all of its obligations under this Agreement or (y) if not delivered under clause (x), following the rejection of this Agreement by Spruce upon written request therefore by the Non-Bankrupt Party, and (b) and the Bankrupt Party shall not unreasonably interfere with the Non-Bankrupt Party’s rights to intellectual property and all embodiments of intellectual property, and shall assist and not unreasonably interfere with the Non-Bankrupt Party in obtaining intellectual property and all embodiments of intellectual property from another entity;</w:t>
      </w:r>
    </w:p>
    <w:p>
      <w:pPr>
        <w:spacing w:after="0" w:line="158" w:lineRule="exact"/>
        <w:rPr>
          <w:rFonts w:ascii="Arial" w:cs="Arial" w:eastAsia="Arial" w:hAnsi="Arial"/>
          <w:sz w:val="19"/>
          <w:szCs w:val="19"/>
          <w:color w:val="auto"/>
        </w:rPr>
      </w:pPr>
    </w:p>
    <w:p>
      <w:pPr>
        <w:jc w:val="both"/>
        <w:ind w:firstLine="757"/>
        <w:spacing w:after="0"/>
        <w:tabs>
          <w:tab w:leader="none" w:pos="1047"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automatic stay under Section 362 of the U.S. Bankruptcy Code shall not apply to any instructions from the Non-Bankrupt Party to the Bankrupt Party relating to obtaining a duplicate of, or access to, the intellectual property pursuant to Section 15.13(b) of this Agreement; and</w:t>
      </w:r>
    </w:p>
    <w:p>
      <w:pPr>
        <w:spacing w:after="0" w:line="186" w:lineRule="exact"/>
        <w:rPr>
          <w:rFonts w:ascii="Arial" w:cs="Arial" w:eastAsia="Arial" w:hAnsi="Arial"/>
          <w:sz w:val="22"/>
          <w:szCs w:val="22"/>
          <w:color w:val="auto"/>
        </w:rPr>
      </w:pPr>
    </w:p>
    <w:p>
      <w:pPr>
        <w:jc w:val="both"/>
        <w:ind w:firstLine="757"/>
        <w:spacing w:after="0"/>
        <w:tabs>
          <w:tab w:leader="none" w:pos="1056"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“embodiments” of intellectual property includes all tangible, intangible, electronic or other embodiments of rights and licenses hereunder, including all Licensed Compound and Licensed Products embodying intellectual property, Regulatory Materials and related rights and Spruce Licensed Know-How.</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3" w:name="page214"/>
    <w:bookmarkEnd w:id="213"/>
    <w:p>
      <w:pPr>
        <w:ind w:firstLine="749"/>
        <w:spacing w:after="0" w:line="256" w:lineRule="auto"/>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have executed this Collaboration and License Agreement in duplicate originals by</w:t>
      </w:r>
      <w:r>
        <w:rPr>
          <w:rFonts w:ascii="Arial" w:cs="Arial" w:eastAsia="Arial" w:hAnsi="Arial"/>
          <w:sz w:val="22"/>
          <w:szCs w:val="22"/>
          <w:b w:val="1"/>
          <w:bCs w:val="1"/>
          <w:color w:val="auto"/>
        </w:rPr>
        <w:t xml:space="preserve"> </w:t>
      </w:r>
      <w:r>
        <w:rPr>
          <w:rFonts w:ascii="Arial" w:cs="Arial" w:eastAsia="Arial" w:hAnsi="Arial"/>
          <w:sz w:val="22"/>
          <w:szCs w:val="22"/>
          <w:color w:val="auto"/>
        </w:rPr>
        <w:t>their duly authorized officers as of the Effective Date.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100" w:type="dxa"/>
            <w:vAlign w:val="bottom"/>
            <w:gridSpan w:val="3"/>
          </w:tcPr>
          <w:p>
            <w:pPr>
              <w:ind w:left="100"/>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pruce</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iosciences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tc>
        <w:tc>
          <w:tcPr>
            <w:tcW w:w="7140" w:type="dxa"/>
            <w:vAlign w:val="bottom"/>
            <w:gridSpan w:val="3"/>
          </w:tcPr>
          <w:p>
            <w:pPr>
              <w:ind w:left="1620"/>
              <w:spacing w:after="0"/>
              <w:rPr>
                <w:sz w:val="20"/>
                <w:szCs w:val="20"/>
                <w:color w:val="auto"/>
              </w:rPr>
            </w:pPr>
            <w:r>
              <w:rPr>
                <w:rFonts w:ascii="Arial" w:cs="Arial" w:eastAsia="Arial" w:hAnsi="Arial"/>
                <w:sz w:val="22"/>
                <w:szCs w:val="22"/>
                <w:b w:val="1"/>
                <w:bCs w:val="1"/>
                <w:color w:val="auto"/>
              </w:rPr>
              <w:t>K</w:t>
            </w:r>
            <w:r>
              <w:rPr>
                <w:rFonts w:ascii="Arial" w:cs="Arial" w:eastAsia="Arial" w:hAnsi="Arial"/>
                <w:sz w:val="14"/>
                <w:szCs w:val="14"/>
                <w:b w:val="1"/>
                <w:bCs w:val="1"/>
                <w:color w:val="auto"/>
              </w:rPr>
              <w:t>aken</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harmaceutical</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w:t>
            </w:r>
            <w:r>
              <w:rPr>
                <w:rFonts w:ascii="Arial" w:cs="Arial" w:eastAsia="Arial" w:hAnsi="Arial"/>
                <w:sz w:val="22"/>
                <w:szCs w:val="22"/>
                <w:b w:val="1"/>
                <w:bCs w:val="1"/>
                <w:color w:val="auto"/>
              </w:rPr>
              <w:t>., LTD.</w:t>
            </w:r>
          </w:p>
        </w:tc>
      </w:tr>
      <w:tr>
        <w:trPr>
          <w:trHeight w:val="1083"/>
        </w:trPr>
        <w:tc>
          <w:tcPr>
            <w:tcW w:w="4100" w:type="dxa"/>
            <w:vAlign w:val="bottom"/>
            <w:gridSpan w:val="3"/>
          </w:tcPr>
          <w:p>
            <w:pPr>
              <w:ind w:left="100"/>
              <w:spacing w:after="0"/>
              <w:rPr>
                <w:sz w:val="20"/>
                <w:szCs w:val="20"/>
                <w:color w:val="auto"/>
              </w:rPr>
            </w:pPr>
            <w:r>
              <w:rPr>
                <w:rFonts w:ascii="Arial" w:cs="Arial" w:eastAsia="Arial" w:hAnsi="Arial"/>
                <w:sz w:val="22"/>
                <w:szCs w:val="22"/>
                <w:color w:val="auto"/>
              </w:rPr>
              <w:t>By: /s/ Javier Szwarcberg</w:t>
            </w:r>
          </w:p>
        </w:tc>
        <w:tc>
          <w:tcPr>
            <w:tcW w:w="7140" w:type="dxa"/>
            <w:vAlign w:val="bottom"/>
            <w:gridSpan w:val="3"/>
          </w:tcPr>
          <w:p>
            <w:pPr>
              <w:ind w:left="1620"/>
              <w:spacing w:after="0"/>
              <w:rPr>
                <w:sz w:val="20"/>
                <w:szCs w:val="20"/>
                <w:color w:val="auto"/>
              </w:rPr>
            </w:pPr>
            <w:r>
              <w:rPr>
                <w:rFonts w:ascii="Arial" w:cs="Arial" w:eastAsia="Arial" w:hAnsi="Arial"/>
                <w:sz w:val="22"/>
                <w:szCs w:val="22"/>
                <w:color w:val="auto"/>
              </w:rPr>
              <w:t>By:/s/ Hiroyuki Horiuchi</w:t>
            </w:r>
          </w:p>
        </w:tc>
      </w:tr>
      <w:tr>
        <w:trPr>
          <w:trHeight w:val="20"/>
        </w:trPr>
        <w:tc>
          <w:tcPr>
            <w:tcW w:w="48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489"/>
        </w:trPr>
        <w:tc>
          <w:tcPr>
            <w:tcW w:w="4100" w:type="dxa"/>
            <w:vAlign w:val="bottom"/>
            <w:gridSpan w:val="3"/>
          </w:tcPr>
          <w:p>
            <w:pPr>
              <w:ind w:left="100"/>
              <w:spacing w:after="0"/>
              <w:rPr>
                <w:sz w:val="20"/>
                <w:szCs w:val="20"/>
                <w:color w:val="auto"/>
              </w:rPr>
            </w:pPr>
            <w:r>
              <w:rPr>
                <w:rFonts w:ascii="Arial" w:cs="Arial" w:eastAsia="Arial" w:hAnsi="Arial"/>
                <w:sz w:val="22"/>
                <w:szCs w:val="22"/>
                <w:color w:val="auto"/>
              </w:rPr>
              <w:t>Name: Javier Szwarcberg</w:t>
            </w:r>
          </w:p>
        </w:tc>
        <w:tc>
          <w:tcPr>
            <w:tcW w:w="7140" w:type="dxa"/>
            <w:vAlign w:val="bottom"/>
            <w:gridSpan w:val="3"/>
          </w:tcPr>
          <w:p>
            <w:pPr>
              <w:ind w:left="1620"/>
              <w:spacing w:after="0"/>
              <w:rPr>
                <w:sz w:val="20"/>
                <w:szCs w:val="20"/>
                <w:color w:val="auto"/>
              </w:rPr>
            </w:pPr>
            <w:r>
              <w:rPr>
                <w:rFonts w:ascii="Arial" w:cs="Arial" w:eastAsia="Arial" w:hAnsi="Arial"/>
                <w:sz w:val="22"/>
                <w:szCs w:val="22"/>
                <w:color w:val="auto"/>
              </w:rPr>
              <w:t>Name: Hiroyuki Horiuchi</w:t>
            </w:r>
          </w:p>
        </w:tc>
      </w:tr>
      <w:tr>
        <w:trPr>
          <w:trHeight w:val="459"/>
        </w:trPr>
        <w:tc>
          <w:tcPr>
            <w:tcW w:w="4100" w:type="dxa"/>
            <w:vAlign w:val="bottom"/>
            <w:gridSpan w:val="3"/>
          </w:tcPr>
          <w:p>
            <w:pPr>
              <w:ind w:left="100"/>
              <w:spacing w:after="0"/>
              <w:rPr>
                <w:sz w:val="20"/>
                <w:szCs w:val="20"/>
                <w:color w:val="auto"/>
              </w:rPr>
            </w:pPr>
            <w:r>
              <w:rPr>
                <w:rFonts w:ascii="Arial" w:cs="Arial" w:eastAsia="Arial" w:hAnsi="Arial"/>
                <w:sz w:val="22"/>
                <w:szCs w:val="22"/>
                <w:color w:val="auto"/>
              </w:rPr>
              <w:t>Title: Chief Executive Officer</w:t>
            </w:r>
          </w:p>
        </w:tc>
        <w:tc>
          <w:tcPr>
            <w:tcW w:w="7140" w:type="dxa"/>
            <w:vAlign w:val="bottom"/>
            <w:gridSpan w:val="3"/>
          </w:tcPr>
          <w:p>
            <w:pPr>
              <w:ind w:left="1620"/>
              <w:spacing w:after="0"/>
              <w:rPr>
                <w:sz w:val="20"/>
                <w:szCs w:val="20"/>
                <w:color w:val="auto"/>
              </w:rPr>
            </w:pPr>
            <w:r>
              <w:rPr>
                <w:rFonts w:ascii="Arial" w:cs="Arial" w:eastAsia="Arial" w:hAnsi="Arial"/>
                <w:sz w:val="22"/>
                <w:szCs w:val="22"/>
                <w:color w:val="auto"/>
              </w:rPr>
              <w:t>Title: President and Representative Director</w:t>
            </w:r>
          </w:p>
        </w:tc>
      </w:tr>
      <w:tr>
        <w:trPr>
          <w:trHeight w:val="932"/>
        </w:trPr>
        <w:tc>
          <w:tcPr>
            <w:tcW w:w="4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40" w:type="dxa"/>
            <w:vAlign w:val="bottom"/>
          </w:tcPr>
          <w:p>
            <w:pPr>
              <w:ind w:left="1420"/>
              <w:spacing w:after="0"/>
              <w:rPr>
                <w:sz w:val="20"/>
                <w:szCs w:val="20"/>
                <w:color w:val="auto"/>
              </w:rPr>
            </w:pPr>
            <w:r>
              <w:rPr>
                <w:rFonts w:ascii="Arial" w:cs="Arial" w:eastAsia="Arial" w:hAnsi="Arial"/>
                <w:sz w:val="22"/>
                <w:szCs w:val="22"/>
                <w:color w:val="auto"/>
              </w:rPr>
              <w:t>62</w:t>
            </w:r>
          </w:p>
        </w:tc>
        <w:tc>
          <w:tcPr>
            <w:tcW w:w="18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48"/>
        </w:trPr>
        <w:tc>
          <w:tcPr>
            <w:tcW w:w="4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4" w:name="page215"/>
    <w:bookmarkEnd w:id="214"/>
    <w:p>
      <w:pPr>
        <w:jc w:val="center"/>
        <w:spacing w:after="0"/>
        <w:rPr>
          <w:sz w:val="20"/>
          <w:szCs w:val="20"/>
          <w:color w:val="auto"/>
        </w:rPr>
      </w:pPr>
      <w:r>
        <w:rPr>
          <w:rFonts w:ascii="Arial" w:cs="Arial" w:eastAsia="Arial" w:hAnsi="Arial"/>
          <w:sz w:val="22"/>
          <w:szCs w:val="22"/>
          <w:b w:val="1"/>
          <w:bCs w:val="1"/>
          <w:color w:val="auto"/>
        </w:rPr>
        <w:t>Exhibit 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Spruce Licensed Patents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491490</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215" w:name="page216"/>
    <w:bookmarkEnd w:id="215"/>
    <w:p>
      <w:pPr>
        <w:jc w:val="center"/>
        <w:ind w:right="19"/>
        <w:spacing w:after="0"/>
        <w:rPr>
          <w:sz w:val="20"/>
          <w:szCs w:val="20"/>
          <w:color w:val="auto"/>
        </w:rPr>
      </w:pPr>
      <w:r>
        <w:rPr>
          <w:rFonts w:ascii="Arial" w:cs="Arial" w:eastAsia="Arial" w:hAnsi="Arial"/>
          <w:sz w:val="22"/>
          <w:szCs w:val="22"/>
          <w:b w:val="1"/>
          <w:bCs w:val="1"/>
          <w:color w:val="auto"/>
        </w:rPr>
        <w:t>Exhibit B</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Structure of Tildacerfont</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645795</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14" w:right="1440" w:bottom="1440" w:gutter="0" w:footer="0" w:header="0"/>
        </w:sectPr>
      </w:pPr>
    </w:p>
    <w:bookmarkStart w:id="216" w:name="page217"/>
    <w:bookmarkEnd w:id="216"/>
    <w:p>
      <w:pPr>
        <w:jc w:val="center"/>
        <w:spacing w:after="0"/>
        <w:rPr>
          <w:sz w:val="20"/>
          <w:szCs w:val="20"/>
          <w:color w:val="auto"/>
        </w:rPr>
      </w:pPr>
      <w:r>
        <w:rPr>
          <w:rFonts w:ascii="Arial" w:cs="Arial" w:eastAsia="Arial" w:hAnsi="Arial"/>
          <w:sz w:val="22"/>
          <w:szCs w:val="22"/>
          <w:b w:val="1"/>
          <w:bCs w:val="1"/>
          <w:color w:val="auto"/>
        </w:rPr>
        <w:t>Exhibit C</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Initial Technology Transfer Plan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731520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14" w:right="1440" w:bottom="1440" w:gutter="0" w:footer="0" w:header="0"/>
        </w:sectPr>
      </w:pPr>
    </w:p>
    <w:bookmarkStart w:id="217" w:name="page218"/>
    <w:bookmarkEnd w:id="217"/>
    <w:p>
      <w:pPr>
        <w:jc w:val="center"/>
        <w:spacing w:after="0"/>
        <w:rPr>
          <w:sz w:val="20"/>
          <w:szCs w:val="20"/>
          <w:color w:val="auto"/>
        </w:rPr>
      </w:pPr>
      <w:r>
        <w:rPr>
          <w:rFonts w:ascii="Arial" w:cs="Arial" w:eastAsia="Arial" w:hAnsi="Arial"/>
          <w:sz w:val="22"/>
          <w:szCs w:val="22"/>
          <w:b w:val="1"/>
          <w:bCs w:val="1"/>
          <w:color w:val="auto"/>
        </w:rPr>
        <w:t>Exhibit 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Initial Development Plan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731520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14" w:right="1440" w:bottom="1440" w:gutter="0" w:footer="0" w:header="0"/>
        </w:sectPr>
      </w:pPr>
    </w:p>
    <w:bookmarkStart w:id="218" w:name="page219"/>
    <w:bookmarkEnd w:id="218"/>
    <w:p>
      <w:pPr>
        <w:jc w:val="center"/>
        <w:spacing w:after="0"/>
        <w:rPr>
          <w:sz w:val="20"/>
          <w:szCs w:val="20"/>
          <w:color w:val="auto"/>
        </w:rPr>
      </w:pPr>
      <w:r>
        <w:rPr>
          <w:rFonts w:ascii="Arial" w:cs="Arial" w:eastAsia="Arial" w:hAnsi="Arial"/>
          <w:sz w:val="22"/>
          <w:szCs w:val="22"/>
          <w:b w:val="1"/>
          <w:bCs w:val="1"/>
          <w:color w:val="auto"/>
        </w:rPr>
        <w:t>Exhibit 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Upstream Agreement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731520</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14" w:right="1440" w:bottom="1440" w:gutter="0" w:footer="0" w:header="0"/>
        </w:sectPr>
      </w:pPr>
    </w:p>
    <w:bookmarkStart w:id="219" w:name="page220"/>
    <w:bookmarkEnd w:id="219"/>
    <w:p>
      <w:pPr>
        <w:jc w:val="center"/>
        <w:ind w:right="19"/>
        <w:spacing w:after="0"/>
        <w:rPr>
          <w:sz w:val="20"/>
          <w:szCs w:val="20"/>
          <w:color w:val="auto"/>
        </w:rPr>
      </w:pPr>
      <w:r>
        <w:rPr>
          <w:rFonts w:ascii="Arial" w:cs="Arial" w:eastAsia="Arial" w:hAnsi="Arial"/>
          <w:sz w:val="18"/>
          <w:szCs w:val="18"/>
          <w:b w:val="1"/>
          <w:bCs w:val="1"/>
          <w:color w:val="auto"/>
        </w:rPr>
        <w:t>Schedule 6.6</w:t>
      </w:r>
    </w:p>
    <w:p>
      <w:pPr>
        <w:sectPr>
          <w:pgSz w:w="11900" w:h="16838" w:orient="portrait"/>
          <w:cols w:equalWidth="0" w:num="1">
            <w:col w:w="9019"/>
          </w:cols>
          <w:pgMar w:left="1440" w:top="814" w:right="1440" w:bottom="1440" w:gutter="0" w:footer="0" w:header="0"/>
        </w:sect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Brunei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Cambodia</w:t>
      </w:r>
    </w:p>
    <w:p>
      <w:pPr>
        <w:jc w:val="center"/>
        <w:ind w:right="19"/>
        <w:spacing w:after="0" w:line="231" w:lineRule="auto"/>
        <w:rPr>
          <w:sz w:val="20"/>
          <w:szCs w:val="20"/>
          <w:color w:val="auto"/>
        </w:rPr>
      </w:pPr>
      <w:r>
        <w:rPr>
          <w:rFonts w:ascii="Arial" w:cs="Arial" w:eastAsia="Arial" w:hAnsi="Arial"/>
          <w:sz w:val="22"/>
          <w:szCs w:val="22"/>
          <w:color w:val="auto"/>
        </w:rPr>
        <w:t>Indonesia</w:t>
      </w:r>
    </w:p>
    <w:p>
      <w:pPr>
        <w:jc w:val="center"/>
        <w:spacing w:after="0" w:line="231" w:lineRule="auto"/>
        <w:rPr>
          <w:sz w:val="20"/>
          <w:szCs w:val="20"/>
          <w:color w:val="auto"/>
        </w:rPr>
      </w:pPr>
      <w:r>
        <w:rPr>
          <w:rFonts w:ascii="Arial" w:cs="Arial" w:eastAsia="Arial" w:hAnsi="Arial"/>
          <w:sz w:val="22"/>
          <w:szCs w:val="22"/>
          <w:color w:val="auto"/>
        </w:rPr>
        <w:t>Laos</w:t>
      </w:r>
    </w:p>
    <w:p>
      <w:pPr>
        <w:jc w:val="center"/>
        <w:spacing w:after="0" w:line="231" w:lineRule="auto"/>
        <w:rPr>
          <w:sz w:val="20"/>
          <w:szCs w:val="20"/>
          <w:color w:val="auto"/>
        </w:rPr>
      </w:pPr>
      <w:r>
        <w:rPr>
          <w:rFonts w:ascii="Arial" w:cs="Arial" w:eastAsia="Arial" w:hAnsi="Arial"/>
          <w:sz w:val="22"/>
          <w:szCs w:val="22"/>
          <w:color w:val="auto"/>
        </w:rPr>
        <w:t>Malaysia</w:t>
      </w:r>
    </w:p>
    <w:p>
      <w:pPr>
        <w:jc w:val="center"/>
        <w:ind w:right="19"/>
        <w:spacing w:after="0" w:line="230" w:lineRule="auto"/>
        <w:rPr>
          <w:sz w:val="20"/>
          <w:szCs w:val="20"/>
          <w:color w:val="auto"/>
        </w:rPr>
      </w:pPr>
      <w:r>
        <w:rPr>
          <w:rFonts w:ascii="Arial" w:cs="Arial" w:eastAsia="Arial" w:hAnsi="Arial"/>
          <w:sz w:val="22"/>
          <w:szCs w:val="22"/>
          <w:color w:val="auto"/>
        </w:rPr>
        <w:t>Myanmar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Philippines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Singapore</w:t>
      </w:r>
    </w:p>
    <w:p>
      <w:pPr>
        <w:jc w:val="center"/>
        <w:spacing w:after="0" w:line="231" w:lineRule="auto"/>
        <w:rPr>
          <w:sz w:val="20"/>
          <w:szCs w:val="20"/>
          <w:color w:val="auto"/>
        </w:rPr>
      </w:pPr>
      <w:r>
        <w:rPr>
          <w:rFonts w:ascii="Arial" w:cs="Arial" w:eastAsia="Arial" w:hAnsi="Arial"/>
          <w:sz w:val="22"/>
          <w:szCs w:val="22"/>
          <w:color w:val="auto"/>
        </w:rPr>
        <w:t>Thailand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Vietnam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582930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14" w:right="1440" w:bottom="1440" w:gutter="0" w:footer="0" w:header="0"/>
          <w:type w:val="continuous"/>
        </w:sectPr>
      </w:pPr>
    </w:p>
    <w:bookmarkStart w:id="220" w:name="page221"/>
    <w:bookmarkEnd w:id="220"/>
    <w:p>
      <w:pPr>
        <w:jc w:val="center"/>
        <w:ind w:right="19"/>
        <w:spacing w:after="0"/>
        <w:rPr>
          <w:sz w:val="20"/>
          <w:szCs w:val="20"/>
          <w:color w:val="auto"/>
        </w:rPr>
      </w:pPr>
      <w:r>
        <w:rPr>
          <w:rFonts w:ascii="Arial" w:cs="Arial" w:eastAsia="Arial" w:hAnsi="Arial"/>
          <w:sz w:val="19"/>
          <w:szCs w:val="19"/>
          <w:b w:val="1"/>
          <w:bCs w:val="1"/>
          <w:color w:val="auto"/>
        </w:rPr>
        <w:t>Schedule 10.2(a)</w:t>
      </w:r>
    </w:p>
    <w:p>
      <w:pPr>
        <w:sectPr>
          <w:pgSz w:w="11900" w:h="16838" w:orient="portrait"/>
          <w:cols w:equalWidth="0" w:num="1">
            <w:col w:w="9019"/>
          </w:cols>
          <w:pgMar w:left="1440" w:top="814" w:right="1440" w:bottom="1440" w:gutter="0" w:footer="0" w:header="0"/>
        </w:sect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577215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14" w:right="1440" w:bottom="1440" w:gutter="0" w:footer="0" w:header="0"/>
          <w:type w:val="continuous"/>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23.1</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Consent of Independent Registered Public Accounting Firm</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Spruce Biosciences,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333-249431, 333-254593 and 333-263534) of Spruce Biosciences, Inc. of our report dated March 16, 2023, relating to the financial statements which appear in this Form 10K­.</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Javier Szwarcberg, certify that:</w:t>
      </w:r>
    </w:p>
    <w:p>
      <w:pPr>
        <w:spacing w:after="0" w:line="225" w:lineRule="exact"/>
        <w:rPr>
          <w:sz w:val="20"/>
          <w:szCs w:val="20"/>
          <w:color w:val="auto"/>
        </w:rPr>
      </w:pPr>
    </w:p>
    <w:p>
      <w:pPr>
        <w:ind w:left="520" w:hanging="512"/>
        <w:spacing w:after="0"/>
        <w:tabs>
          <w:tab w:leader="none" w:pos="5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Spruce Biosciences,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5500" w:val="left"/>
          <w:tab w:leader="none" w:pos="7340" w:val="left"/>
        </w:tabs>
        <w:rPr>
          <w:sz w:val="20"/>
          <w:szCs w:val="20"/>
          <w:color w:val="auto"/>
        </w:rPr>
      </w:pPr>
      <w:r>
        <w:rPr>
          <w:rFonts w:ascii="Arial" w:cs="Arial" w:eastAsia="Arial" w:hAnsi="Arial"/>
          <w:sz w:val="18"/>
          <w:szCs w:val="18"/>
          <w:color w:val="auto"/>
        </w:rPr>
        <w:t>Date: March 16,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Javier Szwarcberg, M.D., MPH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334327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0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6"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Javier Szwarcberg, M.D., MPH</w:t>
      </w:r>
    </w:p>
    <w:p>
      <w:pPr>
        <w:spacing w:after="0" w:line="36"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Chief Executive Officer</w:t>
      </w:r>
    </w:p>
    <w:p>
      <w:pPr>
        <w:spacing w:after="0" w:line="36"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Samir Gharib, certify that:</w:t>
      </w:r>
    </w:p>
    <w:p>
      <w:pPr>
        <w:spacing w:after="0" w:line="225" w:lineRule="exact"/>
        <w:rPr>
          <w:sz w:val="20"/>
          <w:szCs w:val="20"/>
          <w:color w:val="auto"/>
        </w:rPr>
      </w:pPr>
    </w:p>
    <w:p>
      <w:pPr>
        <w:ind w:left="520" w:hanging="512"/>
        <w:spacing w:after="0"/>
        <w:tabs>
          <w:tab w:leader="none" w:pos="5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Spruce Biosciences,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5500" w:val="left"/>
          <w:tab w:leader="none" w:pos="8000" w:val="left"/>
        </w:tabs>
        <w:rPr>
          <w:sz w:val="20"/>
          <w:szCs w:val="20"/>
          <w:color w:val="auto"/>
        </w:rPr>
      </w:pPr>
      <w:r>
        <w:rPr>
          <w:rFonts w:ascii="Arial" w:cs="Arial" w:eastAsia="Arial" w:hAnsi="Arial"/>
          <w:sz w:val="18"/>
          <w:szCs w:val="18"/>
          <w:color w:val="auto"/>
        </w:rPr>
        <w:t>Date: March 16,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Samir Gharib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334327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6"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Samir Gharib</w:t>
      </w:r>
    </w:p>
    <w:p>
      <w:pPr>
        <w:spacing w:after="0" w:line="36" w:lineRule="exact"/>
        <w:rPr>
          <w:sz w:val="20"/>
          <w:szCs w:val="20"/>
          <w:color w:val="auto"/>
        </w:rPr>
      </w:pPr>
    </w:p>
    <w:p>
      <w:pPr>
        <w:ind w:left="7160"/>
        <w:spacing w:after="0"/>
        <w:rPr>
          <w:sz w:val="20"/>
          <w:szCs w:val="20"/>
          <w:color w:val="auto"/>
        </w:rPr>
      </w:pPr>
      <w:r>
        <w:rPr>
          <w:rFonts w:ascii="Arial" w:cs="Arial" w:eastAsia="Arial" w:hAnsi="Arial"/>
          <w:sz w:val="18"/>
          <w:szCs w:val="18"/>
          <w:b w:val="1"/>
          <w:bCs w:val="1"/>
          <w:color w:val="auto"/>
        </w:rPr>
        <w:t>President and Chief Financial Officer</w:t>
      </w:r>
    </w:p>
    <w:p>
      <w:pPr>
        <w:spacing w:after="0" w:line="36"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In connection with the Annual Report of Spruce Biosciences, Inc. (the Company) on Form 10-K for the period ending December 31, 2022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20" w:hanging="503"/>
        <w:spacing w:after="0"/>
        <w:tabs>
          <w:tab w:leader="none" w:pos="102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40" w:lineRule="exact"/>
        <w:rPr>
          <w:rFonts w:ascii="Arial" w:cs="Arial" w:eastAsia="Arial" w:hAnsi="Arial"/>
          <w:sz w:val="16"/>
          <w:szCs w:val="16"/>
          <w:color w:val="auto"/>
        </w:rPr>
      </w:pPr>
    </w:p>
    <w:p>
      <w:pPr>
        <w:ind w:left="1020" w:right="620" w:hanging="503"/>
        <w:spacing w:after="0" w:line="277" w:lineRule="auto"/>
        <w:tabs>
          <w:tab w:leader="none" w:pos="10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ind w:left="20"/>
        <w:spacing w:after="0"/>
        <w:tabs>
          <w:tab w:leader="none" w:pos="5500" w:val="left"/>
          <w:tab w:leader="none" w:pos="7340" w:val="left"/>
        </w:tabs>
        <w:rPr>
          <w:sz w:val="20"/>
          <w:szCs w:val="20"/>
          <w:color w:val="auto"/>
        </w:rPr>
      </w:pPr>
      <w:r>
        <w:rPr>
          <w:rFonts w:ascii="Arial" w:cs="Arial" w:eastAsia="Arial" w:hAnsi="Arial"/>
          <w:sz w:val="18"/>
          <w:szCs w:val="18"/>
          <w:color w:val="auto"/>
        </w:rPr>
        <w:t>Date: March 16,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Javier Szwarcberg, M.D., MPH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6"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Javier Szwarcberg, M.D., MPH</w:t>
      </w:r>
    </w:p>
    <w:p>
      <w:pPr>
        <w:spacing w:after="0" w:line="36"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Chief Executive Officer</w:t>
      </w:r>
    </w:p>
    <w:p>
      <w:pPr>
        <w:spacing w:after="0" w:line="36"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In connection with the Annual Report of Spruce Biosciences, Inc. (the Company) on Form 10-K for the period ending December 31, 2022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20" w:hanging="503"/>
        <w:spacing w:after="0"/>
        <w:tabs>
          <w:tab w:leader="none" w:pos="10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40" w:lineRule="exact"/>
        <w:rPr>
          <w:rFonts w:ascii="Arial" w:cs="Arial" w:eastAsia="Arial" w:hAnsi="Arial"/>
          <w:sz w:val="16"/>
          <w:szCs w:val="16"/>
          <w:color w:val="auto"/>
        </w:rPr>
      </w:pPr>
    </w:p>
    <w:p>
      <w:pPr>
        <w:ind w:left="1020" w:right="620" w:hanging="503"/>
        <w:spacing w:after="0" w:line="277" w:lineRule="auto"/>
        <w:tabs>
          <w:tab w:leader="none" w:pos="10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ind w:left="20"/>
        <w:spacing w:after="0"/>
        <w:tabs>
          <w:tab w:leader="none" w:pos="5400" w:val="left"/>
          <w:tab w:leader="none" w:pos="7940" w:val="left"/>
        </w:tabs>
        <w:rPr>
          <w:sz w:val="20"/>
          <w:szCs w:val="20"/>
          <w:color w:val="auto"/>
        </w:rPr>
      </w:pPr>
      <w:r>
        <w:rPr>
          <w:rFonts w:ascii="Arial" w:cs="Arial" w:eastAsia="Arial" w:hAnsi="Arial"/>
          <w:sz w:val="18"/>
          <w:szCs w:val="18"/>
          <w:color w:val="auto"/>
        </w:rPr>
        <w:t>Date: March 16,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Samir Gharib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23495</wp:posOffset>
            </wp:positionV>
            <wp:extent cx="342011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6"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Samir Gharib</w:t>
      </w:r>
    </w:p>
    <w:p>
      <w:pPr>
        <w:spacing w:after="0" w:line="36"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and Chief Financial Officer</w:t>
      </w:r>
    </w:p>
    <w:p>
      <w:pPr>
        <w:spacing w:after="0" w:line="36"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6" w:name="page227"/>
    <w:bookmarkEnd w:id="2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
      <w:numFmt w:val="bullet"/>
      <w:start w:val="1"/>
    </w:lvl>
  </w:abstractNum>
  <w:abstractNum w:abstractNumId="5">
    <w:nsid w:val="5FF87E05"/>
    <w:multiLevelType w:val="hybridMultilevel"/>
    <w:lvl w:ilvl="0">
      <w:lvlJc w:val="left"/>
      <w:lvlText w:val="▪"/>
      <w:numFmt w:val="bullet"/>
      <w:start w:val="1"/>
    </w:lvl>
  </w:abstractNum>
  <w:abstractNum w:abstractNumId="6">
    <w:nsid w:val="2F305DEF"/>
    <w:multiLevelType w:val="hybridMultilevel"/>
    <w:lvl w:ilvl="0">
      <w:lvlJc w:val="left"/>
      <w:lvlText w:val="(%1)"/>
      <w:numFmt w:val="lowerRoman"/>
      <w:start w:val="1"/>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
      <w:numFmt w:val="bullet"/>
      <w:start w:val="1"/>
    </w:lvl>
  </w:abstractNum>
  <w:abstractNum w:abstractNumId="9">
    <w:nsid w:val="4AD084E9"/>
    <w:multiLevelType w:val="hybridMultilevel"/>
    <w:lvl w:ilvl="0">
      <w:lvlJc w:val="left"/>
      <w:lvlText w:val="▪"/>
      <w:numFmt w:val="bullet"/>
      <w:start w:val="1"/>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
      <w:numFmt w:val="bullet"/>
      <w:start w:val="1"/>
    </w:lvl>
  </w:abstractNum>
  <w:abstractNum w:abstractNumId="12">
    <w:nsid w:val="5DB70AE5"/>
    <w:multiLevelType w:val="hybridMultilevel"/>
    <w:lvl w:ilvl="0">
      <w:lvlJc w:val="left"/>
      <w:lvlText w:val="▪"/>
      <w:numFmt w:val="bullet"/>
      <w:start w:val="1"/>
    </w:lvl>
  </w:abstractNum>
  <w:abstractNum w:abstractNumId="13">
    <w:nsid w:val="100F8FCA"/>
    <w:multiLevelType w:val="hybridMultilevel"/>
    <w:lvl w:ilvl="0">
      <w:lvlJc w:val="left"/>
      <w:lvlText w:val="(%1)"/>
      <w:numFmt w:val="lowerRoman"/>
      <w:start w:val="1"/>
    </w:lvl>
  </w:abstractNum>
  <w:abstractNum w:abstractNumId="14">
    <w:nsid w:val="6590700B"/>
    <w:multiLevelType w:val="hybridMultilevel"/>
    <w:lvl w:ilvl="0">
      <w:lvlJc w:val="left"/>
      <w:lvlText w:val="%1"/>
      <w:numFmt w:val="decimal"/>
      <w:start w:val="150"/>
    </w:lvl>
    <w:lvl w:ilvl="1">
      <w:lvlJc w:val="left"/>
      <w:lvlText w:val="▪"/>
      <w:numFmt w:val="bullet"/>
      <w:start w:val="1"/>
    </w:lvl>
  </w:abstractNum>
  <w:abstractNum w:abstractNumId="15">
    <w:nsid w:val="15014ACB"/>
    <w:multiLevelType w:val="hybridMultilevel"/>
    <w:lvl w:ilvl="0">
      <w:lvlJc w:val="left"/>
      <w:lvlText w:val="▪"/>
      <w:numFmt w:val="bullet"/>
      <w:start w:val="1"/>
    </w:lvl>
  </w:abstractNum>
  <w:abstractNum w:abstractNumId="16">
    <w:nsid w:val="5F5E7FD0"/>
    <w:multiLevelType w:val="hybridMultilevel"/>
    <w:lvl w:ilvl="0">
      <w:lvlJc w:val="left"/>
      <w:lvlText w:val="▪"/>
      <w:numFmt w:val="bullet"/>
      <w:start w:val="1"/>
    </w:lvl>
  </w:abstractNum>
  <w:abstractNum w:abstractNumId="17">
    <w:nsid w:val="98A3148"/>
    <w:multiLevelType w:val="hybridMultilevel"/>
    <w:lvl w:ilvl="0">
      <w:lvlJc w:val="left"/>
      <w:lvlText w:val="▪"/>
      <w:numFmt w:val="bullet"/>
      <w:start w:val="1"/>
    </w:lvl>
  </w:abstractNum>
  <w:abstractNum w:abstractNumId="18">
    <w:nsid w:val="799D0247"/>
    <w:multiLevelType w:val="hybridMultilevel"/>
    <w:lvl w:ilvl="0">
      <w:lvlJc w:val="left"/>
      <w:lvlText w:val="▪"/>
      <w:numFmt w:val="bullet"/>
      <w:start w:val="1"/>
    </w:lvl>
  </w:abstractNum>
  <w:abstractNum w:abstractNumId="19">
    <w:nsid w:val="6B94764"/>
    <w:multiLevelType w:val="hybridMultilevel"/>
    <w:lvl w:ilvl="0">
      <w:lvlJc w:val="left"/>
      <w:lvlText w:val="▪"/>
      <w:numFmt w:val="bullet"/>
      <w:start w:val="1"/>
    </w:lvl>
  </w:abstractNum>
  <w:abstractNum w:abstractNumId="20">
    <w:nsid w:val="42C296BD"/>
    <w:multiLevelType w:val="hybridMultilevel"/>
    <w:lvl w:ilvl="0">
      <w:lvlJc w:val="left"/>
      <w:lvlText w:val="▪"/>
      <w:numFmt w:val="bullet"/>
      <w:start w:val="1"/>
    </w:lvl>
  </w:abstractNum>
  <w:abstractNum w:abstractNumId="21">
    <w:nsid w:val="168E121F"/>
    <w:multiLevelType w:val="hybridMultilevel"/>
    <w:lvl w:ilvl="0">
      <w:lvlJc w:val="left"/>
      <w:lvlText w:val="▪"/>
      <w:numFmt w:val="bullet"/>
      <w:start w:val="1"/>
    </w:lvl>
  </w:abstractNum>
  <w:abstractNum w:abstractNumId="22">
    <w:nsid w:val="1EBA5D23"/>
    <w:multiLevelType w:val="hybridMultilevel"/>
    <w:lvl w:ilvl="0">
      <w:lvlJc w:val="left"/>
      <w:lvlText w:val="%1."/>
      <w:numFmt w:val="decimal"/>
      <w:start w:val="19"/>
    </w:lvl>
  </w:abstractNum>
  <w:abstractNum w:abstractNumId="23">
    <w:nsid w:val="661E3F1E"/>
    <w:multiLevelType w:val="hybridMultilevel"/>
    <w:lvl w:ilvl="0">
      <w:lvlJc w:val="left"/>
      <w:lvlText w:val="▪"/>
      <w:numFmt w:val="bullet"/>
      <w:start w:val="1"/>
    </w:lvl>
  </w:abstractNum>
  <w:abstractNum w:abstractNumId="24">
    <w:nsid w:val="5DC79EA8"/>
    <w:multiLevelType w:val="hybridMultilevel"/>
    <w:lvl w:ilvl="0">
      <w:lvlJc w:val="left"/>
      <w:lvlText w:val="▪"/>
      <w:numFmt w:val="bullet"/>
      <w:start w:val="1"/>
    </w:lvl>
  </w:abstractNum>
  <w:abstractNum w:abstractNumId="25">
    <w:nsid w:val="540A471C"/>
    <w:multiLevelType w:val="hybridMultilevel"/>
    <w:lvl w:ilvl="0">
      <w:lvlJc w:val="left"/>
      <w:lvlText w:val="▪"/>
      <w:numFmt w:val="bullet"/>
      <w:start w:val="1"/>
    </w:lvl>
  </w:abstractNum>
  <w:abstractNum w:abstractNumId="26">
    <w:nsid w:val="7BD3EE7B"/>
    <w:multiLevelType w:val="hybridMultilevel"/>
    <w:lvl w:ilvl="0">
      <w:lvlJc w:val="left"/>
      <w:lvlText w:val="▪"/>
      <w:numFmt w:val="bullet"/>
      <w:start w:val="1"/>
    </w:lvl>
  </w:abstractNum>
  <w:abstractNum w:abstractNumId="27">
    <w:nsid w:val="51D9C564"/>
    <w:multiLevelType w:val="hybridMultilevel"/>
    <w:lvl w:ilvl="0">
      <w:lvlJc w:val="left"/>
      <w:lvlText w:val="▪"/>
      <w:numFmt w:val="bullet"/>
      <w:start w:val="1"/>
    </w:lvl>
  </w:abstractNum>
  <w:abstractNum w:abstractNumId="28">
    <w:nsid w:val="613EFDC5"/>
    <w:multiLevelType w:val="hybridMultilevel"/>
    <w:lvl w:ilvl="0">
      <w:lvlJc w:val="left"/>
      <w:lvlText w:val="▪"/>
      <w:numFmt w:val="bullet"/>
      <w:start w:val="1"/>
    </w:lvl>
  </w:abstractNum>
  <w:abstractNum w:abstractNumId="29">
    <w:nsid w:val="BF72B14"/>
    <w:multiLevelType w:val="hybridMultilevel"/>
    <w:lvl w:ilvl="0">
      <w:lvlJc w:val="left"/>
      <w:lvlText w:val="▪"/>
      <w:numFmt w:val="bullet"/>
      <w:start w:val="1"/>
    </w:lvl>
  </w:abstractNum>
  <w:abstractNum w:abstractNumId="30">
    <w:nsid w:val="11447B73"/>
    <w:multiLevelType w:val="hybridMultilevel"/>
    <w:lvl w:ilvl="0">
      <w:lvlJc w:val="left"/>
      <w:lvlText w:val="▪"/>
      <w:numFmt w:val="bullet"/>
      <w:start w:val="1"/>
    </w:lvl>
  </w:abstractNum>
  <w:abstractNum w:abstractNumId="31">
    <w:nsid w:val="42963E5A"/>
    <w:multiLevelType w:val="hybridMultilevel"/>
    <w:lvl w:ilvl="0">
      <w:lvlJc w:val="left"/>
      <w:lvlText w:val="▪"/>
      <w:numFmt w:val="bullet"/>
      <w:start w:val="1"/>
    </w:lvl>
  </w:abstractNum>
  <w:abstractNum w:abstractNumId="32">
    <w:nsid w:val="A0382C5"/>
    <w:multiLevelType w:val="hybridMultilevel"/>
    <w:lvl w:ilvl="0">
      <w:lvlJc w:val="left"/>
      <w:lvlText w:val="▪"/>
      <w:numFmt w:val="bullet"/>
      <w:start w:val="1"/>
    </w:lvl>
  </w:abstractNum>
  <w:abstractNum w:abstractNumId="33">
    <w:nsid w:val="8F2B15E"/>
    <w:multiLevelType w:val="hybridMultilevel"/>
    <w:lvl w:ilvl="0">
      <w:lvlJc w:val="left"/>
      <w:lvlText w:val="▪"/>
      <w:numFmt w:val="bullet"/>
      <w:start w:val="1"/>
    </w:lvl>
  </w:abstractNum>
  <w:abstractNum w:abstractNumId="34">
    <w:nsid w:val="1A32234B"/>
    <w:multiLevelType w:val="hybridMultilevel"/>
    <w:lvl w:ilvl="0">
      <w:lvlJc w:val="left"/>
      <w:lvlText w:val="▪"/>
      <w:numFmt w:val="bullet"/>
      <w:start w:val="1"/>
    </w:lvl>
  </w:abstractNum>
  <w:abstractNum w:abstractNumId="35">
    <w:nsid w:val="3B0FD379"/>
    <w:multiLevelType w:val="hybridMultilevel"/>
    <w:lvl w:ilvl="0">
      <w:lvlJc w:val="left"/>
      <w:lvlText w:val="▪"/>
      <w:numFmt w:val="bullet"/>
      <w:start w:val="1"/>
    </w:lvl>
  </w:abstractNum>
  <w:abstractNum w:abstractNumId="36">
    <w:nsid w:val="68EB2F63"/>
    <w:multiLevelType w:val="hybridMultilevel"/>
    <w:lvl w:ilvl="0">
      <w:lvlJc w:val="left"/>
      <w:lvlText w:val="▪"/>
      <w:numFmt w:val="bullet"/>
      <w:start w:val="1"/>
    </w:lvl>
  </w:abstractNum>
  <w:abstractNum w:abstractNumId="37">
    <w:nsid w:val="4962813B"/>
    <w:multiLevelType w:val="hybridMultilevel"/>
    <w:lvl w:ilvl="0">
      <w:lvlJc w:val="left"/>
      <w:lvlText w:val="▪"/>
      <w:numFmt w:val="bullet"/>
      <w:start w:val="1"/>
    </w:lvl>
  </w:abstractNum>
  <w:abstractNum w:abstractNumId="38">
    <w:nsid w:val="60B6DF70"/>
    <w:multiLevelType w:val="hybridMultilevel"/>
    <w:lvl w:ilvl="0">
      <w:lvlJc w:val="left"/>
      <w:lvlText w:val="▪"/>
      <w:numFmt w:val="bullet"/>
      <w:start w:val="1"/>
    </w:lvl>
  </w:abstractNum>
  <w:abstractNum w:abstractNumId="39">
    <w:nsid w:val="6A5EE64"/>
    <w:multiLevelType w:val="hybridMultilevel"/>
    <w:lvl w:ilvl="0">
      <w:lvlJc w:val="left"/>
      <w:lvlText w:val="▪"/>
      <w:numFmt w:val="bullet"/>
      <w:start w:val="1"/>
    </w:lvl>
  </w:abstractNum>
  <w:abstractNum w:abstractNumId="40">
    <w:nsid w:val="14330624"/>
    <w:multiLevelType w:val="hybridMultilevel"/>
    <w:lvl w:ilvl="0">
      <w:lvlJc w:val="left"/>
      <w:lvlText w:val="▪"/>
      <w:numFmt w:val="bullet"/>
      <w:start w:val="1"/>
    </w:lvl>
  </w:abstractNum>
  <w:abstractNum w:abstractNumId="41">
    <w:nsid w:val="7FFFCA11"/>
    <w:multiLevelType w:val="hybridMultilevel"/>
    <w:lvl w:ilvl="0">
      <w:lvlJc w:val="left"/>
      <w:lvlText w:val="▪"/>
      <w:numFmt w:val="bullet"/>
      <w:start w:val="1"/>
    </w:lvl>
  </w:abstractNum>
  <w:abstractNum w:abstractNumId="42">
    <w:nsid w:val="1A27709E"/>
    <w:multiLevelType w:val="hybridMultilevel"/>
    <w:lvl w:ilvl="0">
      <w:lvlJc w:val="left"/>
      <w:lvlText w:val="▪"/>
      <w:numFmt w:val="bullet"/>
      <w:start w:val="1"/>
    </w:lvl>
  </w:abstractNum>
  <w:abstractNum w:abstractNumId="43">
    <w:nsid w:val="71EA1109"/>
    <w:multiLevelType w:val="hybridMultilevel"/>
    <w:lvl w:ilvl="0">
      <w:lvlJc w:val="left"/>
      <w:lvlText w:val="▪"/>
      <w:numFmt w:val="bullet"/>
      <w:start w:val="1"/>
    </w:lvl>
  </w:abstractNum>
  <w:abstractNum w:abstractNumId="44">
    <w:nsid w:val="100F59DC"/>
    <w:multiLevelType w:val="hybridMultilevel"/>
    <w:lvl w:ilvl="0">
      <w:lvlJc w:val="left"/>
      <w:lvlText w:val="▪"/>
      <w:numFmt w:val="bullet"/>
      <w:start w:val="1"/>
    </w:lvl>
  </w:abstractNum>
  <w:abstractNum w:abstractNumId="45">
    <w:nsid w:val="7FB7E0AA"/>
    <w:multiLevelType w:val="hybridMultilevel"/>
    <w:lvl w:ilvl="0">
      <w:lvlJc w:val="left"/>
      <w:lvlText w:val="▪"/>
      <w:numFmt w:val="bullet"/>
      <w:start w:val="1"/>
    </w:lvl>
  </w:abstractNum>
  <w:abstractNum w:abstractNumId="46">
    <w:nsid w:val="6EB5BD4"/>
    <w:multiLevelType w:val="hybridMultilevel"/>
    <w:lvl w:ilvl="0">
      <w:lvlJc w:val="left"/>
      <w:lvlText w:val="▪"/>
      <w:numFmt w:val="bullet"/>
      <w:start w:val="1"/>
    </w:lvl>
  </w:abstractNum>
  <w:abstractNum w:abstractNumId="47">
    <w:nsid w:val="6F6DD9AC"/>
    <w:multiLevelType w:val="hybridMultilevel"/>
    <w:lvl w:ilvl="0">
      <w:lvlJc w:val="left"/>
      <w:lvlText w:val="▪"/>
      <w:numFmt w:val="bullet"/>
      <w:start w:val="1"/>
    </w:lvl>
  </w:abstractNum>
  <w:abstractNum w:abstractNumId="48">
    <w:nsid w:val="94211F2"/>
    <w:multiLevelType w:val="hybridMultilevel"/>
    <w:lvl w:ilvl="0">
      <w:lvlJc w:val="left"/>
      <w:lvlText w:val="▪"/>
      <w:numFmt w:val="bullet"/>
      <w:start w:val="1"/>
    </w:lvl>
  </w:abstractNum>
  <w:abstractNum w:abstractNumId="49">
    <w:nsid w:val="885E1B"/>
    <w:multiLevelType w:val="hybridMultilevel"/>
    <w:lvl w:ilvl="0">
      <w:lvlJc w:val="left"/>
      <w:lvlText w:val="▪"/>
      <w:numFmt w:val="bullet"/>
      <w:start w:val="1"/>
    </w:lvl>
  </w:abstractNum>
  <w:abstractNum w:abstractNumId="50">
    <w:nsid w:val="76272110"/>
    <w:multiLevelType w:val="hybridMultilevel"/>
    <w:lvl w:ilvl="0">
      <w:lvlJc w:val="left"/>
      <w:lvlText w:val="▪"/>
      <w:numFmt w:val="bullet"/>
      <w:start w:val="1"/>
    </w:lvl>
  </w:abstractNum>
  <w:abstractNum w:abstractNumId="51">
    <w:nsid w:val="4C04A8AF"/>
    <w:multiLevelType w:val="hybridMultilevel"/>
    <w:lvl w:ilvl="0">
      <w:lvlJc w:val="left"/>
      <w:lvlText w:val="%1."/>
      <w:numFmt w:val="decimal"/>
      <w:start w:val="5"/>
    </w:lvl>
    <w:lvl w:ilvl="1">
      <w:lvlJc w:val="left"/>
      <w:lvlText w:val="*"/>
      <w:numFmt w:val="bullet"/>
      <w:start w:val="1"/>
    </w:lvl>
  </w:abstractNum>
  <w:abstractNum w:abstractNumId="52">
    <w:nsid w:val="1716703B"/>
    <w:multiLevelType w:val="hybridMultilevel"/>
    <w:lvl w:ilvl="0">
      <w:lvlJc w:val="left"/>
      <w:lvlText w:val="%1)"/>
      <w:numFmt w:val="lowerLetter"/>
      <w:start w:val="1"/>
    </w:lvl>
    <w:lvl w:ilvl="1">
      <w:lvlJc w:val="left"/>
      <w:lvlText w:val="%2."/>
      <w:numFmt w:val="decimal"/>
      <w:start w:val="1"/>
    </w:lvl>
  </w:abstractNum>
  <w:abstractNum w:abstractNumId="53">
    <w:nsid w:val="14E17E33"/>
    <w:multiLevelType w:val="hybridMultilevel"/>
    <w:lvl w:ilvl="0">
      <w:lvlJc w:val="left"/>
      <w:lvlText w:val="+"/>
      <w:numFmt w:val="bullet"/>
      <w:start w:val="1"/>
    </w:lvl>
    <w:lvl w:ilvl="1">
      <w:lvlJc w:val="left"/>
      <w:lvlText w:val="%2"/>
      <w:numFmt w:val="decimal"/>
      <w:start w:val="104"/>
    </w:lvl>
  </w:abstractNum>
  <w:abstractNum w:abstractNumId="54">
    <w:nsid w:val="3222E7CD"/>
    <w:multiLevelType w:val="hybridMultilevel"/>
    <w:lvl w:ilvl="0">
      <w:lvlJc w:val="left"/>
      <w:lvlText w:val="#"/>
      <w:numFmt w:val="bullet"/>
      <w:start w:val="1"/>
    </w:lvl>
  </w:abstractNum>
  <w:abstractNum w:abstractNumId="55">
    <w:nsid w:val="74DE0EE3"/>
    <w:multiLevelType w:val="hybridMultilevel"/>
    <w:lvl w:ilvl="0">
      <w:lvlJc w:val="left"/>
      <w:lvlText w:val="¥"/>
      <w:numFmt w:val="bullet"/>
      <w:start w:val="1"/>
    </w:lvl>
  </w:abstractNum>
  <w:abstractNum w:abstractNumId="56">
    <w:nsid w:val="68EBC550"/>
    <w:multiLevelType w:val="hybridMultilevel"/>
    <w:lvl w:ilvl="0">
      <w:lvlJc w:val="left"/>
      <w:lvlText w:val="†"/>
      <w:numFmt w:val="bullet"/>
      <w:start w:val="1"/>
    </w:lvl>
  </w:abstractNum>
  <w:abstractNum w:abstractNumId="57">
    <w:nsid w:val="2DF6D648"/>
    <w:multiLevelType w:val="hybridMultilevel"/>
    <w:lvl w:ilvl="0">
      <w:lvlJc w:val="left"/>
      <w:lvlText w:val="•"/>
      <w:numFmt w:val="bullet"/>
      <w:start w:val="1"/>
    </w:lvl>
  </w:abstractNum>
  <w:abstractNum w:abstractNumId="58">
    <w:nsid w:val="46B7D447"/>
    <w:multiLevelType w:val="hybridMultilevel"/>
    <w:lvl w:ilvl="0">
      <w:lvlJc w:val="left"/>
      <w:lvlText w:val="%1."/>
      <w:numFmt w:val="decimal"/>
      <w:start w:val="1"/>
    </w:lvl>
    <w:lvl w:ilvl="1">
      <w:lvlJc w:val="left"/>
      <w:lvlText w:val="(%2)"/>
      <w:numFmt w:val="lowerLetter"/>
      <w:start w:val="1"/>
    </w:lvl>
  </w:abstractNum>
  <w:abstractNum w:abstractNumId="59">
    <w:nsid w:val="4A2AC315"/>
    <w:multiLevelType w:val="hybridMultilevel"/>
    <w:lvl w:ilvl="0">
      <w:lvlJc w:val="left"/>
      <w:lvlText w:val="%1."/>
      <w:numFmt w:val="decimal"/>
      <w:start w:val="2"/>
    </w:lvl>
  </w:abstractNum>
  <w:abstractNum w:abstractNumId="60">
    <w:nsid w:val="39EE015C"/>
    <w:multiLevelType w:val="hybridMultilevel"/>
    <w:lvl w:ilvl="0">
      <w:lvlJc w:val="left"/>
      <w:lvlText w:val="%1."/>
      <w:numFmt w:val="decimal"/>
      <w:start w:val="4"/>
    </w:lvl>
    <w:lvl w:ilvl="1">
      <w:lvlJc w:val="left"/>
      <w:lvlText w:val="(%2)"/>
      <w:numFmt w:val="lowerLetter"/>
      <w:start w:val="1"/>
    </w:lvl>
  </w:abstractNum>
  <w:abstractNum w:abstractNumId="61">
    <w:nsid w:val="57FC4FBB"/>
    <w:multiLevelType w:val="hybridMultilevel"/>
    <w:lvl w:ilvl="0">
      <w:lvlJc w:val="left"/>
      <w:lvlText w:val="(%1)"/>
      <w:numFmt w:val="lowerLetter"/>
      <w:start w:val="3"/>
    </w:lvl>
  </w:abstractNum>
  <w:abstractNum w:abstractNumId="62">
    <w:nsid w:val="CC1016F"/>
    <w:multiLevelType w:val="hybridMultilevel"/>
    <w:lvl w:ilvl="0">
      <w:lvlJc w:val="left"/>
      <w:lvlText w:val="%1."/>
      <w:numFmt w:val="decimal"/>
      <w:start w:val="6"/>
    </w:lvl>
  </w:abstractNum>
  <w:abstractNum w:abstractNumId="63">
    <w:nsid w:val="43F18422"/>
    <w:multiLevelType w:val="hybridMultilevel"/>
    <w:lvl w:ilvl="0">
      <w:lvlJc w:val="left"/>
      <w:lvlText w:val="(%1)"/>
      <w:numFmt w:val="lowerLetter"/>
      <w:start w:val="1"/>
    </w:lvl>
  </w:abstractNum>
  <w:abstractNum w:abstractNumId="64">
    <w:nsid w:val="60EF0119"/>
    <w:multiLevelType w:val="hybridMultilevel"/>
    <w:lvl w:ilvl="0">
      <w:lvlJc w:val="left"/>
      <w:lvlText w:val="(%1)"/>
      <w:numFmt w:val="lowerRoman"/>
      <w:start w:val="4"/>
    </w:lvl>
  </w:abstractNum>
  <w:abstractNum w:abstractNumId="65">
    <w:nsid w:val="26F324BA"/>
    <w:multiLevelType w:val="hybridMultilevel"/>
    <w:lvl w:ilvl="0">
      <w:lvlJc w:val="left"/>
      <w:lvlText w:val="(%1)"/>
      <w:numFmt w:val="lowerRoman"/>
      <w:start w:val="1"/>
    </w:lvl>
  </w:abstractNum>
  <w:abstractNum w:abstractNumId="66">
    <w:nsid w:val="7F01579B"/>
    <w:multiLevelType w:val="hybridMultilevel"/>
    <w:lvl w:ilvl="0">
      <w:lvlJc w:val="left"/>
      <w:lvlText w:val="(%1)"/>
      <w:numFmt w:val="lowerRoman"/>
      <w:start w:val="2"/>
    </w:lvl>
  </w:abstractNum>
  <w:abstractNum w:abstractNumId="67">
    <w:nsid w:val="49DA307D"/>
    <w:multiLevelType w:val="hybridMultilevel"/>
    <w:lvl w:ilvl="0">
      <w:lvlJc w:val="left"/>
      <w:lvlText w:val="(%1)"/>
      <w:numFmt w:val="lowerLetter"/>
      <w:start w:val="1"/>
    </w:lvl>
  </w:abstractNum>
  <w:abstractNum w:abstractNumId="68">
    <w:nsid w:val="7055A5F5"/>
    <w:multiLevelType w:val="hybridMultilevel"/>
    <w:lvl w:ilvl="0">
      <w:lvlJc w:val="left"/>
      <w:lvlText w:val="(%1)"/>
      <w:numFmt w:val="lowerLetter"/>
      <w:start w:val="2"/>
    </w:lvl>
    <w:lvl w:ilvl="1">
      <w:lvlJc w:val="left"/>
      <w:lvlText w:val="(%2)"/>
      <w:numFmt w:val="lowerRoman"/>
      <w:start w:val="1"/>
    </w:lvl>
  </w:abstractNum>
  <w:abstractNum w:abstractNumId="69">
    <w:nsid w:val="5FB8370B"/>
    <w:multiLevelType w:val="hybridMultilevel"/>
    <w:lvl w:ilvl="0">
      <w:lvlJc w:val="left"/>
      <w:lvlText w:val="(%1)"/>
      <w:numFmt w:val="lowerRoman"/>
      <w:start w:val="1"/>
    </w:lvl>
  </w:abstractNum>
  <w:abstractNum w:abstractNumId="70">
    <w:nsid w:val="50801EE1"/>
    <w:multiLevelType w:val="hybridMultilevel"/>
    <w:lvl w:ilvl="0">
      <w:lvlJc w:val="left"/>
      <w:lvlText w:val="(%1)"/>
      <w:numFmt w:val="lowerLetter"/>
      <w:start w:val="1"/>
    </w:lvl>
    <w:lvl w:ilvl="1">
      <w:lvlJc w:val="left"/>
      <w:lvlText w:val="(%2)"/>
      <w:numFmt w:val="lowerRoman"/>
      <w:start w:val="1"/>
    </w:lvl>
  </w:abstractNum>
  <w:abstractNum w:abstractNumId="71">
    <w:nsid w:val="488AC1A"/>
    <w:multiLevelType w:val="hybridMultilevel"/>
    <w:lvl w:ilvl="0">
      <w:lvlJc w:val="left"/>
      <w:lvlText w:val="%1"/>
      <w:numFmt w:val="lowerLetter"/>
      <w:start w:val="1"/>
    </w:lvl>
    <w:lvl w:ilvl="1">
      <w:lvlJc w:val="left"/>
      <w:lvlText w:val="(%2)"/>
      <w:numFmt w:val="lowerRoman"/>
      <w:start w:val="4"/>
    </w:lvl>
  </w:abstractNum>
  <w:abstractNum w:abstractNumId="72">
    <w:nsid w:val="5FB8011C"/>
    <w:multiLevelType w:val="hybridMultilevel"/>
    <w:lvl w:ilvl="0">
      <w:lvlJc w:val="left"/>
      <w:lvlText w:val="(%1)"/>
      <w:numFmt w:val="lowerLetter"/>
      <w:start w:val="2"/>
    </w:lvl>
    <w:lvl w:ilvl="1">
      <w:lvlJc w:val="left"/>
      <w:lvlText w:val="%2"/>
      <w:numFmt w:val="lowerRoman"/>
      <w:start w:val="1"/>
    </w:lvl>
  </w:abstractNum>
  <w:abstractNum w:abstractNumId="73">
    <w:nsid w:val="6AA78F7F"/>
    <w:multiLevelType w:val="hybridMultilevel"/>
    <w:lvl w:ilvl="0">
      <w:lvlJc w:val="left"/>
      <w:lvlText w:val="(%1)"/>
      <w:numFmt w:val="lowerLetter"/>
      <w:start w:val="4"/>
    </w:lvl>
  </w:abstractNum>
  <w:abstractNum w:abstractNumId="74">
    <w:nsid w:val="7672BD23"/>
    <w:multiLevelType w:val="hybridMultilevel"/>
    <w:lvl w:ilvl="0">
      <w:lvlJc w:val="left"/>
      <w:lvlText w:val="(%1)"/>
      <w:numFmt w:val="lowerLetter"/>
      <w:start w:val="1"/>
    </w:lvl>
  </w:abstractNum>
  <w:abstractNum w:abstractNumId="75">
    <w:nsid w:val="6FC75AF8"/>
    <w:multiLevelType w:val="hybridMultilevel"/>
    <w:lvl w:ilvl="0">
      <w:lvlJc w:val="left"/>
      <w:lvlText w:val="(%1)"/>
      <w:numFmt w:val="lowerLetter"/>
      <w:start w:val="2"/>
    </w:lvl>
  </w:abstractNum>
  <w:abstractNum w:abstractNumId="76">
    <w:nsid w:val="6A5F7029"/>
    <w:multiLevelType w:val="hybridMultilevel"/>
    <w:lvl w:ilvl="0">
      <w:lvlJc w:val="left"/>
      <w:lvlText w:val="(%1)"/>
      <w:numFmt w:val="lowerLetter"/>
      <w:start w:val="1"/>
    </w:lvl>
  </w:abstractNum>
  <w:abstractNum w:abstractNumId="77">
    <w:nsid w:val="7D5E18F8"/>
    <w:multiLevelType w:val="hybridMultilevel"/>
    <w:lvl w:ilvl="0">
      <w:lvlJc w:val="left"/>
      <w:lvlText w:val="(%1)"/>
      <w:numFmt w:val="lowerLetter"/>
      <w:start w:val="3"/>
    </w:lvl>
  </w:abstractNum>
  <w:abstractNum w:abstractNumId="78">
    <w:nsid w:val="5F3534A4"/>
    <w:multiLevelType w:val="hybridMultilevel"/>
    <w:lvl w:ilvl="0">
      <w:lvlJc w:val="left"/>
      <w:lvlText w:val="(%1)"/>
      <w:numFmt w:val="lowerLetter"/>
      <w:start w:val="1"/>
    </w:lvl>
  </w:abstractNum>
  <w:abstractNum w:abstractNumId="79">
    <w:nsid w:val="73A1821B"/>
    <w:multiLevelType w:val="hybridMultilevel"/>
    <w:lvl w:ilvl="0">
      <w:lvlJc w:val="left"/>
      <w:lvlText w:val="(%1)"/>
      <w:numFmt w:val="lowerLetter"/>
      <w:start w:val="2"/>
    </w:lvl>
  </w:abstractNum>
  <w:abstractNum w:abstractNumId="80">
    <w:nsid w:val="7DE67713"/>
    <w:multiLevelType w:val="hybridMultilevel"/>
    <w:lvl w:ilvl="0">
      <w:lvlJc w:val="left"/>
      <w:lvlText w:val="(%1)"/>
      <w:numFmt w:val="lowerLetter"/>
      <w:start w:val="1"/>
    </w:lvl>
  </w:abstractNum>
  <w:abstractNum w:abstractNumId="81">
    <w:nsid w:val="555C55B5"/>
    <w:multiLevelType w:val="hybridMultilevel"/>
    <w:lvl w:ilvl="0">
      <w:lvlJc w:val="left"/>
      <w:lvlText w:val="(%1)"/>
      <w:numFmt w:val="lowerLetter"/>
      <w:start w:val="1"/>
    </w:lvl>
  </w:abstractNum>
  <w:abstractNum w:abstractNumId="82">
    <w:nsid w:val="3FA62ACA"/>
    <w:multiLevelType w:val="hybridMultilevel"/>
    <w:lvl w:ilvl="0">
      <w:lvlJc w:val="left"/>
      <w:lvlText w:val="(%1)"/>
      <w:numFmt w:val="lowerLetter"/>
      <w:start w:val="1"/>
    </w:lvl>
  </w:abstractNum>
  <w:abstractNum w:abstractNumId="83">
    <w:nsid w:val="14FCE74E"/>
    <w:multiLevelType w:val="hybridMultilevel"/>
    <w:lvl w:ilvl="0">
      <w:lvlJc w:val="left"/>
      <w:lvlText w:val="(%1)"/>
      <w:numFmt w:val="lowerLetter"/>
      <w:start w:val="1"/>
    </w:lvl>
    <w:lvl w:ilvl="1">
      <w:lvlJc w:val="left"/>
      <w:lvlText w:val="(%2)"/>
      <w:numFmt w:val="lowerRoman"/>
      <w:start w:val="1"/>
    </w:lvl>
  </w:abstractNum>
  <w:abstractNum w:abstractNumId="84">
    <w:nsid w:val="6A3DD3E8"/>
    <w:multiLevelType w:val="hybridMultilevel"/>
    <w:lvl w:ilvl="0">
      <w:lvlJc w:val="left"/>
      <w:lvlText w:val="(%1)"/>
      <w:numFmt w:val="lowerLetter"/>
      <w:start w:val="2"/>
    </w:lvl>
    <w:lvl w:ilvl="1">
      <w:lvlJc w:val="left"/>
      <w:lvlText w:val="(%2)"/>
      <w:numFmt w:val="lowerRoman"/>
      <w:start w:val="1"/>
    </w:lvl>
  </w:abstractNum>
  <w:abstractNum w:abstractNumId="85">
    <w:nsid w:val="71C91298"/>
    <w:multiLevelType w:val="hybridMultilevel"/>
    <w:lvl w:ilvl="0">
      <w:lvlJc w:val="left"/>
      <w:lvlText w:val="%1"/>
      <w:numFmt w:val="lowerLetter"/>
      <w:start w:val="1"/>
    </w:lvl>
    <w:lvl w:ilvl="1">
      <w:lvlJc w:val="left"/>
      <w:lvlText w:val="(%2)"/>
      <w:numFmt w:val="lowerRoman"/>
      <w:start w:val="1"/>
    </w:lvl>
  </w:abstractNum>
  <w:abstractNum w:abstractNumId="86">
    <w:nsid w:val="9DAF632"/>
    <w:multiLevelType w:val="hybridMultilevel"/>
    <w:lvl w:ilvl="0">
      <w:lvlJc w:val="left"/>
      <w:lvlText w:val="(%1)"/>
      <w:numFmt w:val="lowerLetter"/>
      <w:start w:val="2"/>
    </w:lvl>
    <w:lvl w:ilvl="1">
      <w:lvlJc w:val="left"/>
      <w:lvlText w:val="%2"/>
      <w:numFmt w:val="lowerRoman"/>
      <w:start w:val="1"/>
    </w:lvl>
  </w:abstractNum>
  <w:abstractNum w:abstractNumId="87">
    <w:nsid w:val="53299938"/>
    <w:multiLevelType w:val="hybridMultilevel"/>
    <w:lvl w:ilvl="0">
      <w:lvlJc w:val="left"/>
      <w:lvlText w:val="(%1)"/>
      <w:numFmt w:val="lowerLetter"/>
      <w:start w:val="1"/>
    </w:lvl>
  </w:abstractNum>
  <w:abstractNum w:abstractNumId="88">
    <w:nsid w:val="1FBFE8E0"/>
    <w:multiLevelType w:val="hybridMultilevel"/>
    <w:lvl w:ilvl="0">
      <w:lvlJc w:val="left"/>
      <w:lvlText w:val="(%1)"/>
      <w:numFmt w:val="lowerLetter"/>
      <w:start w:val="1"/>
    </w:lvl>
  </w:abstractNum>
  <w:abstractNum w:abstractNumId="89">
    <w:nsid w:val="5092CA79"/>
    <w:multiLevelType w:val="hybridMultilevel"/>
    <w:lvl w:ilvl="0">
      <w:lvlJc w:val="left"/>
      <w:lvlText w:val="(%1)"/>
      <w:numFmt w:val="lowerLetter"/>
      <w:start w:val="1"/>
    </w:lvl>
  </w:abstractNum>
  <w:abstractNum w:abstractNumId="90">
    <w:nsid w:val="1D545C4D"/>
    <w:multiLevelType w:val="hybridMultilevel"/>
    <w:lvl w:ilvl="0">
      <w:lvlJc w:val="left"/>
      <w:lvlText w:val="(%1)"/>
      <w:numFmt w:val="lowerLetter"/>
      <w:start w:val="3"/>
    </w:lvl>
    <w:lvl w:ilvl="1">
      <w:lvlJc w:val="left"/>
      <w:lvlText w:val="(%2)"/>
      <w:numFmt w:val="lowerRoman"/>
      <w:start w:val="1"/>
    </w:lvl>
  </w:abstractNum>
  <w:abstractNum w:abstractNumId="91">
    <w:nsid w:val="59ADEA3D"/>
    <w:multiLevelType w:val="hybridMultilevel"/>
    <w:lvl w:ilvl="0">
      <w:lvlJc w:val="left"/>
      <w:lvlText w:val="(%1)"/>
      <w:numFmt w:val="lowerLetter"/>
      <w:start w:val="4"/>
    </w:lvl>
  </w:abstractNum>
  <w:abstractNum w:abstractNumId="92">
    <w:nsid w:val="288F1A34"/>
    <w:multiLevelType w:val="hybridMultilevel"/>
    <w:lvl w:ilvl="0">
      <w:lvlJc w:val="left"/>
      <w:lvlText w:val="(%1)"/>
      <w:numFmt w:val="lowerLetter"/>
      <w:start w:val="1"/>
    </w:lvl>
  </w:abstractNum>
  <w:abstractNum w:abstractNumId="93">
    <w:nsid w:val="2A155DBC"/>
    <w:multiLevelType w:val="hybridMultilevel"/>
    <w:lvl w:ilvl="0">
      <w:lvlJc w:val="left"/>
      <w:lvlText w:val="(%1)"/>
      <w:numFmt w:val="lowerLetter"/>
      <w:start w:val="5"/>
    </w:lvl>
  </w:abstractNum>
  <w:abstractNum w:abstractNumId="94">
    <w:nsid w:val="1D9F6E5F"/>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95">
    <w:nsid w:val="97E1B4E"/>
    <w:multiLevelType w:val="hybridMultilevel"/>
    <w:lvl w:ilvl="0">
      <w:lvlJc w:val="left"/>
      <w:lvlText w:val="%1"/>
      <w:numFmt w:val="lowerRoman"/>
      <w:start w:val="1"/>
    </w:lvl>
    <w:lvl w:ilvl="1">
      <w:lvlJc w:val="left"/>
      <w:lvlText w:val="(%2)"/>
      <w:numFmt w:val="decimal"/>
      <w:start w:val="2"/>
    </w:lvl>
  </w:abstractNum>
  <w:abstractNum w:abstractNumId="96">
    <w:nsid w:val="51088277"/>
    <w:multiLevelType w:val="hybridMultilevel"/>
    <w:lvl w:ilvl="0">
      <w:lvlJc w:val="left"/>
      <w:lvlText w:val="(%1)"/>
      <w:numFmt w:val="lowerRoman"/>
      <w:start w:val="2"/>
    </w:lvl>
    <w:lvl w:ilvl="1">
      <w:lvlJc w:val="left"/>
      <w:lvlText w:val="(%2)"/>
      <w:numFmt w:val="decimal"/>
      <w:start w:val="1"/>
    </w:lvl>
  </w:abstractNum>
  <w:abstractNum w:abstractNumId="97">
    <w:nsid w:val="1CA0C5FA"/>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3"/>
    </w:lvl>
  </w:abstractNum>
  <w:abstractNum w:abstractNumId="98">
    <w:nsid w:val="53584BCB"/>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99">
    <w:nsid w:val="415E286C"/>
    <w:multiLevelType w:val="hybridMultilevel"/>
    <w:lvl w:ilvl="0">
      <w:lvlJc w:val="left"/>
      <w:lvlText w:val="(%1)"/>
      <w:numFmt w:val="lowerLetter"/>
      <w:start w:val="1"/>
    </w:lvl>
  </w:abstractNum>
  <w:abstractNum w:abstractNumId="100">
    <w:nsid w:val="7C58FD05"/>
    <w:multiLevelType w:val="hybridMultilevel"/>
    <w:lvl w:ilvl="0">
      <w:lvlJc w:val="left"/>
      <w:lvlText w:val="(%1)"/>
      <w:numFmt w:val="lowerLetter"/>
      <w:start w:val="1"/>
    </w:lvl>
  </w:abstractNum>
  <w:abstractNum w:abstractNumId="101">
    <w:nsid w:val="23D86AAC"/>
    <w:multiLevelType w:val="hybridMultilevel"/>
    <w:lvl w:ilvl="0">
      <w:lvlJc w:val="left"/>
      <w:lvlText w:val="(%1)"/>
      <w:numFmt w:val="lowerLetter"/>
      <w:start w:val="1"/>
    </w:lvl>
  </w:abstractNum>
  <w:abstractNum w:abstractNumId="102">
    <w:nsid w:val="45E6D486"/>
    <w:multiLevelType w:val="hybridMultilevel"/>
    <w:lvl w:ilvl="0">
      <w:lvlJc w:val="left"/>
      <w:lvlText w:val="[***]"/>
      <w:numFmt w:val="bullet"/>
      <w:start w:val="1"/>
    </w:lvl>
    <w:lvl w:ilvl="1">
      <w:lvlJc w:val="left"/>
      <w:lvlText w:val="(%2)"/>
      <w:numFmt w:val="lowerLetter"/>
      <w:start w:val="2"/>
    </w:lvl>
  </w:abstractNum>
  <w:abstractNum w:abstractNumId="103">
    <w:nsid w:val="5C10FE21"/>
    <w:multiLevelType w:val="hybridMultilevel"/>
    <w:lvl w:ilvl="0">
      <w:lvlJc w:val="left"/>
      <w:lvlText w:val="(%1)"/>
      <w:numFmt w:val="lowerLetter"/>
      <w:start w:val="8"/>
    </w:lvl>
  </w:abstractNum>
  <w:abstractNum w:abstractNumId="104">
    <w:nsid w:val="E7FFA2B"/>
    <w:multiLevelType w:val="hybridMultilevel"/>
    <w:lvl w:ilvl="0">
      <w:lvlJc w:val="left"/>
      <w:lvlText w:val="(%1)"/>
      <w:numFmt w:val="lowerLetter"/>
      <w:start w:val="1"/>
    </w:lvl>
  </w:abstractNum>
  <w:abstractNum w:abstractNumId="105">
    <w:nsid w:val="3C5991AA"/>
    <w:multiLevelType w:val="hybridMultilevel"/>
    <w:lvl w:ilvl="0">
      <w:lvlJc w:val="left"/>
      <w:lvlText w:val="(%1)"/>
      <w:numFmt w:val="lowerLetter"/>
      <w:start w:val="1"/>
    </w:lvl>
  </w:abstractNum>
  <w:abstractNum w:abstractNumId="106">
    <w:nsid w:val="4BD8591A"/>
    <w:multiLevelType w:val="hybridMultilevel"/>
    <w:lvl w:ilvl="0">
      <w:lvlJc w:val="left"/>
      <w:lvlText w:val="(%1)"/>
      <w:numFmt w:val="lowerLetter"/>
      <w:start w:val="5"/>
    </w:lvl>
  </w:abstractNum>
  <w:abstractNum w:abstractNumId="107">
    <w:nsid w:val="78DF6A55"/>
    <w:multiLevelType w:val="hybridMultilevel"/>
    <w:lvl w:ilvl="0">
      <w:lvlJc w:val="left"/>
      <w:lvlText w:val="(%1)"/>
      <w:numFmt w:val="lowerLetter"/>
      <w:start w:val="1"/>
    </w:lvl>
  </w:abstractNum>
  <w:abstractNum w:abstractNumId="108">
    <w:nsid w:val="39B7AAA2"/>
    <w:multiLevelType w:val="hybridMultilevel"/>
    <w:lvl w:ilvl="0">
      <w:lvlJc w:val="left"/>
      <w:lvlText w:val="(%1)"/>
      <w:numFmt w:val="lowerLetter"/>
      <w:start w:val="1"/>
    </w:lvl>
  </w:abstractNum>
  <w:abstractNum w:abstractNumId="109">
    <w:nsid w:val="2B0D8DBE"/>
    <w:multiLevelType w:val="hybridMultilevel"/>
    <w:lvl w:ilvl="0">
      <w:lvlJc w:val="left"/>
      <w:lvlText w:val="(%1)"/>
      <w:numFmt w:val="lowerLetter"/>
      <w:start w:val="3"/>
    </w:lvl>
  </w:abstractNum>
  <w:abstractNum w:abstractNumId="110">
    <w:nsid w:val="6C80EC70"/>
    <w:multiLevelType w:val="hybridMultilevel"/>
    <w:lvl w:ilvl="0">
      <w:lvlJc w:val="left"/>
      <w:lvlText w:val="(%1)"/>
      <w:numFmt w:val="lowerLetter"/>
      <w:start w:val="1"/>
    </w:lvl>
  </w:abstractNum>
  <w:abstractNum w:abstractNumId="111">
    <w:nsid w:val="379E21B5"/>
    <w:multiLevelType w:val="hybridMultilevel"/>
    <w:lvl w:ilvl="0">
      <w:lvlJc w:val="left"/>
      <w:lvlText w:val="(%1)"/>
      <w:numFmt w:val="lowerLetter"/>
      <w:start w:val="3"/>
    </w:lvl>
  </w:abstractNum>
  <w:abstractNum w:abstractNumId="112">
    <w:nsid w:val="69E373"/>
    <w:multiLevelType w:val="hybridMultilevel"/>
    <w:lvl w:ilvl="0">
      <w:lvlJc w:val="left"/>
      <w:lvlText w:val="(%1)"/>
      <w:numFmt w:val="lowerLetter"/>
      <w:start w:val="1"/>
    </w:lvl>
  </w:abstractNum>
  <w:abstractNum w:abstractNumId="113">
    <w:nsid w:val="2C27173B"/>
    <w:multiLevelType w:val="hybridMultilevel"/>
    <w:lvl w:ilvl="0">
      <w:lvlJc w:val="left"/>
      <w:lvlText w:val="(%1)"/>
      <w:numFmt w:val="lowerLetter"/>
      <w:start w:val="1"/>
    </w:lvl>
  </w:abstractNum>
  <w:abstractNum w:abstractNumId="114">
    <w:nsid w:val="4C9B0904"/>
    <w:multiLevelType w:val="hybridMultilevel"/>
    <w:lvl w:ilvl="0">
      <w:lvlJc w:val="left"/>
      <w:lvlText w:val="(%1)"/>
      <w:numFmt w:val="lowerLetter"/>
      <w:start w:val="3"/>
    </w:lvl>
  </w:abstractNum>
  <w:abstractNum w:abstractNumId="115">
    <w:nsid w:val="6AA7B75C"/>
    <w:multiLevelType w:val="hybridMultilevel"/>
    <w:lvl w:ilvl="0">
      <w:lvlJc w:val="left"/>
      <w:lvlText w:val="(%1)"/>
      <w:numFmt w:val="lowerLetter"/>
      <w:start w:val="1"/>
    </w:lvl>
  </w:abstractNum>
  <w:abstractNum w:abstractNumId="116">
    <w:nsid w:val="1DF029D3"/>
    <w:multiLevelType w:val="hybridMultilevel"/>
    <w:lvl w:ilvl="0">
      <w:lvlJc w:val="left"/>
      <w:lvlText w:val="(%1)"/>
      <w:numFmt w:val="lowerLetter"/>
      <w:start w:val="1"/>
    </w:lvl>
  </w:abstractNum>
  <w:abstractNum w:abstractNumId="117">
    <w:nsid w:val="5675FF36"/>
    <w:multiLevelType w:val="hybridMultilevel"/>
    <w:lvl w:ilvl="0">
      <w:lvlJc w:val="left"/>
      <w:lvlText w:val="(%1)"/>
      <w:numFmt w:val="lowerLetter"/>
      <w:start w:val="1"/>
    </w:lvl>
  </w:abstractNum>
  <w:abstractNum w:abstractNumId="118">
    <w:nsid w:val="3DD15094"/>
    <w:multiLevelType w:val="hybridMultilevel"/>
    <w:lvl w:ilvl="0">
      <w:lvlJc w:val="left"/>
      <w:lvlText w:val="(%1)"/>
      <w:numFmt w:val="lowerLetter"/>
      <w:start w:val="1"/>
    </w:lvl>
  </w:abstractNum>
  <w:abstractNum w:abstractNumId="119">
    <w:nsid w:val="3DB012B3"/>
    <w:multiLevelType w:val="hybridMultilevel"/>
    <w:lvl w:ilvl="0">
      <w:lvlJc w:val="left"/>
      <w:lvlText w:val="%1."/>
      <w:numFmt w:val="decimal"/>
      <w:start w:val="1"/>
    </w:lvl>
    <w:lvl w:ilvl="1">
      <w:lvlJc w:val="left"/>
      <w:lvlText w:val="(%2)"/>
      <w:numFmt w:val="lowerLetter"/>
      <w:start w:val="1"/>
    </w:lvl>
  </w:abstractNum>
  <w:abstractNum w:abstractNumId="120">
    <w:nsid w:val="2708C9AF"/>
    <w:multiLevelType w:val="hybridMultilevel"/>
    <w:lvl w:ilvl="0">
      <w:lvlJc w:val="left"/>
      <w:lvlText w:val="%1."/>
      <w:numFmt w:val="decimal"/>
      <w:start w:val="1"/>
    </w:lvl>
    <w:lvl w:ilvl="1">
      <w:lvlJc w:val="left"/>
      <w:lvlText w:val="(%2)"/>
      <w:numFmt w:val="lowerLetter"/>
      <w:start w:val="1"/>
    </w:lvl>
  </w:abstractNum>
  <w:abstractNum w:abstractNumId="121">
    <w:nsid w:val="5B25ACE2"/>
    <w:multiLevelType w:val="hybridMultilevel"/>
    <w:lvl w:ilvl="0">
      <w:lvlJc w:val="left"/>
      <w:lvlText w:val="(%1)"/>
      <w:numFmt w:val="decimal"/>
      <w:start w:val="1"/>
    </w:lvl>
  </w:abstractNum>
  <w:abstractNum w:abstractNumId="122">
    <w:nsid w:val="175DFCF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34" Type="http://schemas.openxmlformats.org/officeDocument/2006/relationships/image" Target="media/image415.png"/><Relationship Id="rId435" Type="http://schemas.openxmlformats.org/officeDocument/2006/relationships/image" Target="media/image416.png"/><Relationship Id="rId436" Type="http://schemas.openxmlformats.org/officeDocument/2006/relationships/image" Target="media/image417.png"/><Relationship Id="rId438" Type="http://schemas.openxmlformats.org/officeDocument/2006/relationships/image" Target="media/image418.png"/><Relationship Id="rId440" Type="http://schemas.openxmlformats.org/officeDocument/2006/relationships/image" Target="media/image419.png"/><Relationship Id="rId441" Type="http://schemas.openxmlformats.org/officeDocument/2006/relationships/image" Target="media/image420.png"/><Relationship Id="rId443" Type="http://schemas.openxmlformats.org/officeDocument/2006/relationships/image" Target="media/image421.png"/><Relationship Id="rId444" Type="http://schemas.openxmlformats.org/officeDocument/2006/relationships/image" Target="media/image422.png"/><Relationship Id="rId445" Type="http://schemas.openxmlformats.org/officeDocument/2006/relationships/image" Target="media/image423.png"/><Relationship Id="rId447" Type="http://schemas.openxmlformats.org/officeDocument/2006/relationships/image" Target="media/image424.png"/><Relationship Id="rId448" Type="http://schemas.openxmlformats.org/officeDocument/2006/relationships/image" Target="media/image425.png"/><Relationship Id="rId450" Type="http://schemas.openxmlformats.org/officeDocument/2006/relationships/image" Target="media/image426.png"/><Relationship Id="rId451" Type="http://schemas.openxmlformats.org/officeDocument/2006/relationships/image" Target="media/image427.png"/><Relationship Id="rId453" Type="http://schemas.openxmlformats.org/officeDocument/2006/relationships/image" Target="media/image428.png"/><Relationship Id="rId455" Type="http://schemas.openxmlformats.org/officeDocument/2006/relationships/image" Target="media/image429.png"/><Relationship Id="rId456" Type="http://schemas.openxmlformats.org/officeDocument/2006/relationships/image" Target="media/image430.png"/><Relationship Id="rId458" Type="http://schemas.openxmlformats.org/officeDocument/2006/relationships/image" Target="media/image431.png"/><Relationship Id="rId459" Type="http://schemas.openxmlformats.org/officeDocument/2006/relationships/image" Target="media/image432.png"/><Relationship Id="rId461" Type="http://schemas.openxmlformats.org/officeDocument/2006/relationships/image" Target="media/image433.png"/><Relationship Id="rId462" Type="http://schemas.openxmlformats.org/officeDocument/2006/relationships/image" Target="media/image434.png"/><Relationship Id="rId464" Type="http://schemas.openxmlformats.org/officeDocument/2006/relationships/image" Target="media/image435.png"/><Relationship Id="rId465" Type="http://schemas.openxmlformats.org/officeDocument/2006/relationships/image" Target="media/image436.png"/><Relationship Id="rId467" Type="http://schemas.openxmlformats.org/officeDocument/2006/relationships/image" Target="media/image437.png"/><Relationship Id="rId468" Type="http://schemas.openxmlformats.org/officeDocument/2006/relationships/image" Target="media/image438.png"/><Relationship Id="rId470" Type="http://schemas.openxmlformats.org/officeDocument/2006/relationships/image" Target="media/image439.png"/><Relationship Id="rId471" Type="http://schemas.openxmlformats.org/officeDocument/2006/relationships/image" Target="media/image440.png"/><Relationship Id="rId473" Type="http://schemas.openxmlformats.org/officeDocument/2006/relationships/image" Target="media/image441.png"/><Relationship Id="rId474" Type="http://schemas.openxmlformats.org/officeDocument/2006/relationships/image" Target="media/image442.png"/><Relationship Id="rId476" Type="http://schemas.openxmlformats.org/officeDocument/2006/relationships/image" Target="media/image443.png"/><Relationship Id="rId477" Type="http://schemas.openxmlformats.org/officeDocument/2006/relationships/image" Target="media/image444.png"/><Relationship Id="rId479" Type="http://schemas.openxmlformats.org/officeDocument/2006/relationships/image" Target="media/image445.png"/><Relationship Id="rId480" Type="http://schemas.openxmlformats.org/officeDocument/2006/relationships/image" Target="media/image446.png"/><Relationship Id="rId482" Type="http://schemas.openxmlformats.org/officeDocument/2006/relationships/image" Target="media/image447.png"/><Relationship Id="rId483" Type="http://schemas.openxmlformats.org/officeDocument/2006/relationships/image" Target="media/image448.png"/><Relationship Id="rId485" Type="http://schemas.openxmlformats.org/officeDocument/2006/relationships/image" Target="media/image449.png"/><Relationship Id="rId486" Type="http://schemas.openxmlformats.org/officeDocument/2006/relationships/image" Target="media/image450.png"/><Relationship Id="rId488" Type="http://schemas.openxmlformats.org/officeDocument/2006/relationships/image" Target="media/image451.png"/><Relationship Id="rId489" Type="http://schemas.openxmlformats.org/officeDocument/2006/relationships/image" Target="media/image452.png"/><Relationship Id="rId490" Type="http://schemas.openxmlformats.org/officeDocument/2006/relationships/image" Target="media/image453.png"/><Relationship Id="rId492" Type="http://schemas.openxmlformats.org/officeDocument/2006/relationships/image" Target="media/image454.png"/><Relationship Id="rId493" Type="http://schemas.openxmlformats.org/officeDocument/2006/relationships/image" Target="media/image455.png"/><Relationship Id="rId495" Type="http://schemas.openxmlformats.org/officeDocument/2006/relationships/image" Target="media/image456.png"/><Relationship Id="rId496" Type="http://schemas.openxmlformats.org/officeDocument/2006/relationships/image" Target="media/image457.png"/><Relationship Id="rId497" Type="http://schemas.openxmlformats.org/officeDocument/2006/relationships/image" Target="media/image458.png"/><Relationship Id="rId499" Type="http://schemas.openxmlformats.org/officeDocument/2006/relationships/image" Target="media/image459.png"/><Relationship Id="rId500" Type="http://schemas.openxmlformats.org/officeDocument/2006/relationships/image" Target="media/image460.png"/><Relationship Id="rId501" Type="http://schemas.openxmlformats.org/officeDocument/2006/relationships/image" Target="media/image461.png"/><Relationship Id="rId502" Type="http://schemas.openxmlformats.org/officeDocument/2006/relationships/image" Target="media/image462.png"/><Relationship Id="rId503" Type="http://schemas.openxmlformats.org/officeDocument/2006/relationships/image" Target="media/image463.png"/><Relationship Id="rId504" Type="http://schemas.openxmlformats.org/officeDocument/2006/relationships/image" Target="media/image464.png"/><Relationship Id="rId505" Type="http://schemas.openxmlformats.org/officeDocument/2006/relationships/image" Target="media/image465.png"/><Relationship Id="rId506" Type="http://schemas.openxmlformats.org/officeDocument/2006/relationships/image" Target="media/image466.png"/><Relationship Id="rId507" Type="http://schemas.openxmlformats.org/officeDocument/2006/relationships/image" Target="media/image467.png"/><Relationship Id="rId508" Type="http://schemas.openxmlformats.org/officeDocument/2006/relationships/image" Target="media/image468.png"/><Relationship Id="rId509" Type="http://schemas.openxmlformats.org/officeDocument/2006/relationships/image" Target="media/image469.png"/><Relationship Id="rId510" Type="http://schemas.openxmlformats.org/officeDocument/2006/relationships/image" Target="media/image470.png"/><Relationship Id="rId511" Type="http://schemas.openxmlformats.org/officeDocument/2006/relationships/image" Target="media/image471.png"/><Relationship Id="rId512" Type="http://schemas.openxmlformats.org/officeDocument/2006/relationships/image" Target="media/image472.png"/><Relationship Id="rId513" Type="http://schemas.openxmlformats.org/officeDocument/2006/relationships/image" Target="media/image473.png"/><Relationship Id="rId514" Type="http://schemas.openxmlformats.org/officeDocument/2006/relationships/image" Target="media/image474.png"/><Relationship Id="rId515" Type="http://schemas.openxmlformats.org/officeDocument/2006/relationships/image" Target="media/image475.png"/><Relationship Id="rId516" Type="http://schemas.openxmlformats.org/officeDocument/2006/relationships/image" Target="media/image476.png"/><Relationship Id="rId517" Type="http://schemas.openxmlformats.org/officeDocument/2006/relationships/image" Target="media/image477.png"/><Relationship Id="rId518" Type="http://schemas.openxmlformats.org/officeDocument/2006/relationships/image" Target="media/image478.png"/><Relationship Id="rId519" Type="http://schemas.openxmlformats.org/officeDocument/2006/relationships/image" Target="media/image479.png"/><Relationship Id="rId520" Type="http://schemas.openxmlformats.org/officeDocument/2006/relationships/image" Target="media/image480.png"/><Relationship Id="rId521" Type="http://schemas.openxmlformats.org/officeDocument/2006/relationships/image" Target="media/image481.png"/><Relationship Id="rId522" Type="http://schemas.openxmlformats.org/officeDocument/2006/relationships/image" Target="media/image482.png"/><Relationship Id="rId523" Type="http://schemas.openxmlformats.org/officeDocument/2006/relationships/image" Target="media/image483.png"/><Relationship Id="rId524" Type="http://schemas.openxmlformats.org/officeDocument/2006/relationships/image" Target="media/image484.png"/><Relationship Id="rId525" Type="http://schemas.openxmlformats.org/officeDocument/2006/relationships/image" Target="media/image485.png"/><Relationship Id="rId526" Type="http://schemas.openxmlformats.org/officeDocument/2006/relationships/image" Target="media/image486.png"/><Relationship Id="rId527" Type="http://schemas.openxmlformats.org/officeDocument/2006/relationships/image" Target="media/image487.png"/><Relationship Id="rId528" Type="http://schemas.openxmlformats.org/officeDocument/2006/relationships/image" Target="media/image488.png"/><Relationship Id="rId529" Type="http://schemas.openxmlformats.org/officeDocument/2006/relationships/image" Target="media/image489.png"/><Relationship Id="rId530" Type="http://schemas.openxmlformats.org/officeDocument/2006/relationships/image" Target="media/image490.png"/><Relationship Id="rId531" Type="http://schemas.openxmlformats.org/officeDocument/2006/relationships/image" Target="media/image491.png"/><Relationship Id="rId532" Type="http://schemas.openxmlformats.org/officeDocument/2006/relationships/image" Target="media/image492.png"/><Relationship Id="rId533" Type="http://schemas.openxmlformats.org/officeDocument/2006/relationships/image" Target="media/image493.png"/><Relationship Id="rId534" Type="http://schemas.openxmlformats.org/officeDocument/2006/relationships/image" Target="media/image494.png"/><Relationship Id="rId535" Type="http://schemas.openxmlformats.org/officeDocument/2006/relationships/image" Target="media/image495.png"/><Relationship Id="rId536" Type="http://schemas.openxmlformats.org/officeDocument/2006/relationships/image" Target="media/image496.png"/><Relationship Id="rId537" Type="http://schemas.openxmlformats.org/officeDocument/2006/relationships/image" Target="media/image497.png"/><Relationship Id="rId538" Type="http://schemas.openxmlformats.org/officeDocument/2006/relationships/image" Target="media/image498.png"/><Relationship Id="rId539" Type="http://schemas.openxmlformats.org/officeDocument/2006/relationships/image" Target="media/image499.png"/><Relationship Id="rId540" Type="http://schemas.openxmlformats.org/officeDocument/2006/relationships/image" Target="media/image500.png"/><Relationship Id="rId541" Type="http://schemas.openxmlformats.org/officeDocument/2006/relationships/image" Target="media/image501.png"/><Relationship Id="rId542" Type="http://schemas.openxmlformats.org/officeDocument/2006/relationships/image" Target="media/image502.png"/><Relationship Id="rId543" Type="http://schemas.openxmlformats.org/officeDocument/2006/relationships/image" Target="media/image503.png"/><Relationship Id="rId544" Type="http://schemas.openxmlformats.org/officeDocument/2006/relationships/image" Target="media/image504.png"/><Relationship Id="rId545" Type="http://schemas.openxmlformats.org/officeDocument/2006/relationships/image" Target="media/image505.png"/><Relationship Id="rId546" Type="http://schemas.openxmlformats.org/officeDocument/2006/relationships/image" Target="media/image506.png"/><Relationship Id="rId547" Type="http://schemas.openxmlformats.org/officeDocument/2006/relationships/image" Target="media/image507.png"/><Relationship Id="rId548" Type="http://schemas.openxmlformats.org/officeDocument/2006/relationships/image" Target="media/image508.png"/><Relationship Id="rId549" Type="http://schemas.openxmlformats.org/officeDocument/2006/relationships/image" Target="media/image509.png"/><Relationship Id="rId550" Type="http://schemas.openxmlformats.org/officeDocument/2006/relationships/image" Target="media/image510.png"/><Relationship Id="rId551" Type="http://schemas.openxmlformats.org/officeDocument/2006/relationships/image" Target="media/image511.png"/><Relationship Id="rId552" Type="http://schemas.openxmlformats.org/officeDocument/2006/relationships/image" Target="media/image512.png"/><Relationship Id="rId553" Type="http://schemas.openxmlformats.org/officeDocument/2006/relationships/image" Target="media/image513.png"/><Relationship Id="rId554" Type="http://schemas.openxmlformats.org/officeDocument/2006/relationships/image" Target="media/image514.png"/><Relationship Id="rId555" Type="http://schemas.openxmlformats.org/officeDocument/2006/relationships/image" Target="media/image515.png"/><Relationship Id="rId556" Type="http://schemas.openxmlformats.org/officeDocument/2006/relationships/image" Target="media/image516.png"/><Relationship Id="rId557" Type="http://schemas.openxmlformats.org/officeDocument/2006/relationships/image" Target="media/image517.png"/><Relationship Id="rId558" Type="http://schemas.openxmlformats.org/officeDocument/2006/relationships/image" Target="media/image518.png"/><Relationship Id="rId559" Type="http://schemas.openxmlformats.org/officeDocument/2006/relationships/image" Target="media/image519.png"/><Relationship Id="rId560" Type="http://schemas.openxmlformats.org/officeDocument/2006/relationships/image" Target="media/image520.png"/><Relationship Id="rId561" Type="http://schemas.openxmlformats.org/officeDocument/2006/relationships/image" Target="media/image521.png"/><Relationship Id="rId562" Type="http://schemas.openxmlformats.org/officeDocument/2006/relationships/image" Target="media/image522.png"/><Relationship Id="rId563" Type="http://schemas.openxmlformats.org/officeDocument/2006/relationships/image" Target="media/image523.png"/><Relationship Id="rId564" Type="http://schemas.openxmlformats.org/officeDocument/2006/relationships/image" Target="media/image524.png"/><Relationship Id="rId565" Type="http://schemas.openxmlformats.org/officeDocument/2006/relationships/image" Target="media/image525.png"/><Relationship Id="rId566" Type="http://schemas.openxmlformats.org/officeDocument/2006/relationships/image" Target="media/image526.png"/><Relationship Id="rId567" Type="http://schemas.openxmlformats.org/officeDocument/2006/relationships/image" Target="media/image527.png"/><Relationship Id="rId568" Type="http://schemas.openxmlformats.org/officeDocument/2006/relationships/image" Target="media/image528.png"/><Relationship Id="rId569" Type="http://schemas.openxmlformats.org/officeDocument/2006/relationships/image" Target="media/image529.png"/><Relationship Id="rId570" Type="http://schemas.openxmlformats.org/officeDocument/2006/relationships/image" Target="media/image530.png"/><Relationship Id="rId571" Type="http://schemas.openxmlformats.org/officeDocument/2006/relationships/image" Target="media/image531.png"/><Relationship Id="rId572" Type="http://schemas.openxmlformats.org/officeDocument/2006/relationships/image" Target="media/image532.png"/><Relationship Id="rId573" Type="http://schemas.openxmlformats.org/officeDocument/2006/relationships/image" Target="media/image533.png"/><Relationship Id="rId574" Type="http://schemas.openxmlformats.org/officeDocument/2006/relationships/image" Target="media/image534.png"/><Relationship Id="rId575" Type="http://schemas.openxmlformats.org/officeDocument/2006/relationships/image" Target="media/image535.png"/><Relationship Id="rId576" Type="http://schemas.openxmlformats.org/officeDocument/2006/relationships/image" Target="media/image536.png"/><Relationship Id="rId577" Type="http://schemas.openxmlformats.org/officeDocument/2006/relationships/image" Target="media/image537.png"/><Relationship Id="rId578" Type="http://schemas.openxmlformats.org/officeDocument/2006/relationships/image" Target="media/image538.png"/><Relationship Id="rId579" Type="http://schemas.openxmlformats.org/officeDocument/2006/relationships/image" Target="media/image539.png"/><Relationship Id="rId580" Type="http://schemas.openxmlformats.org/officeDocument/2006/relationships/image" Target="media/image540.png"/><Relationship Id="rId581" Type="http://schemas.openxmlformats.org/officeDocument/2006/relationships/image" Target="media/image541.png"/><Relationship Id="rId582" Type="http://schemas.openxmlformats.org/officeDocument/2006/relationships/image" Target="media/image542.png"/><Relationship Id="rId583" Type="http://schemas.openxmlformats.org/officeDocument/2006/relationships/image" Target="media/image543.png"/><Relationship Id="rId584" Type="http://schemas.openxmlformats.org/officeDocument/2006/relationships/image" Target="media/image544.png"/><Relationship Id="rId585" Type="http://schemas.openxmlformats.org/officeDocument/2006/relationships/image" Target="media/image545.png"/><Relationship Id="rId586" Type="http://schemas.openxmlformats.org/officeDocument/2006/relationships/image" Target="media/image546.png"/><Relationship Id="rId587" Type="http://schemas.openxmlformats.org/officeDocument/2006/relationships/image" Target="media/image547.png"/><Relationship Id="rId588" Type="http://schemas.openxmlformats.org/officeDocument/2006/relationships/image" Target="media/image548.png"/><Relationship Id="rId589" Type="http://schemas.openxmlformats.org/officeDocument/2006/relationships/image" Target="media/image549.png"/><Relationship Id="rId590" Type="http://schemas.openxmlformats.org/officeDocument/2006/relationships/image" Target="media/image550.png"/><Relationship Id="rId591" Type="http://schemas.openxmlformats.org/officeDocument/2006/relationships/image" Target="media/image551.png"/><Relationship Id="rId592" Type="http://schemas.openxmlformats.org/officeDocument/2006/relationships/image" Target="media/image552.png"/><Relationship Id="rId593" Type="http://schemas.openxmlformats.org/officeDocument/2006/relationships/image" Target="media/image553.png"/><Relationship Id="rId594" Type="http://schemas.openxmlformats.org/officeDocument/2006/relationships/image" Target="media/image554.png"/><Relationship Id="rId595" Type="http://schemas.openxmlformats.org/officeDocument/2006/relationships/image" Target="media/image555.png"/><Relationship Id="rId596" Type="http://schemas.openxmlformats.org/officeDocument/2006/relationships/image" Target="media/image556.png"/><Relationship Id="rId597" Type="http://schemas.openxmlformats.org/officeDocument/2006/relationships/image" Target="media/image557.png"/><Relationship Id="rId598" Type="http://schemas.openxmlformats.org/officeDocument/2006/relationships/image" Target="media/image558.png"/><Relationship Id="rId599" Type="http://schemas.openxmlformats.org/officeDocument/2006/relationships/image" Target="media/image559.png"/><Relationship Id="rId600" Type="http://schemas.openxmlformats.org/officeDocument/2006/relationships/image" Target="media/image560.png"/><Relationship Id="rId601" Type="http://schemas.openxmlformats.org/officeDocument/2006/relationships/image" Target="media/image561.png"/><Relationship Id="rId602" Type="http://schemas.openxmlformats.org/officeDocument/2006/relationships/image" Target="media/image562.png"/><Relationship Id="rId603" Type="http://schemas.openxmlformats.org/officeDocument/2006/relationships/image" Target="media/image563.png"/><Relationship Id="rId604" Type="http://schemas.openxmlformats.org/officeDocument/2006/relationships/image" Target="media/image564.png"/><Relationship Id="rId605" Type="http://schemas.openxmlformats.org/officeDocument/2006/relationships/image" Target="media/image565.png"/><Relationship Id="rId606" Type="http://schemas.openxmlformats.org/officeDocument/2006/relationships/image" Target="media/image566.png"/><Relationship Id="rId607" Type="http://schemas.openxmlformats.org/officeDocument/2006/relationships/image" Target="media/image567.png"/><Relationship Id="rId608" Type="http://schemas.openxmlformats.org/officeDocument/2006/relationships/image" Target="media/image568.png"/><Relationship Id="rId609" Type="http://schemas.openxmlformats.org/officeDocument/2006/relationships/image" Target="media/image569.png"/><Relationship Id="rId422" Type="http://schemas.openxmlformats.org/officeDocument/2006/relationships/hyperlink" Target="https://www.sec.gov/Archives/edgar/data/0001683553/000119312520269344/d12372dex31.htm" TargetMode="External"/><Relationship Id="rId423" Type="http://schemas.openxmlformats.org/officeDocument/2006/relationships/hyperlink" Target="https://www.sec.gov/Archives/edgar/data/0001683553/000119312520269344/d12372dex32.htm" TargetMode="External"/><Relationship Id="rId424" Type="http://schemas.openxmlformats.org/officeDocument/2006/relationships/hyperlink" Target="https://www.sec.gov/Archives/edgar/data/0001683553/000119312520263195/d902020dex41.htm" TargetMode="External"/><Relationship Id="rId425" Type="http://schemas.openxmlformats.org/officeDocument/2006/relationships/hyperlink" Target="https://www.sec.gov/Archives/edgar/data/0001683553/000119312520249221/d902020dex42.htm" TargetMode="External"/><Relationship Id="rId426" Type="http://schemas.openxmlformats.org/officeDocument/2006/relationships/hyperlink" Target="https://www.sec.gov/Archives/edgar/data/1683553/000119312520249221/d902020dex43.htm" TargetMode="External"/><Relationship Id="rId427" Type="http://schemas.openxmlformats.org/officeDocument/2006/relationships/hyperlink" Target="https://www.sec.gov/Archives/edgar/data/0001683553/000156459021014593/sprb-ex44_801.htm" TargetMode="External"/><Relationship Id="rId428" Type="http://schemas.openxmlformats.org/officeDocument/2006/relationships/hyperlink" Target="https://www.sec.gov/Archives/edgar/data/1683553/000095017023002369/sprb-ex4_1.htm" TargetMode="External"/><Relationship Id="rId429" Type="http://schemas.openxmlformats.org/officeDocument/2006/relationships/hyperlink" Target="https://www.sec.gov/Archives/edgar/data/1683553/000095017023002369/sprb-ex4_2.htm" TargetMode="External"/><Relationship Id="rId430" Type="http://schemas.openxmlformats.org/officeDocument/2006/relationships/hyperlink" Target="https://www.sec.gov/Archives/edgar/data/0001683553/000119312520249221/d902020dex101.htm" TargetMode="External"/><Relationship Id="rId431" Type="http://schemas.openxmlformats.org/officeDocument/2006/relationships/hyperlink" Target="https://www.sec.gov/Archives/edgar/data/0001683553/000119312520249221/d902020dex102.htm" TargetMode="External"/><Relationship Id="rId432" Type="http://schemas.openxmlformats.org/officeDocument/2006/relationships/hyperlink" Target="https://www.sec.gov/Archives/edgar/data/1683553/000119312520263195/d902020dex103.htm" TargetMode="External"/><Relationship Id="rId433" Type="http://schemas.openxmlformats.org/officeDocument/2006/relationships/hyperlink" Target="https://www.sec.gov/Archives/edgar/data/0001683553/000119312520249221/d902020dex104.htm" TargetMode="External"/><Relationship Id="rId437" Type="http://schemas.openxmlformats.org/officeDocument/2006/relationships/hyperlink" Target="https://www.sec.gov/Archives/edgar/data/1683553/000119312520263195/d902020dex105.htm" TargetMode="External"/><Relationship Id="rId439" Type="http://schemas.openxmlformats.org/officeDocument/2006/relationships/hyperlink" Target="https://www.sec.gov/Archives/edgar/data/1683553/000156459021014593/sprb-ex106_1193.htm" TargetMode="External"/><Relationship Id="rId442" Type="http://schemas.openxmlformats.org/officeDocument/2006/relationships/hyperlink" Target="https://www.sec.gov/Archives/edgar/data/1683553/000156459022000432/sprb-ex102_6.htm" TargetMode="External"/><Relationship Id="rId446" Type="http://schemas.openxmlformats.org/officeDocument/2006/relationships/hyperlink" Target="https://www.sec.gov/Archives/edgar/data/1683553/000095017022009335/sprb-ex10_7.htm" TargetMode="External"/><Relationship Id="rId449" Type="http://schemas.openxmlformats.org/officeDocument/2006/relationships/hyperlink" Target="https://www.sec.gov/Archives/edgar/data/0001683553/000119312520249221/d902020dex107.htm" TargetMode="External"/><Relationship Id="rId452" Type="http://schemas.openxmlformats.org/officeDocument/2006/relationships/hyperlink" Target="https://www.sec.gov/Archives/edgar/data/0001683553/000119312520249221/d902020dex109.htm" TargetMode="External"/><Relationship Id="rId454" Type="http://schemas.openxmlformats.org/officeDocument/2006/relationships/hyperlink" Target="https://www.sec.gov/Archives/edgar/data/0001683553/000119312520249221/d902020dex1016.htm" TargetMode="External"/><Relationship Id="rId457" Type="http://schemas.openxmlformats.org/officeDocument/2006/relationships/hyperlink" Target="https://www.sec.gov/Archives/edgar/data/0001683553/000119312520249221/d902020dex1017.htm" TargetMode="External"/><Relationship Id="rId460" Type="http://schemas.openxmlformats.org/officeDocument/2006/relationships/hyperlink" Target="https://www.sec.gov/Archives/edgar/data/0001683553/000119312520249221/d902020dex1018.htm" TargetMode="External"/><Relationship Id="rId463" Type="http://schemas.openxmlformats.org/officeDocument/2006/relationships/hyperlink" Target="https://www.sec.gov/Archives/edgar/data/0001683553/000119312520249221/d902020dex1019.htm" TargetMode="External"/><Relationship Id="rId466" Type="http://schemas.openxmlformats.org/officeDocument/2006/relationships/hyperlink" Target="https://www.sec.gov/Archives/edgar/data/0001683553/000119312520249221/d902020dex1020.htm" TargetMode="External"/><Relationship Id="rId469" Type="http://schemas.openxmlformats.org/officeDocument/2006/relationships/hyperlink" Target="https://www.sec.gov/Archives/edgar/data/1683553/000156459022000432/sprb-ex101_7.htm" TargetMode="External"/><Relationship Id="rId472" Type="http://schemas.openxmlformats.org/officeDocument/2006/relationships/hyperlink" Target="https://www.sec.gov/Archives/edgar/data/1683553/000095017022005528/sprb-ex10_1.htm" TargetMode="External"/><Relationship Id="rId475" Type="http://schemas.openxmlformats.org/officeDocument/2006/relationships/hyperlink" Target="https://www.sec.gov/Archives/edgar/data/0001683553/000119312520249221/d902020dex1022.htm" TargetMode="External"/><Relationship Id="rId478" Type="http://schemas.openxmlformats.org/officeDocument/2006/relationships/hyperlink" Target="https://www.sec.gov/Archives/edgar/data/0001683553/000119312520249221/d902020dex1023.htm" TargetMode="External"/><Relationship Id="rId481" Type="http://schemas.openxmlformats.org/officeDocument/2006/relationships/hyperlink" Target="https://www.sec.gov/Archives/edgar/data/0001683553/000156459021014593/sprb-ex1019_1101.htm" TargetMode="External"/><Relationship Id="rId484" Type="http://schemas.openxmlformats.org/officeDocument/2006/relationships/hyperlink" Target="https://www.sec.gov/Archives/edgar/data/1683553/000095017022009335/sprb-ex10_8.htm" TargetMode="External"/><Relationship Id="rId487" Type="http://schemas.openxmlformats.org/officeDocument/2006/relationships/hyperlink" Target="https://www.sec.gov/Archives/edgar/data/1683553/000095017022003582/sprb-ex10_22.htm" TargetMode="External"/><Relationship Id="rId491" Type="http://schemas.openxmlformats.org/officeDocument/2006/relationships/hyperlink" Target="https://www.sec.gov/Archives/edgar/data/1683553/000095017022003582/sprb-ex10_23.htm" TargetMode="External"/><Relationship Id="rId494" Type="http://schemas.openxmlformats.org/officeDocument/2006/relationships/hyperlink" Target="https://www.sec.gov/Archives/edgar/data/1683553/000095017022003582/sprb-ex10_24.htm" TargetMode="External"/><Relationship Id="rId498" Type="http://schemas.openxmlformats.org/officeDocument/2006/relationships/hyperlink" Target="https://www.sec.gov/Archives/edgar/data/1683553/000095017022026009/sprb-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2023-03-16T17:04:25Z</dcterms:created>
  <dcterms:modified xsi:type="dcterms:W3CDTF">2023-03-16T17:04:25Z</dcterms:modified>
</cp:coreProperties>
</file>