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52"/>
        <w:spacing w:after="0" w:line="219" w:lineRule="auto"/>
        <w:tabs>
          <w:tab w:leader="none" w:pos="472"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3280" w:right="1620" w:hanging="3272"/>
        <w:spacing w:after="0" w:line="219" w:lineRule="auto"/>
        <w:tabs>
          <w:tab w:leader="none" w:pos="463"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w:t>
      </w:r>
    </w:p>
    <w:p>
      <w:pPr>
        <w:spacing w:after="0" w:line="36"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Spruce Biosciences,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81-2154263</w:t>
            </w:r>
          </w:p>
        </w:tc>
      </w:tr>
      <w:tr>
        <w:trPr>
          <w:trHeight w:val="135"/>
        </w:trPr>
        <w:tc>
          <w:tcPr>
            <w:tcW w:w="4960" w:type="dxa"/>
            <w:vAlign w:val="bottom"/>
          </w:tcPr>
          <w:p>
            <w:pPr>
              <w:jc w:val="center"/>
              <w:ind w:right="170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740" w:type="dxa"/>
            <w:vAlign w:val="bottom"/>
          </w:tcPr>
          <w:p>
            <w:pPr>
              <w:jc w:val="center"/>
              <w:ind w:left="16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960" w:type="dxa"/>
            <w:vAlign w:val="bottom"/>
          </w:tcPr>
          <w:p>
            <w:pPr>
              <w:jc w:val="center"/>
              <w:ind w:right="168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740" w:type="dxa"/>
            <w:vAlign w:val="bottom"/>
          </w:tcPr>
          <w:p>
            <w:pPr>
              <w:jc w:val="center"/>
              <w:ind w:left="168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0"/>
              </w:rPr>
              <w:t>2001 Junipero Serra Boulevard, Suite 640</w:t>
            </w:r>
          </w:p>
        </w:tc>
        <w:tc>
          <w:tcPr>
            <w:tcW w:w="2740" w:type="dxa"/>
            <w:vAlign w:val="bottom"/>
          </w:tcPr>
          <w:p>
            <w:pPr>
              <w:spacing w:after="0"/>
              <w:rPr>
                <w:sz w:val="18"/>
                <w:szCs w:val="18"/>
                <w:color w:val="auto"/>
              </w:rPr>
            </w:pPr>
          </w:p>
        </w:tc>
      </w:t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4"/>
              </w:rPr>
              <w:t>Daly City, California</w:t>
            </w:r>
          </w:p>
        </w:tc>
        <w:tc>
          <w:tcPr>
            <w:tcW w:w="2740" w:type="dxa"/>
            <w:vAlign w:val="bottom"/>
          </w:tcPr>
          <w:p>
            <w:pPr>
              <w:jc w:val="right"/>
              <w:ind w:right="186"/>
              <w:spacing w:after="0"/>
              <w:rPr>
                <w:sz w:val="20"/>
                <w:szCs w:val="20"/>
                <w:color w:val="auto"/>
              </w:rPr>
            </w:pPr>
            <w:r>
              <w:rPr>
                <w:rFonts w:ascii="Arial" w:cs="Arial" w:eastAsia="Arial" w:hAnsi="Arial"/>
                <w:sz w:val="18"/>
                <w:szCs w:val="18"/>
                <w:b w:val="1"/>
                <w:bCs w:val="1"/>
                <w:color w:val="auto"/>
              </w:rPr>
              <w:t>94014</w:t>
            </w:r>
          </w:p>
        </w:tc>
      </w:tr>
      <w:tr>
        <w:trPr>
          <w:trHeight w:val="164"/>
        </w:trPr>
        <w:tc>
          <w:tcPr>
            <w:tcW w:w="4960" w:type="dxa"/>
            <w:vAlign w:val="bottom"/>
          </w:tcPr>
          <w:p>
            <w:pPr>
              <w:jc w:val="center"/>
              <w:ind w:right="168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40" w:type="dxa"/>
            <w:vAlign w:val="bottom"/>
          </w:tcPr>
          <w:p>
            <w:pPr>
              <w:jc w:val="center"/>
              <w:ind w:left="168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655-4168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3"/>
          </w:tcPr>
          <w:p>
            <w:pPr>
              <w:ind w:left="520"/>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65"/>
        </w:trPr>
        <w:tc>
          <w:tcPr>
            <w:tcW w:w="4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Trading</w:t>
            </w:r>
          </w:p>
        </w:tc>
        <w:tc>
          <w:tcPr>
            <w:tcW w:w="4380" w:type="dxa"/>
            <w:vAlign w:val="bottom"/>
          </w:tcPr>
          <w:p>
            <w:pPr>
              <w:spacing w:after="0"/>
              <w:rPr>
                <w:sz w:val="23"/>
                <w:szCs w:val="23"/>
                <w:color w:val="auto"/>
              </w:rPr>
            </w:pPr>
          </w:p>
        </w:tc>
      </w:tr>
      <w:tr>
        <w:trPr>
          <w:trHeight w:val="234"/>
        </w:trPr>
        <w:tc>
          <w:tcPr>
            <w:tcW w:w="49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89"/>
              </w:rPr>
              <w:t>SPRB</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06"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0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60"/>
        <w:spacing w:after="0" w:line="26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12, 2021, the registrant had 23,463,089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8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SUMMARY OF RISKS ASSOCIATED WITH OUR BUSINESS</w:t>
            </w: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8"/>
        </w:trPr>
        <w:tc>
          <w:tcPr>
            <w:tcW w:w="10580" w:type="dxa"/>
            <w:vAlign w:val="bottom"/>
            <w:gridSpan w:val="21"/>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Arial" w:cs="Arial" w:eastAsia="Arial" w:hAnsi="Arial"/>
                <w:sz w:val="18"/>
                <w:szCs w:val="18"/>
                <w:b w:val="1"/>
                <w:bCs w:val="1"/>
                <w:color w:val="auto"/>
              </w:rPr>
              <w:t>PART I.</w:t>
            </w:r>
          </w:p>
        </w:tc>
        <w:tc>
          <w:tcPr>
            <w:tcW w:w="2260" w:type="dxa"/>
            <w:vAlign w:val="bottom"/>
            <w:tcBorders>
              <w:bottom w:val="single" w:sz="8" w:color="0000EE"/>
            </w:tcBorders>
            <w:gridSpan w:val="9"/>
          </w:tcPr>
          <w:p>
            <w:pPr>
              <w:spacing w:after="0" w:line="194"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FINANCIAL INFORMATION</w:t>
              </w:r>
            </w:hyperlink>
          </w:p>
        </w:tc>
        <w:tc>
          <w:tcPr>
            <w:tcW w:w="7180" w:type="dxa"/>
            <w:vAlign w:val="bottom"/>
            <w:gridSpan w:val="11"/>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81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Financial Statements for the Three and Nine Months Ended September 30, 2021 and 2020:</w:t>
              </w:r>
            </w:hyperlink>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Balance Sheets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45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Statements of Operations and Comprehensive Loss</w:t>
              </w:r>
            </w:hyperlink>
          </w:p>
        </w:tc>
        <w:tc>
          <w:tcPr>
            <w:tcW w:w="4900" w:type="dxa"/>
            <w:vAlign w:val="bottom"/>
            <w:gridSpan w:val="4"/>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Statement of Stockholders’ Equity</w:t>
              </w:r>
            </w:hyperlink>
          </w:p>
        </w:tc>
        <w:tc>
          <w:tcPr>
            <w:tcW w:w="610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6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Statement of Redeemable Convertible Preferred Stock and Stockholders’ Deficit</w:t>
              </w:r>
            </w:hyperlink>
          </w:p>
        </w:tc>
        <w:tc>
          <w:tcPr>
            <w:tcW w:w="27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Statements of Cash Flows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the Condensed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50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Controls and Procedures</w:t>
              </w:r>
            </w:hyperlink>
          </w:p>
        </w:tc>
        <w:tc>
          <w:tcPr>
            <w:tcW w:w="764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00" w:type="dxa"/>
            <w:vAlign w:val="bottom"/>
            <w:tcBorders>
              <w:top w:val="single" w:sz="8" w:color="0000EE"/>
            </w:tcBorders>
            <w:gridSpan w:val="3"/>
          </w:tcPr>
          <w:p>
            <w:pPr>
              <w:spacing w:after="0"/>
              <w:rPr>
                <w:sz w:val="18"/>
                <w:szCs w:val="18"/>
                <w:color w:val="auto"/>
              </w:rPr>
            </w:pPr>
          </w:p>
        </w:tc>
        <w:tc>
          <w:tcPr>
            <w:tcW w:w="750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Defaults Upon Senior Securities</w:t>
              </w:r>
            </w:hyperlink>
          </w:p>
        </w:tc>
        <w:tc>
          <w:tcPr>
            <w:tcW w:w="51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712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Other Information</w:t>
              </w:r>
            </w:hyperlink>
          </w:p>
        </w:tc>
        <w:tc>
          <w:tcPr>
            <w:tcW w:w="812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440" w:type="dxa"/>
            <w:vAlign w:val="bottom"/>
            <w:gridSpan w:val="2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784"/>
        </w:trPr>
        <w:tc>
          <w:tcPr>
            <w:tcW w:w="1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ASSOCIATED WITH OUR BUSINESSES</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face risks and uncertainties associated with our business, many of which are beyond our control. Some of the material risks associated with our business include the following:</w:t>
      </w:r>
    </w:p>
    <w:p>
      <w:pPr>
        <w:spacing w:after="0" w:line="62" w:lineRule="exact"/>
        <w:rPr>
          <w:sz w:val="20"/>
          <w:szCs w:val="20"/>
          <w:color w:val="auto"/>
        </w:rPr>
      </w:pPr>
    </w:p>
    <w:p>
      <w:pPr>
        <w:ind w:left="1000" w:right="40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75"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75" w:lineRule="exact"/>
        <w:rPr>
          <w:rFonts w:ascii="Arial" w:cs="Arial" w:eastAsia="Arial" w:hAnsi="Arial"/>
          <w:sz w:val="18"/>
          <w:szCs w:val="18"/>
          <w:color w:val="auto"/>
        </w:rPr>
      </w:pPr>
    </w:p>
    <w:p>
      <w:pPr>
        <w:ind w:left="1000" w:right="8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clinical trials may fail to adequately demonstrate the safety and efficacy of tildacerfont, which could prevent or delay regulatory approval and commercialization.</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Food and Drug Administration, or FDA, and comparable foreign regulatory authorities may require us to initiate one or more additional clinical trials for tildacerfont in adult patients with classic congenital adrenal hyperplasia, or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78" w:lineRule="exact"/>
        <w:rPr>
          <w:rFonts w:ascii="Arial" w:cs="Arial" w:eastAsia="Arial" w:hAnsi="Arial"/>
          <w:sz w:val="18"/>
          <w:szCs w:val="18"/>
          <w:color w:val="auto"/>
        </w:rPr>
      </w:pPr>
    </w:p>
    <w:p>
      <w:pPr>
        <w:ind w:left="1000" w:right="300" w:hanging="493"/>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62" w:lineRule="exact"/>
        <w:rPr>
          <w:rFonts w:ascii="Arial" w:cs="Arial" w:eastAsia="Arial" w:hAnsi="Arial"/>
          <w:sz w:val="18"/>
          <w:szCs w:val="18"/>
          <w:color w:val="auto"/>
        </w:rPr>
      </w:pPr>
    </w:p>
    <w:p>
      <w:pPr>
        <w:ind w:left="1000" w:right="20" w:hanging="493"/>
        <w:spacing w:after="0" w:line="279"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clinical research organizations, or CROs, or other third parties with whom we conduct business.</w:t>
      </w:r>
    </w:p>
    <w:p>
      <w:pPr>
        <w:spacing w:after="0" w:line="63" w:lineRule="exact"/>
        <w:rPr>
          <w:rFonts w:ascii="Arial" w:cs="Arial" w:eastAsia="Arial" w:hAnsi="Arial"/>
          <w:sz w:val="17"/>
          <w:szCs w:val="17"/>
          <w:color w:val="auto"/>
        </w:rPr>
      </w:pPr>
    </w:p>
    <w:p>
      <w:pPr>
        <w:ind w:left="1000" w:right="24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tildacerfont and any future product candidates are smaller than we believe they are, our future revenue may be adversely affected, and our business may suffer.</w:t>
      </w:r>
    </w:p>
    <w:p>
      <w:pPr>
        <w:spacing w:after="0" w:line="62" w:lineRule="exact"/>
        <w:rPr>
          <w:rFonts w:ascii="Arial" w:cs="Arial" w:eastAsia="Arial" w:hAnsi="Arial"/>
          <w:sz w:val="18"/>
          <w:szCs w:val="18"/>
          <w:color w:val="auto"/>
        </w:rPr>
      </w:pPr>
    </w:p>
    <w:p>
      <w:pPr>
        <w:ind w:left="1000" w:right="20" w:hanging="493"/>
        <w:spacing w:after="0" w:line="31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0" w:lineRule="exact"/>
        <w:rPr>
          <w:rFonts w:ascii="Arial" w:cs="Arial" w:eastAsia="Arial" w:hAnsi="Arial"/>
          <w:sz w:val="16"/>
          <w:szCs w:val="16"/>
          <w:color w:val="auto"/>
        </w:rPr>
      </w:pPr>
    </w:p>
    <w:p>
      <w:pPr>
        <w:jc w:val="both"/>
        <w:ind w:left="1000" w:right="12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75"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spacing w:after="0" w:line="277" w:lineRule="auto"/>
        <w:rPr>
          <w:sz w:val="20"/>
          <w:szCs w:val="20"/>
          <w:color w:val="auto"/>
        </w:rPr>
      </w:pPr>
      <w:r>
        <w:rPr>
          <w:rFonts w:ascii="Arial" w:cs="Arial" w:eastAsia="Arial" w:hAnsi="Arial"/>
          <w:sz w:val="18"/>
          <w:szCs w:val="18"/>
          <w:color w:val="auto"/>
        </w:rPr>
        <w:t>ability to successfully commercialize tildacerfont, if approved, and any future product candidates, and other proprietary technologies if approved,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58,363</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157,150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33,957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160,397</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net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135,087</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162,883</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Term loan, current portion</w:t>
            </w:r>
          </w:p>
        </w:tc>
        <w:tc>
          <w:tcPr>
            <w:tcW w:w="20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9,763</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Term loan, net of current portion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 net of current portion</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13,456</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authorized, and no shares issued</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and outstanding as of September 30, 2021 and December 31, 2020</w:t>
            </w:r>
          </w:p>
        </w:tc>
        <w:tc>
          <w:tcPr>
            <w:tcW w:w="20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Common stock, $0.0001 par value, 200,000,000 shares authorized, 23,379,887 and 23,260,399</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shares issued and outstanding as of September 30, 2021 and December 31, 2020, respectively</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213,682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210,266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(93,949)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(60,841)</w:t>
            </w: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119,720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135,087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162,883</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8,607</w:t>
            </w:r>
          </w:p>
        </w:tc>
        <w:tc>
          <w:tcPr>
            <w:tcW w:w="14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7,769</w:t>
            </w:r>
          </w:p>
        </w:tc>
        <w:tc>
          <w:tcPr>
            <w:tcW w:w="1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24,440</w:t>
            </w:r>
          </w:p>
        </w:tc>
        <w:tc>
          <w:tcPr>
            <w:tcW w:w="160" w:type="dxa"/>
            <w:vAlign w:val="bottom"/>
          </w:tcPr>
          <w:p>
            <w:pPr>
              <w:spacing w:after="0"/>
              <w:rPr>
                <w:sz w:val="19"/>
                <w:szCs w:val="19"/>
                <w:color w:val="auto"/>
              </w:rPr>
            </w:pP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gain/(loss) on available for sale securities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basic and</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23,367,140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23,330,399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4040" w:type="dxa"/>
            <w:vAlign w:val="bottom"/>
          </w:tcPr>
          <w:p>
            <w:pPr>
              <w:spacing w:after="0"/>
              <w:rPr>
                <w:sz w:val="14"/>
                <w:szCs w:val="14"/>
                <w:color w:val="auto"/>
              </w:rPr>
            </w:pPr>
          </w:p>
        </w:tc>
        <w:tc>
          <w:tcPr>
            <w:tcW w:w="2200" w:type="dxa"/>
            <w:vAlign w:val="bottom"/>
            <w:gridSpan w:val="5"/>
          </w:tcPr>
          <w:p>
            <w:pPr>
              <w:ind w:left="5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40" w:type="dxa"/>
            <w:vAlign w:val="bottom"/>
          </w:tcPr>
          <w:p>
            <w:pPr>
              <w:jc w:val="right"/>
              <w:ind w:right="173"/>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2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w w:val="97"/>
              </w:rPr>
              <w:t>Accumulated</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4040" w:type="dxa"/>
            <w:vAlign w:val="bottom"/>
          </w:tcPr>
          <w:p>
            <w:pPr>
              <w:spacing w:after="0"/>
              <w:rPr>
                <w:sz w:val="13"/>
                <w:szCs w:val="13"/>
                <w:color w:val="auto"/>
              </w:rPr>
            </w:pPr>
          </w:p>
        </w:tc>
        <w:tc>
          <w:tcPr>
            <w:tcW w:w="11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5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23,370,070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212,634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(82,502)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9,817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FF0FC"/>
          </w:tcPr>
          <w:p>
            <w:pPr>
              <w:spacing w:after="0"/>
              <w:rPr>
                <w:sz w:val="19"/>
                <w:szCs w:val="19"/>
                <w:color w:val="auto"/>
              </w:rPr>
            </w:pP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color w:val="auto"/>
              </w:rPr>
              <w:t>Unrealized loss on available for sale securities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(11,447)</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(11,447)</w:t>
            </w: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Balance as of September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23,379,887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213,682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(93,949</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119,720</w:t>
            </w:r>
          </w:p>
        </w:tc>
        <w:tc>
          <w:tcPr>
            <w:tcW w:w="12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404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January 1, 2021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23,260,399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210,266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149,427</w:t>
            </w:r>
          </w:p>
        </w:tc>
        <w:tc>
          <w:tcPr>
            <w:tcW w:w="120" w:type="dxa"/>
            <w:vAlign w:val="bottom"/>
            <w:shd w:val="clear" w:color="auto" w:fill="CFF0FC"/>
          </w:tcPr>
          <w:p>
            <w:pPr>
              <w:spacing w:after="0"/>
              <w:rPr>
                <w:sz w:val="19"/>
                <w:szCs w:val="19"/>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109,361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r>
      <w:tr>
        <w:trPr>
          <w:trHeight w:val="215"/>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Issuance of common stock related to employee</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20"/>
                <w:szCs w:val="20"/>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3,161</w:t>
            </w:r>
          </w:p>
        </w:tc>
        <w:tc>
          <w:tcPr>
            <w:tcW w:w="120" w:type="dxa"/>
            <w:vAlign w:val="bottom"/>
          </w:tcPr>
          <w:p>
            <w:pPr>
              <w:spacing w:after="0"/>
              <w:rPr>
                <w:sz w:val="19"/>
                <w:szCs w:val="19"/>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available for sale securities</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(33,108)</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(33,108)</w:t>
            </w: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23,379,887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213,682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(93,949</w:t>
            </w:r>
          </w:p>
        </w:tc>
        <w:tc>
          <w:tcPr>
            <w:tcW w:w="26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580" w:type="dxa"/>
            <w:vAlign w:val="bottom"/>
          </w:tcPr>
          <w:p>
            <w:pPr>
              <w:spacing w:after="0"/>
              <w:rPr>
                <w:sz w:val="22"/>
                <w:szCs w:val="22"/>
                <w:color w:val="auto"/>
              </w:rPr>
            </w:pPr>
          </w:p>
        </w:tc>
        <w:tc>
          <w:tcPr>
            <w:tcW w:w="3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Redeemable Convertible Preferred Stock</w:t>
            </w:r>
          </w:p>
        </w:tc>
        <w:tc>
          <w:tcPr>
            <w:tcW w:w="520" w:type="dxa"/>
            <w:vAlign w:val="bottom"/>
            <w:tcBorders>
              <w:bottom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56"/>
        </w:trPr>
        <w:tc>
          <w:tcPr>
            <w:tcW w:w="2580" w:type="dxa"/>
            <w:vAlign w:val="bottom"/>
          </w:tcPr>
          <w:p>
            <w:pPr>
              <w:spacing w:after="0"/>
              <w:rPr>
                <w:sz w:val="13"/>
                <w:szCs w:val="13"/>
                <w:color w:val="auto"/>
              </w:rPr>
            </w:pPr>
          </w:p>
        </w:tc>
        <w:tc>
          <w:tcPr>
            <w:tcW w:w="1920" w:type="dxa"/>
            <w:vAlign w:val="bottom"/>
            <w:gridSpan w:val="4"/>
          </w:tcPr>
          <w:p>
            <w:pPr>
              <w:ind w:left="620"/>
              <w:spacing w:after="0" w:line="155" w:lineRule="exact"/>
              <w:rPr>
                <w:sz w:val="20"/>
                <w:szCs w:val="20"/>
                <w:color w:val="auto"/>
              </w:rPr>
            </w:pPr>
            <w:r>
              <w:rPr>
                <w:rFonts w:ascii="Arial" w:cs="Arial" w:eastAsia="Arial" w:hAnsi="Arial"/>
                <w:sz w:val="14"/>
                <w:szCs w:val="14"/>
                <w:b w:val="1"/>
                <w:bCs w:val="1"/>
                <w:color w:val="auto"/>
              </w:rPr>
              <w:t>Series A</w:t>
            </w:r>
          </w:p>
        </w:tc>
        <w:tc>
          <w:tcPr>
            <w:tcW w:w="1140" w:type="dxa"/>
            <w:vAlign w:val="bottom"/>
            <w:gridSpan w:val="2"/>
          </w:tcPr>
          <w:p>
            <w:pPr>
              <w:ind w:left="620"/>
              <w:spacing w:after="0" w:line="155" w:lineRule="exact"/>
              <w:rPr>
                <w:sz w:val="20"/>
                <w:szCs w:val="20"/>
                <w:color w:val="auto"/>
              </w:rPr>
            </w:pPr>
            <w:r>
              <w:rPr>
                <w:rFonts w:ascii="Arial" w:cs="Arial" w:eastAsia="Arial" w:hAnsi="Arial"/>
                <w:sz w:val="14"/>
                <w:szCs w:val="14"/>
                <w:b w:val="1"/>
                <w:bCs w:val="1"/>
                <w:color w:val="auto"/>
                <w:w w:val="89"/>
              </w:rPr>
              <w:t>Series B</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w w:val="99"/>
              </w:rPr>
              <w:t>Stockholders'</w:t>
            </w:r>
          </w:p>
        </w:tc>
      </w:tr>
      <w:tr>
        <w:trPr>
          <w:trHeight w:val="155"/>
        </w:trPr>
        <w:tc>
          <w:tcPr>
            <w:tcW w:w="2580" w:type="dxa"/>
            <w:vAlign w:val="bottom"/>
          </w:tcPr>
          <w:p>
            <w:pPr>
              <w:spacing w:after="0"/>
              <w:rPr>
                <w:sz w:val="13"/>
                <w:szCs w:val="13"/>
                <w:color w:val="auto"/>
              </w:rPr>
            </w:pPr>
          </w:p>
        </w:tc>
        <w:tc>
          <w:tcPr>
            <w:tcW w:w="92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3"/>
                <w:szCs w:val="13"/>
                <w:color w:val="auto"/>
              </w:rPr>
            </w:pPr>
          </w:p>
        </w:tc>
        <w:tc>
          <w:tcPr>
            <w:tcW w:w="114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88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Deficit</w:t>
            </w: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28,000,000</w:t>
            </w: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27,813</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36,666,665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43,648</w:t>
            </w:r>
          </w:p>
        </w:tc>
        <w:tc>
          <w:tcPr>
            <w:tcW w:w="2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771,574</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(42,916)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(42,115)</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2580" w:type="dxa"/>
            <w:vAlign w:val="bottom"/>
          </w:tcPr>
          <w:p>
            <w:pPr>
              <w:ind w:left="260"/>
              <w:spacing w:after="0"/>
              <w:rPr>
                <w:sz w:val="20"/>
                <w:szCs w:val="20"/>
                <w:color w:val="auto"/>
              </w:rPr>
            </w:pPr>
            <w:r>
              <w:rPr>
                <w:rFonts w:ascii="Arial" w:cs="Arial" w:eastAsia="Arial" w:hAnsi="Arial"/>
                <w:sz w:val="18"/>
                <w:szCs w:val="18"/>
                <w:color w:val="auto"/>
              </w:rPr>
              <w:t>Issuance of Series B</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ind w:left="260"/>
              <w:spacing w:after="0"/>
              <w:rPr>
                <w:sz w:val="20"/>
                <w:szCs w:val="20"/>
                <w:color w:val="auto"/>
              </w:rPr>
            </w:pPr>
            <w:r>
              <w:rPr>
                <w:rFonts w:ascii="Arial" w:cs="Arial" w:eastAsia="Arial" w:hAnsi="Arial"/>
                <w:sz w:val="18"/>
                <w:szCs w:val="18"/>
                <w:color w:val="auto"/>
              </w:rPr>
              <w:t>redeemable convertible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ind w:left="380"/>
              <w:spacing w:after="0"/>
              <w:rPr>
                <w:sz w:val="20"/>
                <w:szCs w:val="20"/>
                <w:color w:val="auto"/>
              </w:rPr>
            </w:pPr>
            <w:r>
              <w:rPr>
                <w:rFonts w:ascii="Arial" w:cs="Arial" w:eastAsia="Arial" w:hAnsi="Arial"/>
                <w:sz w:val="18"/>
                <w:szCs w:val="18"/>
                <w:color w:val="auto"/>
              </w:rPr>
              <w:t>preferred stock, net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580" w:type="dxa"/>
            <w:vAlign w:val="bottom"/>
          </w:tcPr>
          <w:p>
            <w:pPr>
              <w:ind w:left="380"/>
              <w:spacing w:after="0"/>
              <w:rPr>
                <w:sz w:val="20"/>
                <w:szCs w:val="20"/>
                <w:color w:val="auto"/>
              </w:rPr>
            </w:pPr>
            <w:r>
              <w:rPr>
                <w:rFonts w:ascii="Arial" w:cs="Arial" w:eastAsia="Arial" w:hAnsi="Arial"/>
                <w:sz w:val="18"/>
                <w:szCs w:val="18"/>
                <w:color w:val="auto"/>
              </w:rPr>
              <w:t>of $15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36,666,665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43,985</w:t>
            </w: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50,448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r>
      <w:tr>
        <w:trPr>
          <w:trHeight w:val="230"/>
        </w:trPr>
        <w:tc>
          <w:tcPr>
            <w:tcW w:w="25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r>
      <w:tr>
        <w:trPr>
          <w:trHeight w:val="229"/>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(9,587)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(9,587)</w:t>
            </w:r>
          </w:p>
        </w:tc>
      </w:tr>
      <w:tr>
        <w:trPr>
          <w:trHeight w:val="205"/>
        </w:trPr>
        <w:tc>
          <w:tcPr>
            <w:tcW w:w="258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 September 30,</w:t>
            </w: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28,000,000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$ 27,813</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73,333,330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87,633</w:t>
            </w: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822,022</w:t>
            </w:r>
          </w:p>
        </w:tc>
        <w:tc>
          <w:tcPr>
            <w:tcW w:w="22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(52,503)</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(51,441)</w:t>
            </w:r>
          </w:p>
        </w:tc>
      </w:tr>
      <w:tr>
        <w:trPr>
          <w:trHeight w:val="20"/>
        </w:trPr>
        <w:tc>
          <w:tcPr>
            <w:tcW w:w="2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7"/>
        </w:trPr>
        <w:tc>
          <w:tcPr>
            <w:tcW w:w="258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r>
      <w:tr>
        <w:trPr>
          <w:trHeight w:val="223"/>
        </w:trPr>
        <w:tc>
          <w:tcPr>
            <w:tcW w:w="2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January 1, 2020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28,000,000</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$ 27,813</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764,408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(31,302)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(30,637)</w:t>
            </w:r>
          </w:p>
        </w:tc>
        <w:tc>
          <w:tcPr>
            <w:tcW w:w="80" w:type="dxa"/>
            <w:vAlign w:val="bottom"/>
            <w:shd w:val="clear" w:color="auto" w:fill="CFF0FC"/>
          </w:tcPr>
          <w:p>
            <w:pPr>
              <w:spacing w:after="0"/>
              <w:rPr>
                <w:sz w:val="19"/>
                <w:szCs w:val="19"/>
                <w:color w:val="auto"/>
              </w:rPr>
            </w:pPr>
          </w:p>
        </w:tc>
      </w:tr>
      <w:tr>
        <w:trPr>
          <w:trHeight w:val="215"/>
        </w:trPr>
        <w:tc>
          <w:tcPr>
            <w:tcW w:w="2580" w:type="dxa"/>
            <w:vAlign w:val="bottom"/>
          </w:tcPr>
          <w:p>
            <w:pPr>
              <w:ind w:left="260"/>
              <w:spacing w:after="0"/>
              <w:rPr>
                <w:sz w:val="20"/>
                <w:szCs w:val="20"/>
                <w:color w:val="auto"/>
              </w:rPr>
            </w:pPr>
            <w:r>
              <w:rPr>
                <w:rFonts w:ascii="Arial" w:cs="Arial" w:eastAsia="Arial" w:hAnsi="Arial"/>
                <w:sz w:val="18"/>
                <w:szCs w:val="18"/>
                <w:color w:val="auto"/>
              </w:rPr>
              <w:t>Issuance of Series B</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ind w:left="260"/>
              <w:spacing w:after="0"/>
              <w:rPr>
                <w:sz w:val="20"/>
                <w:szCs w:val="20"/>
                <w:color w:val="auto"/>
              </w:rPr>
            </w:pPr>
            <w:r>
              <w:rPr>
                <w:rFonts w:ascii="Arial" w:cs="Arial" w:eastAsia="Arial" w:hAnsi="Arial"/>
                <w:sz w:val="18"/>
                <w:szCs w:val="18"/>
                <w:color w:val="auto"/>
              </w:rPr>
              <w:t>redeemable convertible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ind w:left="380"/>
              <w:spacing w:after="0"/>
              <w:rPr>
                <w:sz w:val="20"/>
                <w:szCs w:val="20"/>
                <w:color w:val="auto"/>
              </w:rPr>
            </w:pPr>
            <w:r>
              <w:rPr>
                <w:rFonts w:ascii="Arial" w:cs="Arial" w:eastAsia="Arial" w:hAnsi="Arial"/>
                <w:sz w:val="18"/>
                <w:szCs w:val="18"/>
                <w:color w:val="auto"/>
              </w:rPr>
              <w:t>preferred stock, net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580" w:type="dxa"/>
            <w:vAlign w:val="bottom"/>
          </w:tcPr>
          <w:p>
            <w:pPr>
              <w:ind w:left="380"/>
              <w:spacing w:after="0"/>
              <w:rPr>
                <w:sz w:val="20"/>
                <w:szCs w:val="20"/>
                <w:color w:val="auto"/>
              </w:rPr>
            </w:pPr>
            <w:r>
              <w:rPr>
                <w:rFonts w:ascii="Arial" w:cs="Arial" w:eastAsia="Arial" w:hAnsi="Arial"/>
                <w:sz w:val="18"/>
                <w:szCs w:val="18"/>
                <w:color w:val="auto"/>
              </w:rPr>
              <w:t>of $15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73,333,330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87,633</w:t>
            </w: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r>
      <w:tr>
        <w:trPr>
          <w:trHeight w:val="230"/>
        </w:trPr>
        <w:tc>
          <w:tcPr>
            <w:tcW w:w="25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r>
      <w:tr>
        <w:trPr>
          <w:trHeight w:val="230"/>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(21,201)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(21,201)</w:t>
            </w:r>
          </w:p>
        </w:tc>
      </w:tr>
      <w:tr>
        <w:trPr>
          <w:trHeight w:val="205"/>
        </w:trPr>
        <w:tc>
          <w:tcPr>
            <w:tcW w:w="258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 September 30,</w:t>
            </w: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28,000,000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$ 27,813</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73,333,330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87,633</w:t>
            </w: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822,022</w:t>
            </w:r>
          </w:p>
        </w:tc>
        <w:tc>
          <w:tcPr>
            <w:tcW w:w="22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(52,503)</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(51,441)</w:t>
            </w:r>
          </w:p>
        </w:tc>
      </w:tr>
      <w:tr>
        <w:trPr>
          <w:trHeight w:val="20"/>
        </w:trPr>
        <w:tc>
          <w:tcPr>
            <w:tcW w:w="2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(33,108)</w:t>
            </w: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(21,201)</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premium on available for sale securities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 and benefits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(26,078)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(18,253)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investments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(73,098)</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(73,185)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issuance of Series B redeemable convertible preferred stock, net of</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issuance costs</w:t>
            </w:r>
          </w:p>
        </w:tc>
        <w:tc>
          <w:tcPr>
            <w:tcW w:w="9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deferred offering costs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related to employee stock purchase plan</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issuance of long-term debt, net of issuance costs of $10</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term loan</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(4,770)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increase/(decrease) in cash, cash equivalents and restricted cash</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(98,787)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157,366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58,579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data:</w:t>
            </w: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assets recognized in exchange for lease liabilities</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760" w:type="dxa"/>
            <w:vAlign w:val="bottom"/>
          </w:tcPr>
          <w:p>
            <w:pPr>
              <w:ind w:left="260"/>
              <w:spacing w:after="0"/>
              <w:rPr>
                <w:sz w:val="20"/>
                <w:szCs w:val="20"/>
                <w:color w:val="auto"/>
              </w:rPr>
            </w:pPr>
            <w:r>
              <w:rPr>
                <w:rFonts w:ascii="Arial" w:cs="Arial" w:eastAsia="Arial" w:hAnsi="Arial"/>
                <w:sz w:val="18"/>
                <w:szCs w:val="18"/>
                <w:color w:val="auto"/>
              </w:rPr>
              <w:t>Deferred offering costs included in accounts payable and accrued expenses</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included in accounts payable</w:t>
            </w: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8160" w:firstLine="8"/>
        <w:spacing w:after="0" w:line="37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Description of Business</w:t>
      </w:r>
    </w:p>
    <w:p>
      <w:pPr>
        <w:spacing w:after="0" w:line="2" w:lineRule="exact"/>
        <w:rPr>
          <w:sz w:val="20"/>
          <w:szCs w:val="20"/>
          <w:color w:val="auto"/>
        </w:rPr>
      </w:pPr>
    </w:p>
    <w:p>
      <w:pPr>
        <w:ind w:right="20" w:firstLine="382"/>
        <w:spacing w:after="0" w:line="257" w:lineRule="auto"/>
        <w:rPr>
          <w:sz w:val="20"/>
          <w:szCs w:val="20"/>
          <w:color w:val="auto"/>
        </w:rPr>
      </w:pPr>
      <w:r>
        <w:rPr>
          <w:rFonts w:ascii="Arial" w:cs="Arial" w:eastAsia="Arial" w:hAnsi="Arial"/>
          <w:sz w:val="18"/>
          <w:szCs w:val="18"/>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polycystic ovary syndrome (PCOS) with adrenal dysfunction. The Company is located in Daly City, California and was incorporated in the state of Delaware in April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jc w:val="both"/>
        <w:ind w:right="20" w:firstLine="382"/>
        <w:spacing w:after="0" w:line="287" w:lineRule="auto"/>
        <w:rPr>
          <w:sz w:val="20"/>
          <w:szCs w:val="20"/>
          <w:color w:val="auto"/>
        </w:rPr>
      </w:pPr>
      <w:r>
        <w:rPr>
          <w:rFonts w:ascii="Arial" w:cs="Arial" w:eastAsia="Arial" w:hAnsi="Arial"/>
          <w:sz w:val="16"/>
          <w:szCs w:val="16"/>
          <w:color w:val="auto"/>
        </w:rPr>
        <w:t>In October 2020, the Company consummated its initial public offering (IPO) and issued a total of 6,900,000 shares of common stock, which included 900,000 shares of common stock issued pursuant to the exercise of the underwriters’ option to purchase additional shares, at an offering price of $15.00 per share. In aggregate, the Company received net proceeds of $93.4 million, after deducting underwriting discounts, commissions and offering expenses.</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Upon the closing of the IPO, all outstanding shares of the Company’s redeemable convertible preferred stock automatically converted into 15,492,019 shares of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40" w:firstLine="382"/>
        <w:spacing w:after="0" w:line="308" w:lineRule="auto"/>
        <w:rPr>
          <w:sz w:val="20"/>
          <w:szCs w:val="20"/>
          <w:color w:val="auto"/>
        </w:rPr>
      </w:pPr>
      <w:r>
        <w:rPr>
          <w:rFonts w:ascii="Arial" w:cs="Arial" w:eastAsia="Arial" w:hAnsi="Arial"/>
          <w:sz w:val="17"/>
          <w:szCs w:val="17"/>
          <w:color w:val="auto"/>
        </w:rPr>
        <w:t>As of September 30, 2021, the Company had cash, cash equivalents and investments of $131.3 million, which is sufficient to fund its planned operations for a period of at least twelve months following the issuance of the accompanying condensed financial statements.</w:t>
      </w:r>
    </w:p>
    <w:p>
      <w:pPr>
        <w:spacing w:after="0" w:line="38" w:lineRule="exact"/>
        <w:rPr>
          <w:sz w:val="20"/>
          <w:szCs w:val="20"/>
          <w:color w:val="auto"/>
        </w:rPr>
      </w:pPr>
    </w:p>
    <w:p>
      <w:pPr>
        <w:ind w:firstLine="382"/>
        <w:spacing w:after="0" w:line="269" w:lineRule="auto"/>
        <w:rPr>
          <w:sz w:val="20"/>
          <w:szCs w:val="20"/>
          <w:color w:val="auto"/>
        </w:rPr>
      </w:pPr>
      <w:r>
        <w:rPr>
          <w:rFonts w:ascii="Arial" w:cs="Arial" w:eastAsia="Arial" w:hAnsi="Arial"/>
          <w:sz w:val="18"/>
          <w:szCs w:val="18"/>
          <w:color w:val="auto"/>
        </w:rPr>
        <w:t>The Company has incurred significant losses and negative cash flows from operations. During the nine months ended September 30, 2021, the Company incurred a net loss of $33.1 million and used $26.1 million of cash in operations. As of September 30, 2021, the Company had an accumulated deficit of $93.9 million and does not expect positive cash flows from operations in the foreseeable future. The Company has funded its operations primarily through the issuance and sale of equity securities and debt.</w:t>
      </w:r>
    </w:p>
    <w:p>
      <w:pPr>
        <w:spacing w:after="0" w:line="71"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66" w:lineRule="exact"/>
        <w:rPr>
          <w:sz w:val="20"/>
          <w:szCs w:val="20"/>
          <w:color w:val="auto"/>
        </w:rPr>
      </w:pPr>
    </w:p>
    <w:p>
      <w:pPr>
        <w:ind w:right="7660" w:firstLine="8"/>
        <w:spacing w:after="0" w:line="425"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Interim Condensed Financial Statements</w:t>
      </w:r>
    </w:p>
    <w:p>
      <w:pPr>
        <w:ind w:firstLine="382"/>
        <w:spacing w:after="0" w:line="269" w:lineRule="auto"/>
        <w:rPr>
          <w:sz w:val="20"/>
          <w:szCs w:val="20"/>
          <w:color w:val="auto"/>
        </w:rPr>
      </w:pPr>
      <w:r>
        <w:rPr>
          <w:rFonts w:ascii="Arial" w:cs="Arial" w:eastAsia="Arial" w:hAnsi="Arial"/>
          <w:sz w:val="17"/>
          <w:szCs w:val="17"/>
          <w:color w:val="auto"/>
        </w:rPr>
        <w:t>The financial statements have been prepared in accordance with accounting principles generally accepted in the United States of America (U.S. GAAP) and applicable rules and regulations of the U.S. Securities and Exchange Commission (SEC) for interim reporting. As permitted under those rules and regulations, certain notes or other financial information normally included in financial statements prepared in accordance with U.S. GAAP have been condensed or omitted. The condensed balance sheet as of September 30, 2021, the condensed statements of operations and comprehensive loss for the three and nine months ended September 30, 2021 and 2020, the condensed statement of stockholders’ equity for the nine months ended September 30, 2021, the condensed statement of redeemable convertible preferred stock and stockholders’ deficit for the nine months ended September 30, 2020, and the condensed statements of cash flows for the nine months ended September 30, 2021 and 2020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2020, is derived from the Company’s audited financial statements. The results of operations for the three and nine months ended September 30, 2021, are not necessarily indicative of the results to be expected for the year ending December 31, 2021, or for any other future annual or interim period.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80" w:firstLine="382"/>
        <w:spacing w:after="0" w:line="277" w:lineRule="auto"/>
        <w:rPr>
          <w:sz w:val="20"/>
          <w:szCs w:val="20"/>
          <w:color w:val="auto"/>
        </w:rPr>
      </w:pPr>
      <w:r>
        <w:rPr>
          <w:rFonts w:ascii="Arial" w:cs="Arial" w:eastAsia="Arial" w:hAnsi="Arial"/>
          <w:sz w:val="18"/>
          <w:szCs w:val="18"/>
          <w:color w:val="auto"/>
        </w:rPr>
        <w:t>These interim condensed financial statements should be read in conjunction with the Company’s Annual Report on Form 10-K for the year ended December 31, 2020 filed with the SEC on March 22, 2021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80" w:firstLine="382"/>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valuation of common stock and stock-based compensation and income tax and uncertain tax positions. The Company bases its estimates on its historical experience and on assumptions that it believes are reasonable; however, actual results could significantly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79" w:lineRule="exact"/>
        <w:rPr>
          <w:sz w:val="20"/>
          <w:szCs w:val="20"/>
          <w:color w:val="auto"/>
        </w:rPr>
      </w:pPr>
    </w:p>
    <w:p>
      <w:pPr>
        <w:ind w:firstLine="382"/>
        <w:spacing w:after="0" w:line="279" w:lineRule="auto"/>
        <w:rPr>
          <w:sz w:val="20"/>
          <w:szCs w:val="20"/>
          <w:color w:val="auto"/>
        </w:rPr>
      </w:pPr>
      <w:r>
        <w:rPr>
          <w:rFonts w:ascii="Arial" w:cs="Arial" w:eastAsia="Arial" w:hAnsi="Arial"/>
          <w:sz w:val="17"/>
          <w:szCs w:val="17"/>
          <w:color w:val="auto"/>
        </w:rPr>
        <w:t>The Company is subject to a number of risks similar to other late-stage biopharmaceutical companies including, but not limited to, dependency on the clinical and commercial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and untested manufacturing capabilities, and dependence on key individuals and sole source suppliers.</w:t>
      </w:r>
    </w:p>
    <w:p>
      <w:pPr>
        <w:spacing w:after="0" w:line="63" w:lineRule="exact"/>
        <w:rPr>
          <w:sz w:val="20"/>
          <w:szCs w:val="20"/>
          <w:color w:val="auto"/>
        </w:rPr>
      </w:pPr>
    </w:p>
    <w:p>
      <w:pPr>
        <w:ind w:right="280" w:firstLine="382"/>
        <w:spacing w:after="0" w:line="300" w:lineRule="auto"/>
        <w:rPr>
          <w:sz w:val="20"/>
          <w:szCs w:val="20"/>
          <w:color w:val="auto"/>
        </w:rPr>
      </w:pPr>
      <w:r>
        <w:rPr>
          <w:rFonts w:ascii="Arial" w:cs="Arial" w:eastAsia="Arial" w:hAnsi="Arial"/>
          <w:sz w:val="16"/>
          <w:szCs w:val="16"/>
          <w:color w:val="auto"/>
        </w:rPr>
        <w:t>The Company’s business has been and could continue to be adversely affected by the evolving COVID-19 pandemic. For example, the COVID-19 pandemic has resulted in and could result in delays to the Company’s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the Company’s business will depend on future developments, which are highly uncertain. The Company will continue to evaluate the impact that these events could have on its future operations, financial position, results of operations and cash flows.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200" w:firstLine="382"/>
        <w:spacing w:after="0" w:line="277" w:lineRule="auto"/>
        <w:rPr>
          <w:sz w:val="20"/>
          <w:szCs w:val="20"/>
          <w:color w:val="auto"/>
        </w:rPr>
      </w:pPr>
      <w:r>
        <w:rPr>
          <w:rFonts w:ascii="Arial" w:cs="Arial" w:eastAsia="Arial" w:hAnsi="Arial"/>
          <w:sz w:val="18"/>
          <w:szCs w:val="18"/>
          <w:color w:val="auto"/>
        </w:rPr>
        <w:t>There have been no significant changes to the accounting policies during the nine months ended September 30, 2021, as compared to the significant accounting policies described in our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firstLine="382"/>
        <w:spacing w:after="0" w:line="311" w:lineRule="auto"/>
        <w:rPr>
          <w:sz w:val="20"/>
          <w:szCs w:val="20"/>
          <w:color w:val="auto"/>
        </w:rPr>
      </w:pPr>
      <w:r>
        <w:rPr>
          <w:rFonts w:ascii="Arial" w:cs="Arial" w:eastAsia="Arial" w:hAnsi="Arial"/>
          <w:sz w:val="16"/>
          <w:szCs w:val="16"/>
          <w:color w:val="auto"/>
        </w:rPr>
        <w:t>The Company has cash in a collateral account related to a letter of credit issued on behalf of the Company for the security deposit on the non-cancelable operating lease for an office facility. The collateralized cash in connection with the letter of credit was classified as restricted cash on the balance sheet as of September 30, 2021 and December 31, 2020 based on the terms of the lease agreement, which expires in 2025, unless extended.</w:t>
      </w:r>
    </w:p>
    <w:p>
      <w:pPr>
        <w:spacing w:after="0" w:line="41"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statements of cash flows (in thousands):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58,363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72,158</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58,579</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72,374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In June 2016, the Financial Accounting Standards Board (FASB) issued ASU 2016-13, Measurement of Credit Losses on Financial Instruments (Topic 326): Measurement of Credit Losses on Financial Instruments (ASU 2016-13). ASU 2016-13 requires companies to measure credit losses utilizing a methodology that reflects expected credit losses and requires a consideration of a broader range of reasonable and supportable information to inform credit loss estimates. ASU 2016-13 is effective for non-EGC’s electing to use the extended transition period for complying with new or revised accounting standards for fiscal years beginning after December 15, 2019, and for EGC’s for fiscal years beginning after December 15, 2022, with early adoption permitted. The Company expects to adopt this ASU on January 1, 2023. The Company is currently assessing the impact of adopting this standard, but based on a preliminary assessment, does not expect the adoption of this guidance to have a material impact on its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In December 2019, the FASB issued Accounting Standards Update (ASU) 2019-12, Income Taxes (Topic 740): Simplifying the Accounting for Income Taxes. The amendments in ASU 2019-12 are intended to simplify various aspects related to accounting for income taxes. ASU 2019-12 removes certain exceptions to the general principles in Topic 740 and also clarifies and amends existing guidance to improve consistent application. ASU 2019-12 is effective for public business entities for fiscal years beginning after December 15, 2020 and the Company adopted on January 1, 2021. The adoption did not have any impact on the Company’s condensed financial statements as of and for the nine months ended September 30,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considers all highly liquid investments with remaining maturities at the date of purchase of three months or less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amounts invested in money market funds and are stated at fair value.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Investments comprise U.S. treasury securities, commercial paper, and corporate bonds, which are classified as available for sale debt securities.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is a summary of amortized cost, unrealized gains and losses, and fair value (in thousands):</w:t>
      </w:r>
    </w:p>
    <w:p>
      <w:pPr>
        <w:spacing w:after="0" w:line="338"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95"/>
              </w:rPr>
              <w:t>Gross Unrealized</w:t>
            </w:r>
          </w:p>
        </w:tc>
        <w:tc>
          <w:tcPr>
            <w:tcW w:w="150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Arial" w:cs="Arial" w:eastAsia="Arial" w:hAnsi="Arial"/>
                <w:sz w:val="14"/>
                <w:szCs w:val="14"/>
                <w:b w:val="1"/>
                <w:bCs w:val="1"/>
                <w:color w:val="auto"/>
                <w:w w:val="86"/>
              </w:rPr>
              <w:t>Losses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50,039</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papers</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33,957</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33,957</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24,189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long-term investments</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38,991</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w w:val="95"/>
              </w:rPr>
              <w:t>Total cash equivalents and available for sale securities</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122,987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September 30, 2021, the weighted-average remaining contractual maturities of available for sale securities was approximately 16 months.</w:t>
      </w:r>
    </w:p>
    <w:p>
      <w:pPr>
        <w:spacing w:after="0" w:line="129" w:lineRule="exact"/>
        <w:rPr>
          <w:sz w:val="20"/>
          <w:szCs w:val="20"/>
          <w:color w:val="auto"/>
        </w:rPr>
      </w:pPr>
    </w:p>
    <w:p>
      <w:pPr>
        <w:ind w:right="100" w:firstLine="382"/>
        <w:spacing w:after="0" w:line="290" w:lineRule="auto"/>
        <w:rPr>
          <w:sz w:val="20"/>
          <w:szCs w:val="20"/>
          <w:color w:val="auto"/>
        </w:rPr>
      </w:pPr>
      <w:r>
        <w:rPr>
          <w:rFonts w:ascii="Arial" w:cs="Arial" w:eastAsia="Arial" w:hAnsi="Arial"/>
          <w:sz w:val="16"/>
          <w:szCs w:val="16"/>
          <w:color w:val="auto"/>
        </w:rPr>
        <w:t>There have been no realized gains or losses on available for sale securities for the periods presented. No available for sale securities held as of September 30, 2021 have been in a continuous unrealized loss position for more than 12 months, and unrealized gains and losses are included in “accumulated other comprehensive loss” within stockholders' equity on the condensed balance sheets. As of September 30, 2021, unrealized losses on available for sale securities are not attributed to credit risk and are considered temporary. The Company believes that it is more-likely-than-not that investments in an unrealized loss position will be held until maturity or the cost basis of the investment will be recovered. The Company believes it has no other-than-temporary impairments on its securities as it does not intend to sell these securities and does not believe it is more likely than not that it will be required to sell these securities before the recovery of their amortized cost basis. To date, the Company has not recorded any impairment charges on securities related to other-than-temporary declines in fair value. The Company’s cash equivalents and short-term investments are due within one year.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measures and reports certain financial instruments as assets at fair value.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firstLine="38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79"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17" w:lineRule="exact"/>
        <w:rPr>
          <w:sz w:val="20"/>
          <w:szCs w:val="20"/>
          <w:color w:val="auto"/>
        </w:rPr>
      </w:pPr>
    </w:p>
    <w:p>
      <w:pPr>
        <w:jc w:val="both"/>
        <w:ind w:left="380" w:right="20"/>
        <w:spacing w:after="0" w:line="263"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129"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The carrying value of cash and cash equivalents, prepaid expenses, accounts payable, term loan, and accrued expenses are generally considered to be representative of their respective fair values because of the short-term nature of those instruments.</w:t>
      </w:r>
    </w:p>
    <w:p>
      <w:pPr>
        <w:spacing w:after="0" w:line="62" w:lineRule="exact"/>
        <w:rPr>
          <w:sz w:val="20"/>
          <w:szCs w:val="20"/>
          <w:color w:val="auto"/>
        </w:rPr>
      </w:pPr>
    </w:p>
    <w:p>
      <w:pPr>
        <w:ind w:right="100" w:firstLine="382"/>
        <w:spacing w:after="0" w:line="277" w:lineRule="auto"/>
        <w:rPr>
          <w:sz w:val="20"/>
          <w:szCs w:val="20"/>
          <w:color w:val="auto"/>
        </w:rPr>
      </w:pPr>
      <w:r>
        <w:rPr>
          <w:rFonts w:ascii="Arial" w:cs="Arial" w:eastAsia="Arial" w:hAnsi="Arial"/>
          <w:sz w:val="18"/>
          <w:szCs w:val="18"/>
          <w:color w:val="auto"/>
        </w:rPr>
        <w:t>The following table summarizes the Company's financial assets measured at fair value on a recurring basis by level within the fair value hierarchy (in thousands):</w:t>
      </w:r>
    </w:p>
    <w:p>
      <w:pPr>
        <w:spacing w:after="0" w:line="283"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600" w:type="dxa"/>
            <w:vAlign w:val="bottom"/>
            <w:tcBorders>
              <w:bottom w:val="single" w:sz="8" w:color="CFF0FC"/>
            </w:tcBorders>
          </w:tcPr>
          <w:p>
            <w:pPr>
              <w:ind w:left="30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33,957</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3"/>
        </w:trPr>
        <w:tc>
          <w:tcPr>
            <w:tcW w:w="4600" w:type="dxa"/>
            <w:vAlign w:val="bottom"/>
            <w:tcBorders>
              <w:bottom w:val="single" w:sz="8" w:color="CFF0FC"/>
            </w:tcBorders>
          </w:tcPr>
          <w:p>
            <w:pPr>
              <w:ind w:left="300"/>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33,957</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long-term investments</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w w:val="93"/>
              </w:rPr>
              <w:t>Total cash equivalents, short-term investments and long-term</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investments</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122,971</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89,014</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33,957</w:t>
            </w:r>
          </w:p>
        </w:tc>
        <w:tc>
          <w:tcPr>
            <w:tcW w:w="180" w:type="dxa"/>
            <w:vAlign w:val="bottom"/>
          </w:tcPr>
          <w:p>
            <w:pPr>
              <w:spacing w:after="0"/>
              <w:rPr>
                <w:sz w:val="20"/>
                <w:szCs w:val="20"/>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0"/>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did not have any financial assets nor liabilities recorded at fair value on a recurring or non-recurring basis as of December 31, 2020.</w:t>
      </w:r>
    </w:p>
    <w:p>
      <w:pPr>
        <w:spacing w:after="0" w:line="140" w:lineRule="exact"/>
        <w:rPr>
          <w:sz w:val="20"/>
          <w:szCs w:val="20"/>
          <w:color w:val="auto"/>
        </w:rPr>
      </w:pPr>
    </w:p>
    <w:p>
      <w:pPr>
        <w:ind w:right="200" w:firstLine="382"/>
        <w:spacing w:after="0" w:line="275" w:lineRule="auto"/>
        <w:rPr>
          <w:sz w:val="20"/>
          <w:szCs w:val="20"/>
          <w:color w:val="auto"/>
        </w:rPr>
      </w:pPr>
      <w:r>
        <w:rPr>
          <w:rFonts w:ascii="Arial" w:cs="Arial" w:eastAsia="Arial" w:hAnsi="Arial"/>
          <w:sz w:val="17"/>
          <w:szCs w:val="17"/>
          <w:color w:val="auto"/>
        </w:rPr>
        <w:t>For Level 1 investments, the Company uses quoted prices in active markets for identical assets to determine the fair value. For Level 2 investments,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spacing w:after="0" w:line="68" w:lineRule="exact"/>
        <w:rPr>
          <w:sz w:val="20"/>
          <w:szCs w:val="20"/>
          <w:color w:val="auto"/>
        </w:rPr>
      </w:pPr>
    </w:p>
    <w:p>
      <w:pPr>
        <w:ind w:right="220" w:firstLine="382"/>
        <w:spacing w:after="0" w:line="277" w:lineRule="auto"/>
        <w:rPr>
          <w:sz w:val="20"/>
          <w:szCs w:val="20"/>
          <w:color w:val="auto"/>
        </w:rPr>
      </w:pPr>
      <w:r>
        <w:rPr>
          <w:rFonts w:ascii="Arial" w:cs="Arial" w:eastAsia="Arial" w:hAnsi="Arial"/>
          <w:sz w:val="18"/>
          <w:szCs w:val="18"/>
          <w:color w:val="auto"/>
        </w:rPr>
        <w:t>The estimated fair value of the term loan was $5.0 million as of September 30, 2021 and was based on estimated interest rates currently available to the Company for debt with similar terms, a Level 3 input.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September 30,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18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Accrued general and administrative expenses</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 current portion</w:t>
            </w:r>
          </w:p>
        </w:tc>
        <w:tc>
          <w:tcPr>
            <w:tcW w:w="2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860"/>
              <w:spacing w:after="0"/>
              <w:rPr>
                <w:sz w:val="20"/>
                <w:szCs w:val="20"/>
                <w:color w:val="auto"/>
              </w:rPr>
            </w:pPr>
            <w:r>
              <w:rPr>
                <w:rFonts w:ascii="Arial" w:cs="Arial" w:eastAsia="Arial" w:hAnsi="Arial"/>
                <w:sz w:val="18"/>
                <w:szCs w:val="18"/>
                <w:color w:val="auto"/>
              </w:rPr>
              <w:t>Total accrued expenses and other current liabilities</w:t>
            </w:r>
          </w:p>
        </w:tc>
        <w:tc>
          <w:tcPr>
            <w:tcW w:w="2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80" w:type="dxa"/>
            <w:vAlign w:val="bottom"/>
            <w:vMerge w:val="restart"/>
          </w:tcPr>
          <w:p>
            <w:pPr>
              <w:jc w:val="right"/>
              <w:ind w:right="167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research and development expenses were primarily related to clinical trials, non-clinical studies, and manufacturing of clinical drug supply.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The Company leases space under non-cancelable operating lease, which require the Company to pay base rent, real estate taxes, insurance, general repairs, and maintenance. The Company does not have finance leases.</w:t>
      </w:r>
    </w:p>
    <w:p>
      <w:pPr>
        <w:spacing w:after="0" w:line="62" w:lineRule="exact"/>
        <w:rPr>
          <w:sz w:val="20"/>
          <w:szCs w:val="20"/>
          <w:color w:val="auto"/>
        </w:rPr>
      </w:pPr>
    </w:p>
    <w:p>
      <w:pPr>
        <w:ind w:right="120" w:firstLine="382"/>
        <w:spacing w:after="0" w:line="305" w:lineRule="auto"/>
        <w:rPr>
          <w:sz w:val="20"/>
          <w:szCs w:val="20"/>
          <w:color w:val="auto"/>
        </w:rPr>
      </w:pPr>
      <w:r>
        <w:rPr>
          <w:rFonts w:ascii="Arial" w:cs="Arial" w:eastAsia="Arial" w:hAnsi="Arial"/>
          <w:sz w:val="16"/>
          <w:szCs w:val="16"/>
          <w:color w:val="auto"/>
        </w:rPr>
        <w:t>In February 2020, the Company entered into a non-cancelable operating lease for office space with a commencement date of September 2020. The monthly payments escalate over the 63-month term with total gross commitments of $2.3 million. The lease includes an option to renew the lease term for an additional period of 60 months. The renewal option is not included in the lease term or minimum lease payments disclosures below as the Company is not reasonably certain to exercise the option. Lease incentives, which relate to rent abatement, were considered in the calculation of the lease liability and right-of-use asset. Lease expense for the three and nine months ended September 30, 2021 was $0.1 million and $0.3 million, respectively.</w:t>
      </w:r>
    </w:p>
    <w:p>
      <w:pPr>
        <w:spacing w:after="0" w:line="46" w:lineRule="exact"/>
        <w:rPr>
          <w:sz w:val="20"/>
          <w:szCs w:val="20"/>
          <w:color w:val="auto"/>
        </w:rPr>
      </w:pPr>
    </w:p>
    <w:p>
      <w:pPr>
        <w:jc w:val="both"/>
        <w:ind w:right="80" w:firstLine="382"/>
        <w:spacing w:after="0" w:line="259" w:lineRule="auto"/>
        <w:rPr>
          <w:sz w:val="20"/>
          <w:szCs w:val="20"/>
          <w:color w:val="auto"/>
        </w:rPr>
      </w:pPr>
      <w:r>
        <w:rPr>
          <w:rFonts w:ascii="Arial" w:cs="Arial" w:eastAsia="Arial" w:hAnsi="Arial"/>
          <w:sz w:val="18"/>
          <w:szCs w:val="18"/>
          <w:color w:val="auto"/>
        </w:rPr>
        <w:t>In February 2019, the Company entered into a short-term lease for office space with a commencement date of March 2019. Total gross commitments over the 12-month term were $0.2 million. In February 2020, the Company extended the lease for an additional three months for a total of $42.0 thousand in additional commitments. The lease was terminated in May 2020. Short-term lease expense for the three and nine months ended September 30, 2020 was nil and $0.1 million, respectively.</w:t>
      </w:r>
    </w:p>
    <w:p>
      <w:pPr>
        <w:spacing w:after="0" w:line="79" w:lineRule="exact"/>
        <w:rPr>
          <w:sz w:val="20"/>
          <w:szCs w:val="20"/>
          <w:color w:val="auto"/>
        </w:rPr>
      </w:pPr>
    </w:p>
    <w:p>
      <w:pPr>
        <w:ind w:right="220" w:firstLine="382"/>
        <w:spacing w:after="0" w:line="296" w:lineRule="auto"/>
        <w:rPr>
          <w:sz w:val="20"/>
          <w:szCs w:val="20"/>
          <w:color w:val="auto"/>
        </w:rPr>
      </w:pPr>
      <w:r>
        <w:rPr>
          <w:rFonts w:ascii="Arial" w:cs="Arial" w:eastAsia="Arial" w:hAnsi="Arial"/>
          <w:sz w:val="16"/>
          <w:szCs w:val="16"/>
          <w:color w:val="auto"/>
        </w:rPr>
        <w:t>Lease right-of-use assets and liabilities are recognized at the commencement date based on the present value of the remaining minimum lease payments over the lease term, with certain adjustments. As the leases do not provide an implicit rate, the Company uses a collateralized incremental borrowing rate based on the information available at the commencement date to determine the lease liability. As of September 30, 2021, the weighted-average remaining lease term for operating leases was 4.2 years and the weighted-average discount rate was 7.0%. Cash paid for amounts included in the measurement of lease liabilities was $0.1 million and $0.3 million for the three and nine months ended September 30, 2021, respectively.</w:t>
      </w:r>
    </w:p>
    <w:p>
      <w:pPr>
        <w:spacing w:after="0" w:line="53" w:lineRule="exact"/>
        <w:rPr>
          <w:sz w:val="20"/>
          <w:szCs w:val="20"/>
          <w:color w:val="auto"/>
        </w:rPr>
      </w:pPr>
    </w:p>
    <w:p>
      <w:pPr>
        <w:jc w:val="both"/>
        <w:ind w:right="120" w:firstLine="382"/>
        <w:spacing w:after="0" w:line="279" w:lineRule="auto"/>
        <w:rPr>
          <w:sz w:val="20"/>
          <w:szCs w:val="20"/>
          <w:color w:val="auto"/>
        </w:rPr>
      </w:pPr>
      <w:r>
        <w:rPr>
          <w:rFonts w:ascii="Arial" w:cs="Arial" w:eastAsia="Arial" w:hAnsi="Arial"/>
          <w:sz w:val="18"/>
          <w:szCs w:val="18"/>
          <w:color w:val="auto"/>
        </w:rPr>
        <w:t>The Company recognizes monthly operating lease expense on a straight-line basis over the term of the lease. Variable lease expense relates primarily to office lease common area maintenance, insurance, and property taxes, is expensed as incurred, and is excluded from the calculation of the lease liability and right-of-use-asset.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21" w:lineRule="exact"/>
        <w:rPr>
          <w:sz w:val="20"/>
          <w:szCs w:val="20"/>
          <w:color w:val="auto"/>
        </w:rPr>
      </w:pPr>
    </w:p>
    <w:p>
      <w:pPr>
        <w:ind w:right="20" w:firstLine="382"/>
        <w:spacing w:after="0" w:line="275" w:lineRule="auto"/>
        <w:rPr>
          <w:sz w:val="20"/>
          <w:szCs w:val="20"/>
          <w:color w:val="auto"/>
        </w:rPr>
      </w:pPr>
      <w:r>
        <w:rPr>
          <w:rFonts w:ascii="Arial" w:cs="Arial" w:eastAsia="Arial" w:hAnsi="Arial"/>
          <w:sz w:val="17"/>
          <w:szCs w:val="17"/>
          <w:color w:val="auto"/>
        </w:rPr>
        <w:t>In September 2019, the Company entered into a Loan and Security Agreement (the Loan Agreement) with Silicon Valley Bank (SVB) providing for a term loan (the Term Loan). In April 2020, the Company and SVB entered into an agreement (the Deferral Agreement) whereby the parties agreed to extend the interest-only period (the Interest-Only-Period), repayment dates of all monthly payments of principal due and the maturity date with respect to the Term Loan by six months. All other terms under the Loan Agreement remained unchanged. The Deferral Agreement was determined to be a debt modification, resulting in a prospective yield adjustment based on the revised terms.</w:t>
      </w:r>
    </w:p>
    <w:p>
      <w:pPr>
        <w:spacing w:after="0" w:line="68" w:lineRule="exact"/>
        <w:rPr>
          <w:sz w:val="20"/>
          <w:szCs w:val="20"/>
          <w:color w:val="auto"/>
        </w:rPr>
      </w:pPr>
    </w:p>
    <w:p>
      <w:pPr>
        <w:ind w:right="40" w:firstLine="382"/>
        <w:spacing w:after="0" w:line="279" w:lineRule="auto"/>
        <w:rPr>
          <w:sz w:val="20"/>
          <w:szCs w:val="20"/>
          <w:color w:val="auto"/>
        </w:rPr>
      </w:pPr>
      <w:r>
        <w:rPr>
          <w:rFonts w:ascii="Arial" w:cs="Arial" w:eastAsia="Arial" w:hAnsi="Arial"/>
          <w:sz w:val="17"/>
          <w:szCs w:val="17"/>
          <w:color w:val="auto"/>
        </w:rPr>
        <w:t>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63" w:lineRule="exact"/>
        <w:rPr>
          <w:sz w:val="20"/>
          <w:szCs w:val="20"/>
          <w:color w:val="auto"/>
        </w:rPr>
      </w:pPr>
    </w:p>
    <w:p>
      <w:pPr>
        <w:ind w:right="60" w:firstLine="382"/>
        <w:spacing w:after="0" w:line="272" w:lineRule="auto"/>
        <w:rPr>
          <w:sz w:val="20"/>
          <w:szCs w:val="20"/>
          <w:color w:val="auto"/>
        </w:rPr>
      </w:pPr>
      <w:r>
        <w:rPr>
          <w:rFonts w:ascii="Arial" w:cs="Arial" w:eastAsia="Arial" w:hAnsi="Arial"/>
          <w:sz w:val="17"/>
          <w:szCs w:val="17"/>
          <w:color w:val="auto"/>
        </w:rPr>
        <w:t>In March 2021, the Company entered into a First Amendment to Loan and Security Agreement (the First Amendment), pursuant to which the Company and SVB amended the Loan Agreement. The First Amendment increased the aggregate principal amount of the Term Loan commitment by SVB to up to $30.0 million. Up to $20.0 million is available under the first tranche of the Term Loan (First Tranche), $5.0 million of which was advanced immediately to repay the outstanding obligations under the Term Loan prior to the First Amendment with the remainder of the First Tranche commitment available through December 31, 2021, and up to $10.0 million is available under the second tranche (Second Tranche), subject to the completion of certain clinical and financial milestones, which Second Tranche commitment is available through December 31, 2022. Pursuant to the First Amendment, the Term Loan will mature on January 1, 2026. The First Amendment was determined to be a debt modification.</w:t>
      </w:r>
    </w:p>
    <w:p>
      <w:pPr>
        <w:spacing w:after="0" w:line="69"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Pursuant to the First Amendment, the Company is required to make monthly payments of interest only commencing on the first day of the month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382"/>
        <w:spacing w:after="0" w:line="289" w:lineRule="auto"/>
        <w:rPr>
          <w:sz w:val="20"/>
          <w:szCs w:val="20"/>
          <w:color w:val="auto"/>
        </w:rPr>
      </w:pPr>
      <w:r>
        <w:rPr>
          <w:rFonts w:ascii="Arial" w:cs="Arial" w:eastAsia="Arial" w:hAnsi="Arial"/>
          <w:sz w:val="16"/>
          <w:szCs w:val="16"/>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Interest-Only Period, over the repayment 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 (the End of Term Payment). The Company may prepay amounts outstanding under the Term Loan at any time provided certain notification conditions are met, in which case, all outstanding principal plus accrued and unpaid interest, the End of Term Payment, a prepayment fee between 1% and 3% of the commitment amount of the First and Second Tranches, and any bank expenses become due and payable.</w:t>
      </w:r>
    </w:p>
    <w:p>
      <w:pPr>
        <w:spacing w:after="0" w:line="58"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The Company incurred $10.0 thousand of debt issuance costs in connection with the First Amendment and had unamortized issuance costs and unamortized debt discount under the Loan Agreement of $2.0 thousand and $16.0 thousand, respectively. The Company recorded these costs, including the unaccreted portion of the final payment obligation under the Loan Agreement as a discount from the carrying value of the Term Loan, which are being amortized using the effective interest method over the life of the First Amendment. The unamortized debt issuance costs and debt discount balance was $0.1 million as of September 30, 2021.</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Term Loan and unamortized discount and debt issuance costs balances as of September 30, 2021 are shown below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472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Term Loan debt</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Term Loan, net</w:t>
            </w:r>
          </w:p>
        </w:tc>
        <w:tc>
          <w:tcPr>
            <w:tcW w:w="7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Less: Term Loan, current portion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net of current portion</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382"/>
        <w:spacing w:after="0" w:line="311" w:lineRule="auto"/>
        <w:rPr>
          <w:sz w:val="20"/>
          <w:szCs w:val="20"/>
          <w:color w:val="auto"/>
        </w:rPr>
      </w:pPr>
      <w:r>
        <w:rPr>
          <w:rFonts w:ascii="Arial" w:cs="Arial" w:eastAsia="Arial" w:hAnsi="Arial"/>
          <w:sz w:val="16"/>
          <w:szCs w:val="16"/>
          <w:color w:val="auto"/>
        </w:rPr>
        <w:t>The Company is subject to customary affirmative and restrictive covenants under the Loan Agreement, as amended. The Company’s obligations under the Loan Agreement, as amended, are secured by a first priority security interest in substantially all of its current and future assets, other than intellectual property. The Company also agreed not to encumber its intellectual property assets, except as permitted by the Loan Agreement, as amended.</w:t>
      </w:r>
    </w:p>
    <w:p>
      <w:pPr>
        <w:spacing w:after="0" w:line="41" w:lineRule="exact"/>
        <w:rPr>
          <w:sz w:val="20"/>
          <w:szCs w:val="20"/>
          <w:color w:val="auto"/>
        </w:rPr>
      </w:pPr>
    </w:p>
    <w:p>
      <w:pPr>
        <w:ind w:right="40" w:firstLine="382"/>
        <w:spacing w:after="0" w:line="291" w:lineRule="auto"/>
        <w:rPr>
          <w:sz w:val="20"/>
          <w:szCs w:val="20"/>
          <w:color w:val="auto"/>
        </w:rPr>
      </w:pPr>
      <w:r>
        <w:rPr>
          <w:rFonts w:ascii="Arial" w:cs="Arial" w:eastAsia="Arial" w:hAnsi="Arial"/>
          <w:sz w:val="16"/>
          <w:szCs w:val="16"/>
          <w:color w:val="auto"/>
        </w:rPr>
        <w:t>The Loan Agreement, as amended, also contains customary indemnification obligations and customary events of default, including, among other things, the Company’s failure to fulfill certain obligations under the Loan Agreement, as amended,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as amended, the lender would be entitled to exercise their remedies thereunder, including the right to accelerate the debt, upon which the Company may be required to repay all amounts then outstanding under the Loan Agreement, as amended. As of September 30, 2021, management believes that the Company was in compliance with all financial covenants under the Loan Agreement, as amended, and there had been no material adverse change.</w:t>
      </w:r>
    </w:p>
    <w:p>
      <w:pPr>
        <w:spacing w:after="0" w:line="85" w:lineRule="exact"/>
        <w:rPr>
          <w:sz w:val="20"/>
          <w:szCs w:val="20"/>
          <w:color w:val="auto"/>
        </w:rPr>
      </w:pPr>
    </w:p>
    <w:p>
      <w:pPr>
        <w:jc w:val="both"/>
        <w:ind w:right="200" w:firstLine="382"/>
        <w:spacing w:after="0" w:line="279" w:lineRule="auto"/>
        <w:rPr>
          <w:sz w:val="20"/>
          <w:szCs w:val="20"/>
          <w:color w:val="auto"/>
        </w:rPr>
      </w:pPr>
      <w:r>
        <w:rPr>
          <w:rFonts w:ascii="Arial" w:cs="Arial" w:eastAsia="Arial" w:hAnsi="Arial"/>
          <w:sz w:val="18"/>
          <w:szCs w:val="18"/>
          <w:color w:val="auto"/>
        </w:rPr>
        <w:t>The Company made interest payments on the Term Loan of $54.0 thousand and $0.2 million during the three and nine months ended September 30, 2021, respectively. The Company made interest payments on the Term Loan of $49.0 thousand and $0.1 million during the three and nine months ended September 30, 2020,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In May 2016, the Company entered into a license agreement (the License Agreement), with Eli Lilly and Company (Lilly). Pursuant to the terms of the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 The Company is also required to pay Lilly up to an aggregate of $23.0 million upon the achievement, during the time the License Agreement remains in effect, of certain milestones relating to the clinical development and commercial sales of products licensed under the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 digits to sub-teens. No additional amounts were paid by the Company to Lilly during any of the periods presented, nor were due as of such dates pursuant to the License Agreement.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20" w:firstLine="382"/>
        <w:spacing w:after="0" w:line="301" w:lineRule="auto"/>
        <w:rPr>
          <w:sz w:val="20"/>
          <w:szCs w:val="20"/>
          <w:color w:val="auto"/>
        </w:rPr>
      </w:pPr>
      <w:r>
        <w:rPr>
          <w:rFonts w:ascii="Arial" w:cs="Arial" w:eastAsia="Arial" w:hAnsi="Arial"/>
          <w:sz w:val="16"/>
          <w:szCs w:val="16"/>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nine months ended September 30, 2021.</w:t>
      </w:r>
    </w:p>
    <w:p>
      <w:pPr>
        <w:spacing w:after="0" w:line="45" w:lineRule="exact"/>
        <w:rPr>
          <w:sz w:val="20"/>
          <w:szCs w:val="20"/>
          <w:color w:val="auto"/>
        </w:rPr>
      </w:pPr>
    </w:p>
    <w:p>
      <w:pPr>
        <w:ind w:right="9620" w:firstLine="8"/>
        <w:spacing w:after="0" w:line="425"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ind w:firstLine="382"/>
        <w:spacing w:after="0" w:line="286" w:lineRule="auto"/>
        <w:rPr>
          <w:sz w:val="20"/>
          <w:szCs w:val="20"/>
          <w:color w:val="auto"/>
        </w:rPr>
      </w:pPr>
      <w:r>
        <w:rPr>
          <w:rFonts w:ascii="Arial" w:cs="Arial" w:eastAsia="Arial" w:hAnsi="Arial"/>
          <w:sz w:val="17"/>
          <w:szCs w:val="17"/>
          <w:color w:val="auto"/>
        </w:rPr>
        <w:t>As of September 30, 2021 and December 31, 2020, the Company was authorized to issue 200,000,000 shares of common stock $0.0001 par value per share. Holders of the Company’s common stock are entitled to dividends if and when declared by the Board of Directors of the Company (Board of Directors). The holder of each share of common stock is entitled to one vote. As of September 30, 2021, no dividends were declared.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reserved for future issuance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reserved for future issuance, on an as converted basis, consisted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issued and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2,534,530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2,278,771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Stock options, available for future issuance</w:t>
            </w:r>
          </w:p>
        </w:tc>
        <w:tc>
          <w:tcPr>
            <w:tcW w:w="1080" w:type="dxa"/>
            <w:vAlign w:val="bottom"/>
          </w:tcPr>
          <w:p>
            <w:pPr>
              <w:jc w:val="right"/>
              <w:spacing w:after="0"/>
              <w:rPr>
                <w:sz w:val="20"/>
                <w:szCs w:val="20"/>
                <w:color w:val="auto"/>
              </w:rPr>
            </w:pPr>
            <w:r>
              <w:rPr>
                <w:rFonts w:ascii="Arial" w:cs="Arial" w:eastAsia="Arial" w:hAnsi="Arial"/>
                <w:sz w:val="18"/>
                <w:szCs w:val="18"/>
                <w:color w:val="auto"/>
              </w:rPr>
              <w:t>3,315,255</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2,637,076</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 available for future 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443,116</w:t>
            </w:r>
          </w:p>
        </w:tc>
        <w:tc>
          <w:tcPr>
            <w:tcW w:w="1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220,640</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shares reserved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6,292,901</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5,136,487</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jc w:val="both"/>
        <w:ind w:right="680" w:firstLine="382"/>
        <w:spacing w:after="0" w:line="286" w:lineRule="auto"/>
        <w:rPr>
          <w:sz w:val="20"/>
          <w:szCs w:val="20"/>
          <w:color w:val="auto"/>
        </w:rPr>
      </w:pPr>
      <w:r>
        <w:rPr>
          <w:rFonts w:ascii="Arial" w:cs="Arial" w:eastAsia="Arial" w:hAnsi="Arial"/>
          <w:sz w:val="17"/>
          <w:szCs w:val="17"/>
          <w:color w:val="auto"/>
        </w:rPr>
        <w:t>Immediately prior to the closing of the IPO, all outstanding shares of the Company’s redeemable convertible preferred stock converted into 15,492,019 shares of common stock and the related carrying value was reclassified to common stock and additional paid-in capital. There was no redeemable convertible preferred stock issued or outstanding as of September 30, 2021 and December 31, 2020.</w:t>
      </w:r>
    </w:p>
    <w:p>
      <w:pPr>
        <w:spacing w:after="0" w:line="53" w:lineRule="exact"/>
        <w:rPr>
          <w:sz w:val="20"/>
          <w:szCs w:val="20"/>
          <w:color w:val="auto"/>
        </w:rPr>
      </w:pPr>
    </w:p>
    <w:p>
      <w:pPr>
        <w:ind w:right="5980" w:firstLine="8"/>
        <w:spacing w:after="0" w:line="378"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and Stock-Based Compensation Expense Equity Incentive Plans</w:t>
      </w: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In October 2020, the Company adopted the 2020 Equity Incentive Plan (the 2020 Plan), which is a successor to and continuation of the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Company’s Amended and Restated 2016 Equity Incentive Plan (the 2016 Plan). Total shares reserved under the 2020 Plan was 2,647,684, inclusive of the shares that remained available for issuance under the 2016 Plan at the time the 2020 Plan became effective. Following the effectiveness of the 2020 Plan, no further grants will be made under the 2016 Plan; however, shares subject to awards granted under the 2016 Plan continue to be governed by the 2016 Plan. Any shares subject to outstanding stock options or other stock awards that were granted under the 2016 Plan that terminate or expire prior to exercise or settlement; are settled in cash; are forfeited or repurchased because of the failure to vest; or are reacquired or withheld to satisfy a tax withholding obligation or the purchase or exercise price in accordance with the terms of the 2016 Plan will also be reserved for issuance under the 2020 Plan.</w:t>
      </w:r>
    </w:p>
    <w:p>
      <w:pPr>
        <w:spacing w:after="0" w:line="56"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Under the 2020 Plan and the 2016 Plan, individuals can be granted the ability to early exercise their options. There were no shares, related to the early exercise of options, subject to repurchase by the Company as of September 30, 2021.</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Company’s stock option activity and related information is as follows (in thousands, except share and per share amounts):</w:t>
      </w:r>
    </w:p>
    <w:p>
      <w:pPr>
        <w:spacing w:after="0" w:line="22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2,278,771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539,420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(109,361)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(174,300)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2021</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2,534,530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Vested and expected to vest as of September 30, 2021</w:t>
            </w: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2,506,069</w:t>
            </w:r>
          </w:p>
        </w:tc>
        <w:tc>
          <w:tcPr>
            <w:tcW w:w="12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vMerge w:val="continue"/>
          </w:tcPr>
          <w:p>
            <w:pPr>
              <w:spacing w:after="0"/>
              <w:rPr>
                <w:sz w:val="21"/>
                <w:szCs w:val="21"/>
                <w:color w:val="auto"/>
              </w:rPr>
            </w:pPr>
          </w:p>
        </w:tc>
        <w:tc>
          <w:tcPr>
            <w:tcW w:w="86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86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as of September 30, 2021</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962,924</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82"/>
        <w:spacing w:after="0" w:line="277" w:lineRule="auto"/>
        <w:rPr>
          <w:sz w:val="20"/>
          <w:szCs w:val="20"/>
          <w:color w:val="auto"/>
        </w:rPr>
      </w:pPr>
      <w:r>
        <w:rPr>
          <w:rFonts w:ascii="Arial" w:cs="Arial" w:eastAsia="Arial" w:hAnsi="Arial"/>
          <w:sz w:val="18"/>
          <w:szCs w:val="18"/>
          <w:color w:val="auto"/>
        </w:rPr>
        <w:t>Stock options vested and expected to vest differs from total stock options outstanding as it excludes performance-based stock options for which the performance criteria has not been achieved and achievement is not expected as of September 30, 2021.</w:t>
      </w:r>
    </w:p>
    <w:p>
      <w:pPr>
        <w:spacing w:after="0" w:line="62"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The aggregate intrinsic values of options outstanding and exercisable were calculated as the difference between the exercise price of the options and the estimated fair value of the Company’s common stock as of the respective balance sheet date. The total intrinsic value of options exercised were $0.1 million and $1.7 million for the three and nine months ended September 30, 2021, respectively.</w:t>
      </w:r>
    </w:p>
    <w:p>
      <w:pPr>
        <w:spacing w:after="0" w:line="76" w:lineRule="exact"/>
        <w:rPr>
          <w:sz w:val="20"/>
          <w:szCs w:val="20"/>
          <w:color w:val="auto"/>
        </w:rPr>
      </w:pPr>
    </w:p>
    <w:p>
      <w:pPr>
        <w:ind w:right="120" w:firstLine="382"/>
        <w:spacing w:after="0" w:line="342" w:lineRule="auto"/>
        <w:rPr>
          <w:sz w:val="20"/>
          <w:szCs w:val="20"/>
          <w:color w:val="auto"/>
        </w:rPr>
      </w:pPr>
      <w:r>
        <w:rPr>
          <w:rFonts w:ascii="Arial" w:cs="Arial" w:eastAsia="Arial" w:hAnsi="Arial"/>
          <w:sz w:val="16"/>
          <w:szCs w:val="16"/>
          <w:color w:val="auto"/>
        </w:rPr>
        <w:t>As of September 30, 2021, a total of 3,810,703 shares were authorized for issuance under the 2020 Plan and 3,315,255 shares remained available for issuance, and a total of 2,039,082 shares were authorized for issuance under the 2016 Plan and no shares remained available for issuance.</w:t>
      </w:r>
    </w:p>
    <w:p>
      <w:pPr>
        <w:spacing w:after="0" w:line="16" w:lineRule="exact"/>
        <w:rPr>
          <w:sz w:val="20"/>
          <w:szCs w:val="20"/>
          <w:color w:val="auto"/>
        </w:rPr>
      </w:pPr>
    </w:p>
    <w:p>
      <w:pPr>
        <w:ind w:right="380" w:firstLine="382"/>
        <w:spacing w:after="0" w:line="277" w:lineRule="auto"/>
        <w:rPr>
          <w:sz w:val="20"/>
          <w:szCs w:val="20"/>
          <w:color w:val="auto"/>
        </w:rPr>
      </w:pPr>
      <w:r>
        <w:rPr>
          <w:rFonts w:ascii="Arial" w:cs="Arial" w:eastAsia="Arial" w:hAnsi="Arial"/>
          <w:sz w:val="18"/>
          <w:szCs w:val="18"/>
          <w:color w:val="auto"/>
        </w:rPr>
        <w:t>For the three and nine months ended September 30, 2021, the weighted-average fair value of options granted was $7.20 per share and $14.10 per share,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300" w:firstLine="382"/>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statements of operations and comprehensive loss during the three and nine months ended September 30, 2021 and 2020 (in thousands):</w:t>
      </w:r>
    </w:p>
    <w:p>
      <w:pPr>
        <w:spacing w:after="0" w:line="13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2021</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3"/>
                <w:szCs w:val="13"/>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218</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82"/>
        <w:spacing w:after="0" w:line="296" w:lineRule="auto"/>
        <w:rPr>
          <w:sz w:val="20"/>
          <w:szCs w:val="20"/>
          <w:color w:val="auto"/>
        </w:rPr>
      </w:pPr>
      <w:r>
        <w:rPr>
          <w:rFonts w:ascii="Arial" w:cs="Arial" w:eastAsia="Arial" w:hAnsi="Arial"/>
          <w:sz w:val="16"/>
          <w:szCs w:val="16"/>
          <w:color w:val="auto"/>
        </w:rPr>
        <w:t>During 2020, the Company granted options to purchase 127,042 shares of common stock to certain executive officers with performance criteria stipulating that no shares will vest unless certain financing and other related milestones are achieved. In January 2021, the Board of Directors determined that the performance-based vesting criteria of such options had been satisfied, which was deemed a modification. The fair value of the modified awards was $2.4 million, which will be recognized over the requisite service period. For the three and nine months ended September 30, 2021, the Company recorded stock-based compensation of $0.2 million and $0.8 million in connection with the modification, respectively.</w:t>
      </w:r>
    </w:p>
    <w:p>
      <w:pPr>
        <w:spacing w:after="0" w:line="53" w:lineRule="exact"/>
        <w:rPr>
          <w:sz w:val="20"/>
          <w:szCs w:val="20"/>
          <w:color w:val="auto"/>
        </w:rPr>
      </w:pPr>
    </w:p>
    <w:p>
      <w:pPr>
        <w:ind w:right="320" w:firstLine="382"/>
        <w:spacing w:after="0" w:line="277" w:lineRule="auto"/>
        <w:rPr>
          <w:sz w:val="20"/>
          <w:szCs w:val="20"/>
          <w:color w:val="auto"/>
        </w:rPr>
      </w:pPr>
      <w:r>
        <w:rPr>
          <w:rFonts w:ascii="Arial" w:cs="Arial" w:eastAsia="Arial" w:hAnsi="Arial"/>
          <w:sz w:val="18"/>
          <w:szCs w:val="18"/>
          <w:color w:val="auto"/>
        </w:rPr>
        <w:t>Unrecognized stock-based compensation expense as of September 30, 2021 was approximately $10.3 million, which is expected to be recognized over a weighted-average vesting term of 2.7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The Board of Directors adopted and the Company’s stockholders approved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A total of 220,640 shares of common stock were approved to be initially reserved for issuance under the ESPP. In addition,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lessor of (i) 1% of the outstanding number of shares of the Company’s common stock on December 31st of the preceding calendar year, (ii) 441,280 shares of common stock or (iii) such lesser amount as determined by the Board of Directors.</w:t>
      </w:r>
    </w:p>
    <w:p>
      <w:pPr>
        <w:spacing w:after="0" w:line="57"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During the nine months ended September 30, 2021, 10,127 shares were issued under the ESPP. As of September 30, 2021, 443,116 shares of common stock remained available for issuance under the ESPP.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The Company accounts for income taxes under ASC Topic 740, Income Taxes. Under this standard, deferred tax assets and liabilities are recognized for future tax benefits or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87"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A valuation allowance is provided for significant deferred tax assets when it is more likely than not that such assets will not be realized through future operations. No provision for income taxes has been recorded due to losses incurred to date. Future tax benefits which may arise as a result of these losses have not been recognized in these financial statements, as their realization is determined not likely to occur and accordingly, the Company has recorded a valuation allowance for deferred tax assets.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the basic and diluted net loss per share (in thousands, except share and per share amounts):</w:t>
      </w:r>
    </w:p>
    <w:p>
      <w:pPr>
        <w:spacing w:after="0" w:line="22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45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(11,447)</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(9,587)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(33,108)</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(21,201)</w:t>
            </w:r>
          </w:p>
        </w:tc>
      </w:tr>
      <w:tr>
        <w:trPr>
          <w:trHeight w:val="210"/>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69"/>
        </w:trPr>
        <w:tc>
          <w:tcPr>
            <w:tcW w:w="4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6"/>
              </w:rPr>
              <w:t>Weighted-average shares of common stock outstanding</w:t>
            </w:r>
          </w:p>
        </w:tc>
        <w:tc>
          <w:tcPr>
            <w:tcW w:w="3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23,367,140</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776,159</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23,330,399</w:t>
            </w:r>
          </w:p>
        </w:tc>
        <w:tc>
          <w:tcPr>
            <w:tcW w:w="14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769,766</w:t>
            </w:r>
          </w:p>
        </w:tc>
        <w:tc>
          <w:tcPr>
            <w:tcW w:w="100" w:type="dxa"/>
            <w:vAlign w:val="bottom"/>
            <w:tcBorders>
              <w:bottom w:val="single" w:sz="8" w:color="CFF0FC"/>
            </w:tcBorders>
          </w:tcPr>
          <w:p>
            <w:pPr>
              <w:spacing w:after="0"/>
              <w:rPr>
                <w:sz w:val="23"/>
                <w:szCs w:val="23"/>
                <w:color w:val="auto"/>
              </w:rPr>
            </w:pPr>
          </w:p>
        </w:tc>
      </w:tr>
      <w:tr>
        <w:trPr>
          <w:trHeight w:val="210"/>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4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82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(on an if-converted basis)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4,280,690</w:t>
            </w:r>
          </w:p>
        </w:tc>
        <w:tc>
          <w:tcPr>
            <w:tcW w:w="80" w:type="dxa"/>
            <w:vAlign w:val="bottom"/>
            <w:shd w:val="clear" w:color="auto" w:fill="CFF0FC"/>
          </w:tcPr>
          <w:p>
            <w:pPr>
              <w:spacing w:after="0"/>
              <w:rPr>
                <w:sz w:val="20"/>
                <w:szCs w:val="20"/>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(on an if-converted basis)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11,211,329</w:t>
            </w:r>
          </w:p>
        </w:tc>
        <w:tc>
          <w:tcPr>
            <w:tcW w:w="80" w:type="dxa"/>
            <w:vAlign w:val="bottom"/>
          </w:tcPr>
          <w:p>
            <w:pPr>
              <w:spacing w:after="0"/>
              <w:rPr>
                <w:sz w:val="20"/>
                <w:szCs w:val="20"/>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outstanding common stock 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2,534,530</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2,402,539</w:t>
            </w:r>
          </w:p>
        </w:tc>
        <w:tc>
          <w:tcPr>
            <w:tcW w:w="8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Estimated shares issuable under the ESPP</w:t>
            </w:r>
          </w:p>
        </w:tc>
        <w:tc>
          <w:tcPr>
            <w:tcW w:w="880" w:type="dxa"/>
            <w:vAlign w:val="bottom"/>
          </w:tcPr>
          <w:p>
            <w:pPr>
              <w:jc w:val="right"/>
              <w:spacing w:after="0"/>
              <w:rPr>
                <w:sz w:val="20"/>
                <w:szCs w:val="20"/>
                <w:color w:val="auto"/>
              </w:rPr>
            </w:pPr>
            <w:r>
              <w:rPr>
                <w:rFonts w:ascii="Arial" w:cs="Arial" w:eastAsia="Arial" w:hAnsi="Arial"/>
                <w:sz w:val="18"/>
                <w:szCs w:val="18"/>
                <w:color w:val="auto"/>
              </w:rPr>
              <w:t>28,595</w:t>
            </w: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common stock warrants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49,609</w:t>
            </w:r>
          </w:p>
        </w:tc>
        <w:tc>
          <w:tcPr>
            <w:tcW w:w="80" w:type="dxa"/>
            <w:vAlign w:val="bottom"/>
            <w:shd w:val="clear" w:color="auto" w:fill="CFF0FC"/>
          </w:tcPr>
          <w:p>
            <w:pPr>
              <w:spacing w:after="0"/>
              <w:rPr>
                <w:sz w:val="19"/>
                <w:szCs w:val="19"/>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2,563,125</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17,944,167</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November 15, 2021 (the Separation Date), Richard King retired and resigned from his positions as the Company’s Chief Executive Officer and member of the Board, effective immediately.</w:t>
      </w:r>
    </w:p>
    <w:p>
      <w:pPr>
        <w:spacing w:after="0" w:line="1" w:lineRule="exact"/>
        <w:rPr>
          <w:sz w:val="20"/>
          <w:szCs w:val="20"/>
          <w:color w:val="auto"/>
        </w:rPr>
      </w:pPr>
    </w:p>
    <w:p>
      <w:pPr>
        <w:ind w:firstLine="421"/>
        <w:spacing w:after="0" w:line="251" w:lineRule="auto"/>
        <w:rPr>
          <w:sz w:val="20"/>
          <w:szCs w:val="20"/>
          <w:color w:val="auto"/>
        </w:rPr>
      </w:pPr>
      <w:r>
        <w:rPr>
          <w:rFonts w:ascii="Arial" w:cs="Arial" w:eastAsia="Arial" w:hAnsi="Arial"/>
          <w:sz w:val="18"/>
          <w:szCs w:val="18"/>
          <w:color w:val="auto"/>
        </w:rPr>
        <w:t>In connection with Mr. King’s departure, the Company and Mr. King have entered into a separation and release agreement effective as of November 15, 2021 (the Separation Agreement). Pursuant to the Separation Agreement, in exchange for granting and not revoking a customary release of claims, Mr. King will be entitled to receive an amount equal to 12 months of his base salary ($500,000 per year) payable in a single lump sum payment on January 1, 2022, and continued coverage under COBRA equal to 12 months (consistent with what Mr. King was entitled to for a “Regular Termination” pursuant to the Spruce Biosciences, Inc. Severance and Change in Control Plan, dated September 9, 2020, and the signed Participation Agreement between the Company and Mr. King in connection therewith). In addition, the Separation Agreement provides that all vested options held by Mr. King as of the Separation Date may be exercised through June 30, 2023. The Separation Agreement also contains a reaffirmation of Mr. King’s confidentiality obligations to the Company.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firstLine="382"/>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unaudited condensed financial statements and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2020 filed with the Securities and Exchange Commission, or SEC, on March 22, 2021, or the Annual Report. Unless otherwise indicated, all references in this Quarterly Report on Form 10-Q to “Spruce,” the “company,” “we,” “our,” “us” or similar terms refer to Spruce Biosciences, Inc.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433"/>
        <w:spacing w:after="0" w:line="257" w:lineRule="auto"/>
        <w:rPr>
          <w:sz w:val="20"/>
          <w:szCs w:val="20"/>
          <w:color w:val="auto"/>
        </w:rPr>
      </w:pPr>
      <w:r>
        <w:rPr>
          <w:rFonts w:ascii="Arial" w:cs="Arial" w:eastAsia="Arial" w:hAnsi="Arial"/>
          <w:sz w:val="18"/>
          <w:szCs w:val="18"/>
          <w:i w:val="1"/>
          <w:iCs w:val="1"/>
          <w:color w:val="auto"/>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188"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Arial" w:cs="Arial" w:eastAsia="Arial" w:hAnsi="Arial"/>
          <w:sz w:val="18"/>
          <w:szCs w:val="18"/>
          <w:i w:val="1"/>
          <w:iCs w:val="1"/>
          <w:color w:val="32406B"/>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386"/>
        <w:spacing w:after="0" w:line="271" w:lineRule="auto"/>
        <w:rPr>
          <w:sz w:val="20"/>
          <w:szCs w:val="20"/>
          <w:color w:val="auto"/>
        </w:rPr>
      </w:pPr>
      <w:r>
        <w:rPr>
          <w:rFonts w:ascii="Arial" w:cs="Arial" w:eastAsia="Arial" w:hAnsi="Arial"/>
          <w:sz w:val="17"/>
          <w:szCs w:val="17"/>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or CAH. Classic CAH is a serious and life-threatening disease with no known novel therapies approved in approximately 50 years. In a 12-week Phase 2a proof-of-concept clinical trial, tildacerfont-treated adult patients suffering from classic CAH who had poor disease control despite being on standard of care therapy achieved approximately 80% reductions in hormones that are key indicators of poor disease control. Furthermore, we are developing tildacerfont for females suffering from polycystic ovary syndrome, or PCOS, with primary adrenal androgen excess. Over 200 subjects across eight clinical trials to date have been administered tildacerfont with no drug-related serious adverse events, or SAEs, reported.</w:t>
      </w:r>
    </w:p>
    <w:p>
      <w:pPr>
        <w:spacing w:after="0" w:line="178" w:lineRule="exact"/>
        <w:rPr>
          <w:sz w:val="20"/>
          <w:szCs w:val="20"/>
          <w:color w:val="auto"/>
        </w:rPr>
      </w:pPr>
    </w:p>
    <w:p>
      <w:pPr>
        <w:ind w:firstLine="386"/>
        <w:spacing w:after="0" w:line="269" w:lineRule="auto"/>
        <w:rPr>
          <w:sz w:val="20"/>
          <w:szCs w:val="20"/>
          <w:color w:val="auto"/>
        </w:rPr>
      </w:pPr>
      <w:r>
        <w:rPr>
          <w:rFonts w:ascii="Arial" w:cs="Arial" w:eastAsia="Arial" w:hAnsi="Arial"/>
          <w:sz w:val="17"/>
          <w:szCs w:val="17"/>
          <w:color w:val="auto"/>
        </w:rPr>
        <w:t>We have initiated CAHmelia-203, a placebo-controlled, double-blind Phase 2b clinical trial in adult patients with classic CAH with poor disease control and anticipate topline results in 2023. We have also initiated CAHmelia-204, a second Phase 2b clinical trial in adult patients with classic CAH with good disease control focused on glucocorticoid reduction. We will provide guidance for topline results for CAHmelia-204 following the completion of a full assessment of the COVID-19 pandemic’s impact on projected enrollment. Based on post-hoc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we plan to meet with the U.S. Food and Drug Administration, or FDA, and comparable foreign regulatory authorities to discuss registration.</w:t>
      </w:r>
    </w:p>
    <w:p>
      <w:pPr>
        <w:spacing w:after="0" w:line="185" w:lineRule="exact"/>
        <w:rPr>
          <w:sz w:val="20"/>
          <w:szCs w:val="20"/>
          <w:color w:val="auto"/>
        </w:rPr>
      </w:pPr>
    </w:p>
    <w:p>
      <w:pPr>
        <w:ind w:right="40" w:firstLine="386"/>
        <w:spacing w:after="0" w:line="279" w:lineRule="auto"/>
        <w:rPr>
          <w:sz w:val="20"/>
          <w:szCs w:val="20"/>
          <w:color w:val="auto"/>
        </w:rPr>
      </w:pPr>
      <w:r>
        <w:rPr>
          <w:rFonts w:ascii="Arial" w:cs="Arial" w:eastAsia="Arial" w:hAnsi="Arial"/>
          <w:sz w:val="17"/>
          <w:szCs w:val="17"/>
          <w:color w:val="auto"/>
        </w:rPr>
        <w:t>We also plan to investigate tildacerfont for the treatment of classic CAH in children as young as two years of age and plan to initiate the clinical development program for tildacerfont in the pediatric classic CAH population. We have received feedback from the FDA and European Medicines Agency, or EMA, on our planned Phase 2 clinical trial of tildacerfont in children with classic CAH. We have also submitted a pediatric investigational plan, or PIP, to the Pediatric Committee of the EMA regarding a registrational program in children with classic CAH.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382"/>
        <w:spacing w:after="0" w:line="289" w:lineRule="auto"/>
        <w:rPr>
          <w:sz w:val="20"/>
          <w:szCs w:val="20"/>
          <w:color w:val="auto"/>
        </w:rPr>
      </w:pPr>
      <w:r>
        <w:rPr>
          <w:rFonts w:ascii="Arial" w:cs="Arial" w:eastAsia="Arial" w:hAnsi="Arial"/>
          <w:sz w:val="16"/>
          <w:szCs w:val="16"/>
          <w:color w:val="auto"/>
        </w:rPr>
        <w:t>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PCOS. We have filed an investigational new drug application, or IND, to study tildacerfont in this patient population. By leveraging our existing Phase 1 program, which includes safety, tolerability, and pharmacokinetics of tildacerfont, we plan to initiate a Phase 2 proof-of-concept clinical trial. Beyond classic CAH and PCOS, we believe tildacerfont has potential utility in a range of diseases where the underlying biology supports a need to reduce excess secretion of or hyperresponsiveness to adrenocorticotropic hormone, or ACTH. We are committed to leveraging our deep scientific knowledge of the biology of rare endocrine disorders, the benefits of tildacerfont, and our commercial expertise to dramatically transform the lives of individuals living with these devastating disorders.</w:t>
      </w:r>
    </w:p>
    <w:p>
      <w:pPr>
        <w:spacing w:after="0" w:line="166"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We intend to build a highly specialized commercial organization to support the commercialization of tildacerfont, if approved, in the United States and Europe.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182" w:lineRule="exact"/>
        <w:rPr>
          <w:sz w:val="20"/>
          <w:szCs w:val="20"/>
          <w:color w:val="auto"/>
        </w:rPr>
      </w:pPr>
    </w:p>
    <w:p>
      <w:pPr>
        <w:ind w:right="260" w:firstLine="382"/>
        <w:spacing w:after="0" w:line="257" w:lineRule="auto"/>
        <w:rPr>
          <w:sz w:val="20"/>
          <w:szCs w:val="20"/>
          <w:color w:val="auto"/>
        </w:rPr>
      </w:pPr>
      <w:r>
        <w:rPr>
          <w:rFonts w:ascii="Arial" w:cs="Arial" w:eastAsia="Arial" w:hAnsi="Arial"/>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spacing w:after="0" w:line="188" w:lineRule="exact"/>
        <w:rPr>
          <w:sz w:val="20"/>
          <w:szCs w:val="20"/>
          <w:color w:val="auto"/>
        </w:rPr>
      </w:pPr>
    </w:p>
    <w:p>
      <w:pPr>
        <w:ind w:right="100" w:firstLine="382"/>
        <w:spacing w:after="0" w:line="257" w:lineRule="auto"/>
        <w:rPr>
          <w:sz w:val="20"/>
          <w:szCs w:val="20"/>
          <w:color w:val="auto"/>
        </w:rPr>
      </w:pPr>
      <w:r>
        <w:rPr>
          <w:rFonts w:ascii="Arial" w:cs="Arial" w:eastAsia="Arial" w:hAnsi="Arial"/>
          <w:sz w:val="18"/>
          <w:szCs w:val="18"/>
          <w:color w:val="auto"/>
        </w:rPr>
        <w:t>Since inception, we have incurred significant losses and negative cash flows from operations. During the nine months ended September 30, 2021, we incurred a net loss of $33.1 million and used $26.1 million of cash in operations. As of September 30, 2021, we had an accumulated deficit of $93.9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188"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In October 2020, we consummated our initial public offering, or IPO, and issued 6,900,000 shares of common stock for net proceeds of $93.4 million, after deducting underwriting discounts, commissions and offering expenses. Since inception through September 30, 2021, we have raised aggregate gross proceeds of $224.5 million, including $103.5 million from our IPO in October 2020, $116.0 million from the sale of our redeemable convertible preferred stock and $5.0 million from the issuance of debt. As of September 30, 2021, we had cash, cash equivalents and investments of $131.3 million. We believe, based on our current operating plan, that our cash, cash equivalents and investments as of September 30, 2021 will be sufficient to fund our operations for at least the next 12 months.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58"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tildacerfont through our ongoing Phase 2b clinical trials in adult patients with classic CAH;</w:t>
      </w:r>
    </w:p>
    <w:p>
      <w:pPr>
        <w:spacing w:after="0" w:line="144" w:lineRule="exact"/>
        <w:rPr>
          <w:rFonts w:ascii="Arial" w:cs="Arial" w:eastAsia="Arial" w:hAnsi="Arial"/>
          <w:sz w:val="18"/>
          <w:szCs w:val="18"/>
          <w:color w:val="auto"/>
        </w:rPr>
      </w:pPr>
    </w:p>
    <w:p>
      <w:pPr>
        <w:ind w:left="760" w:right="420" w:hanging="374"/>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clinical development of tildacerfont in additional indications, including pediatric classic CAH and a subpopulation of females with PCOS;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pursue regulatory approvals of tildacerfont in patients with classic CAH and a subpopulation of females with PCOS;</w:t>
      </w:r>
    </w:p>
    <w:p>
      <w:pPr>
        <w:spacing w:after="0" w:line="144" w:lineRule="exact"/>
        <w:rPr>
          <w:rFonts w:ascii="Arial" w:cs="Arial" w:eastAsia="Arial" w:hAnsi="Arial"/>
          <w:sz w:val="18"/>
          <w:szCs w:val="18"/>
          <w:color w:val="auto"/>
        </w:rPr>
      </w:pPr>
    </w:p>
    <w:p>
      <w:pPr>
        <w:ind w:left="760" w:right="560" w:hanging="374"/>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build a highly specialized commercial organization to support the commercialization of tildacerfont, if approved, in the United States and Europe;</w:t>
      </w:r>
    </w:p>
    <w:p>
      <w:pPr>
        <w:spacing w:after="0" w:line="62" w:lineRule="exact"/>
        <w:rPr>
          <w:rFonts w:ascii="Arial" w:cs="Arial" w:eastAsia="Arial" w:hAnsi="Arial"/>
          <w:sz w:val="18"/>
          <w:szCs w:val="18"/>
          <w:color w:val="auto"/>
        </w:rPr>
      </w:pPr>
    </w:p>
    <w:p>
      <w:pPr>
        <w:ind w:left="760" w:right="20" w:hanging="374"/>
        <w:spacing w:after="0" w:line="308"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build a commercial infrastructure or opportunistically seek strategic collaborations to benefit from the resources of biopharmaceutical companies specialized in either relevant disease areas or geographies, if tildacerfont is approved for additional indications;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760" w:hanging="374"/>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identify additional indications and formulations for which to investigate tildacerfont in the future and expand our pipeline of product candidates;</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252" w:lineRule="exact"/>
        <w:rPr>
          <w:sz w:val="20"/>
          <w:szCs w:val="20"/>
          <w:color w:val="auto"/>
        </w:rPr>
      </w:pPr>
    </w:p>
    <w:p>
      <w:pPr>
        <w:jc w:val="both"/>
        <w:ind w:right="100" w:firstLine="382"/>
        <w:spacing w:after="0" w:line="273" w:lineRule="auto"/>
        <w:rPr>
          <w:sz w:val="20"/>
          <w:szCs w:val="20"/>
          <w:color w:val="auto"/>
        </w:rPr>
      </w:pPr>
      <w:r>
        <w:rPr>
          <w:rFonts w:ascii="Arial" w:cs="Arial" w:eastAsia="Arial" w:hAnsi="Arial"/>
          <w:sz w:val="17"/>
          <w:szCs w:val="17"/>
          <w:color w:val="auto"/>
        </w:rPr>
        <w:t>Our business has been and could continue to be adversely affected by the evolving COVID-19 pandemic. For example, the COVID-19 pandemic has resulted in and could result in delays to our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Further, we are aware of delays in site activations for our CAHmelia-203 and -204 trials due to COVID-19 related closures and delays. At this time, the extent to which the COVID-19 pandemic impacts our business will depend on future developments, which are highly uncertain and cannot be predicted.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Eli Lilly and Company</w:t>
      </w:r>
    </w:p>
    <w:p>
      <w:pPr>
        <w:spacing w:after="0" w:line="121"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In May 2016, we entered into a license agreement, or the License Agreement, with Eli Lilly and Company, or Lilly. Pursuant to the terms of the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or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spacing w:after="0" w:line="165"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As partial consideration for the rights granted to us under the License Agreement, we made a one-time upfront payment to Lilly of $0.8 million. We are also required to pay Lilly up to an aggregate of $23.0 million upon the achievement, during the time the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or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classify operating expenses into two main categories: (i) research and development expenses and (ii) general and administrative expenses.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Our research and development expenses consist of external and internal expenses incurred in connection with our research activities and development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expenses include:</w:t>
      </w:r>
    </w:p>
    <w:p>
      <w:pPr>
        <w:spacing w:after="0" w:line="117" w:lineRule="exact"/>
        <w:rPr>
          <w:sz w:val="20"/>
          <w:szCs w:val="20"/>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external expenses, consisting of:</w:t>
      </w:r>
    </w:p>
    <w:p>
      <w:pPr>
        <w:spacing w:after="0" w:line="144" w:lineRule="exact"/>
        <w:rPr>
          <w:sz w:val="20"/>
          <w:szCs w:val="20"/>
          <w:color w:val="auto"/>
        </w:rPr>
      </w:pPr>
    </w:p>
    <w:p>
      <w:pPr>
        <w:ind w:left="1060" w:hanging="269"/>
        <w:spacing w:after="0"/>
        <w:tabs>
          <w:tab w:leader="none" w:pos="1060" w:val="left"/>
        </w:tabs>
        <w:numPr>
          <w:ilvl w:val="1"/>
          <w:numId w:val="11"/>
        </w:numPr>
        <w:rPr>
          <w:rFonts w:ascii="Courier New" w:cs="Courier New" w:eastAsia="Courier New" w:hAnsi="Courier New"/>
          <w:sz w:val="16"/>
          <w:szCs w:val="16"/>
          <w:color w:val="auto"/>
        </w:rPr>
      </w:pPr>
      <w:r>
        <w:rPr>
          <w:rFonts w:ascii="Arial" w:cs="Arial" w:eastAsia="Arial" w:hAnsi="Arial"/>
          <w:sz w:val="16"/>
          <w:szCs w:val="16"/>
          <w:color w:val="auto"/>
        </w:rPr>
        <w:t>clinical development—expenses associated with clinical research organizations, or CROs, engaged to manage and conduct clinical trials;</w:t>
      </w:r>
    </w:p>
    <w:p>
      <w:pPr>
        <w:spacing w:after="0" w:line="152" w:lineRule="exact"/>
        <w:rPr>
          <w:rFonts w:ascii="Courier New" w:cs="Courier New" w:eastAsia="Courier New" w:hAnsi="Courier New"/>
          <w:sz w:val="16"/>
          <w:szCs w:val="16"/>
          <w:color w:val="auto"/>
        </w:rPr>
      </w:pPr>
    </w:p>
    <w:p>
      <w:pPr>
        <w:ind w:left="1060" w:hanging="269"/>
        <w:spacing w:after="0"/>
        <w:tabs>
          <w:tab w:leader="none" w:pos="106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preclinical studies—expenses associated with preclinical studies performed by vendors;</w:t>
      </w:r>
    </w:p>
    <w:p>
      <w:pPr>
        <w:spacing w:after="0" w:line="128" w:lineRule="exact"/>
        <w:rPr>
          <w:rFonts w:ascii="Courier New" w:cs="Courier New" w:eastAsia="Courier New" w:hAnsi="Courier New"/>
          <w:sz w:val="18"/>
          <w:szCs w:val="18"/>
          <w:color w:val="auto"/>
        </w:rPr>
      </w:pPr>
    </w:p>
    <w:p>
      <w:pPr>
        <w:ind w:left="1060" w:right="560" w:hanging="269"/>
        <w:spacing w:after="0" w:line="259" w:lineRule="auto"/>
        <w:tabs>
          <w:tab w:leader="none" w:pos="106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manufacturing—expenses associated with contract manufacturing; labeling, packaging, and distribution of clinical trial supplies; and consulting;</w:t>
      </w:r>
    </w:p>
    <w:p>
      <w:pPr>
        <w:spacing w:after="0" w:line="76" w:lineRule="exact"/>
        <w:rPr>
          <w:rFonts w:ascii="Courier New" w:cs="Courier New" w:eastAsia="Courier New" w:hAnsi="Courier New"/>
          <w:sz w:val="18"/>
          <w:szCs w:val="18"/>
          <w:color w:val="auto"/>
        </w:rPr>
      </w:pPr>
    </w:p>
    <w:p>
      <w:pPr>
        <w:ind w:left="1060" w:hanging="269"/>
        <w:spacing w:after="0"/>
        <w:tabs>
          <w:tab w:leader="none" w:pos="106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other research and development—expenses associated with quality and regulatory compliance; and</w:t>
      </w:r>
    </w:p>
    <w:p>
      <w:pPr>
        <w:spacing w:after="0" w:line="128" w:lineRule="exact"/>
        <w:rPr>
          <w:rFonts w:ascii="Courier New" w:cs="Courier New" w:eastAsia="Courier New" w:hAnsi="Courier New"/>
          <w:sz w:val="18"/>
          <w:szCs w:val="18"/>
          <w:color w:val="auto"/>
        </w:rPr>
      </w:pPr>
    </w:p>
    <w:p>
      <w:pPr>
        <w:ind w:left="760" w:right="6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 expenses, consisting of personnel, including expenses for salaries, bonuses, benefits, stock-based compensation, as well as allocation of certain expenses.</w:t>
      </w:r>
    </w:p>
    <w:p>
      <w:pPr>
        <w:spacing w:after="0" w:line="170"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To date, these expenses have been incurred to advance tildacerfont. These expenses will primarily consist of expenses for the conduct of clinical trials as well as manufacturing costs for clinical drug supply. We expect that significant additional spending will be required to progress tildacerfont through clinical development and regulatory approval.</w:t>
      </w:r>
    </w:p>
    <w:p>
      <w:pPr>
        <w:spacing w:after="0" w:line="184"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Research and development expenses are recognized as they are incurred. If deposits are required by external vendors, a portion of the deposit is included as a prepaid expense until sufficient progress has occurred to amortize the deposit to expense in the statements of operations and comprehensive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382"/>
        <w:spacing w:after="0" w:line="301"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bonuses, benefits, and stock-based compensation expense, for personnel in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or Nasdaq, listing rules.</w:t>
      </w:r>
    </w:p>
    <w:p>
      <w:pPr>
        <w:spacing w:after="0" w:line="157" w:lineRule="exact"/>
        <w:rPr>
          <w:sz w:val="20"/>
          <w:szCs w:val="20"/>
          <w:color w:val="auto"/>
        </w:rPr>
      </w:pPr>
    </w:p>
    <w:p>
      <w:pPr>
        <w:ind w:right="120" w:firstLine="382"/>
        <w:spacing w:after="0" w:line="342" w:lineRule="auto"/>
        <w:rPr>
          <w:sz w:val="20"/>
          <w:szCs w:val="20"/>
          <w:color w:val="auto"/>
        </w:rPr>
      </w:pPr>
      <w:r>
        <w:rPr>
          <w:rFonts w:ascii="Arial" w:cs="Arial" w:eastAsia="Arial" w:hAnsi="Arial"/>
          <w:sz w:val="16"/>
          <w:szCs w:val="16"/>
          <w:color w:val="auto"/>
        </w:rPr>
        <w:t>We expect that our general and administrative expenses will continue to increase in the foreseeable future as additional administrative personnel and services are required to manage these functions of a public company, as we advance tildacerfont through clinical development and regulatory approval.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382"/>
        <w:spacing w:after="0" w:line="311" w:lineRule="auto"/>
        <w:rPr>
          <w:sz w:val="20"/>
          <w:szCs w:val="20"/>
          <w:color w:val="auto"/>
        </w:rPr>
      </w:pPr>
      <w:r>
        <w:rPr>
          <w:rFonts w:ascii="Arial" w:cs="Arial" w:eastAsia="Arial" w:hAnsi="Arial"/>
          <w:sz w:val="16"/>
          <w:szCs w:val="16"/>
          <w:color w:val="auto"/>
        </w:rPr>
        <w:t>Interest expense consists of interest incurred and non-cash amortization of debt discount and issuance costs in connection with the term loan, or Term Loan, provided pursuant to the Loan and Security Agreement entered into with Silicon Valley Bank in September 2019, or the Loan Agreement, as amended by a First Amendment to Loan and Security Agreement entered into with Silicon Valley Bank in March 2021, or the First Amendment.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net primarily consists of interest income earned on our cash and cash equivalents.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Three Months Ended September 30, 2021 and 2020</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8,607</w:t>
            </w:r>
          </w:p>
        </w:tc>
        <w:tc>
          <w:tcPr>
            <w:tcW w:w="140" w:type="dxa"/>
            <w:vAlign w:val="bottom"/>
          </w:tcPr>
          <w:p>
            <w:pPr>
              <w:spacing w:after="0"/>
              <w:rPr>
                <w:sz w:val="19"/>
                <w:szCs w:val="19"/>
                <w:color w:val="auto"/>
              </w:rPr>
            </w:pP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7,769</w:t>
            </w:r>
          </w:p>
        </w:tc>
        <w:tc>
          <w:tcPr>
            <w:tcW w:w="20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Research and development expenses were $8.6 million for the three months ended September 30, 2021, compared to $7.8 million for the three months ended September 30, 2020. The overall increase in research and development expenses was primarily related to an increase in clinical and regulatory activities associated with progressing clinical development of tildacerfont. The following table sets forth the primary external and internal research and development expenses for the periods presented below (in thousands).</w:t>
      </w:r>
    </w:p>
    <w:p>
      <w:pPr>
        <w:spacing w:after="0" w:line="17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4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13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Clinical development</w:t>
            </w:r>
          </w:p>
        </w:tc>
        <w:tc>
          <w:tcPr>
            <w:tcW w:w="202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4,868</w:t>
            </w:r>
          </w:p>
        </w:tc>
        <w:tc>
          <w:tcPr>
            <w:tcW w:w="9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4,445</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Manufacturing</w:t>
            </w:r>
          </w:p>
        </w:tc>
        <w:tc>
          <w:tcPr>
            <w:tcW w:w="1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1,430</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Preclinical studies</w:t>
            </w: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research and development</w:t>
            </w:r>
          </w:p>
        </w:tc>
        <w:tc>
          <w:tcPr>
            <w:tcW w:w="1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Internal expenses:</w:t>
            </w: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Personnel</w:t>
            </w:r>
          </w:p>
        </w:tc>
        <w:tc>
          <w:tcPr>
            <w:tcW w:w="1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1,268</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Allocated overhead</w:t>
            </w:r>
          </w:p>
        </w:tc>
        <w:tc>
          <w:tcPr>
            <w:tcW w:w="13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3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8,607</w:t>
            </w: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7,769</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General and administrative expenses were $2.8 million for the three months ended September 30, 2021, compared to $1.8 million for the three months ended September 30, 2020. The overall increase in general and administrative expenses was primarily related to an increase of $0.8 million in personnel-related expenses and $0.5 million in directors’ and officers’ liability insurance premiums associated with operating as a public company, offset by lower professional services fees of $0.3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340" w:firstLine="382"/>
        <w:spacing w:after="0" w:line="277" w:lineRule="auto"/>
        <w:rPr>
          <w:sz w:val="20"/>
          <w:szCs w:val="20"/>
          <w:color w:val="auto"/>
        </w:rPr>
      </w:pPr>
      <w:r>
        <w:rPr>
          <w:rFonts w:ascii="Arial" w:cs="Arial" w:eastAsia="Arial" w:hAnsi="Arial"/>
          <w:sz w:val="18"/>
          <w:szCs w:val="18"/>
          <w:color w:val="auto"/>
        </w:rPr>
        <w:t>Interest expense was $0.1 million for the three months ended September 30, 2021, compared to $0.1 million interest expense for the three months ended September 30, 2020. Interest expense incurred relates to the Term Loan with Silicon Valley Bank.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Nine Months Ended September 30, 2021 and 2020</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24,440</w:t>
            </w:r>
          </w:p>
        </w:tc>
        <w:tc>
          <w:tcPr>
            <w:tcW w:w="140" w:type="dxa"/>
            <w:vAlign w:val="bottom"/>
          </w:tcPr>
          <w:p>
            <w:pPr>
              <w:spacing w:after="0"/>
              <w:rPr>
                <w:sz w:val="19"/>
                <w:szCs w:val="19"/>
                <w:color w:val="auto"/>
              </w:rPr>
            </w:pP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18,040</w:t>
            </w:r>
          </w:p>
        </w:tc>
        <w:tc>
          <w:tcPr>
            <w:tcW w:w="20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520" w:firstLine="382"/>
        <w:spacing w:after="0" w:line="259" w:lineRule="auto"/>
        <w:rPr>
          <w:sz w:val="20"/>
          <w:szCs w:val="20"/>
          <w:color w:val="auto"/>
        </w:rPr>
      </w:pPr>
      <w:r>
        <w:rPr>
          <w:rFonts w:ascii="Arial" w:cs="Arial" w:eastAsia="Arial" w:hAnsi="Arial"/>
          <w:sz w:val="18"/>
          <w:szCs w:val="18"/>
          <w:color w:val="auto"/>
        </w:rPr>
        <w:t>Research and development expenses were $24.4 million for the nine months ended September 30, 2021, compared to $18.0 million for the nine months ended September 30, 2020. The overall increase in research and development expenses was primarily related to an increase in clinical and regulatory activities associated with progressing clinical development of tildacerfont. The following table sets forth the primary external and internal research and development expenses for the periods presented below (in thousands).</w:t>
      </w:r>
    </w:p>
    <w:p>
      <w:pPr>
        <w:spacing w:after="0" w:line="17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1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Clinical development</w:t>
            </w:r>
          </w:p>
        </w:tc>
        <w:tc>
          <w:tcPr>
            <w:tcW w:w="1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13,311</w:t>
            </w:r>
          </w:p>
        </w:tc>
        <w:tc>
          <w:tcPr>
            <w:tcW w:w="5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9,939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Manufacturing</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Non-clinical</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research and development</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Internal expenses: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Personnel</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Allocated overhead</w:t>
            </w: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560" w:type="dxa"/>
            <w:vAlign w:val="bottom"/>
            <w:gridSpan w:val="2"/>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580" w:type="dxa"/>
            <w:vAlign w:val="bottom"/>
            <w:gridSpan w:val="2"/>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3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24,440</w:t>
            </w: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18,040</w:t>
            </w:r>
          </w:p>
        </w:tc>
        <w:tc>
          <w:tcPr>
            <w:tcW w:w="42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General and administrative expenses were $8.5 million for the nine months ended September 30, 2021, compared to $3.0 million for the nine months ended September 30, 2020. The overall increase in general and administrative expenses was primarily related to an increase of $3.2 million in personnel-related expenses, $1.5 million in directors’ and officers’ liability insurance premiums, and $0.5 million in legal and professional fees primarily related to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60" w:firstLine="382"/>
        <w:spacing w:after="0" w:line="277" w:lineRule="auto"/>
        <w:rPr>
          <w:sz w:val="20"/>
          <w:szCs w:val="20"/>
          <w:color w:val="auto"/>
        </w:rPr>
      </w:pPr>
      <w:r>
        <w:rPr>
          <w:rFonts w:ascii="Arial" w:cs="Arial" w:eastAsia="Arial" w:hAnsi="Arial"/>
          <w:sz w:val="18"/>
          <w:szCs w:val="18"/>
          <w:color w:val="auto"/>
        </w:rPr>
        <w:t>Interest expense was $0.3 million for the nine months ended September 30, 2021, compared to $0.2 million interest expense for the nine months ended September 30, 2020. Interest expense incurred relate to the Term Loan with Silicon Valley Bank.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operations. We anticipate that we will continue to incur net losses for the foreseeable future. As of September 30, 2021, we had an accumulated deficit of $93.9 million. As of September 30, 2021, we had cash, cash equivalents and investments of $131.3 million. In October 2020, we consummated our IPO and issued 6,900,000 shares of common stock for net proceeds of approximately $93.4 million, after deducting underwriting discounts, commissions and offering expenses. We believe,</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our current operating plan, that our cash, cash equivalents and investments as of September 30, 2021 will be sufficient to fund our operations for at least the next 12 months.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31" w:lineRule="exact"/>
        <w:rPr>
          <w:sz w:val="20"/>
          <w:szCs w:val="20"/>
          <w:color w:val="auto"/>
        </w:rPr>
      </w:pPr>
    </w:p>
    <w:p>
      <w:pPr>
        <w:ind w:right="200" w:firstLine="382"/>
        <w:spacing w:after="0" w:line="342" w:lineRule="auto"/>
        <w:rPr>
          <w:sz w:val="20"/>
          <w:szCs w:val="20"/>
          <w:color w:val="auto"/>
        </w:rPr>
      </w:pPr>
      <w:r>
        <w:rPr>
          <w:rFonts w:ascii="Arial" w:cs="Arial" w:eastAsia="Arial" w:hAnsi="Arial"/>
          <w:sz w:val="16"/>
          <w:szCs w:val="16"/>
          <w:color w:val="auto"/>
        </w:rPr>
        <w:t>During the three and nine months ended September 30, 2021, there were no material changes to our contractual obligations and commitments from those described under "Management's Discussion and Analysis of Financial Condition and Results of Operations" in our Annual Report.</w:t>
      </w:r>
    </w:p>
    <w:p>
      <w:pPr>
        <w:spacing w:after="0" w:line="124" w:lineRule="exact"/>
        <w:rPr>
          <w:sz w:val="20"/>
          <w:szCs w:val="20"/>
          <w:color w:val="auto"/>
        </w:rPr>
      </w:pPr>
    </w:p>
    <w:p>
      <w:pPr>
        <w:ind w:right="20" w:firstLine="382"/>
        <w:spacing w:after="0" w:line="279" w:lineRule="auto"/>
        <w:rPr>
          <w:sz w:val="20"/>
          <w:szCs w:val="20"/>
          <w:color w:val="auto"/>
        </w:rPr>
      </w:pPr>
      <w:r>
        <w:rPr>
          <w:rFonts w:ascii="Arial" w:cs="Arial" w:eastAsia="Arial" w:hAnsi="Arial"/>
          <w:sz w:val="17"/>
          <w:szCs w:val="17"/>
          <w:color w:val="auto"/>
        </w:rPr>
        <w:t>We enter into contracts in the normal course of business with third-party contract manufacturing organizations and CROs for clinical trials, non-clinical studies and testing,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171" w:lineRule="exact"/>
        <w:rPr>
          <w:sz w:val="20"/>
          <w:szCs w:val="20"/>
          <w:color w:val="auto"/>
        </w:rPr>
      </w:pPr>
    </w:p>
    <w:p>
      <w:pPr>
        <w:ind w:right="280" w:firstLine="382"/>
        <w:spacing w:after="0" w:line="301" w:lineRule="auto"/>
        <w:rPr>
          <w:sz w:val="20"/>
          <w:szCs w:val="20"/>
          <w:color w:val="auto"/>
        </w:rPr>
      </w:pPr>
      <w:r>
        <w:rPr>
          <w:rFonts w:ascii="Arial" w:cs="Arial" w:eastAsia="Arial" w:hAnsi="Arial"/>
          <w:sz w:val="16"/>
          <w:szCs w:val="16"/>
          <w:color w:val="auto"/>
        </w:rPr>
        <w:t>We have also entered into the License Agreement under which we are obligated to make aggregate milestone payments upon the achievement of specified milestones as well as royalty payments. The payment obligations under the License Agreement are contingent upon future events, such as our achievement of specified milestones or generating product sales. As of September 30, 2021, we were unable to estimate the timing or likelihood of achieving these milestones or generating future product sales. See the section titled “License Agreement with Lilly and Company” above.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780" w:firstLine="38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117"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In September 2019, we entered into the Loan Agreement with Silicon Valley Bank providing for the Term Loan. Pursuant to the Loan Agreement, we requested $2.5 million from the first tranche in connection with the entry into the Loan Agreement and drew the second tranche of $2.0 million in December 2019.</w:t>
      </w:r>
    </w:p>
    <w:p>
      <w:pPr>
        <w:spacing w:after="0" w:line="184"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In April 2020, we and Silicon Valley Bank entered into the Deferral Agreement whereby we and Silicon Valley Bank agreed to extend the repayment dates of all monthly payments of principal due and the maturity date with respect to the Term Loan by six months. In March 2021, we entered into the First Amendment with Silicon Valley Bank. The First Amendment increased the aggregate principal amount of the Term Loan commitment by Silicon Valley Bank to up to $30.0 million. Up to $20.0 million is available under the first tranche of the Term Loan, or the First Tranche, $5.0 million of which was advanced immediately to repay the outstanding obligations under the Term Loan prior to the First Amendment with the remainder of the First Tranche commitments available through December 31, 2021, and up to $10.0 million is available under the second tranche, or the Second Tranche, subject to the completion of certain clinical and financial milestones which Second Tranche commitment is available through December 31, 2022. Pursuant to the First Amendment, the Term Loan will mature on January 1, 2026. As of September 30, 2021, $5.0 million was outstanding under the Term Loan.</w:t>
      </w:r>
    </w:p>
    <w:p>
      <w:pPr>
        <w:spacing w:after="0" w:line="165"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The Loan Agreement, as amended by the Deferral Agreement and the First Amendment, provides for monthly cash interest-only payments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192"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amendment interest-only period, over the repayment 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Second Tranche, or (y) 9.5% of the total original funded principal amount under the First and Second Tranche if the Company does borrow under the Second Tranche (the End of Term Payment).</w:t>
      </w:r>
    </w:p>
    <w:p>
      <w:pPr>
        <w:spacing w:after="0" w:line="170" w:lineRule="exact"/>
        <w:rPr>
          <w:sz w:val="20"/>
          <w:szCs w:val="20"/>
          <w:color w:val="auto"/>
        </w:rPr>
      </w:pPr>
    </w:p>
    <w:p>
      <w:pPr>
        <w:jc w:val="both"/>
        <w:ind w:right="60" w:firstLine="382"/>
        <w:spacing w:after="0" w:line="263" w:lineRule="auto"/>
        <w:rPr>
          <w:sz w:val="20"/>
          <w:szCs w:val="20"/>
          <w:color w:val="auto"/>
        </w:rPr>
      </w:pPr>
      <w:r>
        <w:rPr>
          <w:rFonts w:ascii="Arial" w:cs="Arial" w:eastAsia="Arial" w:hAnsi="Arial"/>
          <w:sz w:val="18"/>
          <w:szCs w:val="18"/>
          <w:color w:val="auto"/>
        </w:rPr>
        <w:t>We may prepay amounts outstanding under the Term Loan at any time provided certain notification conditions are met, in which case, all outstanding principal plus accrued and unpaid interest, the End of Term Payment, a prepayment fee between 1% and 3% of the principal amount of the first and second tranches, and any bank expenses become due and payable.</w:t>
      </w:r>
    </w:p>
    <w:p>
      <w:pPr>
        <w:spacing w:after="0" w:line="184" w:lineRule="exact"/>
        <w:rPr>
          <w:sz w:val="20"/>
          <w:szCs w:val="20"/>
          <w:color w:val="auto"/>
        </w:rPr>
      </w:pPr>
    </w:p>
    <w:p>
      <w:pPr>
        <w:ind w:right="20" w:firstLine="382"/>
        <w:spacing w:after="0" w:line="287" w:lineRule="auto"/>
        <w:rPr>
          <w:sz w:val="20"/>
          <w:szCs w:val="20"/>
          <w:color w:val="auto"/>
        </w:rPr>
      </w:pPr>
      <w:r>
        <w:rPr>
          <w:rFonts w:ascii="Arial" w:cs="Arial" w:eastAsia="Arial" w:hAnsi="Arial"/>
          <w:sz w:val="16"/>
          <w:szCs w:val="16"/>
          <w:color w:val="auto"/>
        </w:rPr>
        <w:t>The Loan Agreement, as amended, contains certain covenants that limit our ability to engage in certain transactions that may be in our long-term best interest, including entering into a change in control transaction. The Loan Agreement, as amended, also contains certain covenants that limit our ability to obtain additional debt financing, including incurring debt from third parties not permitted under the Loan Agreement, as amended, or incurring liens or encumbrances on our property. While we have not previously breached and are currently in compliance with the covenants contained in the Loan Agreement, as amended,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as amended,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172"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In connection with the first and second tranches under the Loan Agreement prior to the First Amendment, we issued a warrant to purchase up to an aggregate of 49,609 shares of common stock at $1.44 per share. We determined the initial fair value of the warrant to be $0.1 million using the Black-Scholes option-pricing model. The fair value of the warrant was recorded to equity and also as a debt discount, which is amortized to interest expense using the effective interest method over the term of the Term Loan. The warrant was net-exercised for 46,358 shares of our common stock in November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firstLine="382"/>
        <w:spacing w:after="0" w:line="301" w:lineRule="auto"/>
        <w:rPr>
          <w:sz w:val="20"/>
          <w:szCs w:val="20"/>
          <w:color w:val="auto"/>
        </w:rPr>
      </w:pPr>
      <w:r>
        <w:rPr>
          <w:rFonts w:ascii="Arial" w:cs="Arial" w:eastAsia="Arial" w:hAnsi="Arial"/>
          <w:sz w:val="16"/>
          <w:szCs w:val="16"/>
          <w:color w:val="auto"/>
        </w:rPr>
        <w:t>To date, we have not generated any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157" w:lineRule="exact"/>
        <w:rPr>
          <w:sz w:val="20"/>
          <w:szCs w:val="20"/>
          <w:color w:val="auto"/>
        </w:rPr>
      </w:pPr>
    </w:p>
    <w:p>
      <w:pPr>
        <w:ind w:right="20" w:firstLine="382"/>
        <w:spacing w:after="0" w:line="253"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 In addition, we expect to incur additional costs associated with operating as a public company.</w:t>
      </w:r>
    </w:p>
    <w:p>
      <w:pPr>
        <w:spacing w:after="0" w:line="196" w:lineRule="exact"/>
        <w:rPr>
          <w:sz w:val="20"/>
          <w:szCs w:val="20"/>
          <w:color w:val="auto"/>
        </w:rPr>
      </w:pPr>
    </w:p>
    <w:p>
      <w:pPr>
        <w:ind w:right="260" w:firstLine="382"/>
        <w:spacing w:after="0" w:line="279" w:lineRule="auto"/>
        <w:rPr>
          <w:sz w:val="20"/>
          <w:szCs w:val="20"/>
          <w:color w:val="auto"/>
        </w:rPr>
      </w:pPr>
      <w:r>
        <w:rPr>
          <w:rFonts w:ascii="Arial" w:cs="Arial" w:eastAsia="Arial" w:hAnsi="Arial"/>
          <w:sz w:val="17"/>
          <w:szCs w:val="17"/>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63" w:lineRule="exact"/>
        <w:rPr>
          <w:sz w:val="20"/>
          <w:szCs w:val="20"/>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ongoing and planned clinical trials of tildacerfont;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may pursue;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tildacerfont;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plan to expand our research and development activities;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associated with manufacturing tildacerfont and establishing commercial supplies and sales, marketing, and distribution capabilities;</w:t>
      </w:r>
    </w:p>
    <w:p>
      <w:pPr>
        <w:spacing w:after="0" w:line="167" w:lineRule="exact"/>
        <w:rPr>
          <w:rFonts w:ascii="Arial" w:cs="Arial" w:eastAsia="Arial" w:hAnsi="Arial"/>
          <w:sz w:val="16"/>
          <w:szCs w:val="16"/>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product candidates;</w:t>
      </w:r>
    </w:p>
    <w:p>
      <w:pPr>
        <w:spacing w:after="0" w:line="144" w:lineRule="exact"/>
        <w:rPr>
          <w:rFonts w:ascii="Arial" w:cs="Arial" w:eastAsia="Arial" w:hAnsi="Arial"/>
          <w:sz w:val="18"/>
          <w:szCs w:val="18"/>
          <w:color w:val="auto"/>
        </w:rPr>
      </w:pPr>
    </w:p>
    <w:p>
      <w:pPr>
        <w:ind w:left="760" w:right="80" w:hanging="374"/>
        <w:spacing w:after="0" w:line="26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products and product candidates and other market developments;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sales from tildacerfont and any future product candidates, if approved;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44"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760" w:right="660" w:hanging="374"/>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the disruptions to and volatility in the credit and financial markets in the United States and worldwide from the COVID-19 pandemic.</w:t>
      </w:r>
    </w:p>
    <w:p>
      <w:pPr>
        <w:spacing w:after="0" w:line="170" w:lineRule="exact"/>
        <w:rPr>
          <w:sz w:val="20"/>
          <w:szCs w:val="20"/>
          <w:color w:val="auto"/>
        </w:rPr>
      </w:pPr>
    </w:p>
    <w:p>
      <w:pPr>
        <w:ind w:right="240" w:firstLine="382"/>
        <w:spacing w:after="0" w:line="259" w:lineRule="auto"/>
        <w:rPr>
          <w:sz w:val="20"/>
          <w:szCs w:val="20"/>
          <w:color w:val="auto"/>
        </w:rPr>
      </w:pPr>
      <w:r>
        <w:rPr>
          <w:rFonts w:ascii="Arial" w:cs="Arial" w:eastAsia="Arial" w:hAnsi="Arial"/>
          <w:sz w:val="18"/>
          <w:szCs w:val="18"/>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87"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the COVID-19 pandemic and actions taken to slow its spread,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right="780" w:firstLine="382"/>
        <w:spacing w:after="0" w:line="277"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 (in thousands):</w:t>
      </w:r>
    </w:p>
    <w:p>
      <w:pPr>
        <w:spacing w:after="0" w:line="175"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Nine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(73,185)</w:t>
            </w: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86,753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w w:val="91"/>
              </w:rPr>
              <w:t>Net increase/(decrease)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(98,787)</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25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20" w:firstLine="382"/>
        <w:spacing w:after="0" w:line="296" w:lineRule="auto"/>
        <w:rPr>
          <w:sz w:val="20"/>
          <w:szCs w:val="20"/>
          <w:color w:val="auto"/>
        </w:rPr>
      </w:pPr>
      <w:r>
        <w:rPr>
          <w:rFonts w:ascii="Arial" w:cs="Arial" w:eastAsia="Arial" w:hAnsi="Arial"/>
          <w:sz w:val="16"/>
          <w:szCs w:val="16"/>
          <w:color w:val="auto"/>
        </w:rPr>
        <w:t>For the nine months ended September 30, 2021, net cash used in operating activities was $26.1 million, which consisted of a net loss of $33.1 million, partially offset by a net change of $3.5 million in our net operating assets and liabilities and by $3.5 million in non-cash charges. The net change in our operating assets and liabilities was primarily due to a decrease in prepaid expenses and other current assets of $1.7 million, offset by a decrease in accounts payable and accrued expenses of $1.8 million, and an increase in accrued compensation and noncurrent assets and liabilities of $0.1 million. The non-cash charges of $3.5 million consisted of stock-based compensation expense, non-cash lease expense and depreciation and amortization expense.</w:t>
      </w:r>
    </w:p>
    <w:p>
      <w:pPr>
        <w:spacing w:after="0" w:line="161"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For the nine months ended September 30, 2020, net cash used in operating activities was $18.3 million, which consisted of a net loss of $21.2 million, partially offset by a net change of $2.5 million in our net operating assets and liabilities and by $0.4 million in non-cash charges. The net change in our operating assets and liabilities was primarily due to a net increase in accounts payable and accrued expenses of $3.7 million, partially offset by a net increase in prepaid expenses and other current assets of $0.9 million and a $0.3 million net decrease in accrued compensation and noncurrent assets and liabilities. The non-cash charges of $0.4 million consisted of stock-based compensation expense, non-cash lease expense and depreciation and amortization expense.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For the nine months ended September 30, 2021, cash used in investing activities was $73.2 million, consisting of available for sale securities purchases of $73.1 million and $0.1 million related to the purchase of property and equipment. For the nine months ended September 30, 2020, cash used in investing activities was $50.0 thousand and related to the purchase of property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100" w:firstLine="382"/>
        <w:spacing w:after="0" w:line="277" w:lineRule="auto"/>
        <w:rPr>
          <w:sz w:val="20"/>
          <w:szCs w:val="20"/>
          <w:color w:val="auto"/>
        </w:rPr>
      </w:pPr>
      <w:r>
        <w:rPr>
          <w:rFonts w:ascii="Arial" w:cs="Arial" w:eastAsia="Arial" w:hAnsi="Arial"/>
          <w:sz w:val="18"/>
          <w:szCs w:val="18"/>
          <w:color w:val="auto"/>
        </w:rPr>
        <w:t>For the nine months ended September 30, 2021, cash provided by financing activities was $0.5 million, consisting primarily of net proceeds from the issuance of long-term debt and proceeds from exercise of stock options and employee stock purchase plan.</w:t>
      </w:r>
    </w:p>
    <w:p>
      <w:pPr>
        <w:spacing w:after="0" w:line="170"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For the nine months ended September 30, 2020, cash provided by financing activities was $86.8 million primarily from the issuance and sale of Series B redeemable convertible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Our critical accounting policies are described in the section titled “Management’s Discussion and Analysis of Financial Condition and Results of Operations—Critical Accounting Policies, Significant Judgments and Use of Estimates” in the Annual Report and the notes to our condensed financial statements appearing elsewhere in this Quarterly Report on Form 10-Q. During the nine months ended September 30, 2021, there were no material changes to our critical accounting policies from those discussed in the Annual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$1.07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Our cash, cash equivalents and investments as of September 30, 2021 consist of $131.3 million in bank deposits, money market funds, US. treasury securities, commercial papers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cash equivalents and investments do not contain excessive risk, we cannot provide absolute assurance that in the future our investments will not be subject to adverse changes in market value. In addition, we maintain significant amounts of cash and cash equivalents at financial institutions in excess of federally insured limits.</w:t>
      </w:r>
    </w:p>
    <w:p>
      <w:pPr>
        <w:spacing w:after="0" w:line="164" w:lineRule="exact"/>
        <w:rPr>
          <w:sz w:val="20"/>
          <w:szCs w:val="20"/>
          <w:color w:val="auto"/>
        </w:rPr>
      </w:pPr>
    </w:p>
    <w:p>
      <w:pPr>
        <w:ind w:right="40" w:firstLine="382"/>
        <w:spacing w:after="0" w:line="277" w:lineRule="auto"/>
        <w:rPr>
          <w:sz w:val="20"/>
          <w:szCs w:val="20"/>
          <w:color w:val="auto"/>
        </w:rPr>
      </w:pPr>
      <w:r>
        <w:rPr>
          <w:rFonts w:ascii="Arial" w:cs="Arial" w:eastAsia="Arial" w:hAnsi="Arial"/>
          <w:sz w:val="18"/>
          <w:szCs w:val="18"/>
          <w:color w:val="auto"/>
        </w:rPr>
        <w:t>Additionally, the interest rate for borrowings under the Loan Agreement is variable. A hypothetical 10% relative change in interest rates during any of the periods presented would not have had a material impact on our financial statements.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Foreign Currency Rate Risk</w:t>
      </w:r>
    </w:p>
    <w:p>
      <w:pPr>
        <w:spacing w:after="0" w:line="121" w:lineRule="exact"/>
        <w:rPr>
          <w:sz w:val="20"/>
          <w:szCs w:val="20"/>
          <w:color w:val="auto"/>
        </w:rPr>
      </w:pPr>
    </w:p>
    <w:p>
      <w:pPr>
        <w:jc w:val="both"/>
        <w:ind w:right="240" w:firstLine="382"/>
        <w:spacing w:after="0" w:line="259" w:lineRule="auto"/>
        <w:rPr>
          <w:sz w:val="20"/>
          <w:szCs w:val="20"/>
          <w:color w:val="auto"/>
        </w:rPr>
      </w:pPr>
      <w:r>
        <w:rPr>
          <w:rFonts w:ascii="Arial" w:cs="Arial" w:eastAsia="Arial" w:hAnsi="Arial"/>
          <w:sz w:val="18"/>
          <w:szCs w:val="18"/>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we do not believe that inflation, interest rate changes, or exchange rate fluctuations had a significant impact on our results of operations for any periods presented herein.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right="660" w:firstLine="382"/>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and changing prices had a significant impact on our results of operations for any periods presented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382"/>
        <w:spacing w:after="0" w:line="254" w:lineRule="auto"/>
        <w:rPr>
          <w:sz w:val="20"/>
          <w:szCs w:val="20"/>
          <w:color w:val="auto"/>
        </w:rPr>
      </w:pPr>
      <w:r>
        <w:rPr>
          <w:rFonts w:ascii="Arial" w:cs="Arial" w:eastAsia="Arial" w:hAnsi="Arial"/>
          <w:sz w:val="18"/>
          <w:szCs w:val="18"/>
          <w:color w:val="auto"/>
        </w:rPr>
        <w:t>Our management, with the participation and supervision of our interim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interim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interim Chief Executive Officer and Chief Financial Officer, as appropriate, to allow timely decisions regarding required disclosure.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382"/>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Rules 13a-15(f) and 15d-15(f)) during the quarter ended September 30, 2021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Disclosure Controls and Procedures</w:t>
      </w:r>
    </w:p>
    <w:p>
      <w:pPr>
        <w:spacing w:after="0" w:line="121"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20" w:firstLine="382"/>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i w:val="1"/>
          <w:iCs w:val="1"/>
          <w:color w:val="auto"/>
        </w:rPr>
        <w:t>An investment in shares of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2"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0"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or Europe, we may never generate any revenue. For the nine months ended September 30, 2021, we reported a net loss of $33.1 million. As of September 30, 2021, we had an accumulated deficit of $93.9 million.</w:t>
      </w:r>
    </w:p>
    <w:p>
      <w:pPr>
        <w:spacing w:after="0" w:line="87"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16"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firstLine="382"/>
        <w:spacing w:after="0" w:line="259" w:lineRule="auto"/>
        <w:rPr>
          <w:sz w:val="20"/>
          <w:szCs w:val="20"/>
          <w:color w:val="auto"/>
        </w:rPr>
      </w:pPr>
      <w:r>
        <w:rPr>
          <w:rFonts w:ascii="Arial" w:cs="Arial" w:eastAsia="Arial" w:hAnsi="Arial"/>
          <w:sz w:val="18"/>
          <w:szCs w:val="18"/>
          <w:color w:val="auto"/>
        </w:rPr>
        <w:t>As of September 30, 2021, we had cash, cash equivalents and investments of $131.3 million. In October 2020, we consummated our IPO and issued 6,900,000 shares of common stock for net proceeds of $93.4 million, after deducting underwriting discounts and commissions and offering expenses. We believe, based on our current operating plan, that our cash, cash equivalents and investments as of September 30, 2021 will be sufficient to fund our operations for at least the next 12 months.</w:t>
      </w:r>
    </w:p>
    <w:p>
      <w:pPr>
        <w:spacing w:after="0" w:line="79"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However, changing circumstances may cause us to consume capital significantly faster than we currently anticipate, and we may need to spend more money than currently expected because of circumstances beyond our control. For example, as a result of the COVID-19 pandemic, we have amended our clinical trial protocols to enable remote visits to mitigate any potential impacts. As a result of this home health component, the overall costs of our Phase 2b clinical trials have increased and may continue to increase in the future.</w:t>
      </w:r>
    </w:p>
    <w:p>
      <w:pPr>
        <w:spacing w:after="0" w:line="79"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62"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Additional funding may not be available on acceptable terms, or at all. As a result of the COVID-19 pandemic and actions taken to slow its spread,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3" w:lineRule="exact"/>
        <w:rPr>
          <w:sz w:val="20"/>
          <w:szCs w:val="20"/>
          <w:color w:val="auto"/>
        </w:rPr>
      </w:pPr>
    </w:p>
    <w:p>
      <w:pPr>
        <w:ind w:right="400" w:firstLine="382"/>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6" w:lineRule="exact"/>
        <w:rPr>
          <w:sz w:val="20"/>
          <w:szCs w:val="20"/>
          <w:color w:val="auto"/>
        </w:rPr>
      </w:pPr>
    </w:p>
    <w:p>
      <w:pPr>
        <w:ind w:right="80" w:firstLine="382"/>
        <w:spacing w:after="0" w:line="291" w:lineRule="auto"/>
        <w:rPr>
          <w:sz w:val="20"/>
          <w:szCs w:val="20"/>
          <w:color w:val="auto"/>
        </w:rPr>
      </w:pPr>
      <w:r>
        <w:rPr>
          <w:rFonts w:ascii="Arial" w:cs="Arial" w:eastAsia="Arial" w:hAnsi="Arial"/>
          <w:sz w:val="16"/>
          <w:szCs w:val="16"/>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CAHmelia-203, a placebo-controlled, double-blind Phase 2b clinical trial in adult patients with classic CAH with poor disease control and anticipate topline results in 2023. We have also initiated CAHmelia-204, a second Phase 2b clinical trial in adult patients with classic CAH with good disease control focused on glucocorticoid reduction. We will provide guidance for topline results for CAHmelia-204 following the completion of a full assessment of the COVID-19 pandemic’s impact on projected enrollment.</w:t>
      </w:r>
    </w:p>
    <w:p>
      <w:pPr>
        <w:spacing w:after="0" w:line="58"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Assuming positive results, we plan to meet with the FDA and comparable foreign regulatory authorities to discuss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87" w:lineRule="exact"/>
        <w:rPr>
          <w:sz w:val="20"/>
          <w:szCs w:val="20"/>
          <w:color w:val="auto"/>
        </w:rPr>
      </w:pPr>
    </w:p>
    <w:p>
      <w:pPr>
        <w:ind w:right="80" w:firstLine="382"/>
        <w:spacing w:after="0" w:line="275" w:lineRule="auto"/>
        <w:rPr>
          <w:sz w:val="20"/>
          <w:szCs w:val="20"/>
          <w:color w:val="auto"/>
        </w:rPr>
      </w:pPr>
      <w:r>
        <w:rPr>
          <w:rFonts w:ascii="Arial" w:cs="Arial" w:eastAsia="Arial" w:hAnsi="Arial"/>
          <w:sz w:val="17"/>
          <w:szCs w:val="17"/>
          <w:color w:val="auto"/>
        </w:rPr>
        <w:t>In addition, we have received feedback from the FDA and EMA on our planned Phase 2 clinical trial of tildacerfont in children with classic CAH and plan to initiate the clinical development program for tildacerfont in the pediatric classic CAH population. We have also filed, and the FDA has cleared, an IND to study tildacerfont in a subpopulation of females with PCOS. By leveraging our existing Phase 1 program, which includes safety, tolerability, and pharmacokinetics of tildacerfont, we plan to initiate a Phase 2 proof-of-concept clinical trial in PCOS. The COVID-19 pandemic continues to evolve and any impacts on these projected milestones are highly uncertain and cannot be predicted with confidence.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success of tildacerfont will depend on several factors, including the following:</w:t>
      </w:r>
    </w:p>
    <w:p>
      <w:pPr>
        <w:spacing w:after="0" w:line="117" w:lineRule="exact"/>
        <w:rPr>
          <w:sz w:val="20"/>
          <w:szCs w:val="20"/>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enrollment, site activation and patient engagement in our ongoing and planned clinical trials;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of our ongoing and planned clinical trials with favorable results;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the FDA and EMA of data from our ongoing Phase 2b clinical trials in adult patients with classic CAH;</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44" w:lineRule="exact"/>
        <w:rPr>
          <w:rFonts w:ascii="Arial" w:cs="Arial" w:eastAsia="Arial" w:hAnsi="Arial"/>
          <w:sz w:val="18"/>
          <w:szCs w:val="18"/>
          <w:color w:val="auto"/>
        </w:rPr>
      </w:pPr>
    </w:p>
    <w:p>
      <w:pPr>
        <w:ind w:left="760" w:right="54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62" w:lineRule="exact"/>
        <w:rPr>
          <w:rFonts w:ascii="Arial" w:cs="Arial" w:eastAsia="Arial" w:hAnsi="Arial"/>
          <w:sz w:val="18"/>
          <w:szCs w:val="18"/>
          <w:color w:val="auto"/>
        </w:rPr>
      </w:pPr>
    </w:p>
    <w:p>
      <w:pPr>
        <w:ind w:left="760" w:right="62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NDAs from the FDA, and maintaining such approvals;</w:t>
      </w:r>
    </w:p>
    <w:p>
      <w:pPr>
        <w:spacing w:after="0" w:line="62" w:lineRule="exact"/>
        <w:rPr>
          <w:rFonts w:ascii="Arial" w:cs="Arial" w:eastAsia="Arial" w:hAnsi="Arial"/>
          <w:sz w:val="18"/>
          <w:szCs w:val="18"/>
          <w:color w:val="auto"/>
        </w:rPr>
      </w:pPr>
    </w:p>
    <w:p>
      <w:pPr>
        <w:ind w:left="760" w:right="34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 receiving/importing commercial supplies approved by the FDA and other regulatory authorities from any future third-party manufacturer;</w:t>
      </w:r>
    </w:p>
    <w:p>
      <w:pPr>
        <w:spacing w:after="0" w:line="62"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tildacerfont, if approved, whether alone or in collaboration with others;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and regulatory exclusivity for tildacerfont;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 acceptable safety profile of tildacerfont following approval; and</w:t>
      </w:r>
    </w:p>
    <w:p>
      <w:pPr>
        <w:spacing w:after="0" w:line="144"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62"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62" w:lineRule="exact"/>
        <w:rPr>
          <w:sz w:val="20"/>
          <w:szCs w:val="20"/>
          <w:color w:val="auto"/>
        </w:rPr>
      </w:pPr>
    </w:p>
    <w:p>
      <w:pPr>
        <w:ind w:right="160" w:firstLine="382"/>
        <w:spacing w:after="0" w:line="311" w:lineRule="auto"/>
        <w:rPr>
          <w:sz w:val="20"/>
          <w:szCs w:val="20"/>
          <w:color w:val="auto"/>
        </w:rPr>
      </w:pPr>
      <w:r>
        <w:rPr>
          <w:rFonts w:ascii="Arial" w:cs="Arial" w:eastAsia="Arial" w:hAnsi="Arial"/>
          <w:sz w:val="16"/>
          <w:szCs w:val="16"/>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62"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sz w:val="20"/>
          <w:szCs w:val="20"/>
          <w:color w:val="auto"/>
        </w:rPr>
      </w:pPr>
    </w:p>
    <w:p>
      <w:pPr>
        <w:ind w:firstLine="382"/>
        <w:spacing w:after="0" w:line="253" w:lineRule="auto"/>
        <w:rPr>
          <w:sz w:val="20"/>
          <w:szCs w:val="20"/>
          <w:color w:val="auto"/>
        </w:rPr>
      </w:pPr>
      <w:r>
        <w:rPr>
          <w:rFonts w:ascii="Arial" w:cs="Arial" w:eastAsia="Arial" w:hAnsi="Arial"/>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firstLine="382"/>
        <w:spacing w:after="0" w:line="311" w:lineRule="auto"/>
        <w:rPr>
          <w:sz w:val="20"/>
          <w:szCs w:val="20"/>
          <w:color w:val="auto"/>
        </w:rPr>
      </w:pPr>
      <w:r>
        <w:rPr>
          <w:rFonts w:ascii="Arial" w:cs="Arial" w:eastAsia="Arial" w:hAnsi="Arial"/>
          <w:sz w:val="16"/>
          <w:szCs w:val="16"/>
          <w:color w:val="auto"/>
        </w:rPr>
        <w:t>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other regulatory authorities, which would represent a significant setback for the applicable program.</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spacing w:after="0" w:line="70"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50,000 people in the European Union, or EU, and at least 145,000 people in China. We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ongoing Phase 2b clinical trials. Our inability to enroll a sufficient number of patients for any of our current or future clinical trials would result in significant delays or may require us to abandon one or more clinical trials altogether.</w:t>
      </w:r>
    </w:p>
    <w:p>
      <w:pPr>
        <w:spacing w:after="0" w:line="58" w:lineRule="exact"/>
        <w:rPr>
          <w:sz w:val="20"/>
          <w:szCs w:val="20"/>
          <w:color w:val="auto"/>
        </w:rPr>
      </w:pPr>
    </w:p>
    <w:p>
      <w:pPr>
        <w:ind w:right="100" w:firstLine="382"/>
        <w:spacing w:after="0" w:line="271" w:lineRule="auto"/>
        <w:rPr>
          <w:sz w:val="20"/>
          <w:szCs w:val="20"/>
          <w:color w:val="auto"/>
        </w:rPr>
      </w:pPr>
      <w:r>
        <w:rPr>
          <w:rFonts w:ascii="Arial" w:cs="Arial" w:eastAsia="Arial" w:hAnsi="Arial"/>
          <w:sz w:val="17"/>
          <w:szCs w:val="17"/>
          <w:color w:val="auto"/>
        </w:rPr>
        <w:t>Our clinical trials have been, and may in the future be, affected by the COVID-19 pandemic. For example, the COVID-19 pandemic has impacted patient enrollment in our two ongoing Phase 2b clinical trials. In particular, some sites have paused or delayed enrollment to focus on, and direct resources to, COVID-19, while at other sites, patients have chosen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COVID-19. 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70" w:lineRule="exact"/>
        <w:rPr>
          <w:sz w:val="20"/>
          <w:szCs w:val="20"/>
          <w:color w:val="auto"/>
        </w:rPr>
      </w:pPr>
    </w:p>
    <w:p>
      <w:pPr>
        <w:ind w:right="20" w:firstLine="382"/>
        <w:spacing w:after="0" w:line="342" w:lineRule="auto"/>
        <w:rPr>
          <w:sz w:val="20"/>
          <w:szCs w:val="20"/>
          <w:color w:val="auto"/>
        </w:rPr>
      </w:pPr>
      <w:r>
        <w:rPr>
          <w:rFonts w:ascii="Arial" w:cs="Arial" w:eastAsia="Arial" w:hAnsi="Arial"/>
          <w:sz w:val="16"/>
          <w:szCs w:val="16"/>
          <w:color w:val="auto"/>
        </w:rPr>
        <w:t>We are unable to predict with confidence the likelihood or duration of such patient enrollment delays and difficulties, whether related to COVID-19 or otherwise. If patient enrollment is delayed for an extended period of time, our Phase 2b clinical trials could be delayed or otherwise adversely affected.</w:t>
      </w:r>
    </w:p>
    <w:p>
      <w:pPr>
        <w:spacing w:after="0" w:line="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79" w:lineRule="exact"/>
        <w:rPr>
          <w:sz w:val="20"/>
          <w:szCs w:val="20"/>
          <w:color w:val="auto"/>
        </w:rPr>
      </w:pPr>
    </w:p>
    <w:p>
      <w:pPr>
        <w:ind w:right="80" w:firstLine="382"/>
        <w:spacing w:after="0" w:line="291" w:lineRule="auto"/>
        <w:rPr>
          <w:sz w:val="20"/>
          <w:szCs w:val="20"/>
          <w:color w:val="auto"/>
        </w:rPr>
      </w:pPr>
      <w:r>
        <w:rPr>
          <w:rFonts w:ascii="Arial" w:cs="Arial" w:eastAsia="Arial" w:hAnsi="Arial"/>
          <w:sz w:val="16"/>
          <w:szCs w:val="16"/>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20" w:firstLine="382"/>
        <w:spacing w:after="0" w:line="277" w:lineRule="auto"/>
        <w:rPr>
          <w:sz w:val="20"/>
          <w:szCs w:val="20"/>
          <w:color w:val="auto"/>
        </w:rPr>
      </w:pPr>
      <w:r>
        <w:rPr>
          <w:rFonts w:ascii="Arial" w:cs="Arial" w:eastAsia="Arial" w:hAnsi="Arial"/>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62" w:lineRule="exact"/>
        <w:rPr>
          <w:sz w:val="20"/>
          <w:szCs w:val="20"/>
          <w:color w:val="auto"/>
        </w:rPr>
      </w:pPr>
    </w:p>
    <w:p>
      <w:pPr>
        <w:ind w:left="760" w:right="100" w:hanging="374"/>
        <w:spacing w:after="0" w:line="308"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38" w:lineRule="exact"/>
        <w:rPr>
          <w:rFonts w:ascii="Arial" w:cs="Arial" w:eastAsia="Arial" w:hAnsi="Arial"/>
          <w:sz w:val="17"/>
          <w:szCs w:val="17"/>
          <w:color w:val="auto"/>
        </w:rPr>
      </w:pPr>
    </w:p>
    <w:p>
      <w:pPr>
        <w:ind w:left="760" w:right="32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clinical trial or reaching a consensus with regulatory authorities on clinical trial design or implementation;</w:t>
      </w:r>
    </w:p>
    <w:p>
      <w:pPr>
        <w:spacing w:after="0" w:line="62"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 or Ethics Committees, or ECs;</w:t>
      </w:r>
    </w:p>
    <w:p>
      <w:pPr>
        <w:spacing w:after="0" w:line="144" w:lineRule="exact"/>
        <w:rPr>
          <w:rFonts w:ascii="Arial" w:cs="Arial" w:eastAsia="Arial" w:hAnsi="Arial"/>
          <w:sz w:val="18"/>
          <w:szCs w:val="18"/>
          <w:color w:val="auto"/>
        </w:rPr>
      </w:pPr>
    </w:p>
    <w:p>
      <w:pPr>
        <w:ind w:left="760" w:right="52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sites not timely activating, delaying screening activities, or deviating from clinical trial protocols;</w:t>
      </w:r>
    </w:p>
    <w:p>
      <w:pPr>
        <w:spacing w:after="0" w:line="144"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sufficient quantities of tildacerfont or any future product candidates or obtaining sufficient quantities of combination therapies for use in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post-treatment follow-up;</w:t>
      </w:r>
    </w:p>
    <w:p>
      <w:pPr>
        <w:spacing w:after="0" w:line="144" w:lineRule="exact"/>
        <w:rPr>
          <w:rFonts w:ascii="Arial" w:cs="Arial" w:eastAsia="Arial" w:hAnsi="Arial"/>
          <w:sz w:val="18"/>
          <w:szCs w:val="18"/>
          <w:color w:val="auto"/>
        </w:rPr>
      </w:pPr>
    </w:p>
    <w:p>
      <w:pPr>
        <w:ind w:left="760" w:right="380" w:hanging="374"/>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tildacerfont and any future product candidates, or participating in competing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subject engagement in the clinical trials or subjects dropping out of a clinical trial;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occurrence of SAEs in clinical trials of the same class of agents conducted by other companies;</w:t>
      </w:r>
    </w:p>
    <w:p>
      <w:pPr>
        <w:spacing w:after="0" w:line="144" w:lineRule="exact"/>
        <w:rPr>
          <w:rFonts w:ascii="Arial" w:cs="Arial" w:eastAsia="Arial" w:hAnsi="Arial"/>
          <w:sz w:val="18"/>
          <w:szCs w:val="18"/>
          <w:color w:val="auto"/>
        </w:rPr>
      </w:pPr>
    </w:p>
    <w:p>
      <w:pPr>
        <w:ind w:left="760" w:right="560" w:hanging="374"/>
        <w:spacing w:after="0" w:line="286"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facility manufacturing tildacerfont or any of its components being ordered by the FDA or comparable foreign regulatory authorities to temporarily or permanently shut down due to violations of current good manufacturing practice, or cGMP, regulations or other applicable requirements, or infections or cross-contaminations of tildacerfont in the manufacturing process;</w:t>
      </w:r>
    </w:p>
    <w:p>
      <w:pPr>
        <w:spacing w:after="0" w:line="57" w:lineRule="exact"/>
        <w:rPr>
          <w:rFonts w:ascii="Arial" w:cs="Arial" w:eastAsia="Arial" w:hAnsi="Arial"/>
          <w:sz w:val="17"/>
          <w:szCs w:val="17"/>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changes to our manufacturing process, suppliers or formulation that may be necessary or desired;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vendors not performing manufacturing and distribution services in a timely manner or to sufficient quality standards;</w:t>
      </w:r>
    </w:p>
    <w:p>
      <w:pPr>
        <w:spacing w:after="0" w:line="144" w:lineRule="exact"/>
        <w:rPr>
          <w:rFonts w:ascii="Arial" w:cs="Arial" w:eastAsia="Arial" w:hAnsi="Arial"/>
          <w:sz w:val="18"/>
          <w:szCs w:val="18"/>
          <w:color w:val="auto"/>
        </w:rPr>
      </w:pPr>
    </w:p>
    <w:p>
      <w:pPr>
        <w:ind w:left="760" w:right="240" w:hanging="374"/>
        <w:spacing w:after="0" w:line="308"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44" w:lineRule="exact"/>
        <w:rPr>
          <w:rFonts w:ascii="Arial" w:cs="Arial" w:eastAsia="Arial" w:hAnsi="Arial"/>
          <w:sz w:val="18"/>
          <w:szCs w:val="18"/>
          <w:color w:val="auto"/>
        </w:rPr>
      </w:pPr>
    </w:p>
    <w:p>
      <w:pPr>
        <w:ind w:left="760" w:hanging="374"/>
        <w:spacing w:after="0" w:line="26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clinical trials.</w:t>
      </w:r>
    </w:p>
    <w:p>
      <w:pPr>
        <w:spacing w:after="0" w:line="144"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63" w:lineRule="exact"/>
        <w:rPr>
          <w:sz w:val="20"/>
          <w:szCs w:val="20"/>
          <w:color w:val="auto"/>
        </w:rPr>
      </w:pPr>
    </w:p>
    <w:p>
      <w:pPr>
        <w:ind w:right="20" w:firstLine="382"/>
        <w:spacing w:after="0" w:line="279" w:lineRule="auto"/>
        <w:rPr>
          <w:sz w:val="20"/>
          <w:szCs w:val="20"/>
          <w:color w:val="auto"/>
        </w:rPr>
      </w:pPr>
      <w:r>
        <w:rPr>
          <w:rFonts w:ascii="Arial" w:cs="Arial" w:eastAsia="Arial" w:hAnsi="Arial"/>
          <w:sz w:val="17"/>
          <w:szCs w:val="17"/>
          <w:color w:val="auto"/>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3" w:lineRule="exact"/>
        <w:rPr>
          <w:sz w:val="20"/>
          <w:szCs w:val="20"/>
          <w:color w:val="auto"/>
        </w:rPr>
      </w:pPr>
    </w:p>
    <w:p>
      <w:pPr>
        <w:ind w:right="80" w:firstLine="382"/>
        <w:spacing w:after="0" w:line="272" w:lineRule="auto"/>
        <w:rPr>
          <w:sz w:val="20"/>
          <w:szCs w:val="20"/>
          <w:color w:val="auto"/>
        </w:rPr>
      </w:pPr>
      <w:r>
        <w:rPr>
          <w:rFonts w:ascii="Arial" w:cs="Arial" w:eastAsia="Arial" w:hAnsi="Arial"/>
          <w:sz w:val="17"/>
          <w:szCs w:val="17"/>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69"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6" w:lineRule="exact"/>
        <w:rPr>
          <w:sz w:val="20"/>
          <w:szCs w:val="20"/>
          <w:color w:val="auto"/>
        </w:rPr>
      </w:pPr>
    </w:p>
    <w:p>
      <w:pPr>
        <w:ind w:right="40" w:firstLine="382"/>
        <w:spacing w:after="0" w:line="253" w:lineRule="auto"/>
        <w:rPr>
          <w:sz w:val="20"/>
          <w:szCs w:val="20"/>
          <w:color w:val="auto"/>
        </w:rPr>
      </w:pPr>
      <w:r>
        <w:rPr>
          <w:rFonts w:ascii="Arial" w:cs="Arial" w:eastAsia="Arial" w:hAnsi="Arial"/>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86" w:lineRule="exact"/>
        <w:rPr>
          <w:sz w:val="20"/>
          <w:szCs w:val="20"/>
          <w:color w:val="auto"/>
        </w:rPr>
      </w:pPr>
    </w:p>
    <w:p>
      <w:pPr>
        <w:ind w:right="120" w:firstLine="382"/>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Tildacerfont and any future product candidates could fail to receive regulatory approval for many reasons, including the following:</w:t>
      </w:r>
    </w:p>
    <w:p>
      <w:pPr>
        <w:spacing w:after="0" w:line="117" w:lineRule="exact"/>
        <w:rPr>
          <w:sz w:val="20"/>
          <w:szCs w:val="20"/>
          <w:color w:val="auto"/>
        </w:rPr>
      </w:pPr>
    </w:p>
    <w:p>
      <w:pPr>
        <w:ind w:left="760" w:right="40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people using drugs similar to tildacerfont and any future product candidates;</w:t>
      </w:r>
    </w:p>
    <w:p>
      <w:pPr>
        <w:spacing w:after="0" w:line="62"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760" w:right="42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of its proposed indications;</w:t>
      </w:r>
    </w:p>
    <w:p>
      <w:pPr>
        <w:spacing w:after="0" w:line="62"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55" w:lineRule="exact"/>
        <w:rPr>
          <w:rFonts w:ascii="Arial" w:cs="Arial" w:eastAsia="Arial" w:hAnsi="Arial"/>
          <w:sz w:val="17"/>
          <w:szCs w:val="17"/>
          <w:color w:val="auto"/>
        </w:rPr>
      </w:pPr>
    </w:p>
    <w:p>
      <w:pPr>
        <w:ind w:left="760" w:right="140" w:hanging="374"/>
        <w:spacing w:after="0" w:line="259"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78"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62"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76"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79"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or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business has been and could continue to be adversely affected by the evolving and ongoing COVID-19 global pandemic in regions where we or third parties on which we rely have significant manufacturing facilities, concentrations of clinical trial sites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or other business operations. The COVID-19 pandemic could adversely affect our operations, as well as the business or operations of our manufacturers, CROs, or other third parties with whom we conduct business.*</w:t>
      </w:r>
    </w:p>
    <w:p>
      <w:pPr>
        <w:spacing w:after="0" w:line="62"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Our business has been and could continue to be adversely affected by the evolving COVID-19 pandemic, which was declared by the World Health Organization as a global pandemic. As COVID-19 continues to spread, we may experience ongoing disruptions that could severely impact our business and clinical trials, including:</w:t>
      </w:r>
    </w:p>
    <w:p>
      <w:pPr>
        <w:spacing w:after="0" w:line="76" w:lineRule="exact"/>
        <w:rPr>
          <w:sz w:val="20"/>
          <w:szCs w:val="20"/>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44" w:lineRule="exact"/>
        <w:rPr>
          <w:rFonts w:ascii="Arial" w:cs="Arial" w:eastAsia="Arial" w:hAnsi="Arial"/>
          <w:sz w:val="18"/>
          <w:szCs w:val="18"/>
          <w:color w:val="auto"/>
        </w:rPr>
      </w:pPr>
    </w:p>
    <w:p>
      <w:pPr>
        <w:ind w:left="760" w:right="320" w:hanging="374"/>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62"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62"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760" w:right="140" w:hanging="374"/>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regulatory authorities, which may impact review and approval timelines;</w:t>
      </w:r>
    </w:p>
    <w:p>
      <w:pPr>
        <w:spacing w:after="0" w:line="144"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relating to mitigating the impact of COVID-19 on any of the foregoing factors.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These and other disruptions in our operations and the global economy could negatively impact our business, operating results and financial condition.</w:t>
      </w:r>
    </w:p>
    <w:p>
      <w:pPr>
        <w:spacing w:after="0" w:line="140" w:lineRule="exact"/>
        <w:rPr>
          <w:sz w:val="20"/>
          <w:szCs w:val="20"/>
          <w:color w:val="auto"/>
        </w:rPr>
      </w:pPr>
    </w:p>
    <w:p>
      <w:pPr>
        <w:ind w:right="320" w:firstLine="386"/>
        <w:spacing w:after="0" w:line="291"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has impacted patient enrollment in our two ongoing Phase 2b clinical trials. In particular, some sites have paused enrollment to focus on, and direct resources</w:t>
      </w:r>
    </w:p>
    <w:p>
      <w:pPr>
        <w:ind w:right="60"/>
        <w:spacing w:after="0" w:line="281" w:lineRule="auto"/>
        <w:rPr>
          <w:sz w:val="20"/>
          <w:szCs w:val="20"/>
          <w:color w:val="auto"/>
        </w:rPr>
      </w:pPr>
      <w:r>
        <w:rPr>
          <w:rFonts w:ascii="Arial" w:cs="Arial" w:eastAsia="Arial" w:hAnsi="Arial"/>
          <w:sz w:val="16"/>
          <w:szCs w:val="16"/>
          <w:color w:val="auto"/>
        </w:rPr>
        <w:t>to, COVID-19, while at other sites, patients have chosen not to enroll or continue participating in the clinical trial as a result of the pandemic. Further, we are aware of delays in site activations for our CAHmelia-203 and -204 trials due to COVID-19-related closures and delays.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a result, current or potential patients in our ongoing and planned clinical trials may continue to choose to not enroll, not participate in follow-</w:t>
      </w:r>
    </w:p>
    <w:p>
      <w:pPr>
        <w:spacing w:after="0" w:line="20" w:lineRule="exact"/>
        <w:rPr>
          <w:rFonts w:ascii="Arial" w:cs="Arial" w:eastAsia="Arial" w:hAnsi="Arial"/>
          <w:sz w:val="17"/>
          <w:szCs w:val="17"/>
          <w:color w:val="auto"/>
        </w:rPr>
      </w:pPr>
    </w:p>
    <w:p>
      <w:pPr>
        <w:ind w:right="320"/>
        <w:spacing w:after="0" w:line="260" w:lineRule="auto"/>
        <w:rPr>
          <w:rFonts w:ascii="Arial" w:cs="Arial" w:eastAsia="Arial" w:hAnsi="Arial"/>
          <w:sz w:val="17"/>
          <w:szCs w:val="17"/>
          <w:color w:val="auto"/>
        </w:rPr>
      </w:pPr>
      <w:r>
        <w:rPr>
          <w:rFonts w:ascii="Arial" w:cs="Arial" w:eastAsia="Arial" w:hAnsi="Arial"/>
          <w:sz w:val="18"/>
          <w:szCs w:val="18"/>
          <w:color w:val="auto"/>
        </w:rPr>
        <w:t>up clinical visits, or drop out of the trial as a precaution against contracting COVID-19. Further, some patients may continue to not be able or willing to comply with clinical trial protocols if quarantines impede patient movement or interrupts healthcare services.</w:t>
      </w:r>
    </w:p>
    <w:p>
      <w:pPr>
        <w:spacing w:after="0" w:line="77" w:lineRule="exact"/>
        <w:rPr>
          <w:sz w:val="20"/>
          <w:szCs w:val="20"/>
          <w:color w:val="auto"/>
        </w:rPr>
      </w:pPr>
    </w:p>
    <w:p>
      <w:pPr>
        <w:ind w:right="360" w:firstLine="386"/>
        <w:spacing w:after="0" w:line="263" w:lineRule="auto"/>
        <w:rPr>
          <w:sz w:val="20"/>
          <w:szCs w:val="20"/>
          <w:color w:val="auto"/>
        </w:rPr>
      </w:pPr>
      <w:r>
        <w:rPr>
          <w:rFonts w:ascii="Arial" w:cs="Arial" w:eastAsia="Arial" w:hAnsi="Arial"/>
          <w:sz w:val="18"/>
          <w:szCs w:val="18"/>
          <w:color w:val="auto"/>
        </w:rPr>
        <w:t>If patient enrollment is delayed for an extended period of time, our ongoing and planned clinical trials could be significantly delayed or otherwise adversely affected. Similarly, our ability to recruit and retain principal investigators and site staff who, as healthcare providers, may have heightened exposure to COVID-19, may be adversely impacted.</w:t>
      </w:r>
    </w:p>
    <w:p>
      <w:pPr>
        <w:spacing w:after="0" w:line="76" w:lineRule="exact"/>
        <w:rPr>
          <w:sz w:val="20"/>
          <w:szCs w:val="20"/>
          <w:color w:val="auto"/>
        </w:rPr>
      </w:pPr>
    </w:p>
    <w:p>
      <w:pPr>
        <w:ind w:right="20" w:firstLine="386"/>
        <w:spacing w:after="0" w:line="291" w:lineRule="auto"/>
        <w:rPr>
          <w:sz w:val="20"/>
          <w:szCs w:val="20"/>
          <w:color w:val="auto"/>
        </w:rPr>
      </w:pPr>
      <w:r>
        <w:rPr>
          <w:rFonts w:ascii="Arial" w:cs="Arial" w:eastAsia="Arial" w:hAnsi="Arial"/>
          <w:sz w:val="16"/>
          <w:szCs w:val="16"/>
          <w:color w:val="auto"/>
        </w:rPr>
        <w:t>In addition, ongoing or planned clinical trials may also be impacted by interruptions or delays in the operations of the FDA and comparable foreign regulatory agencies. For example,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amended our clinical trial protocols to enable remote visits to mitigate any potential impacts as a result of the COVID-19 pandemic. As a result of this home health component, the overall costs of our Phase 2b clinical trials have increased and may continue to increase in the future. Many of these adjustments are new and untested, may not be effective, may affect the integrity of data collected, and may have unforeseen effects on the progress and completion of our clinical trials and the findings from such clinical trials.</w:t>
      </w:r>
    </w:p>
    <w:p>
      <w:pPr>
        <w:spacing w:after="0" w:line="58" w:lineRule="exact"/>
        <w:rPr>
          <w:sz w:val="20"/>
          <w:szCs w:val="20"/>
          <w:color w:val="auto"/>
        </w:rPr>
      </w:pPr>
    </w:p>
    <w:p>
      <w:pPr>
        <w:ind w:right="420" w:firstLine="386"/>
        <w:spacing w:after="0" w:line="277" w:lineRule="auto"/>
        <w:rPr>
          <w:sz w:val="20"/>
          <w:szCs w:val="20"/>
          <w:color w:val="auto"/>
        </w:rPr>
      </w:pPr>
      <w:r>
        <w:rPr>
          <w:rFonts w:ascii="Arial" w:cs="Arial" w:eastAsia="Arial" w:hAnsi="Arial"/>
          <w:sz w:val="18"/>
          <w:szCs w:val="18"/>
          <w:color w:val="auto"/>
        </w:rPr>
        <w:t>In addition, we may encounter a shortage in supplies of, or in delays in shipping, our study drug or other components of the clinical trial vital for successful conduct of the trial. For example, in our two ongoing Phase 2b clinical trials, patients will continue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use their steroid regimen for the duration of the clinical trial. In particular, we have experienced a shortage of supply of hydrocortisone as a result of the COVID-19 pandemic, which if continued indefinitely, could adversely affect the timing and ultimately success of our clinical trials. Further, the successful conduct of our clinical trials depends on retrieving laboratory data from patients. Any failure by the laboratories with which we work to send us such data could impair the progress of such clinical trials. These events could delay our clinical trials, increase the cost of completing our clinical trials, and negatively impact the integrity, reliability, or robustness of the data from our clinical trials.</w:t>
      </w:r>
    </w:p>
    <w:p>
      <w:pPr>
        <w:spacing w:after="0" w:line="80" w:lineRule="exact"/>
        <w:rPr>
          <w:sz w:val="20"/>
          <w:szCs w:val="20"/>
          <w:color w:val="auto"/>
        </w:rPr>
      </w:pPr>
    </w:p>
    <w:p>
      <w:pPr>
        <w:ind w:right="80" w:firstLine="386"/>
        <w:spacing w:after="0" w:line="255" w:lineRule="auto"/>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 disrupt the supply chain for tildacerfont.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tildacerfont or otherwise advancing development of tildacerfont may become impaired.</w:t>
      </w:r>
    </w:p>
    <w:p>
      <w:pPr>
        <w:spacing w:after="0" w:line="84" w:lineRule="exact"/>
        <w:rPr>
          <w:sz w:val="20"/>
          <w:szCs w:val="20"/>
          <w:color w:val="auto"/>
        </w:rPr>
      </w:pPr>
    </w:p>
    <w:p>
      <w:pPr>
        <w:ind w:right="40" w:firstLine="386"/>
        <w:spacing w:after="0" w:line="257" w:lineRule="auto"/>
        <w:rPr>
          <w:sz w:val="20"/>
          <w:szCs w:val="20"/>
          <w:color w:val="auto"/>
        </w:rPr>
      </w:pPr>
      <w:r>
        <w:rPr>
          <w:rFonts w:ascii="Arial" w:cs="Arial" w:eastAsia="Arial" w:hAnsi="Arial"/>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common stock or such sales may be on unfavorable terms.</w:t>
      </w:r>
    </w:p>
    <w:p>
      <w:pPr>
        <w:spacing w:after="0" w:line="80" w:lineRule="exact"/>
        <w:rPr>
          <w:sz w:val="20"/>
          <w:szCs w:val="20"/>
          <w:color w:val="auto"/>
        </w:rPr>
      </w:pPr>
    </w:p>
    <w:p>
      <w:pPr>
        <w:ind w:right="60" w:firstLine="386"/>
        <w:spacing w:after="0" w:line="286" w:lineRule="auto"/>
        <w:rPr>
          <w:sz w:val="20"/>
          <w:szCs w:val="20"/>
          <w:color w:val="auto"/>
        </w:rPr>
      </w:pPr>
      <w:r>
        <w:rPr>
          <w:rFonts w:ascii="Arial" w:cs="Arial" w:eastAsia="Arial" w:hAnsi="Arial"/>
          <w:sz w:val="17"/>
          <w:szCs w:val="17"/>
          <w:color w:val="auto"/>
        </w:rPr>
        <w:t>COVID-19 and actions taken to reduce its spread continue to evolve.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57" w:lineRule="exact"/>
        <w:rPr>
          <w:sz w:val="20"/>
          <w:szCs w:val="20"/>
          <w:color w:val="auto"/>
        </w:rPr>
      </w:pPr>
    </w:p>
    <w:p>
      <w:pPr>
        <w:ind w:right="400" w:firstLine="386"/>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6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57"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62"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potential to bring therapeutic benefit to patients suffering from endocrine disorders where the underlying pathophysiology supports a need to reduce excess secretion of or hyperresponsiveness to ACTH, including, but not limited to, non-classic CAH and a subpopulation of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6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1"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79"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We plan to conduct several clinical trials for tildacerfont in parallel over the next several years, including multiple clinical trials in adult and pediatric patients with classic CAH and in a subpopulation of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58"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79" w:lineRule="exact"/>
        <w:rPr>
          <w:sz w:val="20"/>
          <w:szCs w:val="20"/>
          <w:color w:val="auto"/>
        </w:rPr>
      </w:pPr>
    </w:p>
    <w:p>
      <w:pPr>
        <w:ind w:right="380" w:firstLine="382"/>
        <w:spacing w:after="0" w:line="277" w:lineRule="auto"/>
        <w:rPr>
          <w:sz w:val="20"/>
          <w:szCs w:val="20"/>
          <w:color w:val="auto"/>
        </w:rPr>
      </w:pPr>
      <w:r>
        <w:rPr>
          <w:rFonts w:ascii="Arial" w:cs="Arial" w:eastAsia="Arial" w:hAnsi="Arial"/>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firstLine="382"/>
        <w:spacing w:after="0" w:line="253" w:lineRule="auto"/>
        <w:rPr>
          <w:sz w:val="20"/>
          <w:szCs w:val="20"/>
          <w:color w:val="auto"/>
        </w:rPr>
      </w:pPr>
      <w:r>
        <w:rPr>
          <w:rFonts w:ascii="Arial" w:cs="Arial" w:eastAsia="Arial" w:hAnsi="Arial"/>
          <w:sz w:val="18"/>
          <w:szCs w:val="18"/>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We expect to submit a Marketing Authorization Application, or MAA, to the EMA for approval of tildacerfont in the EU for the treatment of classic CAH. As with the FDA, obtaining approval of an MAA from the European Commission is a similarly lengthy and expensive process and the EMA has its own procedures for approval for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76" w:lineRule="exact"/>
        <w:rPr>
          <w:sz w:val="20"/>
          <w:szCs w:val="20"/>
          <w:color w:val="auto"/>
        </w:rPr>
      </w:pPr>
    </w:p>
    <w:p>
      <w:pPr>
        <w:ind w:right="240" w:firstLine="382"/>
        <w:spacing w:after="0" w:line="259"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 and Europe.</w:t>
      </w:r>
    </w:p>
    <w:p>
      <w:pPr>
        <w:spacing w:after="0" w:line="79" w:lineRule="exact"/>
        <w:rPr>
          <w:sz w:val="20"/>
          <w:szCs w:val="20"/>
          <w:color w:val="auto"/>
        </w:rPr>
      </w:pPr>
    </w:p>
    <w:p>
      <w:pPr>
        <w:ind w:right="60" w:firstLine="382"/>
        <w:spacing w:after="0" w:line="271" w:lineRule="auto"/>
        <w:rPr>
          <w:sz w:val="20"/>
          <w:szCs w:val="20"/>
          <w:color w:val="auto"/>
        </w:rPr>
      </w:pPr>
      <w:r>
        <w:rPr>
          <w:rFonts w:ascii="Arial" w:cs="Arial" w:eastAsia="Arial" w:hAnsi="Arial"/>
          <w:sz w:val="17"/>
          <w:szCs w:val="17"/>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sz w:val="20"/>
          <w:szCs w:val="20"/>
          <w:color w:val="auto"/>
        </w:rPr>
      </w:pPr>
    </w:p>
    <w:p>
      <w:pPr>
        <w:ind w:right="240" w:firstLine="382"/>
        <w:spacing w:after="0" w:line="259"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79" w:lineRule="exact"/>
        <w:rPr>
          <w:sz w:val="20"/>
          <w:szCs w:val="20"/>
          <w:color w:val="auto"/>
        </w:rPr>
      </w:pPr>
    </w:p>
    <w:p>
      <w:pPr>
        <w:ind w:right="200" w:firstLine="382"/>
        <w:spacing w:after="0" w:line="263" w:lineRule="auto"/>
        <w:rPr>
          <w:sz w:val="20"/>
          <w:szCs w:val="20"/>
          <w:color w:val="auto"/>
        </w:rPr>
      </w:pPr>
      <w:r>
        <w:rPr>
          <w:rFonts w:ascii="Arial" w:cs="Arial" w:eastAsia="Arial" w:hAnsi="Arial"/>
          <w:sz w:val="18"/>
          <w:szCs w:val="18"/>
          <w:color w:val="auto"/>
        </w:rPr>
        <w:t>We conduct our operations in Daly City,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76"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70" w:lineRule="exact"/>
        <w:rPr>
          <w:sz w:val="20"/>
          <w:szCs w:val="20"/>
          <w:color w:val="auto"/>
        </w:rPr>
      </w:pPr>
    </w:p>
    <w:p>
      <w:pPr>
        <w:ind w:right="120" w:firstLine="382"/>
        <w:spacing w:after="0" w:line="301" w:lineRule="auto"/>
        <w:rPr>
          <w:sz w:val="20"/>
          <w:szCs w:val="20"/>
          <w:color w:val="auto"/>
        </w:rPr>
      </w:pPr>
      <w:r>
        <w:rPr>
          <w:rFonts w:ascii="Arial" w:cs="Arial" w:eastAsia="Arial" w:hAnsi="Arial"/>
          <w:sz w:val="16"/>
          <w:szCs w:val="16"/>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3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retirement and resignation of our former Chief Executive Officer and member of our board of directors may be disruptive and our ability to successfully manage this transition could impact our business.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On November 15, 2021, we announced that Richard King had retired and resigned as our Chief Executive Officer and a member of our board of directors. Michael Grey, the Executive Chairman of our board of directors, will serve as interim Chief Executive Officer and principal executive officer effective immediately, until a new Chief Executive Officer and principal executive officer is appointed. Leadership transitions can be difficult to manage and may cause disruptions to our operations. The leadership transition may also increase the likelihood of turnover among our employees and result in changes in our business strategy, which may create uncertainty and negatively impact our ability to execute our business strategy quickly and effectively. The Chief Executive Officer transition may also impact our relationships with licensors and suppliers, and create uncertainty among investors, employees, creditors and others concerning our future direction and performance. Any significant disruption, uncertainty or change in business strategy could adversely affect our business, financial condition and operating results.</w:t>
      </w:r>
    </w:p>
    <w:p>
      <w:pPr>
        <w:spacing w:after="0" w:line="3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62"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235 subjects across eight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or ALT, between five and nine times the upper limit of normal, or ULN, elevations in aspartate aminotransferase, or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76" w:lineRule="exact"/>
        <w:rPr>
          <w:sz w:val="20"/>
          <w:szCs w:val="20"/>
          <w:color w:val="auto"/>
        </w:rPr>
      </w:pPr>
    </w:p>
    <w:p>
      <w:pPr>
        <w:ind w:right="360" w:firstLine="382"/>
        <w:spacing w:after="0" w:line="308" w:lineRule="auto"/>
        <w:rPr>
          <w:sz w:val="20"/>
          <w:szCs w:val="20"/>
          <w:color w:val="auto"/>
        </w:rPr>
      </w:pPr>
      <w:r>
        <w:rPr>
          <w:rFonts w:ascii="Arial" w:cs="Arial" w:eastAsia="Arial" w:hAnsi="Arial"/>
          <w:sz w:val="17"/>
          <w:szCs w:val="17"/>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38" w:lineRule="exact"/>
        <w:rPr>
          <w:sz w:val="20"/>
          <w:szCs w:val="20"/>
          <w:color w:val="auto"/>
        </w:rPr>
      </w:pPr>
    </w:p>
    <w:p>
      <w:pPr>
        <w:ind w:right="400" w:firstLine="382"/>
        <w:spacing w:after="0" w:line="308" w:lineRule="auto"/>
        <w:rPr>
          <w:sz w:val="20"/>
          <w:szCs w:val="20"/>
          <w:color w:val="auto"/>
        </w:rPr>
      </w:pPr>
      <w:r>
        <w:rPr>
          <w:rFonts w:ascii="Arial" w:cs="Arial" w:eastAsia="Arial" w:hAnsi="Arial"/>
          <w:sz w:val="17"/>
          <w:szCs w:val="17"/>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38" w:lineRule="exact"/>
        <w:rPr>
          <w:sz w:val="20"/>
          <w:szCs w:val="20"/>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decide to remove the product form the marketplace;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approvals or change their approvals of such product;</w:t>
      </w:r>
    </w:p>
    <w:p>
      <w:pPr>
        <w:spacing w:after="0" w:line="144" w:lineRule="exact"/>
        <w:rPr>
          <w:rFonts w:ascii="Arial" w:cs="Arial" w:eastAsia="Arial" w:hAnsi="Arial"/>
          <w:sz w:val="18"/>
          <w:szCs w:val="18"/>
          <w:color w:val="auto"/>
        </w:rPr>
      </w:pPr>
    </w:p>
    <w:p>
      <w:pPr>
        <w:ind w:left="760" w:right="100" w:hanging="374"/>
        <w:spacing w:after="0" w:line="308"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144"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sued and held liable for harm caused to subjects or patients;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144"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76"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84"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44" w:lineRule="exact"/>
        <w:rPr>
          <w:rFonts w:ascii="Arial" w:cs="Arial" w:eastAsia="Arial" w:hAnsi="Arial"/>
          <w:sz w:val="18"/>
          <w:szCs w:val="18"/>
          <w:color w:val="auto"/>
        </w:rPr>
      </w:pPr>
    </w:p>
    <w:p>
      <w:pPr>
        <w:ind w:left="760" w:right="50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62" w:lineRule="exact"/>
        <w:rPr>
          <w:rFonts w:ascii="Arial" w:cs="Arial" w:eastAsia="Arial" w:hAnsi="Arial"/>
          <w:sz w:val="18"/>
          <w:szCs w:val="18"/>
          <w:color w:val="auto"/>
        </w:rPr>
      </w:pPr>
    </w:p>
    <w:p>
      <w:pPr>
        <w:ind w:left="760" w:right="14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withdraw or modify regulatory approval;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modify any ongoing clinical trials;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144" w:lineRule="exact"/>
        <w:rPr>
          <w:sz w:val="20"/>
          <w:szCs w:val="20"/>
          <w:color w:val="auto"/>
        </w:rPr>
      </w:pPr>
    </w:p>
    <w:p>
      <w:pPr>
        <w:ind w:right="220" w:firstLine="382"/>
        <w:spacing w:after="0" w:line="342" w:lineRule="auto"/>
        <w:rPr>
          <w:sz w:val="20"/>
          <w:szCs w:val="20"/>
          <w:color w:val="auto"/>
        </w:rPr>
      </w:pPr>
      <w:r>
        <w:rPr>
          <w:rFonts w:ascii="Arial" w:cs="Arial" w:eastAsia="Arial" w:hAnsi="Arial"/>
          <w:sz w:val="16"/>
          <w:szCs w:val="16"/>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16" w:lineRule="exact"/>
        <w:rPr>
          <w:sz w:val="20"/>
          <w:szCs w:val="20"/>
          <w:color w:val="auto"/>
        </w:rPr>
      </w:pPr>
    </w:p>
    <w:p>
      <w:pPr>
        <w:ind w:right="60" w:firstLine="382"/>
        <w:spacing w:after="0" w:line="29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or the DOJ, the Office of 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58" w:lineRule="exact"/>
        <w:rPr>
          <w:sz w:val="20"/>
          <w:szCs w:val="20"/>
          <w:color w:val="auto"/>
        </w:rPr>
      </w:pPr>
    </w:p>
    <w:p>
      <w:pPr>
        <w:ind w:right="180" w:firstLine="382"/>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80"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79" w:lineRule="exact"/>
        <w:rPr>
          <w:sz w:val="20"/>
          <w:szCs w:val="20"/>
          <w:color w:val="auto"/>
        </w:rPr>
      </w:pPr>
    </w:p>
    <w:p>
      <w:pPr>
        <w:ind w:right="80" w:firstLine="382"/>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68"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Separately, in response to the global COVID-19 pandemic, in March 2020 the FDA announced its intention to postpone most foreign inspections of manufacturing facilities and products and routine surveillance inspections of domestic manufacturing facilities. In July 2020, the FDA restarted routine pre-announced surveillance inspections of domestic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62" w:lineRule="exact"/>
        <w:rPr>
          <w:sz w:val="20"/>
          <w:szCs w:val="20"/>
          <w:color w:val="auto"/>
        </w:rPr>
      </w:pPr>
    </w:p>
    <w:p>
      <w:pPr>
        <w:ind w:right="180" w:firstLine="382"/>
        <w:spacing w:after="0" w:line="286" w:lineRule="auto"/>
        <w:rPr>
          <w:sz w:val="20"/>
          <w:szCs w:val="20"/>
          <w:color w:val="auto"/>
        </w:rPr>
      </w:pPr>
      <w:r>
        <w:rPr>
          <w:rFonts w:ascii="Arial" w:cs="Arial" w:eastAsia="Arial" w:hAnsi="Arial"/>
          <w:sz w:val="17"/>
          <w:szCs w:val="17"/>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57" w:lineRule="exact"/>
        <w:rPr>
          <w:sz w:val="20"/>
          <w:szCs w:val="20"/>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physicians and patients considering the product as a safe and effective treatment;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over alternative treatments;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144" w:lineRule="exact"/>
        <w:rPr>
          <w:rFonts w:ascii="Arial" w:cs="Arial" w:eastAsia="Arial" w:hAnsi="Arial"/>
          <w:sz w:val="18"/>
          <w:szCs w:val="18"/>
          <w:color w:val="auto"/>
        </w:rPr>
      </w:pPr>
    </w:p>
    <w:p>
      <w:pPr>
        <w:ind w:left="760" w:right="22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44" w:lineRule="exact"/>
        <w:rPr>
          <w:rFonts w:ascii="Arial" w:cs="Arial" w:eastAsia="Arial" w:hAnsi="Arial"/>
          <w:sz w:val="18"/>
          <w:szCs w:val="18"/>
          <w:color w:val="auto"/>
        </w:rPr>
      </w:pPr>
    </w:p>
    <w:p>
      <w:pPr>
        <w:ind w:left="760" w:right="24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any collaboration or distribution partner on whom we rely for sales in foreign jurisdictions.</w:t>
      </w:r>
    </w:p>
    <w:p>
      <w:pPr>
        <w:spacing w:after="0" w:line="62"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63"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prohibitions on the sale or marketing of tildacerfont and any future product candidates, significant fines, penalties, sanctions, or product liability claims, and our image and reputation within the industry and marketplace could be harmed.</w:t>
      </w:r>
    </w:p>
    <w:p>
      <w:pPr>
        <w:spacing w:after="0" w:line="62" w:lineRule="exact"/>
        <w:rPr>
          <w:sz w:val="20"/>
          <w:szCs w:val="20"/>
          <w:color w:val="auto"/>
        </w:rPr>
      </w:pPr>
    </w:p>
    <w:p>
      <w:pPr>
        <w:ind w:right="40" w:firstLine="382"/>
        <w:spacing w:after="0" w:line="268" w:lineRule="auto"/>
        <w:rPr>
          <w:sz w:val="20"/>
          <w:szCs w:val="20"/>
          <w:color w:val="auto"/>
        </w:rPr>
      </w:pPr>
      <w:r>
        <w:rPr>
          <w:rFonts w:ascii="Arial" w:cs="Arial" w:eastAsia="Arial" w:hAnsi="Arial"/>
          <w:sz w:val="17"/>
          <w:szCs w:val="17"/>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62"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70" w:lineRule="exact"/>
        <w:rPr>
          <w:sz w:val="20"/>
          <w:szCs w:val="20"/>
          <w:color w:val="auto"/>
        </w:rPr>
      </w:pPr>
    </w:p>
    <w:p>
      <w:pPr>
        <w:ind w:right="100" w:firstLine="382"/>
        <w:spacing w:after="0" w:line="26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76" w:lineRule="exact"/>
        <w:rPr>
          <w:sz w:val="20"/>
          <w:szCs w:val="20"/>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44"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84"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80" w:lineRule="exact"/>
        <w:rPr>
          <w:sz w:val="20"/>
          <w:szCs w:val="20"/>
          <w:color w:val="auto"/>
        </w:rPr>
      </w:pPr>
    </w:p>
    <w:p>
      <w:pPr>
        <w:ind w:right="240" w:firstLine="382"/>
        <w:spacing w:after="0" w:line="263" w:lineRule="auto"/>
        <w:rPr>
          <w:sz w:val="20"/>
          <w:szCs w:val="20"/>
          <w:color w:val="auto"/>
        </w:rPr>
      </w:pPr>
      <w:r>
        <w:rPr>
          <w:rFonts w:ascii="Arial" w:cs="Arial" w:eastAsia="Arial" w:hAnsi="Arial"/>
          <w:sz w:val="18"/>
          <w:szCs w:val="18"/>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80"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8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16"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49" w:lineRule="exact"/>
        <w:rPr>
          <w:sz w:val="20"/>
          <w:szCs w:val="20"/>
          <w:color w:val="auto"/>
        </w:rPr>
      </w:pPr>
    </w:p>
    <w:p>
      <w:pPr>
        <w:ind w:right="120" w:firstLine="382"/>
        <w:spacing w:after="0" w:line="271"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or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or CMS, to test innovative payment and service delivery models to lower Medicare and Medicaid spending.</w:t>
      </w:r>
    </w:p>
    <w:p>
      <w:pPr>
        <w:spacing w:after="0" w:line="70" w:lineRule="exact"/>
        <w:rPr>
          <w:sz w:val="20"/>
          <w:szCs w:val="20"/>
          <w:color w:val="auto"/>
        </w:rPr>
      </w:pPr>
    </w:p>
    <w:p>
      <w:pPr>
        <w:ind w:firstLine="382"/>
        <w:spacing w:after="0" w:line="268" w:lineRule="auto"/>
        <w:rPr>
          <w:sz w:val="20"/>
          <w:szCs w:val="20"/>
          <w:color w:val="auto"/>
        </w:rPr>
      </w:pPr>
      <w:r>
        <w:rPr>
          <w:rFonts w:ascii="Arial" w:cs="Arial" w:eastAsia="Arial" w:hAnsi="Arial"/>
          <w:sz w:val="17"/>
          <w:szCs w:val="17"/>
          <w:color w:val="auto"/>
        </w:rPr>
        <w:t>There have been executive, judicial and Congressional challenges to certain aspects of the Affordable Care Act. By way of example, legislation enacted in 2017, informally titled the Tax Cuts and Jobs Act, or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78" w:lineRule="exact"/>
        <w:rPr>
          <w:sz w:val="20"/>
          <w:szCs w:val="20"/>
          <w:color w:val="auto"/>
        </w:rPr>
      </w:pPr>
    </w:p>
    <w:p>
      <w:pPr>
        <w:ind w:right="40" w:firstLine="386"/>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2030, with the exception of a temporary suspension from May 1, 2020 through December 31, 2021 due to COVID-19 relief legislation,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87" w:lineRule="exact"/>
        <w:rPr>
          <w:sz w:val="20"/>
          <w:szCs w:val="20"/>
          <w:color w:val="auto"/>
        </w:rPr>
      </w:pPr>
    </w:p>
    <w:p>
      <w:pPr>
        <w:ind w:right="660" w:firstLine="386"/>
        <w:spacing w:after="0" w:line="308" w:lineRule="auto"/>
        <w:rPr>
          <w:sz w:val="20"/>
          <w:szCs w:val="20"/>
          <w:color w:val="auto"/>
        </w:rPr>
      </w:pPr>
      <w:r>
        <w:rPr>
          <w:rFonts w:ascii="Arial" w:cs="Arial" w:eastAsia="Arial" w:hAnsi="Arial"/>
          <w:sz w:val="17"/>
          <w:szCs w:val="17"/>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state legislation designed to, among other things, bring more transparency to product pricing, review the relationship between pricing and manufacturer patient programs, and reform government program reimbursement methodologies for products.</w:t>
      </w:r>
    </w:p>
    <w:p>
      <w:pPr>
        <w:spacing w:after="0" w:line="62" w:lineRule="exact"/>
        <w:rPr>
          <w:sz w:val="20"/>
          <w:szCs w:val="20"/>
          <w:color w:val="auto"/>
        </w:rPr>
      </w:pPr>
    </w:p>
    <w:p>
      <w:pPr>
        <w:ind w:right="20" w:firstLine="386"/>
        <w:spacing w:after="0" w:line="285" w:lineRule="auto"/>
        <w:rPr>
          <w:sz w:val="20"/>
          <w:szCs w:val="20"/>
          <w:color w:val="auto"/>
        </w:rPr>
      </w:pPr>
      <w:r>
        <w:rPr>
          <w:rFonts w:ascii="Arial" w:cs="Arial" w:eastAsia="Arial" w:hAnsi="Arial"/>
          <w:sz w:val="16"/>
          <w:szCs w:val="16"/>
          <w:color w:val="auto"/>
        </w:rPr>
        <w:t>At the federal level, the previous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drug pricing that attempted to implement several of the Trump administration’s proposals. As a result, the FDA released a final rule on September 24, 2020, effective November 30, 2020, implementing a portion of the importation executive order.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the Trump administration’s Most Favored Nation, or MFN, executive order, which would tie Medicare Part B payments for certain physician-administered drugs to the lowest price paid in other economically advanced countries, effective January 1, 2021. As a result of litigation challenging the MFN model, on August 10, 2021, CMS published a proposed rule that seeks to rescind the MFN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In addition, Congress is considering drug pricing as part of the budget reconciliation process.</w:t>
      </w:r>
    </w:p>
    <w:p>
      <w:pPr>
        <w:spacing w:after="0" w:line="66" w:lineRule="exact"/>
        <w:rPr>
          <w:sz w:val="20"/>
          <w:szCs w:val="20"/>
          <w:color w:val="auto"/>
        </w:rPr>
      </w:pPr>
    </w:p>
    <w:p>
      <w:pPr>
        <w:ind w:right="160" w:firstLine="386"/>
        <w:spacing w:after="0" w:line="271" w:lineRule="auto"/>
        <w:rPr>
          <w:sz w:val="20"/>
          <w:szCs w:val="20"/>
          <w:color w:val="auto"/>
        </w:rPr>
      </w:pPr>
      <w:r>
        <w:rPr>
          <w:rFonts w:ascii="Arial" w:cs="Arial" w:eastAsia="Arial" w:hAnsi="Arial"/>
          <w:sz w:val="17"/>
          <w:szCs w:val="17"/>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70" w:lineRule="exact"/>
        <w:rPr>
          <w:sz w:val="20"/>
          <w:szCs w:val="20"/>
          <w:color w:val="auto"/>
        </w:rPr>
      </w:pPr>
    </w:p>
    <w:p>
      <w:pPr>
        <w:ind w:right="240" w:firstLine="386"/>
        <w:spacing w:after="0" w:line="273" w:lineRule="auto"/>
        <w:rPr>
          <w:sz w:val="20"/>
          <w:szCs w:val="20"/>
          <w:color w:val="auto"/>
        </w:rPr>
      </w:pPr>
      <w:r>
        <w:rPr>
          <w:rFonts w:ascii="Arial" w:cs="Arial" w:eastAsia="Arial" w:hAnsi="Arial"/>
          <w:sz w:val="17"/>
          <w:szCs w:val="17"/>
          <w:color w:val="auto"/>
        </w:rPr>
        <w:t>We expect that the Affordable Care Act,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In addition, it is possible that additional governmental action will be taken in response to the COVID-19 pandemic.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62" w:lineRule="exact"/>
        <w:rPr>
          <w:sz w:val="20"/>
          <w:szCs w:val="20"/>
          <w:color w:val="auto"/>
        </w:rPr>
      </w:pPr>
    </w:p>
    <w:p>
      <w:pPr>
        <w:ind w:right="360" w:firstLine="382"/>
        <w:spacing w:after="0" w:line="277" w:lineRule="auto"/>
        <w:rPr>
          <w:sz w:val="20"/>
          <w:szCs w:val="20"/>
          <w:color w:val="auto"/>
        </w:rPr>
      </w:pPr>
      <w:r>
        <w:rPr>
          <w:rFonts w:ascii="Arial" w:cs="Arial" w:eastAsia="Arial" w:hAnsi="Arial"/>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including differing reimbursement, pricing and insurance regimes;</w:t>
      </w:r>
    </w:p>
    <w:p>
      <w:pPr>
        <w:spacing w:after="0" w:line="144" w:lineRule="exact"/>
        <w:rPr>
          <w:rFonts w:ascii="Arial" w:cs="Arial" w:eastAsia="Arial" w:hAnsi="Arial"/>
          <w:sz w:val="18"/>
          <w:szCs w:val="18"/>
          <w:color w:val="auto"/>
        </w:rPr>
      </w:pPr>
    </w:p>
    <w:p>
      <w:pPr>
        <w:ind w:left="760" w:right="30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44" w:lineRule="exact"/>
        <w:rPr>
          <w:rFonts w:ascii="Arial" w:cs="Arial" w:eastAsia="Arial" w:hAnsi="Arial"/>
          <w:sz w:val="18"/>
          <w:szCs w:val="18"/>
          <w:color w:val="auto"/>
        </w:rPr>
      </w:pPr>
    </w:p>
    <w:p>
      <w:pPr>
        <w:ind w:left="760" w:right="140" w:hanging="374"/>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FCPA, or comparable foreign regulations;</w:t>
      </w:r>
    </w:p>
    <w:p>
      <w:pPr>
        <w:spacing w:after="0" w:line="144" w:lineRule="exact"/>
        <w:rPr>
          <w:rFonts w:ascii="Arial" w:cs="Arial" w:eastAsia="Arial" w:hAnsi="Arial"/>
          <w:sz w:val="18"/>
          <w:szCs w:val="18"/>
          <w:color w:val="auto"/>
        </w:rPr>
      </w:pPr>
    </w:p>
    <w:p>
      <w:pPr>
        <w:ind w:left="760" w:right="660" w:hanging="37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44" w:lineRule="exact"/>
        <w:rPr>
          <w:sz w:val="20"/>
          <w:szCs w:val="20"/>
          <w:color w:val="auto"/>
        </w:rPr>
      </w:pPr>
    </w:p>
    <w:p>
      <w:pPr>
        <w:ind w:right="760" w:firstLine="382"/>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additional product candidates, we may be unable to grow our business.</w:t>
      </w:r>
    </w:p>
    <w:p>
      <w:pPr>
        <w:spacing w:after="0" w:line="117" w:lineRule="exact"/>
        <w:rPr>
          <w:sz w:val="20"/>
          <w:szCs w:val="20"/>
          <w:color w:val="auto"/>
        </w:rPr>
      </w:pPr>
    </w:p>
    <w:p>
      <w:pPr>
        <w:ind w:right="60" w:firstLine="382"/>
        <w:spacing w:after="0" w:line="287" w:lineRule="auto"/>
        <w:rPr>
          <w:sz w:val="20"/>
          <w:szCs w:val="20"/>
          <w:color w:val="auto"/>
        </w:rPr>
      </w:pPr>
      <w:r>
        <w:rPr>
          <w:rFonts w:ascii="Arial" w:cs="Arial" w:eastAsia="Arial" w:hAnsi="Arial"/>
          <w:sz w:val="16"/>
          <w:szCs w:val="16"/>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tildacerfont for additional indications, our commercial opportunity may be limited.*</w:t>
      </w:r>
    </w:p>
    <w:p>
      <w:pPr>
        <w:spacing w:after="0" w:line="117"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One of our strategies is to pursue clinical development of tildacerfont in additional endocrine disorders, including, but not limited to, pediatric classic CAH and a subpopulation of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affect the development and commercial success of tildacerfont are efficacy, safety and tolerability profile, reliability, convenience of dosing, price and reimbursement.</w:t>
      </w:r>
    </w:p>
    <w:p>
      <w:pPr>
        <w:spacing w:after="0" w:line="62"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Although classic CAH is part of the newborn screening program in most developed countries, there are no known novel therapies that have been approved in approximately 50 years. We are aware of three other companies actively developing treatments for patients with classic CAH. Neurocrine Biosciences, Inc., or Neurocrine, is developing a CRF1 receptor antagonist and has completed a two-week Phase 2 clinical trial in adults with classic CAH. Neurocrine initiated a Phase 2 clinical trial in a pediatric classic CAH population and registrational trials for adult and pediatric patients with classic CAH. BridgeBio Pharma, Inc. is evaluating an AAV5 gene therapy product candidate to treat classic CAH in a Phase 1/2 proof of concept clinical trial. In addition, Crinetics Pharmaceuticals, Inc. initiated a Phase 1 clinical trial to evaluate the ability of an oral ACTH antagonist to suppress ACTH-stimulated secretion in healthy volunteers and reported preliminary findings from the single ascending dose portion of the study.</w:t>
      </w:r>
    </w:p>
    <w:p>
      <w:pPr>
        <w:spacing w:after="0" w:line="69"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In addition, while tildacerfont ultimately seeks to significantly reduce steroid use for patients with classic CAH, patients will continue use of their steroid regimen. As corticosteroids are the current standard of care for the treatment of classic CAH, in the United States alone, there are more than two dozen companies manufacturing steroid-based products. One such company is Diurnal Group PLC, or Diurnal, which is developing an exogenous cortisol treatment with a modified release intended to more closely match the physiological release profile of cortisol but announced a failed Phase 3 clinical trial in 2018 and placed its U.S. development activities on hold. Diurnal submitted a MAA to the EMA in December of 2019. In March 2021, the EMA announced a positive opinion from the Committee for Medicinal Products for Human Use (CHMP) on granting marketing approval for its exogenous cortisol treatment with a modified release for the treatment of adults and adolescents aged 12 and over with CAH. Diurnal announced that it has withdrawn its application for maintenance of orphan drug designation in Europe and launched in the EU. Diurnal also announced that the FDA agreed to a special protocol assessment for its exogenous cortisol treatment with a modified release for the treatments of patients aged 16 and over with CAH.</w:t>
      </w:r>
    </w:p>
    <w:p>
      <w:pPr>
        <w:spacing w:after="0" w:line="58"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62" w:lineRule="exact"/>
        <w:rPr>
          <w:sz w:val="20"/>
          <w:szCs w:val="20"/>
          <w:color w:val="auto"/>
        </w:rPr>
      </w:pPr>
    </w:p>
    <w:p>
      <w:pPr>
        <w:ind w:right="60" w:firstLine="382"/>
        <w:spacing w:after="0" w:line="289" w:lineRule="auto"/>
        <w:rPr>
          <w:sz w:val="20"/>
          <w:szCs w:val="20"/>
          <w:color w:val="auto"/>
        </w:rPr>
      </w:pPr>
      <w:r>
        <w:rPr>
          <w:rFonts w:ascii="Arial" w:cs="Arial" w:eastAsia="Arial" w:hAnsi="Arial"/>
          <w:sz w:val="16"/>
          <w:szCs w:val="16"/>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 that the marketing of the medicine would generate sufficient returns to justify the investment needed for its development.</w:t>
      </w:r>
    </w:p>
    <w:p>
      <w:pPr>
        <w:spacing w:after="0" w:line="58"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European Commission from approving another marketing application for the same drug (or, in the case of the EMA, a similar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it concludes that a subsequent application for the same drug for the same indication is clinically superior in that it is shown to be safer, more effective or makes a major contribution to patient care. In the EU, the EMA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80" w:lineRule="exact"/>
        <w:rPr>
          <w:sz w:val="20"/>
          <w:szCs w:val="20"/>
          <w:color w:val="auto"/>
        </w:rPr>
      </w:pPr>
    </w:p>
    <w:p>
      <w:pPr>
        <w:jc w:val="both"/>
        <w:ind w:right="280" w:firstLine="382"/>
        <w:spacing w:after="0" w:line="263"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76" w:lineRule="exact"/>
        <w:rPr>
          <w:sz w:val="20"/>
          <w:szCs w:val="20"/>
          <w:color w:val="auto"/>
        </w:rPr>
      </w:pPr>
    </w:p>
    <w:p>
      <w:pPr>
        <w:jc w:val="both"/>
        <w:ind w:right="280" w:firstLine="382"/>
        <w:spacing w:after="0" w:line="277" w:lineRule="auto"/>
        <w:rPr>
          <w:sz w:val="20"/>
          <w:szCs w:val="20"/>
          <w:color w:val="auto"/>
        </w:rPr>
      </w:pPr>
      <w:r>
        <w:rPr>
          <w:rFonts w:ascii="Arial" w:cs="Arial" w:eastAsia="Arial" w:hAnsi="Arial"/>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plan to pursue orphan drug designation for tildacerfont for the treatment of a subpopulation of females with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63" w:lineRule="exact"/>
        <w:rPr>
          <w:sz w:val="20"/>
          <w:szCs w:val="20"/>
          <w:color w:val="auto"/>
        </w:rPr>
      </w:pPr>
    </w:p>
    <w:p>
      <w:pPr>
        <w:ind w:right="140" w:firstLine="382"/>
        <w:spacing w:after="0" w:line="273" w:lineRule="auto"/>
        <w:rPr>
          <w:sz w:val="20"/>
          <w:szCs w:val="20"/>
          <w:color w:val="auto"/>
        </w:rPr>
      </w:pPr>
      <w:r>
        <w:rPr>
          <w:rFonts w:ascii="Arial" w:cs="Arial" w:eastAsia="Arial" w:hAnsi="Arial"/>
          <w:sz w:val="17"/>
          <w:szCs w:val="17"/>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If our incidence or prevalence estimates for the subpopulation of females with PCOS are incorrect, we may be unable to receive orphan drug designation.</w:t>
      </w:r>
    </w:p>
    <w:p>
      <w:pPr>
        <w:spacing w:after="0" w:line="70"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Even if the FDA grants orphan drug designation for tildacerfont for the treatment of a subpopulation of females with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62"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As of September 30, 2021, we had 19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57" w:lineRule="exact"/>
        <w:rPr>
          <w:sz w:val="20"/>
          <w:szCs w:val="20"/>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44" w:lineRule="exact"/>
        <w:rPr>
          <w:rFonts w:ascii="Arial" w:cs="Arial" w:eastAsia="Arial" w:hAnsi="Arial"/>
          <w:sz w:val="18"/>
          <w:szCs w:val="18"/>
          <w:color w:val="auto"/>
        </w:rPr>
      </w:pPr>
    </w:p>
    <w:p>
      <w:pPr>
        <w:ind w:left="760" w:right="580" w:hanging="374"/>
        <w:spacing w:after="0" w:line="308"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44" w:lineRule="exact"/>
        <w:rPr>
          <w:sz w:val="20"/>
          <w:szCs w:val="20"/>
          <w:color w:val="auto"/>
        </w:rPr>
      </w:pPr>
    </w:p>
    <w:p>
      <w:pPr>
        <w:ind w:right="40" w:firstLine="382"/>
        <w:spacing w:after="0" w:line="286" w:lineRule="auto"/>
        <w:rPr>
          <w:sz w:val="20"/>
          <w:szCs w:val="20"/>
          <w:color w:val="auto"/>
        </w:rPr>
      </w:pPr>
      <w:r>
        <w:rPr>
          <w:rFonts w:ascii="Arial" w:cs="Arial" w:eastAsia="Arial" w:hAnsi="Arial"/>
          <w:sz w:val="16"/>
          <w:szCs w:val="16"/>
          <w:color w:val="auto"/>
        </w:rPr>
        <w:t>In addition, we initiated enrollment in CAHmelia-203, our ongoing placebo-controlled, double-blind Phase 2b clinical trial in adult patients with classic CAH with poor disease control, and in CAHmelia-204, our second Phase 2b clinical trial in adult patients with classic CAH with good disease control focused on glucocorticoid reduction.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5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76"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In September 2019, we entered into the Loan Agreement providing for the Term Loan. In April 2020, we entered into a deferral agreement with Silicon Valley Bank, or the Deferral Agreement, whereby we and Silicon Valley Bank agreed to extend the repayment dates of all monthly payments of principal due and the maturity date with respect to the Term Loan by six months. In March 2021, we entered into the First Amendment with Silicon Valley Bank. The First Amendment increased the aggregate principal amount of the Term Loan commitment by Silicon Valley Bank to up to $30.0 million. As of December 31, 2020, we had $4.5 million outstanding under the Loan Agreement. Following the First Amendment, the principal amount due under the Loan Agreement was $5.0 million as of September 30, 2021.</w:t>
      </w:r>
    </w:p>
    <w:p>
      <w:pPr>
        <w:spacing w:after="0" w:line="84" w:lineRule="exact"/>
        <w:rPr>
          <w:sz w:val="20"/>
          <w:szCs w:val="20"/>
          <w:color w:val="auto"/>
        </w:rPr>
      </w:pPr>
    </w:p>
    <w:p>
      <w:pPr>
        <w:ind w:right="240" w:firstLine="382"/>
        <w:spacing w:after="0" w:line="257" w:lineRule="auto"/>
        <w:rPr>
          <w:sz w:val="20"/>
          <w:szCs w:val="20"/>
          <w:color w:val="auto"/>
        </w:rPr>
      </w:pPr>
      <w:r>
        <w:rPr>
          <w:rFonts w:ascii="Arial" w:cs="Arial" w:eastAsia="Arial" w:hAnsi="Arial"/>
          <w:sz w:val="18"/>
          <w:szCs w:val="18"/>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Valley Bank could foreclose on its security interest and liquidate some or all of the collateral, which would harm our business, financial condition, and results of operations and could require us to reduce or cease operations.</w:t>
      </w:r>
    </w:p>
    <w:p>
      <w:pPr>
        <w:spacing w:after="0" w:line="62"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58"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74" w:lineRule="exact"/>
        <w:rPr>
          <w:sz w:val="20"/>
          <w:szCs w:val="20"/>
          <w:color w:val="auto"/>
        </w:rPr>
      </w:pPr>
    </w:p>
    <w:p>
      <w:pPr>
        <w:ind w:right="480" w:firstLine="382"/>
        <w:spacing w:after="0" w:line="263" w:lineRule="auto"/>
        <w:rPr>
          <w:sz w:val="20"/>
          <w:szCs w:val="20"/>
          <w:color w:val="auto"/>
        </w:rPr>
      </w:pPr>
      <w:r>
        <w:rPr>
          <w:rFonts w:ascii="Arial" w:cs="Arial" w:eastAsia="Arial" w:hAnsi="Arial"/>
          <w:sz w:val="18"/>
          <w:szCs w:val="18"/>
          <w:color w:val="auto"/>
        </w:rPr>
        <w:t>For a more detailed description of the terms of the Loan Agreement, see the section titled “Management’s Discussion and Analysis of Financial Condition and Results of Operations—Liquidity and Capital Resources—Loan Agreement” and Note 6 to our condensed financial statements, each included elsewhere in this Quarterly Report on Form 10-Q.</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74"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79" w:lineRule="exact"/>
        <w:rPr>
          <w:sz w:val="20"/>
          <w:szCs w:val="20"/>
          <w:color w:val="auto"/>
        </w:rPr>
      </w:pPr>
    </w:p>
    <w:p>
      <w:pPr>
        <w:ind w:right="400"/>
        <w:spacing w:after="0" w:line="340" w:lineRule="auto"/>
        <w:rPr>
          <w:sz w:val="20"/>
          <w:szCs w:val="20"/>
          <w:color w:val="auto"/>
        </w:rPr>
      </w:pPr>
      <w:r>
        <w:rPr>
          <w:rFonts w:ascii="Arial" w:cs="Arial" w:eastAsia="Arial" w:hAnsi="Arial"/>
          <w:sz w:val="15"/>
          <w:szCs w:val="15"/>
          <w:b w:val="1"/>
          <w:bCs w:val="1"/>
          <w:i w:val="1"/>
          <w:iCs w:val="1"/>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23" w:lineRule="exact"/>
        <w:rPr>
          <w:sz w:val="20"/>
          <w:szCs w:val="20"/>
          <w:color w:val="auto"/>
        </w:rPr>
      </w:pPr>
    </w:p>
    <w:p>
      <w:pPr>
        <w:ind w:right="160" w:firstLine="382"/>
        <w:spacing w:after="0" w:line="254" w:lineRule="auto"/>
        <w:rPr>
          <w:sz w:val="20"/>
          <w:szCs w:val="20"/>
          <w:color w:val="auto"/>
        </w:rPr>
      </w:pPr>
      <w:r>
        <w:rPr>
          <w:rFonts w:ascii="Arial" w:cs="Arial" w:eastAsia="Arial" w:hAnsi="Arial"/>
          <w:sz w:val="18"/>
          <w:szCs w:val="18"/>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84" w:lineRule="exact"/>
        <w:rPr>
          <w:sz w:val="20"/>
          <w:szCs w:val="20"/>
          <w:color w:val="auto"/>
        </w:rPr>
      </w:pPr>
    </w:p>
    <w:p>
      <w:pPr>
        <w:ind w:left="760" w:right="60" w:hanging="374"/>
        <w:spacing w:after="0" w:line="290"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57" w:lineRule="exact"/>
        <w:rPr>
          <w:rFonts w:ascii="Arial" w:cs="Arial" w:eastAsia="Arial" w:hAnsi="Arial"/>
          <w:sz w:val="16"/>
          <w:szCs w:val="16"/>
          <w:color w:val="auto"/>
        </w:rPr>
      </w:pPr>
    </w:p>
    <w:p>
      <w:pPr>
        <w:ind w:left="760" w:hanging="374"/>
        <w:spacing w:after="0" w:line="273"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69" w:lineRule="exact"/>
        <w:rPr>
          <w:rFonts w:ascii="Arial" w:cs="Arial" w:eastAsia="Arial" w:hAnsi="Arial"/>
          <w:sz w:val="17"/>
          <w:szCs w:val="17"/>
          <w:color w:val="auto"/>
        </w:rPr>
      </w:pPr>
    </w:p>
    <w:p>
      <w:pPr>
        <w:ind w:left="760" w:right="60" w:hanging="374"/>
        <w:spacing w:after="0" w:line="272"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ind w:left="760" w:right="120" w:hanging="374"/>
        <w:spacing w:after="0" w:line="259"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spacing w:after="0" w:line="78" w:lineRule="exact"/>
        <w:rPr>
          <w:rFonts w:ascii="Arial" w:cs="Arial" w:eastAsia="Arial" w:hAnsi="Arial"/>
          <w:sz w:val="18"/>
          <w:szCs w:val="18"/>
          <w:color w:val="auto"/>
        </w:rPr>
      </w:pPr>
    </w:p>
    <w:p>
      <w:pPr>
        <w:ind w:left="760" w:hanging="374"/>
        <w:spacing w:after="0" w:line="293"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such reporting obligations will include payments and other transfers of value provided during the previous year to physician assistants, nurse practitioners, clinical nurse specialists, anesthesiologist assistants, certified nurse anesthetists, and certified nurse-midwives.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or GDPR, governing the privacy and security of health information in some circumstances, many of which differ from each other in significant ways and often are not preempted by HIPAA, thus complicating compliance efforts.</w:t>
      </w:r>
    </w:p>
    <w:p>
      <w:pPr>
        <w:spacing w:after="0" w:line="73" w:lineRule="exact"/>
        <w:rPr>
          <w:sz w:val="20"/>
          <w:szCs w:val="20"/>
          <w:color w:val="auto"/>
        </w:rPr>
      </w:pPr>
    </w:p>
    <w:p>
      <w:pPr>
        <w:ind w:right="520" w:firstLine="382"/>
        <w:spacing w:after="0" w:line="277" w:lineRule="auto"/>
        <w:rPr>
          <w:sz w:val="20"/>
          <w:szCs w:val="20"/>
          <w:color w:val="auto"/>
        </w:rPr>
      </w:pPr>
      <w:r>
        <w:rPr>
          <w:rFonts w:ascii="Arial" w:cs="Arial" w:eastAsia="Arial" w:hAnsi="Arial"/>
          <w:sz w:val="18"/>
          <w:szCs w:val="18"/>
          <w:color w:val="auto"/>
        </w:rPr>
        <w:t>Additionally, we may be subject to federal consumer protection and unfair competition laws, which broadly regulate marketplace activities and activities that potentially harm consumers.</w:t>
      </w:r>
    </w:p>
    <w:p>
      <w:pPr>
        <w:spacing w:after="0" w:line="62" w:lineRule="exact"/>
        <w:rPr>
          <w:sz w:val="20"/>
          <w:szCs w:val="20"/>
          <w:color w:val="auto"/>
        </w:rPr>
      </w:pPr>
    </w:p>
    <w:p>
      <w:pPr>
        <w:ind w:right="40" w:firstLine="382"/>
        <w:spacing w:after="0" w:line="286"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internal computer systems, or those used by our third-party collaborators or other contractors or consultants, may fail or suffer security breaches.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those of our third-party collaborators, consultants, contractors, suppliers, and service providers, may be vulnerable to damage from physical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electronic break-ins, computer viruses, malware, ransomware, natural disasters, terrorism, war, telecommunication and electrical failure, denial of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cyberattacks or disruptive incidents that could result in unauthorized access to, use or disclosure of, corruption of, or loss of sensitive, and/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proprietary data, including personal information, including health-related information, and could subject us to significant liabilities and regulatory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enforcement actions, and reputational damage. For example, the loss of clinical trial data from completed or ongoing clinical trials could result in delays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regulatory approval or clearance efforts and significantly increase our costs to recover or reproduce the data, and subsequently commercialize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Additionally, theft of our intellectual property or proprietary business information could require substantial expenditures to remedy. If we or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third-party collaborators, consultants, contractors, suppliers, or service providers were to suffer an attack or breach, for example, that resulted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unauthorized access to or use or disclosure of personal or health information, we may have to notify consumers, partners, collaborators, government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authorities, and the media, and may be subject to investigations, civil penalties, administrative and enforcement actions, and litigation, any of which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harm our business and reputation. Likewise, we rely on our third-party research institution collaborators and other third parties to conduct clinical trials,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similar events relating to their computer systems could also have a material adverse effect on our business. The COVID-19 pandemic has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the risk of cybersecurity intrusions. For example, there has been an increase in phishing and spam emails as well as social engineering attempts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“hackers” hoping to use the recent COVID-19 pandemic to their advantage. To the extent that any disruption or security breach were to result in a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or damage to, our data or systems, or inappropriate or unauthorized access to or disclosure or use of confidential, proprietary, or other sensitive,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 or health information, we could incur liability and suffer reputational harm, and the development and commercialization of tildacerfont could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delayed.</w:t>
      </w:r>
    </w:p>
    <w:p>
      <w:pPr>
        <w:spacing w:after="0" w:line="103"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firstLine="382"/>
        <w:spacing w:after="0" w:line="293" w:lineRule="auto"/>
        <w:rPr>
          <w:sz w:val="20"/>
          <w:szCs w:val="20"/>
          <w:color w:val="auto"/>
        </w:rPr>
      </w:pPr>
      <w:r>
        <w:rPr>
          <w:rFonts w:ascii="Arial" w:cs="Arial" w:eastAsia="Arial" w:hAnsi="Arial"/>
          <w:sz w:val="16"/>
          <w:szCs w:val="16"/>
          <w:color w:val="auto"/>
        </w:rPr>
        <w:t>We and our partners may be subject to federal, state, and foreign data protection laws and regulations, as well as other rules, standards, policies and contractual or other obligations, relating to the collection, use, retention, security, disclosure, transfer and other processing of personal data, collectively, Data Protection Requirements. If we fail, or are perceived to have failed, to address or comply with any such Data Protection Requirements, this could result in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against us for our actual or perceived failure to comply with the Data Protection Requirements.</w:t>
      </w:r>
    </w:p>
    <w:p>
      <w:pPr>
        <w:spacing w:after="0" w:line="56" w:lineRule="exact"/>
        <w:rPr>
          <w:sz w:val="20"/>
          <w:szCs w:val="20"/>
          <w:color w:val="auto"/>
        </w:rPr>
      </w:pPr>
    </w:p>
    <w:p>
      <w:pPr>
        <w:ind w:right="120" w:firstLine="382"/>
        <w:spacing w:after="0" w:line="254" w:lineRule="auto"/>
        <w:rPr>
          <w:sz w:val="20"/>
          <w:szCs w:val="20"/>
          <w:color w:val="auto"/>
        </w:rPr>
      </w:pPr>
      <w:r>
        <w:rPr>
          <w:rFonts w:ascii="Arial" w:cs="Arial" w:eastAsia="Arial" w:hAnsi="Arial"/>
          <w:sz w:val="18"/>
          <w:szCs w:val="18"/>
          <w:color w:val="auto"/>
        </w:rPr>
        <w:t>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If we violate HIPAA, we may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87" w:lineRule="exact"/>
        <w:rPr>
          <w:sz w:val="20"/>
          <w:szCs w:val="20"/>
          <w:color w:val="auto"/>
        </w:rPr>
      </w:pPr>
    </w:p>
    <w:p>
      <w:pPr>
        <w:ind w:right="220" w:firstLine="382"/>
        <w:spacing w:after="0" w:line="257" w:lineRule="auto"/>
        <w:rPr>
          <w:sz w:val="20"/>
          <w:szCs w:val="20"/>
          <w:color w:val="auto"/>
        </w:rPr>
      </w:pPr>
      <w:r>
        <w:rPr>
          <w:rFonts w:ascii="Arial" w:cs="Arial" w:eastAsia="Arial" w:hAnsi="Arial"/>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80"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In addition,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70" w:lineRule="exact"/>
        <w:rPr>
          <w:sz w:val="20"/>
          <w:szCs w:val="20"/>
          <w:color w:val="auto"/>
        </w:rPr>
      </w:pPr>
    </w:p>
    <w:p>
      <w:pPr>
        <w:ind w:right="40" w:firstLine="382"/>
        <w:spacing w:after="0" w:line="286" w:lineRule="auto"/>
        <w:rPr>
          <w:sz w:val="20"/>
          <w:szCs w:val="20"/>
          <w:color w:val="auto"/>
        </w:rPr>
      </w:pPr>
      <w:r>
        <w:rPr>
          <w:rFonts w:ascii="Arial" w:cs="Arial" w:eastAsia="Arial" w:hAnsi="Arial"/>
          <w:sz w:val="16"/>
          <w:szCs w:val="16"/>
          <w:color w:val="auto"/>
        </w:rPr>
        <w:t>Foreign data protection laws, including the GDPR may also apply to health-related and other personal data we process in respect of certain of our operations. The GDPR applies to any processing operations carried out in the context of the activities of an establishment in the EEA as well as any processing operations relating to the offering of goods or services to individuals in the EEA and/or the monitoring of their behavior in the EEA. Further, notwithstanding the United Kingdom’s withdrawal from the EU, by operation of the so called ‘UK GDPR’ (i.e., the GDPR as it continues to form part of the law of the United Kingdom by virtue of section 3 of the EU (Withdrawal) Act 2018 and as subsequently amended), the GDPR continues to apply in substantially equivalent form to processing operations carried out in the context of the activities of an establishment in the United Kingdom and any processing relating to the offering of goods or services to individuals in the United Kingdom and/or monitoring of their behavior in the United Kingdom. Therefore, reference to the GDPR herein also refers to the UK GDPR in the context of the United Kingdom, unless the context requires otherwise. The GDPR provides that EEA member states may make their own further laws and regulations to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offenses or convictions – in the United Kingdom, the United Kingdom Data Protection Act 2018 complements the UK GDPR in this regard. Such laws may introduce further conditions, including limitations which could limit our ability to collect, use and share personal data, and/or otherwise lead to greater divergence on the law that applies to the processing of such data types across the EEA and/or United Kingdom, compliance with which, as and where applicable, may increase our costs and could increase our overall compliance risk.</w:t>
      </w:r>
    </w:p>
    <w:p>
      <w:pPr>
        <w:spacing w:after="0" w:line="63" w:lineRule="exact"/>
        <w:rPr>
          <w:sz w:val="20"/>
          <w:szCs w:val="20"/>
          <w:color w:val="auto"/>
        </w:rPr>
      </w:pPr>
    </w:p>
    <w:p>
      <w:pPr>
        <w:ind w:right="80" w:firstLine="386"/>
        <w:spacing w:after="0" w:line="293" w:lineRule="auto"/>
        <w:rPr>
          <w:sz w:val="20"/>
          <w:szCs w:val="20"/>
          <w:color w:val="auto"/>
        </w:rPr>
      </w:pPr>
      <w:r>
        <w:rPr>
          <w:rFonts w:ascii="Arial" w:cs="Arial" w:eastAsia="Arial" w:hAnsi="Arial"/>
          <w:sz w:val="16"/>
          <w:szCs w:val="16"/>
          <w:color w:val="auto"/>
        </w:rPr>
        <w:t>The GDPR has imposed stringent requirements for controllers and processors of personal data, including, for example, by extending the rights available to affected data subjects, materially expanding the definition of what is expressly noted to constitute personal data (including expanding the relevant definition to capture expressly the ‘pseudonymized’ or key-coded data that is commonly processed in a clinical trial-related context), introducing mandatory personal data breach notifications to Supervisory Authorities and affected individuals (in certain circumstances), setting limitations on retention of information, increasing requirements pertaining to special categories of personal data (such as health data, biometric data, genetic information), and requiring that prescriptive obligations must be met when we engage third-party processors to process of personal data on our behalf. A particular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issue presented by certain European data protection laws, including the GDPR, is that they generally restrict transfers of personal data from Europe, including the EEA, United Kingdom and Switzerland, to the United States and most other countries unless the parties to the transfer have implemented specific safeguards to protect the transferred personal data. Recent legal developments in the EU have created complexity and uncertainty regarding such transfers of personal data from the EEA to the United States, e.g. on July 16, 2020 in a case known colloquially as “Schrems II,” the Court of Justice of the European Union, or the CJEU, invalidated the EU-US Privacy Shield Framework, or the Privacy Shield, under which personal data could be transferred from the EEA to U.S. entities who had self-certified under the Privacy Shield scheme. Following this decision, the United Kingdom government has similarly invalidated use of the EU-U.S. Privacy Shield as a mechanism for lawful personal data transfers from the United Kingdom to the United States under the so-called UK GDPR, and the Swiss Federal Data Protection and Information Commissioner announced that the Swiss-U.S. Privacy Shield does not provide adequate safeguards for the purposes of personal data transfers from Switzerland to the United States.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those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or EDPB, would require the parties to that transfer to implement certain supplementary technical, organizational and/or contractual measures to rely on the Standard Contractual Clauses as a compliant ‘transfer mechanism.’ 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(e.g., where Section 702 of the US Foreign Intelligence Surveillance Act applies). At present, there are few, if any, viable alternatives to the EU-U.S. Privacy Shield and the Standard Contractual Clauses. As such, 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Europe, including the EEA, United Kingdom or Switzerland, may also: restrict our activities in Europe; limit our ability to collaborate with partners as well as other service providers, contractors and other companies subject to European data protection laws; and/or require us to increase our data processing capabilities in Europe at significant expense or otherwise cause us to change the geographical location or segregation of our relevant systems and operations – any or all of which could adversely affect our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293" w:lineRule="exact"/>
        <w:rPr>
          <w:sz w:val="20"/>
          <w:szCs w:val="20"/>
          <w:color w:val="auto"/>
        </w:rPr>
      </w:pPr>
    </w:p>
    <w:p>
      <w:pPr>
        <w:ind w:right="40" w:firstLine="386"/>
        <w:spacing w:after="0" w:line="275" w:lineRule="auto"/>
        <w:rPr>
          <w:sz w:val="20"/>
          <w:szCs w:val="20"/>
          <w:color w:val="auto"/>
        </w:rPr>
      </w:pPr>
      <w:r>
        <w:rPr>
          <w:rFonts w:ascii="Arial" w:cs="Arial" w:eastAsia="Arial" w:hAnsi="Arial"/>
          <w:sz w:val="17"/>
          <w:szCs w:val="17"/>
          <w:color w:val="auto"/>
        </w:rPr>
        <w:t>Following the United Kingdom’s withdrawal from the EU on January 31, 2020 and end of the transition period on December 31, 2020, as noted above, the United Kingdom has introduced the UK GDPR which currently makes the privacy regimes of the EEA and United Kingdom similar, though it is possible that either the EU, and consequently those further states that make up the remainder of the EEA, or United Kingdom could elect to change their approach and create differences in legal requirements and regulation in this area. This could expose us to two parallel regimes, each of which potentially authorizes similar fines (see below) and other potentially divergent enforcement actions for certain violations.</w:t>
      </w:r>
    </w:p>
    <w:p>
      <w:pPr>
        <w:spacing w:after="0" w:line="68" w:lineRule="exact"/>
        <w:rPr>
          <w:sz w:val="20"/>
          <w:szCs w:val="20"/>
          <w:color w:val="auto"/>
        </w:rPr>
      </w:pPr>
    </w:p>
    <w:p>
      <w:pPr>
        <w:ind w:right="100" w:firstLine="386"/>
        <w:spacing w:after="0" w:line="290" w:lineRule="auto"/>
        <w:rPr>
          <w:sz w:val="20"/>
          <w:szCs w:val="20"/>
          <w:color w:val="auto"/>
        </w:rPr>
      </w:pPr>
      <w:r>
        <w:rPr>
          <w:rFonts w:ascii="Arial" w:cs="Arial" w:eastAsia="Arial" w:hAnsi="Arial"/>
          <w:sz w:val="16"/>
          <w:szCs w:val="16"/>
          <w:color w:val="auto"/>
        </w:rPr>
        <w:t>Furthermore, the relationship between the UK and the EEA in relation to certain aspects of data protection law remains somewhat uncertain. On June 28, 2021, the European Commission issued an adequacy decision under the GDPR which allows transfers (other than those carried out for the purposes of U.K. immigration control) of personal data from the EEA to the U.K. to continue without restriction for a period of four years ending June 27, 2025. After that period, the adequacy decision may be renewed only if the U.K. continues to ensure an adequate level of data protection. During these four years, the European Commission will continue to monitor the legal situation in the U.K. and could intervene at any point if the U.K. deviates from the level of data protection in place at the time of issuance of the adequacy decision. If the adequacy decision is withdrawn or not renewed, transfers of personal data from the EEA to the U.K. will require a valid ‘transfer mechanism’ and we may be required to implement new processes and put new agreements in place, such as Standard Contractual Clauses, to enable transfers of personal data from the EEA to the U.K. to continue, which could disrupt our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In addition, while the U.K. data protection regime currently permits data transfers from the U.K. to the EEA and other third countries covered by a European Commission adequacy decision, and currently includes a framework to permit the continued use of the existing version of the Standard Contractual Clauses for personal data transfers from the U.K. to third countries, this is subject to change in the future, and any such changes could have implications for our transfers of personal data from the U.K. to the EEA and other third countries. In particular, the U.K. Information Commissioner’s Office has stated that it is working on its own bespoke version of the Standard Contractual Clauses and it is not clear whether the new Standard Contractual Clauses published by the European Commission will be accepted as a valid mechanism to permit the transfer of personal data from the U.K. to third countries and/or whether any U.K. version of the Standard Contractual Clauses will supersede the existing and/or new EU version of the Standard Contractual Clauses. This could necessitate the implementation of both U.K. and EU versions of Standard Contractual Clauses, which would require significant resources and result in significant cost to implement and manage.</w:t>
      </w:r>
    </w:p>
    <w:p>
      <w:pPr>
        <w:spacing w:after="0" w:line="73"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Under the GDPR, fines of up to €20 million or up to 4% of an undertaking’s total worldwide annual turnover of the preceding financial year, whichever is higher, may be imposed. Further, following the withdrawal of the UK from the EU and the end of the transitional period, we will have to comply with the GDPR and separately the UK GDPR, each regime having the ability to fine up to the greater of €20 million/ £17.5 million or 4% of global turnover.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 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71" w:lineRule="exact"/>
        <w:rPr>
          <w:sz w:val="20"/>
          <w:szCs w:val="20"/>
          <w:color w:val="auto"/>
        </w:rPr>
      </w:pPr>
    </w:p>
    <w:p>
      <w:pPr>
        <w:ind w:right="40" w:firstLine="382"/>
        <w:spacing w:after="0" w:line="253" w:lineRule="auto"/>
        <w:rPr>
          <w:sz w:val="20"/>
          <w:szCs w:val="20"/>
          <w:color w:val="auto"/>
        </w:rPr>
      </w:pPr>
      <w:r>
        <w:rPr>
          <w:rFonts w:ascii="Arial" w:cs="Arial" w:eastAsia="Arial" w:hAnsi="Arial"/>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The withdrawal of the UK from the EU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76"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80"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color w:val="auto"/>
        </w:rPr>
        <w:t>Since a significant proportion of the regulatory framework in the UK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UK or the EU. For example, Great Britain is no longer covered by the centralized procedures for obtaining EU-wide marketing authorization from the EMA and a separate process for authorization of drug products, including tildacerfont and any future product candidates, currently applies in Great Britain. Any delay in obtaining, or an inability to obtain, any marketing approvals, as a result of Brexit or otherwise, would restrict our ability to generate revenue and achieve and sustain profitability.</w:t>
      </w:r>
    </w:p>
    <w:p>
      <w:pPr>
        <w:spacing w:after="0" w:line="70"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While the Trade and Cooperation Agreement provides for the tariff-free trade of medicinal products between the UK and the EU there are additional non-tariff costs to such trade which did not exist prior to the end of the Transition Period. Further, should the UK diverge from the EU from a regulatory perspective in relation to medicinal products, tariffs could be put in place in the future. If any of these outcomes occur, we may be forced to restrict or delay efforts to seek regulatory approval in the UK or the EU for tildacerfont and any future product candidates, or incur significant additional expenses to operate our business, which could significantly and materially harm or delay our ability to generate revenues or achieve profitability of our business. Any further changes in international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62"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tildacerfont and any future product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investigations by regulatory authorities;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tildacerfont and any future product candidates; or</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44"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$7.0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As of December 31, 2020, after reducing net operating losses, or NOLs, and tax credits for amounts not expected to be utilized, we had federal NOL carryforwards of approximately $58.6 million and state NOL carryforwards of approximately $58.4 million. The federal NOL carryforwards arising in taxable years beginning prior to 2018 will begin to expire in 2036 and state NOL carryforwards will begin to expire in 2036, unless previously utilized. We also have federal and state tax credit carryforwards totaling $3.0 million and $0.6 million, respectively. The federal tax credit carryforwards will begin to expire in 2036, unless previously utilized. The state tax credits will not expire.</w:t>
      </w:r>
    </w:p>
    <w:p>
      <w:pPr>
        <w:spacing w:after="0" w:line="84" w:lineRule="exact"/>
        <w:rPr>
          <w:sz w:val="20"/>
          <w:szCs w:val="20"/>
          <w:color w:val="auto"/>
        </w:rPr>
      </w:pPr>
    </w:p>
    <w:p>
      <w:pPr>
        <w:ind w:right="60" w:firstLine="382"/>
        <w:spacing w:after="0" w:line="268" w:lineRule="auto"/>
        <w:rPr>
          <w:sz w:val="20"/>
          <w:szCs w:val="20"/>
          <w:color w:val="auto"/>
        </w:rPr>
      </w:pPr>
      <w:r>
        <w:rPr>
          <w:rFonts w:ascii="Arial" w:cs="Arial" w:eastAsia="Arial" w:hAnsi="Arial"/>
          <w:sz w:val="17"/>
          <w:szCs w:val="17"/>
          <w:color w:val="auto"/>
        </w:rPr>
        <w:t>Under the Tax Act, as modified by the Coronavirus Aid, Relief, and Economic Security Act, or CARES Act, federal NOL carryforwards generated in tax years beginning after December 31, 2017 may be carried forward indefinitely but, in the case of tax years beginning after 2020, may only be used to offset 80% of our taxable income annually. Similar rules may apply under state tax laws. For example, on June 29, 2020, California enacted A.B. 85 which imposed limits on the usability of California state net operating losses and certain tax credits in tax years beginning after 2019 and before 2023.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2020 concluded that an ownership change occurred in May 2016 and in August 2020. As a result of the ownership change, we derecognized NOL-related deferred tax assets down to the amount expected to be realized. Our ability to use our remaining NOL carryforwards may be further limited if we experience a Section 382 ownership change as a result of future changes in our stock ownership. As of December 31, 2020, we recorded a full valuation allowance on our net deferred tax assets.</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60" w:firstLine="382"/>
        <w:spacing w:after="0" w:line="269"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proposals have recently been made in Congress (which have not yet been enacted) to increase the federal income tax rate applicable to corporate income and make other tax law changes that could have a material adverse impact on us.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62" w:lineRule="exact"/>
        <w:rPr>
          <w:sz w:val="20"/>
          <w:szCs w:val="20"/>
          <w:color w:val="auto"/>
        </w:rPr>
      </w:pPr>
    </w:p>
    <w:p>
      <w:pPr>
        <w:ind w:right="300" w:firstLine="382"/>
        <w:spacing w:after="0" w:line="279" w:lineRule="auto"/>
        <w:rPr>
          <w:sz w:val="20"/>
          <w:szCs w:val="20"/>
          <w:color w:val="auto"/>
        </w:rPr>
      </w:pPr>
      <w:r>
        <w:rPr>
          <w:rFonts w:ascii="Arial" w:cs="Arial" w:eastAsia="Arial" w:hAnsi="Arial"/>
          <w:sz w:val="17"/>
          <w:szCs w:val="17"/>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spacing w:after="0" w:line="63" w:lineRule="exact"/>
        <w:rPr>
          <w:sz w:val="20"/>
          <w:szCs w:val="20"/>
          <w:color w:val="auto"/>
        </w:rPr>
      </w:pPr>
    </w:p>
    <w:p>
      <w:pPr>
        <w:ind w:right="220" w:firstLine="382"/>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71" w:lineRule="exact"/>
        <w:rPr>
          <w:sz w:val="20"/>
          <w:szCs w:val="20"/>
          <w:color w:val="auto"/>
        </w:rPr>
      </w:pPr>
    </w:p>
    <w:p>
      <w:pPr>
        <w:ind w:firstLine="382"/>
        <w:spacing w:after="0" w:line="253"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88" w:lineRule="exact"/>
        <w:rPr>
          <w:sz w:val="20"/>
          <w:szCs w:val="20"/>
          <w:color w:val="auto"/>
        </w:rPr>
      </w:pPr>
    </w:p>
    <w:p>
      <w:pPr>
        <w:ind w:right="380" w:firstLine="382"/>
        <w:spacing w:after="0" w:line="301" w:lineRule="auto"/>
        <w:rPr>
          <w:sz w:val="20"/>
          <w:szCs w:val="20"/>
          <w:color w:val="auto"/>
        </w:rPr>
      </w:pPr>
      <w:r>
        <w:rPr>
          <w:rFonts w:ascii="Arial" w:cs="Arial" w:eastAsia="Arial" w:hAnsi="Arial"/>
          <w:sz w:val="16"/>
          <w:szCs w:val="16"/>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49" w:lineRule="exact"/>
        <w:rPr>
          <w:sz w:val="20"/>
          <w:szCs w:val="20"/>
          <w:color w:val="auto"/>
        </w:rPr>
      </w:pPr>
    </w:p>
    <w:p>
      <w:pPr>
        <w:ind w:right="20" w:firstLine="382"/>
        <w:spacing w:after="0" w:line="286" w:lineRule="auto"/>
        <w:rPr>
          <w:sz w:val="20"/>
          <w:szCs w:val="20"/>
          <w:color w:val="auto"/>
        </w:rPr>
      </w:pPr>
      <w:r>
        <w:rPr>
          <w:rFonts w:ascii="Arial" w:cs="Arial" w:eastAsia="Arial" w:hAnsi="Arial"/>
          <w:sz w:val="17"/>
          <w:szCs w:val="17"/>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spacing w:after="0" w:line="57"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23"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79"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We do not currently have any long-term agreement with a manufacturer to produce raw materials, APIs, and the finished products of tildacerfont or the associated packaging and administration syringes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64" w:lineRule="exact"/>
        <w:rPr>
          <w:sz w:val="20"/>
          <w:szCs w:val="20"/>
          <w:color w:val="auto"/>
        </w:rPr>
      </w:pPr>
    </w:p>
    <w:p>
      <w:pPr>
        <w:ind w:right="40" w:firstLine="382"/>
        <w:spacing w:after="0" w:line="268" w:lineRule="auto"/>
        <w:rPr>
          <w:sz w:val="20"/>
          <w:szCs w:val="20"/>
          <w:color w:val="auto"/>
        </w:rPr>
      </w:pPr>
      <w:r>
        <w:rPr>
          <w:rFonts w:ascii="Arial" w:cs="Arial" w:eastAsia="Arial" w:hAnsi="Arial"/>
          <w:sz w:val="17"/>
          <w:szCs w:val="17"/>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62" w:lineRule="exact"/>
        <w:rPr>
          <w:sz w:val="20"/>
          <w:szCs w:val="20"/>
          <w:color w:val="auto"/>
        </w:rPr>
      </w:pPr>
    </w:p>
    <w:p>
      <w:pPr>
        <w:ind w:right="60" w:firstLine="382"/>
        <w:spacing w:after="0" w:line="25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63" w:lineRule="exact"/>
        <w:rPr>
          <w:sz w:val="20"/>
          <w:szCs w:val="20"/>
          <w:color w:val="auto"/>
        </w:rPr>
      </w:pPr>
    </w:p>
    <w:p>
      <w:pPr>
        <w:ind w:right="120" w:firstLine="382"/>
        <w:spacing w:after="0" w:line="279" w:lineRule="auto"/>
        <w:rPr>
          <w:sz w:val="20"/>
          <w:szCs w:val="20"/>
          <w:color w:val="auto"/>
        </w:rPr>
      </w:pPr>
      <w:r>
        <w:rPr>
          <w:rFonts w:ascii="Arial" w:cs="Arial" w:eastAsia="Arial" w:hAnsi="Arial"/>
          <w:sz w:val="17"/>
          <w:szCs w:val="17"/>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firstLine="386"/>
        <w:spacing w:after="0" w:line="289" w:lineRule="auto"/>
        <w:rPr>
          <w:sz w:val="20"/>
          <w:szCs w:val="20"/>
          <w:color w:val="auto"/>
        </w:rPr>
      </w:pPr>
      <w:r>
        <w:rPr>
          <w:rFonts w:ascii="Arial" w:cs="Arial" w:eastAsia="Arial" w:hAnsi="Arial"/>
          <w:sz w:val="16"/>
          <w:szCs w:val="16"/>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58"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76" w:lineRule="exact"/>
        <w:rPr>
          <w:sz w:val="20"/>
          <w:szCs w:val="20"/>
          <w:color w:val="auto"/>
        </w:rPr>
      </w:pPr>
    </w:p>
    <w:p>
      <w:pPr>
        <w:ind w:left="760" w:right="20" w:hanging="374"/>
        <w:spacing w:after="0" w:line="286"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44" w:lineRule="exact"/>
        <w:rPr>
          <w:rFonts w:ascii="Arial" w:cs="Arial" w:eastAsia="Arial" w:hAnsi="Arial"/>
          <w:sz w:val="18"/>
          <w:szCs w:val="18"/>
          <w:color w:val="auto"/>
        </w:rPr>
      </w:pPr>
    </w:p>
    <w:p>
      <w:pPr>
        <w:ind w:left="760" w:right="16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may otherwise not provide any competitive advantage;</w:t>
      </w:r>
    </w:p>
    <w:p>
      <w:pPr>
        <w:spacing w:after="0" w:line="62" w:lineRule="exact"/>
        <w:rPr>
          <w:rFonts w:ascii="Arial" w:cs="Arial" w:eastAsia="Arial" w:hAnsi="Arial"/>
          <w:sz w:val="18"/>
          <w:szCs w:val="18"/>
          <w:color w:val="auto"/>
        </w:rPr>
      </w:pPr>
    </w:p>
    <w:p>
      <w:pPr>
        <w:ind w:left="760" w:right="120" w:hanging="374"/>
        <w:spacing w:after="0" w:line="263"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auto"/>
        </w:rPr>
      </w:pPr>
    </w:p>
    <w:p>
      <w:pPr>
        <w:ind w:left="760" w:right="20" w:hanging="374"/>
        <w:spacing w:after="0" w:line="311"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spacing w:after="0" w:line="40" w:lineRule="exact"/>
        <w:rPr>
          <w:rFonts w:ascii="Arial" w:cs="Arial" w:eastAsia="Arial" w:hAnsi="Arial"/>
          <w:sz w:val="16"/>
          <w:szCs w:val="16"/>
          <w:color w:val="auto"/>
        </w:rPr>
      </w:pPr>
    </w:p>
    <w:p>
      <w:pPr>
        <w:ind w:left="760" w:right="16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62" w:lineRule="exact"/>
        <w:rPr>
          <w:rFonts w:ascii="Arial" w:cs="Arial" w:eastAsia="Arial" w:hAnsi="Arial"/>
          <w:sz w:val="18"/>
          <w:szCs w:val="18"/>
          <w:color w:val="auto"/>
        </w:rPr>
      </w:pPr>
    </w:p>
    <w:p>
      <w:pPr>
        <w:jc w:val="both"/>
        <w:ind w:left="760" w:right="180" w:hanging="374"/>
        <w:spacing w:after="0" w:line="263"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75" w:lineRule="exact"/>
        <w:rPr>
          <w:rFonts w:ascii="Arial" w:cs="Arial" w:eastAsia="Arial" w:hAnsi="Arial"/>
          <w:sz w:val="18"/>
          <w:szCs w:val="18"/>
          <w:color w:val="auto"/>
        </w:rPr>
      </w:pPr>
    </w:p>
    <w:p>
      <w:pPr>
        <w:ind w:left="760" w:right="440" w:hanging="374"/>
        <w:spacing w:after="0" w:line="342"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5" w:lineRule="exact"/>
        <w:rPr>
          <w:rFonts w:ascii="Arial" w:cs="Arial" w:eastAsia="Arial" w:hAnsi="Arial"/>
          <w:sz w:val="16"/>
          <w:szCs w:val="16"/>
          <w:color w:val="auto"/>
        </w:rPr>
      </w:pPr>
    </w:p>
    <w:p>
      <w:pPr>
        <w:ind w:left="760" w:right="360" w:hanging="374"/>
        <w:spacing w:after="0" w:line="263"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760" w:right="500" w:hanging="374"/>
        <w:spacing w:after="0" w:line="308"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38"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57" w:lineRule="exact"/>
        <w:rPr>
          <w:sz w:val="20"/>
          <w:szCs w:val="20"/>
          <w:color w:val="auto"/>
        </w:rPr>
      </w:pPr>
    </w:p>
    <w:p>
      <w:pPr>
        <w:ind w:right="440" w:firstLine="382"/>
        <w:spacing w:after="0" w:line="301"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49" w:lineRule="exact"/>
        <w:rPr>
          <w:sz w:val="20"/>
          <w:szCs w:val="20"/>
          <w:color w:val="auto"/>
        </w:rPr>
      </w:pPr>
    </w:p>
    <w:p>
      <w:pPr>
        <w:ind w:left="760" w:right="2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tildacerfont and any future product candidates but that are not covered by the claims of our patents;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760" w:right="80" w:hanging="374"/>
        <w:spacing w:after="0" w:line="342"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15" w:lineRule="exact"/>
        <w:rPr>
          <w:rFonts w:ascii="Arial" w:cs="Arial" w:eastAsia="Arial" w:hAnsi="Arial"/>
          <w:sz w:val="16"/>
          <w:szCs w:val="16"/>
          <w:color w:val="auto"/>
        </w:rPr>
      </w:pPr>
    </w:p>
    <w:p>
      <w:pPr>
        <w:ind w:left="76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products;</w:t>
      </w:r>
    </w:p>
    <w:p>
      <w:pPr>
        <w:spacing w:after="0" w:line="62" w:lineRule="exact"/>
        <w:rPr>
          <w:rFonts w:ascii="Arial" w:cs="Arial" w:eastAsia="Arial" w:hAnsi="Arial"/>
          <w:sz w:val="18"/>
          <w:szCs w:val="18"/>
          <w:color w:val="auto"/>
        </w:rPr>
      </w:pPr>
    </w:p>
    <w:p>
      <w:pPr>
        <w:ind w:left="760" w:right="14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products on a substantial scale, if approved, before the relevant patents that we own or license expire; or</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44"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79"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79"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73" w:lineRule="exact"/>
        <w:rPr>
          <w:sz w:val="20"/>
          <w:szCs w:val="20"/>
          <w:color w:val="auto"/>
        </w:rPr>
      </w:pPr>
    </w:p>
    <w:p>
      <w:pPr>
        <w:ind w:right="60" w:firstLine="382"/>
        <w:spacing w:after="0" w:line="296" w:lineRule="auto"/>
        <w:rPr>
          <w:sz w:val="20"/>
          <w:szCs w:val="20"/>
          <w:color w:val="auto"/>
        </w:rPr>
      </w:pPr>
      <w:r>
        <w:rPr>
          <w:rFonts w:ascii="Arial" w:cs="Arial" w:eastAsia="Arial" w:hAnsi="Arial"/>
          <w:sz w:val="16"/>
          <w:szCs w:val="16"/>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tildacerfont, our business may be materially harmed.</w:t>
      </w:r>
    </w:p>
    <w:p>
      <w:pPr>
        <w:spacing w:after="0" w:line="117"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6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76" w:lineRule="exact"/>
        <w:rPr>
          <w:sz w:val="20"/>
          <w:szCs w:val="20"/>
          <w:color w:val="auto"/>
        </w:rPr>
      </w:pPr>
    </w:p>
    <w:p>
      <w:pPr>
        <w:ind w:firstLine="382"/>
        <w:spacing w:after="0" w:line="286" w:lineRule="auto"/>
        <w:rPr>
          <w:sz w:val="20"/>
          <w:szCs w:val="20"/>
          <w:color w:val="auto"/>
        </w:rPr>
      </w:pPr>
      <w:r>
        <w:rPr>
          <w:rFonts w:ascii="Arial" w:cs="Arial" w:eastAsia="Arial" w:hAnsi="Arial"/>
          <w:sz w:val="17"/>
          <w:szCs w:val="17"/>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spacing w:after="0" w:line="57"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62" w:lineRule="exact"/>
        <w:rPr>
          <w:sz w:val="20"/>
          <w:szCs w:val="20"/>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rights of the licensor that are not subject to the license agreement;</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right to sublicense intellectual property rights to third parties under collaborative development relationships;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760" w:hanging="374"/>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62" w:lineRule="exact"/>
        <w:rPr>
          <w:rFonts w:ascii="Arial" w:cs="Arial" w:eastAsia="Arial" w:hAnsi="Arial"/>
          <w:sz w:val="18"/>
          <w:szCs w:val="18"/>
          <w:color w:val="auto"/>
        </w:rPr>
      </w:pPr>
    </w:p>
    <w:p>
      <w:pPr>
        <w:ind w:left="760" w:right="500" w:hanging="374"/>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62" w:lineRule="exact"/>
        <w:rPr>
          <w:sz w:val="20"/>
          <w:szCs w:val="20"/>
          <w:color w:val="auto"/>
        </w:rPr>
      </w:pPr>
    </w:p>
    <w:p>
      <w:pPr>
        <w:ind w:right="260" w:firstLine="382"/>
        <w:spacing w:after="0" w:line="259" w:lineRule="auto"/>
        <w:rPr>
          <w:sz w:val="20"/>
          <w:szCs w:val="20"/>
          <w:color w:val="auto"/>
        </w:rPr>
      </w:pPr>
      <w:r>
        <w:rPr>
          <w:rFonts w:ascii="Arial" w:cs="Arial" w:eastAsia="Arial" w:hAnsi="Arial"/>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79"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76"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These systems and processes may be negatively impacted by the COVID-19 pandemic in various aspects.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tildacerfont.</w:t>
      </w:r>
    </w:p>
    <w:p>
      <w:pPr>
        <w:spacing w:after="0" w:line="117"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60" w:lineRule="exact"/>
        <w:rPr>
          <w:sz w:val="20"/>
          <w:szCs w:val="20"/>
          <w:color w:val="auto"/>
        </w:rPr>
      </w:pPr>
    </w:p>
    <w:p>
      <w:pPr>
        <w:ind w:right="60" w:firstLine="382"/>
        <w:spacing w:after="0" w:line="269" w:lineRule="auto"/>
        <w:rPr>
          <w:sz w:val="20"/>
          <w:szCs w:val="20"/>
          <w:color w:val="auto"/>
        </w:rPr>
      </w:pPr>
      <w:r>
        <w:rPr>
          <w:rFonts w:ascii="Arial" w:cs="Arial" w:eastAsia="Arial" w:hAnsi="Arial"/>
          <w:sz w:val="17"/>
          <w:szCs w:val="17"/>
          <w:color w:val="auto"/>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and derivation proceedings that allow third parties to challenge the validity of issued patents. This applies to all of our U.S. patents, even</w:t>
      </w:r>
      <w:r>
        <w:rPr>
          <w:rFonts w:ascii="Arial" w:cs="Arial" w:eastAsia="Arial" w:hAnsi="Arial"/>
          <w:sz w:val="17"/>
          <w:szCs w:val="17"/>
          <w:i w:val="1"/>
          <w:iCs w:val="1"/>
          <w:color w:val="auto"/>
        </w:rPr>
        <w:t xml:space="preserve"> </w:t>
      </w:r>
      <w:r>
        <w:rPr>
          <w:rFonts w:ascii="Arial" w:cs="Arial" w:eastAsia="Arial" w:hAnsi="Arial"/>
          <w:sz w:val="17"/>
          <w:szCs w:val="17"/>
          <w:color w:val="auto"/>
        </w:rPr>
        <w:t>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80" w:lineRule="exact"/>
        <w:rPr>
          <w:sz w:val="20"/>
          <w:szCs w:val="20"/>
          <w:color w:val="auto"/>
        </w:rPr>
      </w:pPr>
    </w:p>
    <w:p>
      <w:pPr>
        <w:ind w:right="40" w:firstLine="382"/>
        <w:spacing w:after="0" w:line="311" w:lineRule="auto"/>
        <w:rPr>
          <w:sz w:val="20"/>
          <w:szCs w:val="20"/>
          <w:color w:val="auto"/>
        </w:rPr>
      </w:pPr>
      <w:r>
        <w:rPr>
          <w:rFonts w:ascii="Arial" w:cs="Arial" w:eastAsia="Arial" w:hAnsi="Arial"/>
          <w:sz w:val="16"/>
          <w:szCs w:val="16"/>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41"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17"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6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firstLine="382"/>
        <w:spacing w:after="0" w:line="285" w:lineRule="auto"/>
        <w:rPr>
          <w:sz w:val="20"/>
          <w:szCs w:val="20"/>
          <w:color w:val="auto"/>
        </w:rPr>
      </w:pPr>
      <w:r>
        <w:rPr>
          <w:rFonts w:ascii="Arial" w:cs="Arial" w:eastAsia="Arial" w:hAnsi="Arial"/>
          <w:sz w:val="16"/>
          <w:szCs w:val="16"/>
          <w:color w:val="auto"/>
        </w:rPr>
        <w:t>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66" w:lineRule="exact"/>
        <w:rPr>
          <w:sz w:val="20"/>
          <w:szCs w:val="20"/>
          <w:color w:val="auto"/>
        </w:rPr>
      </w:pPr>
    </w:p>
    <w:p>
      <w:pPr>
        <w:ind w:right="180" w:firstLine="382"/>
        <w:spacing w:after="0" w:line="259"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79"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80" w:lineRule="exact"/>
        <w:rPr>
          <w:sz w:val="20"/>
          <w:szCs w:val="20"/>
          <w:color w:val="auto"/>
        </w:rPr>
      </w:pPr>
    </w:p>
    <w:p>
      <w:pPr>
        <w:ind w:right="20" w:firstLine="382"/>
        <w:spacing w:after="0" w:line="279"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drug discovery and development efforts.</w:t>
      </w:r>
    </w:p>
    <w:p>
      <w:pPr>
        <w:spacing w:after="0" w:line="117" w:lineRule="exact"/>
        <w:rPr>
          <w:sz w:val="20"/>
          <w:szCs w:val="20"/>
          <w:color w:val="auto"/>
        </w:rPr>
      </w:pPr>
    </w:p>
    <w:p>
      <w:pPr>
        <w:ind w:right="40" w:firstLine="382"/>
        <w:spacing w:after="0" w:line="290" w:lineRule="auto"/>
        <w:rPr>
          <w:sz w:val="20"/>
          <w:szCs w:val="20"/>
          <w:color w:val="auto"/>
        </w:rPr>
      </w:pPr>
      <w:r>
        <w:rPr>
          <w:rFonts w:ascii="Arial" w:cs="Arial" w:eastAsia="Arial" w:hAnsi="Arial"/>
          <w:sz w:val="16"/>
          <w:szCs w:val="16"/>
          <w:color w:val="auto"/>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reexamination proceedings before the USPTO, or oppositions and other comparable proceedings in foreign jurisdictions. The America Invents Act introduced new procedures including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post grant review. The implementation of these procedures brings uncertainty to the possibility of challenges to our patents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57"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70" w:lineRule="exact"/>
        <w:rPr>
          <w:sz w:val="20"/>
          <w:szCs w:val="20"/>
          <w:color w:val="auto"/>
        </w:rPr>
      </w:pPr>
    </w:p>
    <w:p>
      <w:pPr>
        <w:ind w:right="240" w:firstLine="382"/>
        <w:spacing w:after="0" w:line="25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117" w:lineRule="exact"/>
        <w:rPr>
          <w:sz w:val="20"/>
          <w:szCs w:val="20"/>
          <w:color w:val="auto"/>
        </w:rPr>
      </w:pPr>
    </w:p>
    <w:p>
      <w:pPr>
        <w:ind w:left="760" w:hanging="37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44" w:lineRule="exact"/>
        <w:rPr>
          <w:rFonts w:ascii="Arial" w:cs="Arial" w:eastAsia="Arial" w:hAnsi="Arial"/>
          <w:sz w:val="18"/>
          <w:szCs w:val="18"/>
          <w:color w:val="auto"/>
        </w:rPr>
      </w:pPr>
    </w:p>
    <w:p>
      <w:pPr>
        <w:ind w:left="760" w:right="66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prevent us from commercializing tildacerfont or any future product candidates until the asserted patent expires or is finally held invalid, unenforceable, or not infringed in a court of law;</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44" w:lineRule="exact"/>
        <w:rPr>
          <w:rFonts w:ascii="Arial" w:cs="Arial" w:eastAsia="Arial" w:hAnsi="Arial"/>
          <w:sz w:val="18"/>
          <w:szCs w:val="18"/>
          <w:color w:val="auto"/>
        </w:rPr>
      </w:pPr>
    </w:p>
    <w:p>
      <w:pPr>
        <w:ind w:left="760" w:right="4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2" w:lineRule="exact"/>
        <w:rPr>
          <w:rFonts w:ascii="Arial" w:cs="Arial" w:eastAsia="Arial" w:hAnsi="Arial"/>
          <w:sz w:val="18"/>
          <w:szCs w:val="18"/>
          <w:color w:val="auto"/>
        </w:rPr>
      </w:pPr>
    </w:p>
    <w:p>
      <w:pPr>
        <w:ind w:left="760" w:right="60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willfully infringing; and/or</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enter into royalty or license agreements, which may not be available on commercially reasonable terms, or at all.</w:t>
      </w:r>
    </w:p>
    <w:p>
      <w:pPr>
        <w:spacing w:after="0" w:line="144"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77"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80" w:lineRule="exact"/>
        <w:rPr>
          <w:sz w:val="20"/>
          <w:szCs w:val="20"/>
          <w:color w:val="auto"/>
        </w:rPr>
      </w:pPr>
    </w:p>
    <w:p>
      <w:pPr>
        <w:ind w:left="760" w:hanging="37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some patent applications in the United States may be maintained in secrecy until the patents are issued;</w:t>
      </w:r>
    </w:p>
    <w:p>
      <w:pPr>
        <w:spacing w:after="0" w:line="144"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applications in the United States and elsewhere can be pending for many years before issuance, or unintentionally abandoned patents or applications can be revived;</w:t>
      </w:r>
    </w:p>
    <w:p>
      <w:pPr>
        <w:spacing w:after="0" w:line="62" w:lineRule="exact"/>
        <w:rPr>
          <w:rFonts w:ascii="Arial" w:cs="Arial" w:eastAsia="Arial" w:hAnsi="Arial"/>
          <w:sz w:val="18"/>
          <w:szCs w:val="18"/>
          <w:color w:val="auto"/>
        </w:rPr>
      </w:pPr>
    </w:p>
    <w:p>
      <w:pPr>
        <w:ind w:left="760" w:right="500" w:hanging="374"/>
        <w:spacing w:after="0" w:line="308"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760" w:right="680" w:hanging="374"/>
        <w:spacing w:after="0" w:line="342"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15" w:lineRule="exact"/>
        <w:rPr>
          <w:rFonts w:ascii="Arial" w:cs="Arial" w:eastAsia="Arial" w:hAnsi="Arial"/>
          <w:sz w:val="16"/>
          <w:szCs w:val="16"/>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44" w:lineRule="exact"/>
        <w:rPr>
          <w:sz w:val="20"/>
          <w:szCs w:val="20"/>
          <w:color w:val="auto"/>
        </w:rPr>
      </w:pPr>
    </w:p>
    <w:p>
      <w:pPr>
        <w:ind w:right="100" w:firstLine="382"/>
        <w:spacing w:after="0" w:line="293" w:lineRule="auto"/>
        <w:rPr>
          <w:sz w:val="20"/>
          <w:szCs w:val="20"/>
          <w:color w:val="auto"/>
        </w:rPr>
      </w:pPr>
      <w:r>
        <w:rPr>
          <w:rFonts w:ascii="Arial" w:cs="Arial" w:eastAsia="Arial" w:hAnsi="Arial"/>
          <w:sz w:val="16"/>
          <w:szCs w:val="16"/>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56"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60" w:lineRule="exact"/>
        <w:rPr>
          <w:sz w:val="20"/>
          <w:szCs w:val="20"/>
          <w:color w:val="auto"/>
        </w:rPr>
      </w:pPr>
    </w:p>
    <w:p>
      <w:pPr>
        <w:jc w:val="both"/>
        <w:ind w:right="140" w:firstLine="382"/>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76" w:lineRule="exact"/>
        <w:rPr>
          <w:sz w:val="20"/>
          <w:szCs w:val="20"/>
          <w:color w:val="auto"/>
        </w:rPr>
      </w:pPr>
    </w:p>
    <w:p>
      <w:pPr>
        <w:jc w:val="both"/>
        <w:ind w:right="200" w:firstLine="382"/>
        <w:spacing w:after="0" w:line="311" w:lineRule="auto"/>
        <w:rPr>
          <w:sz w:val="20"/>
          <w:szCs w:val="20"/>
          <w:color w:val="auto"/>
        </w:rPr>
      </w:pPr>
      <w:r>
        <w:rPr>
          <w:rFonts w:ascii="Arial" w:cs="Arial" w:eastAsia="Arial" w:hAnsi="Arial"/>
          <w:sz w:val="16"/>
          <w:szCs w:val="16"/>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41" w:lineRule="exact"/>
        <w:rPr>
          <w:sz w:val="20"/>
          <w:szCs w:val="20"/>
          <w:color w:val="auto"/>
        </w:rPr>
      </w:pPr>
    </w:p>
    <w:p>
      <w:pPr>
        <w:ind w:right="200" w:firstLine="382"/>
        <w:spacing w:after="0" w:line="257" w:lineRule="auto"/>
        <w:rPr>
          <w:sz w:val="20"/>
          <w:szCs w:val="20"/>
          <w:color w:val="auto"/>
        </w:rPr>
      </w:pPr>
      <w:r>
        <w:rPr>
          <w:rFonts w:ascii="Arial" w:cs="Arial" w:eastAsia="Arial" w:hAnsi="Arial"/>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76" w:lineRule="exact"/>
        <w:rPr>
          <w:sz w:val="20"/>
          <w:szCs w:val="20"/>
          <w:color w:val="auto"/>
        </w:rPr>
      </w:pPr>
    </w:p>
    <w:p>
      <w:pPr>
        <w:ind w:right="40" w:firstLine="382"/>
        <w:spacing w:after="0" w:line="279" w:lineRule="auto"/>
        <w:rPr>
          <w:sz w:val="20"/>
          <w:szCs w:val="20"/>
          <w:color w:val="auto"/>
        </w:rPr>
      </w:pPr>
      <w:r>
        <w:rPr>
          <w:rFonts w:ascii="Arial" w:cs="Arial" w:eastAsia="Arial" w:hAnsi="Arial"/>
          <w:sz w:val="17"/>
          <w:szCs w:val="17"/>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63" w:lineRule="exact"/>
        <w:rPr>
          <w:sz w:val="20"/>
          <w:szCs w:val="20"/>
          <w:color w:val="auto"/>
        </w:rPr>
      </w:pPr>
    </w:p>
    <w:p>
      <w:pPr>
        <w:ind w:right="60" w:firstLine="382"/>
        <w:spacing w:after="0" w:line="286" w:lineRule="auto"/>
        <w:rPr>
          <w:sz w:val="20"/>
          <w:szCs w:val="20"/>
          <w:color w:val="auto"/>
        </w:rPr>
      </w:pPr>
      <w:r>
        <w:rPr>
          <w:rFonts w:ascii="Arial" w:cs="Arial" w:eastAsia="Arial" w:hAnsi="Arial"/>
          <w:sz w:val="16"/>
          <w:szCs w:val="16"/>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If the post-grant review proceeding is instituted and thereafter proceeds to the trial stage, the USPTO will render a decision finding whether or not the challenged claims have been shown unpatentable.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63" w:lineRule="exact"/>
        <w:rPr>
          <w:sz w:val="20"/>
          <w:szCs w:val="20"/>
          <w:color w:val="auto"/>
        </w:rPr>
      </w:pPr>
    </w:p>
    <w:p>
      <w:pPr>
        <w:ind w:right="60" w:firstLine="382"/>
        <w:spacing w:after="0" w:line="271"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70"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7" w:lineRule="exact"/>
        <w:rPr>
          <w:sz w:val="20"/>
          <w:szCs w:val="20"/>
          <w:color w:val="auto"/>
        </w:rPr>
      </w:pPr>
    </w:p>
    <w:p>
      <w:pPr>
        <w:ind w:right="180" w:firstLine="382"/>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stockholders. In such cases, we may decide that the more prudent course of action is to simply monitor the situation or initiate or seek some other non-litigious action or solution.</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76"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71"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70" w:lineRule="exact"/>
        <w:rPr>
          <w:sz w:val="20"/>
          <w:szCs w:val="20"/>
          <w:color w:val="auto"/>
        </w:rPr>
      </w:pPr>
    </w:p>
    <w:p>
      <w:pPr>
        <w:ind w:right="20" w:firstLine="382"/>
        <w:spacing w:after="0" w:line="268"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firstLine="382"/>
        <w:spacing w:after="0" w:line="291" w:lineRule="auto"/>
        <w:rPr>
          <w:sz w:val="20"/>
          <w:szCs w:val="20"/>
          <w:color w:val="auto"/>
        </w:rPr>
      </w:pPr>
      <w:r>
        <w:rPr>
          <w:rFonts w:ascii="Arial" w:cs="Arial" w:eastAsia="Arial" w:hAnsi="Arial"/>
          <w:sz w:val="16"/>
          <w:szCs w:val="16"/>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80"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2" w:lineRule="exact"/>
        <w:rPr>
          <w:sz w:val="20"/>
          <w:szCs w:val="20"/>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44" w:lineRule="exact"/>
        <w:rPr>
          <w:rFonts w:ascii="Arial" w:cs="Arial" w:eastAsia="Arial" w:hAnsi="Arial"/>
          <w:sz w:val="18"/>
          <w:szCs w:val="18"/>
          <w:color w:val="auto"/>
        </w:rPr>
      </w:pPr>
    </w:p>
    <w:p>
      <w:pPr>
        <w:jc w:val="both"/>
        <w:ind w:left="760" w:right="660" w:hanging="374"/>
        <w:spacing w:after="0" w:line="311"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760" w:right="24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tildacerfont and any future product candidates;</w:t>
      </w:r>
    </w:p>
    <w:p>
      <w:pPr>
        <w:spacing w:after="0" w:line="62" w:lineRule="exact"/>
        <w:rPr>
          <w:rFonts w:ascii="Arial" w:cs="Arial" w:eastAsia="Arial" w:hAnsi="Arial"/>
          <w:sz w:val="18"/>
          <w:szCs w:val="18"/>
          <w:color w:val="auto"/>
        </w:rPr>
      </w:pPr>
    </w:p>
    <w:p>
      <w:pPr>
        <w:ind w:left="760" w:right="72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44" w:lineRule="exact"/>
        <w:rPr>
          <w:rFonts w:ascii="Arial" w:cs="Arial" w:eastAsia="Arial" w:hAnsi="Arial"/>
          <w:sz w:val="18"/>
          <w:szCs w:val="18"/>
          <w:color w:val="auto"/>
        </w:rPr>
      </w:pPr>
    </w:p>
    <w:p>
      <w:pPr>
        <w:jc w:val="both"/>
        <w:ind w:left="760" w:right="60" w:hanging="374"/>
        <w:spacing w:after="0" w:line="263"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760" w:right="120" w:hanging="374"/>
        <w:spacing w:after="0" w:line="342"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5" w:lineRule="exact"/>
        <w:rPr>
          <w:rFonts w:ascii="Arial" w:cs="Arial" w:eastAsia="Arial" w:hAnsi="Arial"/>
          <w:sz w:val="16"/>
          <w:szCs w:val="16"/>
          <w:color w:val="auto"/>
        </w:rPr>
      </w:pPr>
    </w:p>
    <w:p>
      <w:pPr>
        <w:ind w:left="760" w:right="122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62"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62" w:lineRule="exact"/>
        <w:rPr>
          <w:rFonts w:ascii="Arial" w:cs="Arial" w:eastAsia="Arial" w:hAnsi="Arial"/>
          <w:sz w:val="18"/>
          <w:szCs w:val="18"/>
          <w:color w:val="auto"/>
        </w:rPr>
      </w:pPr>
    </w:p>
    <w:p>
      <w:pPr>
        <w:ind w:left="760" w:right="40" w:hanging="374"/>
        <w:spacing w:after="0" w:line="263"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75" w:lineRule="exact"/>
        <w:rPr>
          <w:rFonts w:ascii="Arial" w:cs="Arial" w:eastAsia="Arial" w:hAnsi="Arial"/>
          <w:sz w:val="18"/>
          <w:szCs w:val="18"/>
          <w:color w:val="auto"/>
        </w:rPr>
      </w:pPr>
    </w:p>
    <w:p>
      <w:pPr>
        <w:ind w:left="760" w:right="300" w:hanging="374"/>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be sustained.</w:t>
      </w:r>
    </w:p>
    <w:p>
      <w:pPr>
        <w:spacing w:after="0" w:line="117"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117"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since its trading began on October 9, 2020 to November 12, 2021 has ranged from a low of $4.35 to a high of $32.42. In addition to the factors discussed in this “Risk Factors” section and elsewhere in this Quarterly Report on Form 10-Q, these factors include:</w:t>
      </w:r>
    </w:p>
    <w:p>
      <w:pPr>
        <w:spacing w:after="0" w:line="79" w:lineRule="exact"/>
        <w:rPr>
          <w:sz w:val="20"/>
          <w:szCs w:val="20"/>
          <w:color w:val="auto"/>
        </w:rPr>
      </w:pPr>
    </w:p>
    <w:p>
      <w:pPr>
        <w:ind w:left="760" w:right="20" w:hanging="374"/>
        <w:spacing w:after="0" w:line="342"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15" w:lineRule="exact"/>
        <w:rPr>
          <w:rFonts w:ascii="Arial" w:cs="Arial" w:eastAsia="Arial" w:hAnsi="Arial"/>
          <w:sz w:val="16"/>
          <w:szCs w:val="16"/>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acceptance by the FDA and EMA of data from our two Phase 2b clinical trials or any future clinical trials we conduct;</w:t>
      </w:r>
    </w:p>
    <w:p>
      <w:pPr>
        <w:spacing w:after="0" w:line="144" w:lineRule="exact"/>
        <w:rPr>
          <w:rFonts w:ascii="Arial" w:cs="Arial" w:eastAsia="Arial" w:hAnsi="Arial"/>
          <w:sz w:val="18"/>
          <w:szCs w:val="18"/>
          <w:color w:val="auto"/>
        </w:rPr>
      </w:pPr>
    </w:p>
    <w:p>
      <w:pPr>
        <w:ind w:left="760" w:right="320" w:hanging="374"/>
        <w:spacing w:after="0" w:line="263"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adverse results or delays in clinical trials as a result of the COVID-19 pandemic, patient engagement, protocol amendments or otherwise;</w:t>
      </w:r>
    </w:p>
    <w:p>
      <w:pPr>
        <w:spacing w:after="0" w:line="155" w:lineRule="exact"/>
        <w:rPr>
          <w:rFonts w:ascii="Arial" w:cs="Arial" w:eastAsia="Arial" w:hAnsi="Arial"/>
          <w:sz w:val="17"/>
          <w:szCs w:val="17"/>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tildacerfont and any future product candidates;</w:t>
      </w:r>
    </w:p>
    <w:p>
      <w:pPr>
        <w:spacing w:after="0" w:line="144"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or regulations applicable to tildacerfont and any future product candidates, including but not limited to clinical trial requirements for approvals;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to obtain coverage and adequate reimbursement of tildacerfont and any future product candidates, if approved;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on the structure of healthcare payment systems;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drug product or inability to do so at acceptable prices;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failure to commercialize tildacerfont and any future product candidates;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executive management personnel;</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tildacerfont and any future product candidates;</w:t>
      </w:r>
    </w:p>
    <w:p>
      <w:pPr>
        <w:spacing w:after="0" w:line="144"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 or the release or publication of clinical trial results from competing product candidates;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44" w:lineRule="exact"/>
        <w:rPr>
          <w:rFonts w:ascii="Arial" w:cs="Arial" w:eastAsia="Arial" w:hAnsi="Arial"/>
          <w:sz w:val="18"/>
          <w:szCs w:val="18"/>
          <w:color w:val="auto"/>
        </w:rPr>
      </w:pPr>
    </w:p>
    <w:p>
      <w:pPr>
        <w:ind w:left="760" w:right="140" w:hanging="374"/>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and growth, if any, of the markets for classic CAH in adult and pediatric patients and a subpopulation of females with PCOS, and other rare endocrine disorders that we may target;</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44"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44"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political, health, and economic conditions, including the COVID-19 pandemic; and</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44"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180" w:firstLine="382"/>
        <w:spacing w:after="0" w:line="255" w:lineRule="auto"/>
        <w:rPr>
          <w:sz w:val="20"/>
          <w:szCs w:val="20"/>
          <w:color w:val="auto"/>
        </w:rPr>
      </w:pPr>
      <w:r>
        <w:rPr>
          <w:rFonts w:ascii="Arial" w:cs="Arial" w:eastAsia="Arial" w:hAnsi="Arial"/>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62" w:lineRule="exact"/>
        <w:rPr>
          <w:sz w:val="20"/>
          <w:szCs w:val="20"/>
          <w:color w:val="auto"/>
        </w:rPr>
      </w:pPr>
    </w:p>
    <w:p>
      <w:pPr>
        <w:ind w:right="160" w:firstLine="382"/>
        <w:spacing w:after="0" w:line="269"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not being required to have our internal control over financial reporting audited by our independent registered public accounting firm under Section 404 of the Sarbanes-Oxley Act or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Act, our annual gross revenues exceed $1.07 billion or we issue more than $1.0 billion of non-convertible debt in any three-year period.</w:t>
      </w:r>
    </w:p>
    <w:p>
      <w:pPr>
        <w:spacing w:after="0" w:line="117" w:lineRule="exact"/>
        <w:rPr>
          <w:sz w:val="20"/>
          <w:szCs w:val="20"/>
          <w:color w:val="auto"/>
        </w:rPr>
      </w:pPr>
    </w:p>
    <w:p>
      <w:pPr>
        <w:ind w:right="200" w:firstLine="382"/>
        <w:spacing w:after="0" w:line="28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57" w:lineRule="exact"/>
        <w:rPr>
          <w:sz w:val="20"/>
          <w:szCs w:val="20"/>
          <w:color w:val="auto"/>
        </w:rPr>
      </w:pPr>
    </w:p>
    <w:p>
      <w:pPr>
        <w:ind w:right="100" w:firstLine="382"/>
        <w:spacing w:after="0" w:line="286"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8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previously identified and remediated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76" w:lineRule="exact"/>
        <w:rPr>
          <w:sz w:val="20"/>
          <w:szCs w:val="20"/>
          <w:color w:val="auto"/>
        </w:rPr>
      </w:pPr>
    </w:p>
    <w:p>
      <w:pPr>
        <w:ind w:right="260" w:firstLine="382"/>
        <w:spacing w:after="0" w:line="259" w:lineRule="auto"/>
        <w:rPr>
          <w:sz w:val="20"/>
          <w:szCs w:val="20"/>
          <w:color w:val="auto"/>
        </w:rPr>
      </w:pPr>
      <w:r>
        <w:rPr>
          <w:rFonts w:ascii="Arial" w:cs="Arial" w:eastAsia="Arial" w:hAnsi="Arial"/>
          <w:sz w:val="18"/>
          <w:szCs w:val="18"/>
          <w:color w:val="auto"/>
        </w:rPr>
        <w:t>During the preparation of our financial statements for the years ended December 31, 2018 and 2019, we identified a material weakness in internal control over financial reporting primarily related to a lack of timely review over the financial statement close process. During these periods, we did not have a sufficient complement of qualified personnel within the accounting function and had a lack of segregation of duties to adequately conduct review and analysis of certain routine transactions.</w:t>
      </w:r>
    </w:p>
    <w:p>
      <w:pPr>
        <w:spacing w:after="0" w:line="79"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 of account balances or disclosures that would result in a material misstatement to the annual or interim financial statements that would not be prevented or detected. To address our material weakness, we added a chief financial officer and controller, and we implemented new processes and controls, formalized documentation of policies and procedures, and recruited additional accounting personnel. We have fully remediated the material weakness as of the filing date of our Annual Report for the fiscal year ending December 31, 2020. Completion of remediation does not provide assurance that our remediation or other controls will continue operating effectively. Remediation costs consisted primarily of additional personnel expenses, which did not have a material impact to our financial statements.</w:t>
      </w:r>
    </w:p>
    <w:p>
      <w:pPr>
        <w:spacing w:after="0" w:line="70"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58"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0" w:lineRule="exact"/>
        <w:rPr>
          <w:sz w:val="20"/>
          <w:szCs w:val="20"/>
          <w:color w:val="auto"/>
        </w:rPr>
      </w:pPr>
    </w:p>
    <w:p>
      <w:pPr>
        <w:ind w:right="220" w:firstLine="382"/>
        <w:spacing w:after="0" w:line="286"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1"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2021, there were 23,379,887 shares of our common stock outstanding.</w:t>
      </w:r>
    </w:p>
    <w:p>
      <w:pPr>
        <w:spacing w:after="0" w:line="76"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or the Securities Act. If these additional shares of common stock are sold, or if it is perceived that they will be sold, in the public market, the trading price of our common stock could decline.</w:t>
      </w:r>
    </w:p>
    <w:p>
      <w:pPr>
        <w:spacing w:after="0" w:line="79"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20" w:firstLine="382"/>
        <w:spacing w:after="0" w:line="296" w:lineRule="auto"/>
        <w:rPr>
          <w:sz w:val="20"/>
          <w:szCs w:val="20"/>
          <w:color w:val="auto"/>
        </w:rPr>
      </w:pPr>
      <w:r>
        <w:rPr>
          <w:rFonts w:ascii="Arial" w:cs="Arial" w:eastAsia="Arial" w:hAnsi="Arial"/>
          <w:sz w:val="16"/>
          <w:szCs w:val="16"/>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53"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ESPP,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300" w:firstLine="382"/>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760" w:right="240" w:hanging="374"/>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prohibition on stockholder action through written consent, which requires that all stockholder actions be taken at a meeting of our stockholders;</w:t>
      </w:r>
    </w:p>
    <w:p>
      <w:pPr>
        <w:spacing w:after="0" w:line="167" w:lineRule="exact"/>
        <w:rPr>
          <w:rFonts w:ascii="Arial" w:cs="Arial" w:eastAsia="Arial" w:hAnsi="Arial"/>
          <w:sz w:val="16"/>
          <w:szCs w:val="16"/>
          <w:color w:val="auto"/>
        </w:rPr>
      </w:pPr>
    </w:p>
    <w:p>
      <w:pPr>
        <w:ind w:left="760" w:right="440" w:hanging="374"/>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44" w:lineRule="exact"/>
        <w:rPr>
          <w:rFonts w:ascii="Arial" w:cs="Arial" w:eastAsia="Arial" w:hAnsi="Arial"/>
          <w:sz w:val="18"/>
          <w:szCs w:val="18"/>
          <w:color w:val="auto"/>
        </w:rPr>
      </w:pPr>
    </w:p>
    <w:p>
      <w:pPr>
        <w:ind w:left="760" w:right="40" w:hanging="374"/>
        <w:spacing w:after="0" w:line="263"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760" w:right="100" w:hanging="374"/>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760" w:right="240" w:hanging="374"/>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2"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382"/>
        <w:spacing w:after="0" w:line="28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74" w:lineRule="exact"/>
        <w:rPr>
          <w:sz w:val="20"/>
          <w:szCs w:val="20"/>
          <w:color w:val="auto"/>
        </w:rPr>
      </w:pPr>
    </w:p>
    <w:p>
      <w:pPr>
        <w:ind w:right="220" w:firstLine="382"/>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17"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117" w:lineRule="exact"/>
        <w:rPr>
          <w:sz w:val="20"/>
          <w:szCs w:val="20"/>
          <w:color w:val="auto"/>
        </w:rPr>
      </w:pPr>
    </w:p>
    <w:p>
      <w:pPr>
        <w:ind w:right="60" w:firstLine="382"/>
        <w:spacing w:after="0" w:line="290" w:lineRule="auto"/>
        <w:rPr>
          <w:sz w:val="20"/>
          <w:szCs w:val="20"/>
          <w:color w:val="auto"/>
        </w:rPr>
      </w:pPr>
      <w:r>
        <w:rPr>
          <w:rFonts w:ascii="Arial" w:cs="Arial" w:eastAsia="Arial" w:hAnsi="Arial"/>
          <w:sz w:val="16"/>
          <w:szCs w:val="16"/>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220" w:firstLine="382"/>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We commenced our IPO pursuant to the registration statement on Form S-1 (File Nos. 333-248924 and 333-249397) that was declared effective on October 8, 2020 and registered an aggregate of 6,900,000 shares of our common stock. On October 8, 2020, we sold 6,900,000 shares of our common stock at a public offering price of $15.00 per share for aggregate gross proceeds of $103.5 million. In October 2020, we completed our IPO. Cowen and Company, LLC, SVB Leerink LLC, Credit Suisse Securities (USA) LLC, and RBC Capital Markets, LLC served as joint book-running managers.</w:t>
      </w:r>
    </w:p>
    <w:p>
      <w:pPr>
        <w:spacing w:after="0" w:line="49"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The net proceeds of the IPO were approximately $93.4 million, after deducting underwriting discounts, commissions and offering expenses. No offering expenses were paid directly or indirectly to any of our directors or officers (or their associates) or persons owning ten percent or more of any class of our equity securities or to any other affiliates.</w:t>
      </w:r>
    </w:p>
    <w:p>
      <w:pPr>
        <w:spacing w:after="0" w:line="76" w:lineRule="exact"/>
        <w:rPr>
          <w:sz w:val="20"/>
          <w:szCs w:val="20"/>
          <w:color w:val="auto"/>
        </w:rPr>
      </w:pPr>
    </w:p>
    <w:p>
      <w:pPr>
        <w:ind w:right="100" w:firstLine="510"/>
        <w:spacing w:after="0" w:line="297" w:lineRule="auto"/>
        <w:rPr>
          <w:sz w:val="20"/>
          <w:szCs w:val="20"/>
          <w:color w:val="auto"/>
        </w:rPr>
      </w:pPr>
      <w:r>
        <w:rPr>
          <w:rFonts w:ascii="Arial" w:cs="Arial" w:eastAsia="Arial" w:hAnsi="Arial"/>
          <w:sz w:val="16"/>
          <w:szCs w:val="16"/>
          <w:color w:val="auto"/>
        </w:rPr>
        <w:t>Upon receipt, the net proceeds from our IPO were held in cash and cash equivalents. Through September 30, 2021, we have not used any of the net proceeds from our IPO. We are investing these funds in accordance with our investment policy. We expect to use the net proceeds from our IPO as described under “Use of Proceeds” in the final prospectus filed with the SEC on October 9, 2020 pursuant to rule 424(b)(4) of the Securities Act. We cannot predict with certainty all of the particular uses for the net proceeds from our IPO, or the amounts that we will actually spend on the uses set forth above. The amounts and timing of our actual use of the net proceeds will vary depending on numerous factors, including our ability to access additional financing, the relative success and cost of our clinical trials. As a result, our management will have broad discretion in the application of the net proceeds, and investors will be relying on our judgment regarding the application of the net proceeds from our IPO.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Retirement and Resignation of Chief Executive Officer and Director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November 15, 2021, or the Separation Date, Richard King retired and resigned from his positions as our Chief Executive Officer and member of our board of directors, effective immediately. Mr. King’s resignation did not result from a disagreement with our company on any matter relating to our operations, policies or practices.</w:t>
      </w:r>
    </w:p>
    <w:p>
      <w:pPr>
        <w:spacing w:after="0" w:line="76"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connection with Mr. King’s departure, we and Mr. King have entered into a separation and release agreement effective as of November 15, 2021, or the Separation Agreement. Pursuant to the Separation Agreement, in exchange for granting and not revoking a customary release of claims, Mr. King will be entitled to receive an amount equal to 12 months of his base salary ($500,000 per year) payable in a single lump sum payment on January 1, 2022, and continued coverage under COBRA equal to 12 months (consistent with what Mr. King was entitled to for a “Regular Termination” pursuant to the Spruce Biosciences, Inc. Severance and Change in Control Plan, dated September 9, 2020, and the signed Participation Agreement between us and Mr. King in connection therewith). In addition, the Separation Agreement provides that all vested options held by Mr. King as of the Separation Date may be exercised through June 30, 2023. The Separation Agreement also contains a reaffirmation of Mr. King’s confidentiality obligations to our company.</w:t>
      </w:r>
    </w:p>
    <w:p>
      <w:pPr>
        <w:spacing w:after="0" w:line="58"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foregoing description of the Separation Agreement is qualified in its entirety by reference to the complete text of such agreement, a copy of which is attached as Exhibit 10.1 to this Quarterly Report on Form 10-Q and incorporated herein by reference.</w:t>
      </w:r>
    </w:p>
    <w:p>
      <w:pPr>
        <w:spacing w:after="0" w:line="6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Michael Grey, the Executive Chairman of our board of directors, will serve as interim Chief Executive Officer and principal executive officer effective immediately, until a new Chief Executive Officer and principal executive officer is appointed. Mr. Grey will continue to hold his position as Executive Chairman of our board of directors. Mr. Grey’s biographical information is set forth on page 7 of our Definitive Proxy Statement on Schedule 14A, filed with the Securities and Exchange Commission on April 2, 2021, in the section entitled “Proposal 1—Election of Directors,” which information is incorporated herein by reference.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20" w:type="dxa"/>
            <w:vAlign w:val="bottom"/>
            <w:gridSpan w:val="13"/>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2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2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9880" w:type="dxa"/>
            <w:vAlign w:val="bottom"/>
            <w:tcBorders>
              <w:top w:val="single" w:sz="8" w:color="auto"/>
              <w:bottom w:val="single" w:sz="8" w:color="0000EE"/>
            </w:tcBorders>
            <w:gridSpan w:val="11"/>
          </w:tcPr>
          <w:p>
            <w:pPr>
              <w:spacing w:after="0" w:line="182"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Amended and Restated Certificate of Incorporation of the Registrant (incorporated by reference to Exhibit 3.1 to the Registrant’s Current</w:t>
              </w:r>
            </w:hyperlink>
          </w:p>
        </w:tc>
        <w:tc>
          <w:tcPr>
            <w:tcW w:w="280" w:type="dxa"/>
            <w:vAlign w:val="bottom"/>
            <w:tcBorders>
              <w:top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Report on Form 8-K, filed with the SEC on October 14, 2020).</w:t>
              </w:r>
            </w:hyperlink>
          </w:p>
        </w:tc>
        <w:tc>
          <w:tcPr>
            <w:tcW w:w="5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filed with the SEC on October 14, 2020).</w:t>
              </w:r>
            </w:hyperlink>
          </w:p>
        </w:tc>
        <w:tc>
          <w:tcPr>
            <w:tcW w:w="7020" w:type="dxa"/>
            <w:vAlign w:val="bottom"/>
            <w:tcBorders>
              <w:top w:val="single" w:sz="8" w:color="0000EE"/>
            </w:tcBorders>
            <w:gridSpan w:val="12"/>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w w:val="94"/>
              </w:rPr>
            </w:pPr>
            <w:hyperlink r:id="rId103">
              <w:r>
                <w:rPr>
                  <w:rFonts w:ascii="Arial" w:cs="Arial" w:eastAsia="Arial" w:hAnsi="Arial"/>
                  <w:sz w:val="18"/>
                  <w:szCs w:val="18"/>
                  <w:color w:val="0000EE"/>
                  <w:w w:val="94"/>
                </w:rPr>
                <w:t>Form of Common Stock Certificate (incorporated by reference to Exhibit 4.1 to the Registrant’s Registration Statement on Form S-1,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amended (File No. 333-248924), filed with the SEC on October 5, 2020).</w:t>
              </w:r>
            </w:hyperlink>
          </w:p>
        </w:tc>
        <w:tc>
          <w:tcPr>
            <w:tcW w:w="4480" w:type="dxa"/>
            <w:vAlign w:val="bottom"/>
            <w:tcBorders>
              <w:top w:val="single" w:sz="8" w:color="0000EE"/>
            </w:tcBorders>
            <w:gridSpan w:val="5"/>
          </w:tcPr>
          <w:p>
            <w:pPr>
              <w:spacing w:after="0"/>
              <w:rPr>
                <w:sz w:val="17"/>
                <w:szCs w:val="17"/>
                <w:color w:val="auto"/>
              </w:rPr>
            </w:pPr>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20" w:type="dxa"/>
            <w:vAlign w:val="bottom"/>
          </w:tcPr>
          <w:p>
            <w:pPr>
              <w:ind w:lef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020" w:type="dxa"/>
            <w:vAlign w:val="bottom"/>
            <w:tcBorders>
              <w:bottom w:val="single" w:sz="8" w:color="0000EE"/>
            </w:tcBorders>
            <w:gridSpan w:val="16"/>
          </w:tcPr>
          <w:p>
            <w:pPr>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Amended and Restated Investors’ Rights Agreement, by and among the Registrant and certain of its stockholders, dated February 19, 2020</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(incorporated by reference to Exhibit 4.2 to the Registrant’s Registration Statement on Form S-1, as amended (File No. 333-248924), filed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with the SEC on September 18. 2020).</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ind w:left="1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Separation and Release Agreement, dated November 15, 2021, by and between the Registrant and Richard King.</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5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w w:val="96"/>
              </w:rPr>
            </w:pPr>
            <w:hyperlink w:anchor="page89">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amended, as adopted pursuant to Section 302 of the Sarbanes-Oxley Act of 2002.</w:t>
              </w:r>
            </w:hyperlink>
          </w:p>
        </w:tc>
        <w:tc>
          <w:tcPr>
            <w:tcW w:w="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90">
              <w:r>
                <w:rPr>
                  <w:rFonts w:ascii="Arial" w:cs="Arial" w:eastAsia="Arial" w:hAnsi="Arial"/>
                  <w:sz w:val="18"/>
                  <w:szCs w:val="18"/>
                  <w:color w:val="0000EE"/>
                  <w:w w:val="93"/>
                </w:rPr>
                <w:t>Act of 2002.</w:t>
              </w:r>
            </w:hyperlink>
          </w:p>
        </w:tc>
        <w:tc>
          <w:tcPr>
            <w:tcW w:w="9060" w:type="dxa"/>
            <w:vAlign w:val="bottom"/>
            <w:tcBorders>
              <w:top w:val="single" w:sz="8" w:color="0000EE"/>
            </w:tcBorders>
            <w:gridSpan w:val="13"/>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99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91">
              <w:r>
                <w:rPr>
                  <w:rFonts w:ascii="Arial" w:cs="Arial" w:eastAsia="Arial" w:hAnsi="Arial"/>
                  <w:sz w:val="18"/>
                  <w:szCs w:val="18"/>
                  <w:color w:val="0000EE"/>
                  <w:w w:val="93"/>
                </w:rPr>
                <w:t>Act of 2002.</w:t>
              </w:r>
            </w:hyperlink>
          </w:p>
        </w:tc>
        <w:tc>
          <w:tcPr>
            <w:tcW w:w="92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1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64"/>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9" w:lineRule="exact"/>
        <w:rPr>
          <w:sz w:val="20"/>
          <w:szCs w:val="20"/>
          <w:color w:val="auto"/>
        </w:rPr>
      </w:pPr>
    </w:p>
    <w:p>
      <w:pPr>
        <w:ind w:right="60" w:firstLine="8"/>
        <w:spacing w:after="0" w:line="253" w:lineRule="auto"/>
        <w:tabs>
          <w:tab w:leader="none" w:pos="1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2"/>
          </w:tcPr>
          <w:p>
            <w:pPr>
              <w:ind w:left="1740"/>
              <w:spacing w:after="0"/>
              <w:rPr>
                <w:sz w:val="20"/>
                <w:szCs w:val="20"/>
                <w:color w:val="auto"/>
              </w:rPr>
            </w:pPr>
            <w:r>
              <w:rPr>
                <w:rFonts w:ascii="Arial" w:cs="Arial" w:eastAsia="Arial" w:hAnsi="Arial"/>
                <w:sz w:val="18"/>
                <w:szCs w:val="18"/>
                <w:color w:val="auto"/>
              </w:rPr>
              <w:t>SPRUCE BIOSCIENCES, INC.</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November 15, 2021</w:t>
            </w:r>
          </w:p>
        </w:tc>
        <w:tc>
          <w:tcPr>
            <w:tcW w:w="2080" w:type="dxa"/>
            <w:vAlign w:val="bottom"/>
          </w:tcPr>
          <w:p>
            <w:pPr>
              <w:ind w:left="174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Grey</w:t>
            </w:r>
          </w:p>
        </w:tc>
      </w:tr>
      <w:tr>
        <w:trPr>
          <w:trHeight w:val="222"/>
        </w:trPr>
        <w:tc>
          <w:tcPr>
            <w:tcW w:w="3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Michael Grey</w:t>
            </w:r>
          </w:p>
        </w:tc>
      </w:tr>
      <w:tr>
        <w:trPr>
          <w:trHeight w:val="216"/>
        </w:trPr>
        <w:tc>
          <w:tcPr>
            <w:tcW w:w="3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Interim Chief Executive Officer</w:t>
            </w:r>
          </w:p>
        </w:tc>
      </w:tr>
      <w:tr>
        <w:trPr>
          <w:trHeight w:val="230"/>
        </w:trPr>
        <w:tc>
          <w:tcPr>
            <w:tcW w:w="3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November 15, 2021</w:t>
            </w:r>
          </w:p>
        </w:tc>
        <w:tc>
          <w:tcPr>
            <w:tcW w:w="2080" w:type="dxa"/>
            <w:vAlign w:val="bottom"/>
          </w:tcPr>
          <w:p>
            <w:pPr>
              <w:ind w:left="174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Samir Gharib</w:t>
            </w:r>
          </w:p>
        </w:tc>
      </w:tr>
      <w:tr>
        <w:trPr>
          <w:trHeight w:val="224"/>
        </w:trPr>
        <w:tc>
          <w:tcPr>
            <w:tcW w:w="3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0"/>
              </w:rPr>
              <w:t>Samir Gharib</w:t>
            </w:r>
          </w:p>
        </w:tc>
      </w:tr>
    </w:tbl>
    <w:p>
      <w:pPr>
        <w:jc w:val="center"/>
        <w:ind w:left="566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1" w:right="339" w:bottom="1440" w:gutter="0" w:footer="0" w:header="0"/>
        </w:sectPr>
      </w:pPr>
    </w:p>
    <w:bookmarkStart w:id="83" w:name="page84"/>
    <w:bookmarkEnd w:id="83"/>
    <w:p>
      <w:pPr>
        <w:ind w:left="1460"/>
        <w:spacing w:after="0"/>
        <w:rPr>
          <w:sz w:val="20"/>
          <w:szCs w:val="20"/>
          <w:color w:val="auto"/>
        </w:rPr>
      </w:pPr>
      <w:r>
        <w:rPr>
          <w:rFonts w:ascii="Arial" w:cs="Arial" w:eastAsia="Arial" w:hAnsi="Arial"/>
          <w:sz w:val="22"/>
          <w:szCs w:val="22"/>
          <w:color w:val="auto"/>
        </w:rPr>
        <w:t>EXHIBIT 10.1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AND RELEASE AGREEMENT</w:t>
      </w:r>
    </w:p>
    <w:p>
      <w:pPr>
        <w:spacing w:after="0" w:line="20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color w:val="auto"/>
        </w:rPr>
        <w:t xml:space="preserve">I, Richard King, understand that my employment with </w:t>
      </w:r>
      <w:r>
        <w:rPr>
          <w:rFonts w:ascii="Arial" w:cs="Arial" w:eastAsia="Arial" w:hAnsi="Arial"/>
          <w:sz w:val="22"/>
          <w:szCs w:val="22"/>
          <w:b w:val="1"/>
          <w:bCs w:val="1"/>
          <w:color w:val="auto"/>
        </w:rPr>
        <w:t>Spruce Biosciences, Inc.</w:t>
      </w:r>
      <w:r>
        <w:rPr>
          <w:rFonts w:ascii="Arial" w:cs="Arial" w:eastAsia="Arial" w:hAnsi="Arial"/>
          <w:sz w:val="22"/>
          <w:szCs w:val="22"/>
          <w:color w:val="auto"/>
        </w:rPr>
        <w:t xml:space="preserve"> (the “</w:t>
      </w:r>
      <w:r>
        <w:rPr>
          <w:rFonts w:ascii="Arial" w:cs="Arial" w:eastAsia="Arial" w:hAnsi="Arial"/>
          <w:sz w:val="22"/>
          <w:szCs w:val="22"/>
          <w:b w:val="1"/>
          <w:bCs w:val="1"/>
          <w:color w:val="auto"/>
        </w:rPr>
        <w:t>Company</w:t>
      </w:r>
      <w:r>
        <w:rPr>
          <w:rFonts w:ascii="Arial" w:cs="Arial" w:eastAsia="Arial" w:hAnsi="Arial"/>
          <w:sz w:val="22"/>
          <w:szCs w:val="22"/>
          <w:color w:val="auto"/>
        </w:rPr>
        <w:t>”) will terminate effective as of November 15, 2021 (the “</w:t>
      </w:r>
      <w:r>
        <w:rPr>
          <w:rFonts w:ascii="Arial" w:cs="Arial" w:eastAsia="Arial" w:hAnsi="Arial"/>
          <w:sz w:val="22"/>
          <w:szCs w:val="22"/>
          <w:b w:val="1"/>
          <w:bCs w:val="1"/>
          <w:color w:val="auto"/>
        </w:rPr>
        <w:t>Separation Date</w:t>
      </w:r>
      <w:r>
        <w:rPr>
          <w:rFonts w:ascii="Arial" w:cs="Arial" w:eastAsia="Arial" w:hAnsi="Arial"/>
          <w:sz w:val="22"/>
          <w:szCs w:val="22"/>
          <w:color w:val="auto"/>
        </w:rPr>
        <w:t>”). As of the Separation Date, I hereby irrevocably resign as Chief Executive Officer and a director of the Company and from any other officer and director positions I may hold with the Company and any of its subsidiaries. During the period between the Separation Date and December 31, 2021, I will cooperate with the Company to transition my duties and responsibilities and to provide other strategic advice as reasonably requested by the Company from time to time.</w:t>
      </w:r>
    </w:p>
    <w:p>
      <w:pPr>
        <w:spacing w:after="0" w:line="188"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9"/>
          <w:szCs w:val="19"/>
          <w:color w:val="auto"/>
        </w:rPr>
        <w:t>The Company has agreed that in exchange for my promises and obligations set forth in this Separation and Release Agreement (the “</w:t>
      </w:r>
      <w:r>
        <w:rPr>
          <w:rFonts w:ascii="Arial" w:cs="Arial" w:eastAsia="Arial" w:hAnsi="Arial"/>
          <w:sz w:val="19"/>
          <w:szCs w:val="19"/>
          <w:b w:val="1"/>
          <w:bCs w:val="1"/>
          <w:color w:val="auto"/>
        </w:rPr>
        <w:t>Agreement</w:t>
      </w:r>
      <w:r>
        <w:rPr>
          <w:rFonts w:ascii="Arial" w:cs="Arial" w:eastAsia="Arial" w:hAnsi="Arial"/>
          <w:sz w:val="19"/>
          <w:szCs w:val="19"/>
          <w:color w:val="auto"/>
        </w:rPr>
        <w:t>”), my employment termination will be considered a “Regular Termination” as set forth in and under the terms and conditions of the Spruce Biosciences, Inc. Severance and Change in Control Plan, dated September 9, 2020, and the signed Participation Agreement between the Company and me in connection therewith (collectively, the “</w:t>
      </w:r>
      <w:r>
        <w:rPr>
          <w:rFonts w:ascii="Arial" w:cs="Arial" w:eastAsia="Arial" w:hAnsi="Arial"/>
          <w:sz w:val="19"/>
          <w:szCs w:val="19"/>
          <w:b w:val="1"/>
          <w:bCs w:val="1"/>
          <w:color w:val="auto"/>
        </w:rPr>
        <w:t>Severance Plan</w:t>
      </w:r>
      <w:r>
        <w:rPr>
          <w:rFonts w:ascii="Arial" w:cs="Arial" w:eastAsia="Arial" w:hAnsi="Arial"/>
          <w:sz w:val="19"/>
          <w:szCs w:val="19"/>
          <w:color w:val="auto"/>
        </w:rPr>
        <w:t xml:space="preserve">”), copies of which are attached hereto as </w:t>
      </w:r>
      <w:r>
        <w:rPr>
          <w:rFonts w:ascii="Arial" w:cs="Arial" w:eastAsia="Arial" w:hAnsi="Arial"/>
          <w:sz w:val="19"/>
          <w:szCs w:val="19"/>
          <w:b w:val="1"/>
          <w:bCs w:val="1"/>
          <w:color w:val="auto"/>
        </w:rPr>
        <w:t>Annex I</w:t>
      </w:r>
      <w:r>
        <w:rPr>
          <w:rFonts w:ascii="Arial" w:cs="Arial" w:eastAsia="Arial" w:hAnsi="Arial"/>
          <w:sz w:val="19"/>
          <w:szCs w:val="19"/>
          <w:color w:val="auto"/>
        </w:rPr>
        <w:t xml:space="preserve"> and the terms of which are expressly incorporated by reference herein. Accordingly, if I timely sign and return to the Company this fully executed Agreement, allow it to become effective, and fully comply with my obligations hereunder and under the Severance Plan, then subject to the terms and conditions of the Severance Plan, the Company will provide me with the applicable severance benefits set forth in the Severance Plan (i.e., 12 months of my base salary rate of $500,000 per year (the “</w:t>
      </w:r>
      <w:r>
        <w:rPr>
          <w:rFonts w:ascii="Arial" w:cs="Arial" w:eastAsia="Arial" w:hAnsi="Arial"/>
          <w:sz w:val="19"/>
          <w:szCs w:val="19"/>
          <w:b w:val="1"/>
          <w:bCs w:val="1"/>
          <w:color w:val="auto"/>
        </w:rPr>
        <w:t>Cash Severance</w:t>
      </w:r>
      <w:r>
        <w:rPr>
          <w:rFonts w:ascii="Arial" w:cs="Arial" w:eastAsia="Arial" w:hAnsi="Arial"/>
          <w:sz w:val="19"/>
          <w:szCs w:val="19"/>
          <w:color w:val="auto"/>
        </w:rPr>
        <w:t xml:space="preserve">”) and COBRA premiums, each as described and under the terms of the Severance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provisions of the Severance Plan, the Cash Severance shall be payable in a single lump sum payment on January 1, 2022), and as an additional benefit, the Company also will extend until June 30, 2023 the period of time in which I may exercise my Company stock options that are vested as of the Separation Date. Except as expressly set forth herein, any options or other equity awards granted to me by the Company will continue to be governed by the applicable equity incentive plans and applicable grant documents.</w:t>
      </w:r>
    </w:p>
    <w:p>
      <w:pPr>
        <w:spacing w:after="0" w:line="164"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9"/>
          <w:szCs w:val="19"/>
          <w:color w:val="auto"/>
        </w:rPr>
        <w:t>In consideration for the benefits I am receiving under the Severance Plan and this Agreement that I am not otherwise entitled to receive, I hereby generally and completely release the Company and its parents, subsidiaries, successors, predecessors, and affiliates, and each of their respective current and former directors, officers, employees, stockholders, shareholders, agents, attorneys, insurers, and assigns, from any and all claims, liabilities and obligations, both known and unknown, that arise out of or are in any way related to events, acts, conduct, or omissions occurring at any time prior to and including the date I sign this Agreement. This general release includes, but is not limited to: (a) all claims arising out of or in any way related to my employment or the termination of that employment; (b) all claims related to my compensation or benefits, including salary, bonuses, commissions, vacation pay, expense reimbursements, severance pay, fringe benefits, stock, stock options, or any other ownership interests; (c) all claims for breach of contract, wrongful termination, and breach of the implied covenant of good faith and fair dealing; (d) all tort claims, including claims for fraud, defamation, emotional distress, and discharge in violation of public policy; and (e) all federal, state, provincial and local statutory claims, including claims for discrimination, harassment, retaliation, attorneys’ fees, or other claims arising under the federal Civil Rights Act of 1964 (as amended), the federal Americans with Disabilities Act of 1990 (as amended), the federal Employee Retirement Income Security Act of 1974 (as amended), and the California Fair Employment and Housing Act (as amended). Notwithstanding the foregoing, I understand that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both"/>
        <w:spacing w:after="0" w:line="238" w:lineRule="auto"/>
        <w:rPr>
          <w:sz w:val="20"/>
          <w:szCs w:val="20"/>
          <w:color w:val="auto"/>
        </w:rPr>
      </w:pPr>
      <w:r>
        <w:rPr>
          <w:rFonts w:ascii="Arial" w:cs="Arial" w:eastAsia="Arial" w:hAnsi="Arial"/>
          <w:sz w:val="22"/>
          <w:szCs w:val="22"/>
          <w:color w:val="auto"/>
        </w:rPr>
        <w:t>following claims are not included in my release: (i) any rights or claims for indemnification I may have pursuant to any written indemnification agreement; under the charter and bylaws of the Company; or under applicable law; (ii) any rights which cannot be waived as a matter of law; (iii) any rights I may have to file or pursue a claim for workers’ compensation or unemployment insurance; or (iv) any claims for breach of this Agreement.</w:t>
      </w:r>
    </w:p>
    <w:p>
      <w:pPr>
        <w:spacing w:after="0" w:line="185" w:lineRule="exact"/>
        <w:rPr>
          <w:sz w:val="20"/>
          <w:szCs w:val="20"/>
          <w:color w:val="auto"/>
        </w:rPr>
      </w:pPr>
    </w:p>
    <w:p>
      <w:pPr>
        <w:jc w:val="both"/>
        <w:ind w:firstLine="802"/>
        <w:spacing w:after="0" w:line="245" w:lineRule="auto"/>
        <w:rPr>
          <w:sz w:val="20"/>
          <w:szCs w:val="20"/>
          <w:color w:val="auto"/>
        </w:rPr>
      </w:pPr>
      <w:r>
        <w:rPr>
          <w:rFonts w:ascii="Arial" w:cs="Arial" w:eastAsia="Arial" w:hAnsi="Arial"/>
          <w:sz w:val="21"/>
          <w:szCs w:val="21"/>
          <w:color w:val="auto"/>
        </w:rPr>
        <w:t>I acknowledge that I am knowingly and voluntarily waiving and releasing any rights I may have under the federal Age Discrimination in Employment Act (as amended) (“</w:t>
      </w:r>
      <w:r>
        <w:rPr>
          <w:rFonts w:ascii="Arial" w:cs="Arial" w:eastAsia="Arial" w:hAnsi="Arial"/>
          <w:sz w:val="21"/>
          <w:szCs w:val="21"/>
          <w:b w:val="1"/>
          <w:bCs w:val="1"/>
          <w:color w:val="auto"/>
        </w:rPr>
        <w:t>ADEA</w:t>
      </w:r>
      <w:r>
        <w:rPr>
          <w:rFonts w:ascii="Arial" w:cs="Arial" w:eastAsia="Arial" w:hAnsi="Arial"/>
          <w:sz w:val="21"/>
          <w:szCs w:val="21"/>
          <w:color w:val="auto"/>
        </w:rPr>
        <w:t>”), and that the consideration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after the date I sign this Agreement; (b) I should consult with an attorney prior to signing this Agreement (although I may choose voluntarily not do so); (c) I have 21 days to consider this Agreement (although I may choose voluntarily to sign it earlier); (d) I have seven days following the date I sign this Agreement to revoke it by providing written notice to the Board of Directors; and (e) this Agreement will not be effective until the date upon which the revocation period has expired, which will be the eighth day after I sign this Agreement.</w:t>
      </w:r>
    </w:p>
    <w:p>
      <w:pPr>
        <w:spacing w:after="0" w:line="178" w:lineRule="exact"/>
        <w:rPr>
          <w:sz w:val="20"/>
          <w:szCs w:val="20"/>
          <w:color w:val="auto"/>
        </w:rPr>
      </w:pPr>
    </w:p>
    <w:p>
      <w:pPr>
        <w:jc w:val="both"/>
        <w:ind w:firstLine="802"/>
        <w:spacing w:after="0" w:line="283" w:lineRule="auto"/>
        <w:rPr>
          <w:sz w:val="20"/>
          <w:szCs w:val="20"/>
          <w:color w:val="auto"/>
        </w:rPr>
      </w:pPr>
      <w:r>
        <w:rPr>
          <w:rFonts w:ascii="Arial" w:cs="Arial" w:eastAsia="Arial" w:hAnsi="Arial"/>
          <w:sz w:val="19"/>
          <w:szCs w:val="19"/>
          <w:color w:val="auto"/>
        </w:rPr>
        <w:t xml:space="preserve">I acknowledge that I have read and understand Section 1542 of the California Civil Code which reads as follows: </w:t>
      </w:r>
      <w:r>
        <w:rPr>
          <w:rFonts w:ascii="Arial" w:cs="Arial" w:eastAsia="Arial" w:hAnsi="Arial"/>
          <w:sz w:val="19"/>
          <w:szCs w:val="19"/>
          <w:b w:val="1"/>
          <w:bCs w:val="1"/>
          <w:color w:val="auto"/>
        </w:rPr>
        <w:t>“A</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9"/>
          <w:szCs w:val="19"/>
          <w:color w:val="auto"/>
        </w:rPr>
        <w:t>I hereby expressly waive and relinquish all rights and benefits under that</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and any law of any jurisdiction of similar effect with respect to my release of any claims hereunder.</w:t>
      </w:r>
    </w:p>
    <w:p>
      <w:pPr>
        <w:spacing w:after="0" w:line="149" w:lineRule="exact"/>
        <w:rPr>
          <w:sz w:val="20"/>
          <w:szCs w:val="20"/>
          <w:color w:val="auto"/>
        </w:rPr>
      </w:pPr>
    </w:p>
    <w:p>
      <w:pPr>
        <w:jc w:val="both"/>
        <w:ind w:firstLine="802"/>
        <w:spacing w:after="0" w:line="274" w:lineRule="auto"/>
        <w:rPr>
          <w:sz w:val="20"/>
          <w:szCs w:val="20"/>
          <w:color w:val="auto"/>
        </w:rPr>
      </w:pPr>
      <w:r>
        <w:rPr>
          <w:rFonts w:ascii="Arial" w:cs="Arial" w:eastAsia="Arial" w:hAnsi="Arial"/>
          <w:sz w:val="19"/>
          <w:szCs w:val="19"/>
          <w:color w:val="auto"/>
        </w:rPr>
        <w:t>I understand that nothing in this Agreement limits my ability to file a 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b w:val="1"/>
          <w:bCs w:val="1"/>
          <w:color w:val="auto"/>
        </w:rPr>
        <w:t>Government Agencies</w:t>
      </w:r>
      <w:r>
        <w:rPr>
          <w:rFonts w:ascii="Arial" w:cs="Arial" w:eastAsia="Arial" w:hAnsi="Arial"/>
          <w:sz w:val="19"/>
          <w:szCs w:val="19"/>
          <w:color w:val="auto"/>
        </w:rPr>
        <w:t>”). I further understand this Agreement does not limit my ability to communicate with any Government Agencies or otherwise participate in any investigation or proceeding that may be conducted by any Government Agency, including providing documents or other information, without notice to the Company. While this Agreement does not limit my right to receive an award for information provided to the Securities and Exchange Commission, I understand and agree that, to maximum extent permitted by law, I am otherwise waiving any and all rights I may have to individual relief based on any claims that I have released and any rights I have waived by signing this release.</w:t>
      </w:r>
    </w:p>
    <w:p>
      <w:pPr>
        <w:spacing w:after="0" w:line="158" w:lineRule="exact"/>
        <w:rPr>
          <w:sz w:val="20"/>
          <w:szCs w:val="20"/>
          <w:color w:val="auto"/>
        </w:rPr>
      </w:pPr>
    </w:p>
    <w:p>
      <w:pPr>
        <w:jc w:val="both"/>
        <w:ind w:firstLine="802"/>
        <w:spacing w:after="0" w:line="245" w:lineRule="auto"/>
        <w:rPr>
          <w:sz w:val="20"/>
          <w:szCs w:val="20"/>
          <w:color w:val="auto"/>
        </w:rPr>
      </w:pPr>
      <w:r>
        <w:rPr>
          <w:rFonts w:ascii="Arial" w:cs="Arial" w:eastAsia="Arial" w:hAnsi="Arial"/>
          <w:sz w:val="21"/>
          <w:szCs w:val="21"/>
          <w:color w:val="auto"/>
        </w:rPr>
        <w:t>I expressly acknowledge and agree that the benefits provided by and as set forth in this Agreement satisfy in full and exceed any and all obligations of the Company to provide me with any benefits, compensation or severance in connection with my employment termination, including without limitation under the Severance Plan, my employment agreement with the Company dated October 1, 2019, and any other agreement, plan or policy applicable to me. I further acknowledge that, other than the severance benefits that will be provided to me as described in this Agreement upon the effectiveness of this release, among other required conditions, I have not earned and will not receive from the Company any additional compensation, severance, or benefits, with the exception of any vested right I may have under the express terms of a written ERISA-qualified benefit plan (e.g., 401(k) account). By way of example, I acknowledge that I have not earned and am not owed any bonus, vacation, incentive compensation,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both"/>
        <w:spacing w:after="0" w:line="238" w:lineRule="auto"/>
        <w:rPr>
          <w:sz w:val="20"/>
          <w:szCs w:val="20"/>
          <w:color w:val="auto"/>
        </w:rPr>
      </w:pPr>
      <w:r>
        <w:rPr>
          <w:rFonts w:ascii="Arial" w:cs="Arial" w:eastAsia="Arial" w:hAnsi="Arial"/>
          <w:sz w:val="22"/>
          <w:szCs w:val="22"/>
          <w:color w:val="auto"/>
        </w:rPr>
        <w:t>commissions or equity. I hereby further represent that I have been paid all compensation owed and for all hours worked; I have received all the leave and leave benefits and protections for which I am eligible pursuant to the Family and Medical Leave Act, the California Family Rights Act, or otherwise; and I have not suffered any on-the-job injury for which I have not already filed a workers’ compensation claim.</w:t>
      </w:r>
    </w:p>
    <w:p>
      <w:pPr>
        <w:spacing w:after="0" w:line="185" w:lineRule="exact"/>
        <w:rPr>
          <w:sz w:val="20"/>
          <w:szCs w:val="20"/>
          <w:color w:val="auto"/>
        </w:rPr>
      </w:pPr>
    </w:p>
    <w:p>
      <w:pPr>
        <w:jc w:val="both"/>
        <w:ind w:firstLine="802"/>
        <w:spacing w:after="0"/>
        <w:rPr>
          <w:sz w:val="20"/>
          <w:szCs w:val="20"/>
          <w:color w:val="auto"/>
        </w:rPr>
      </w:pPr>
      <w:r>
        <w:rPr>
          <w:rFonts w:ascii="Arial" w:cs="Arial" w:eastAsia="Arial" w:hAnsi="Arial"/>
          <w:sz w:val="22"/>
          <w:szCs w:val="22"/>
          <w:color w:val="auto"/>
        </w:rPr>
        <w:t>I acknowledge my continuing obligations under my CIIA as well as my obligations to return all Company Property, as those terms are defined in, and as set forth in, the Severance Plan, as well as my other obligations and duties under the Severance Plan.</w:t>
      </w:r>
    </w:p>
    <w:p>
      <w:pPr>
        <w:spacing w:after="0" w:line="186"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9"/>
          <w:szCs w:val="19"/>
          <w:color w:val="auto"/>
        </w:rPr>
        <w:t>I hereby agree not to disparage the Company or any of its officers, directors, employees, shareholders, and agents, in any manner likely to be harmful to its or their business, business reputations or personal reputations, and the Company hereby agrees to direct its executive officers and directors not to disparage me in any manner likely to be harmful to my business reputation or personal reputation; provided that any party may respond accurately and fully to any question, inquiry or request for information when required by the legal process or in connection with a government investigation. In addition, nothing in this Agreement is intended to prohibit or restrain me in any manner from making disclosures that are protected under the whistleblower provisions of federal law or regulation or under other applicable law or regulation.</w:t>
      </w:r>
    </w:p>
    <w:p>
      <w:pPr>
        <w:spacing w:after="0" w:line="152"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color w:val="auto"/>
        </w:rPr>
        <w:t>This Agreement, together with the Severance Plan, constitutes the complete, final and exclusive embodiment of the entire agreement between the Company and me with regard to the subject matter hereof. I am not relying on any promise or representation by the Company that is not expressly stated herein, and this Agreement supersedes any such promises or representations. This Agreement may only be modified by a writing signed by both me and a duly authorized officer of the Company. If any provision of this Agreement or the Severance Plan is determined to be invalid or unenforceable, in whole or in part, this determination shall not affect any other provision of this Agreement or the Severance Plan and the provision in question shall be modified so as to be rendered enforceable in a manner consistent with the intent of the parties insofar as possible under applicable law.</w:t>
      </w:r>
    </w:p>
    <w:p>
      <w:pPr>
        <w:spacing w:after="0" w:line="180" w:lineRule="exact"/>
        <w:rPr>
          <w:sz w:val="20"/>
          <w:szCs w:val="20"/>
          <w:color w:val="auto"/>
        </w:rPr>
      </w:pPr>
    </w:p>
    <w:p>
      <w:pPr>
        <w:jc w:val="both"/>
        <w:ind w:right="20" w:firstLine="802"/>
        <w:spacing w:after="0" w:line="250" w:lineRule="auto"/>
        <w:rPr>
          <w:sz w:val="20"/>
          <w:szCs w:val="20"/>
          <w:color w:val="auto"/>
        </w:rPr>
      </w:pPr>
      <w:r>
        <w:rPr>
          <w:rFonts w:ascii="Arial" w:cs="Arial" w:eastAsia="Arial" w:hAnsi="Arial"/>
          <w:sz w:val="22"/>
          <w:szCs w:val="22"/>
          <w:color w:val="auto"/>
        </w:rPr>
        <w:t>I acknowledge that to become effective, I must sign and return this Agreement to the Company so that it is received not later than 21 days following the date it is provided to me.</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ICHARD</w:t>
      </w:r>
      <w:r>
        <w:rPr>
          <w:rFonts w:ascii="Arial" w:cs="Arial" w:eastAsia="Arial" w:hAnsi="Arial"/>
          <w:sz w:val="22"/>
          <w:szCs w:val="22"/>
          <w:b w:val="1"/>
          <w:bCs w:val="1"/>
          <w:color w:val="auto"/>
        </w:rPr>
        <w:t xml:space="preserve"> K</w:t>
      </w:r>
      <w:r>
        <w:rPr>
          <w:rFonts w:ascii="Arial" w:cs="Arial" w:eastAsia="Arial" w:hAnsi="Arial"/>
          <w:sz w:val="14"/>
          <w:szCs w:val="14"/>
          <w:b w:val="1"/>
          <w:bCs w:val="1"/>
          <w:color w:val="auto"/>
        </w:rPr>
        <w:t>ING</w:t>
      </w: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22"/>
          <w:szCs w:val="22"/>
          <w:u w:val="single" w:color="auto"/>
          <w:color w:val="auto"/>
        </w:rPr>
        <w:t>/s/ Richard King</w:t>
      </w:r>
    </w:p>
    <w:p>
      <w:pPr>
        <w:spacing w:after="0" w:line="8" w:lineRule="exact"/>
        <w:rPr>
          <w:sz w:val="20"/>
          <w:szCs w:val="20"/>
          <w:color w:val="auto"/>
        </w:rPr>
      </w:pPr>
    </w:p>
    <w:p>
      <w:pPr>
        <w:ind w:left="7620"/>
        <w:spacing w:after="0"/>
        <w:rPr>
          <w:sz w:val="20"/>
          <w:szCs w:val="20"/>
          <w:color w:val="auto"/>
        </w:rPr>
      </w:pPr>
      <w:r>
        <w:rPr>
          <w:rFonts w:ascii="Arial" w:cs="Arial" w:eastAsia="Arial" w:hAnsi="Arial"/>
          <w:sz w:val="22"/>
          <w:szCs w:val="22"/>
          <w:i w:val="1"/>
          <w:iCs w:val="1"/>
          <w:color w:val="auto"/>
        </w:rPr>
        <w:t>(Signature)</w:t>
      </w:r>
    </w:p>
    <w:p>
      <w:pPr>
        <w:spacing w:after="0" w:line="8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November 15, 2021_______</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PRUCE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IOSCIENCES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Michael Grey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By: Michael Grey, Executive Chairman of the Board</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left="4140"/>
        <w:spacing w:after="0"/>
        <w:rPr>
          <w:sz w:val="20"/>
          <w:szCs w:val="20"/>
          <w:color w:val="auto"/>
        </w:rPr>
      </w:pPr>
      <w:r>
        <w:rPr>
          <w:rFonts w:ascii="Arial" w:cs="Arial" w:eastAsia="Arial" w:hAnsi="Arial"/>
          <w:sz w:val="22"/>
          <w:szCs w:val="22"/>
          <w:b w:val="1"/>
          <w:bCs w:val="1"/>
          <w:u w:val="single" w:color="auto"/>
          <w:color w:val="auto"/>
        </w:rPr>
        <w:t>Annex I</w:t>
      </w:r>
    </w:p>
    <w:p>
      <w:pPr>
        <w:spacing w:after="0" w:line="207" w:lineRule="exact"/>
        <w:rPr>
          <w:sz w:val="20"/>
          <w:szCs w:val="20"/>
          <w:color w:val="auto"/>
        </w:rPr>
      </w:pPr>
    </w:p>
    <w:p>
      <w:pPr>
        <w:ind w:left="2000"/>
        <w:spacing w:after="0"/>
        <w:rPr>
          <w:sz w:val="20"/>
          <w:szCs w:val="20"/>
          <w:color w:val="auto"/>
        </w:rPr>
      </w:pPr>
      <w:r>
        <w:rPr>
          <w:rFonts w:ascii="Arial" w:cs="Arial" w:eastAsia="Arial" w:hAnsi="Arial"/>
          <w:sz w:val="21"/>
          <w:szCs w:val="21"/>
          <w:b w:val="1"/>
          <w:bCs w:val="1"/>
          <w:u w:val="single" w:color="auto"/>
          <w:color w:val="auto"/>
        </w:rPr>
        <w:t>SEVERANCE AND CHANGE OF CONTROL PLAN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AND PARTICIPATION AGREEMENT</w:t>
      </w:r>
    </w:p>
    <w:p>
      <w:pPr>
        <w:sectPr>
          <w:pgSz w:w="11900" w:h="16838" w:orient="portrait"/>
          <w:cols w:equalWidth="0" w:num="1">
            <w:col w:w="9019"/>
          </w:cols>
          <w:pgMar w:left="1440" w:top="111"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Grey, certify that:</w:t>
      </w:r>
    </w:p>
    <w:p>
      <w:pPr>
        <w:spacing w:after="0" w:line="225"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Spruce Biosciences,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Michael Grey</w:t>
      </w:r>
    </w:p>
    <w:p>
      <w:pPr>
        <w:spacing w:after="0" w:line="27"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Interim 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Samir Gharib, certify that:</w:t>
      </w:r>
    </w:p>
    <w:p>
      <w:pPr>
        <w:spacing w:after="0" w:line="225"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Spruce Biosciences,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Samir Gharib</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3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Spruce Biosciences, Inc. (the “Company”) on Form 10-Q for the period ended September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Grey</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Interim Chief Executive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Spruce Biosciences, Inc. (the “Company”) on Form 10-Q for the period ended September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Samir Gharib</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decimal"/>
      <w:start w:val="9"/>
    </w:lvl>
  </w:abstractNum>
  <w:abstractNum w:abstractNumId="6">
    <w:nsid w:val="79838CB2"/>
    <w:multiLevelType w:val="hybridMultilevel"/>
    <w:lvl w:ilvl="0">
      <w:lvlJc w:val="left"/>
      <w:lvlText w:val="%1."/>
      <w:numFmt w:val="decimal"/>
      <w:start w:val="10"/>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lvl w:ilvl="1">
      <w:lvlJc w:val="left"/>
      <w:lvlText w:val="o"/>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9"/>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01" Type="http://schemas.openxmlformats.org/officeDocument/2006/relationships/hyperlink" Target="http://www.sec.gov/Archives/edgar/data/1683553/000119312520269344/d12372dex31.htm" TargetMode="External"/><Relationship Id="rId102" Type="http://schemas.openxmlformats.org/officeDocument/2006/relationships/hyperlink" Target="http://www.sec.gov/Archives/edgar/data/1683553/000119312520269344/d12372dex32.htm" TargetMode="External"/><Relationship Id="rId103" Type="http://schemas.openxmlformats.org/officeDocument/2006/relationships/hyperlink" Target="http://www.sec.gov/Archives/edgar/data/1683553/000119312520263195/d902020dex41.htm" TargetMode="External"/><Relationship Id="rId104" Type="http://schemas.openxmlformats.org/officeDocument/2006/relationships/hyperlink" Target="http://www.sec.gov/Archives/edgar/data/1683553/000119312520249221/d90202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2021-11-15T15:36:54Z</dcterms:created>
  <dcterms:modified xsi:type="dcterms:W3CDTF">2021-11-15T15:36:54Z</dcterms:modified>
</cp:coreProperties>
</file>