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prb-20240930.htm"/>
        <w:bookmarkStart w:id="1" w:name="kssprb202409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September 30, 2024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655-4168</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SPRB</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Capital Market</w:t>
            </w:r>
          </w:p>
        </w:tc>
      </w:tr>
    </w:tbl>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center"/>
              <w:rPr/>
            </w:pPr>
            <w:r>
              <w:rPr/>
              <w:t> </w:t>
            </w:r>
          </w:p>
        </w:tc>
        <w:tc>
          <w:tcPr>
            <w:tcW w:w="245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center"/>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November 8, 2024, the registrant had 41,302,599</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caps/>
            <w:color w:val="0000FF"/>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adequately demonstrate the safety and efficacy of tildacerfont, which could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U.S. and global economic and geopolitical conditions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by in-licensing or acquiring development stage assets or programs or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3"/>
        <w:gridCol w:w="146"/>
        <w:gridCol w:w="226"/>
        <w:gridCol w:w="905"/>
        <w:gridCol w:w="166"/>
        <w:gridCol w:w="146"/>
        <w:gridCol w:w="218"/>
        <w:gridCol w:w="872"/>
        <w:gridCol w:w="613"/>
      </w:tblGrid>
      <w:tr>
        <w:trPr/>
        <w:tc>
          <w:tcPr>
            <w:tcW w:w="6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vAlign w:val="center"/>
          </w:tcPr>
          <w:p>
            <w:pPr>
              <w:pStyle w:val="TableContents"/>
              <w:bidi w:val="0"/>
              <w:spacing w:before="0" w:after="283"/>
              <w:jc w:val="center"/>
              <w:rPr/>
            </w:pPr>
            <w:r>
              <w:rPr/>
              <w:t> </w:t>
            </w:r>
          </w:p>
        </w:tc>
      </w:tr>
      <w:tr>
        <w:trPr/>
        <w:tc>
          <w:tcPr>
            <w:tcW w:w="6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100"/>
              <w:jc w:val="right"/>
              <w:rPr/>
            </w:pPr>
            <w:r>
              <w:rPr/>
              <w:t> </w:t>
            </w:r>
          </w:p>
        </w:tc>
      </w:tr>
      <w:tr>
        <w:trPr/>
        <w:tc>
          <w:tcPr>
            <w:tcW w:w="69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102,183</w:t>
            </w:r>
          </w:p>
        </w:tc>
        <w:tc>
          <w:tcPr>
            <w:tcW w:w="613" w:type="dxa"/>
            <w:tcBorders/>
            <w:shd w:fill="FFFFFF" w:val="clear"/>
            <w:vAlign w:val="center"/>
          </w:tcPr>
          <w:p>
            <w:pPr>
              <w:pStyle w:val="TableContents"/>
              <w:bidi w:val="0"/>
              <w:spacing w:before="0" w:after="283"/>
              <w:ind w:left="0" w:right="0" w:firstLine="100"/>
              <w:jc w:val="left"/>
              <w:rPr/>
            </w:pPr>
            <w:r>
              <w:rPr/>
              <w:t> </w:t>
            </w:r>
          </w:p>
        </w:tc>
      </w:tr>
      <w:tr>
        <w:trPr/>
        <w:tc>
          <w:tcPr>
            <w:tcW w:w="691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613" w:type="dxa"/>
            <w:tcBorders/>
            <w:shd w:fill="CFF0FC" w:val="clear"/>
            <w:vAlign w:val="center"/>
          </w:tcPr>
          <w:p>
            <w:pPr>
              <w:pStyle w:val="TableContents"/>
              <w:bidi w:val="0"/>
              <w:spacing w:before="0" w:after="283"/>
              <w:ind w:left="0" w:right="0" w:firstLine="100"/>
              <w:jc w:val="left"/>
              <w:rPr/>
            </w:pPr>
            <w:r>
              <w:rPr/>
              <w:t> </w:t>
            </w:r>
          </w:p>
        </w:tc>
      </w:tr>
      <w:tr>
        <w:trPr/>
        <w:tc>
          <w:tcPr>
            <w:tcW w:w="69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100"/>
              <w:jc w:val="right"/>
              <w:rPr/>
            </w:pPr>
            <w:r>
              <w:rPr/>
              <w:t> </w:t>
            </w:r>
          </w:p>
        </w:tc>
      </w:tr>
      <w:tr>
        <w:trPr/>
        <w:tc>
          <w:tcPr>
            <w:tcW w:w="691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current portion</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24,465</w:t>
            </w:r>
          </w:p>
        </w:tc>
        <w:tc>
          <w:tcPr>
            <w:tcW w:w="613" w:type="dxa"/>
            <w:tcBorders/>
            <w:shd w:fill="FFFFFF" w:val="clear"/>
            <w:vAlign w:val="center"/>
          </w:tcPr>
          <w:p>
            <w:pPr>
              <w:pStyle w:val="TableContents"/>
              <w:bidi w:val="0"/>
              <w:spacing w:before="0" w:after="283"/>
              <w:ind w:left="0" w:right="0" w:firstLine="100"/>
              <w:jc w:val="left"/>
              <w:rPr/>
            </w:pPr>
            <w:r>
              <w:rPr/>
              <w:t> </w:t>
            </w:r>
          </w:p>
        </w:tc>
      </w:tr>
      <w:tr>
        <w:trPr/>
        <w:tc>
          <w:tcPr>
            <w:tcW w:w="691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613" w:type="dxa"/>
            <w:tcBorders/>
            <w:shd w:fill="CFF0FC" w:val="clear"/>
            <w:vAlign w:val="center"/>
          </w:tcPr>
          <w:p>
            <w:pPr>
              <w:pStyle w:val="TableContents"/>
              <w:bidi w:val="0"/>
              <w:spacing w:before="0" w:after="283"/>
              <w:ind w:left="0" w:right="0" w:firstLine="100"/>
              <w:jc w:val="left"/>
              <w:rPr/>
            </w:pPr>
            <w:r>
              <w:rPr/>
              <w:t> </w:t>
            </w:r>
          </w:p>
        </w:tc>
      </w:tr>
      <w:tr>
        <w:trPr/>
        <w:tc>
          <w:tcPr>
            <w:tcW w:w="69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613" w:type="dxa"/>
            <w:tcBorders/>
            <w:shd w:fill="FFFFFF" w:val="clear"/>
            <w:vAlign w:val="center"/>
          </w:tcPr>
          <w:p>
            <w:pPr>
              <w:pStyle w:val="TableContents"/>
              <w:bidi w:val="0"/>
              <w:spacing w:before="0" w:after="283"/>
              <w:ind w:left="0" w:right="0" w:firstLine="100"/>
              <w:jc w:val="left"/>
              <w:rPr/>
            </w:pPr>
            <w:r>
              <w:rPr/>
              <w:t> </w:t>
            </w:r>
          </w:p>
        </w:tc>
      </w:tr>
      <w:tr>
        <w:trPr/>
        <w:tc>
          <w:tcPr>
            <w:tcW w:w="691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1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100"/>
              <w:jc w:val="right"/>
              <w:rPr/>
            </w:pPr>
            <w:r>
              <w:rPr/>
              <w:t> </w:t>
            </w:r>
          </w:p>
        </w:tc>
      </w:tr>
      <w:tr>
        <w:trPr/>
        <w:tc>
          <w:tcPr>
            <w:tcW w:w="691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and </w:t>
              <w:br/>
              <w:t>   no shares issued or outstanding as of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as of </w:t>
              <w:br/>
              <w:t xml:space="preserve">   September 30, 2024 and December 31, 2023; 41,302,599 and 41,029,832 shares </w:t>
              <w:br/>
              <w:t>   issued and outstanding as of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103,946</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(40,829</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net of tax:</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outstanding, </w:t>
              <w:br/>
              <w:t>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41,302,599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40,710,692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37,751,865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07"/>
        <w:gridCol w:w="146"/>
        <w:gridCol w:w="146"/>
        <w:gridCol w:w="1036"/>
        <w:gridCol w:w="146"/>
        <w:gridCol w:w="146"/>
        <w:gridCol w:w="261"/>
        <w:gridCol w:w="430"/>
        <w:gridCol w:w="146"/>
        <w:gridCol w:w="146"/>
        <w:gridCol w:w="211"/>
        <w:gridCol w:w="781"/>
        <w:gridCol w:w="146"/>
        <w:gridCol w:w="146"/>
        <w:gridCol w:w="567"/>
        <w:gridCol w:w="742"/>
        <w:gridCol w:w="146"/>
        <w:gridCol w:w="146"/>
        <w:gridCol w:w="211"/>
        <w:gridCol w:w="841"/>
        <w:gridCol w:w="166"/>
        <w:gridCol w:w="146"/>
        <w:gridCol w:w="250"/>
        <w:gridCol w:w="803"/>
        <w:gridCol w:w="393"/>
      </w:tblGrid>
      <w:tr>
        <w:trPr/>
        <w:tc>
          <w:tcPr>
            <w:tcW w:w="1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vAlign w:val="center"/>
          </w:tcPr>
          <w:p>
            <w:pPr>
              <w:pStyle w:val="TableContents"/>
              <w:bidi w:val="0"/>
              <w:spacing w:before="0" w:after="283"/>
              <w:jc w:val="center"/>
              <w:rPr/>
            </w:pPr>
            <w:r>
              <w:rPr/>
              <w:t> </w:t>
            </w:r>
          </w:p>
        </w:tc>
      </w:tr>
      <w:tr>
        <w:trPr/>
        <w:tc>
          <w:tcPr>
            <w:tcW w:w="19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3" w:type="dxa"/>
            <w:tcBorders/>
            <w:shd w:fill="FFFFFF" w:val="clear"/>
            <w:vAlign w:val="center"/>
          </w:tcPr>
          <w:p>
            <w:pPr>
              <w:pStyle w:val="TableContents"/>
              <w:bidi w:val="0"/>
              <w:spacing w:before="0" w:after="283"/>
              <w:jc w:val="center"/>
              <w:rPr/>
            </w:pPr>
            <w:r>
              <w:rPr/>
              <w:t> </w:t>
            </w:r>
          </w:p>
        </w:tc>
      </w:tr>
      <w:tr>
        <w:trPr/>
        <w:tc>
          <w:tcPr>
            <w:tcW w:w="19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41,302,599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19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1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41,302,599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50"/>
        <w:gridCol w:w="146"/>
        <w:gridCol w:w="146"/>
        <w:gridCol w:w="1036"/>
        <w:gridCol w:w="146"/>
        <w:gridCol w:w="146"/>
        <w:gridCol w:w="261"/>
        <w:gridCol w:w="430"/>
        <w:gridCol w:w="146"/>
        <w:gridCol w:w="146"/>
        <w:gridCol w:w="211"/>
        <w:gridCol w:w="781"/>
        <w:gridCol w:w="166"/>
        <w:gridCol w:w="146"/>
        <w:gridCol w:w="564"/>
        <w:gridCol w:w="675"/>
        <w:gridCol w:w="146"/>
        <w:gridCol w:w="146"/>
        <w:gridCol w:w="211"/>
        <w:gridCol w:w="841"/>
        <w:gridCol w:w="166"/>
        <w:gridCol w:w="146"/>
        <w:gridCol w:w="231"/>
        <w:gridCol w:w="809"/>
        <w:gridCol w:w="413"/>
      </w:tblGrid>
      <w:tr>
        <w:trPr/>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41,029,832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vesting of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41,302,599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2"/>
        <w:gridCol w:w="146"/>
        <w:gridCol w:w="146"/>
        <w:gridCol w:w="1036"/>
        <w:gridCol w:w="146"/>
        <w:gridCol w:w="146"/>
        <w:gridCol w:w="261"/>
        <w:gridCol w:w="430"/>
        <w:gridCol w:w="146"/>
        <w:gridCol w:w="146"/>
        <w:gridCol w:w="211"/>
        <w:gridCol w:w="781"/>
        <w:gridCol w:w="146"/>
        <w:gridCol w:w="146"/>
        <w:gridCol w:w="543"/>
        <w:gridCol w:w="728"/>
        <w:gridCol w:w="166"/>
        <w:gridCol w:w="146"/>
        <w:gridCol w:w="211"/>
        <w:gridCol w:w="841"/>
        <w:gridCol w:w="166"/>
        <w:gridCol w:w="146"/>
        <w:gridCol w:w="232"/>
        <w:gridCol w:w="814"/>
        <w:gridCol w:w="393"/>
      </w:tblGrid>
      <w:tr>
        <w:trPr/>
        <w:tc>
          <w:tcPr>
            <w:tcW w:w="1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9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vAlign w:val="center"/>
          </w:tcPr>
          <w:p>
            <w:pPr>
              <w:pStyle w:val="TableContents"/>
              <w:bidi w:val="0"/>
              <w:spacing w:before="0" w:after="283"/>
              <w:jc w:val="center"/>
              <w:rPr/>
            </w:pPr>
            <w:r>
              <w:rPr/>
              <w:t> </w:t>
            </w:r>
          </w:p>
        </w:tc>
      </w:tr>
      <w:tr>
        <w:trPr/>
        <w:tc>
          <w:tcPr>
            <w:tcW w:w="19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3" w:type="dxa"/>
            <w:tcBorders/>
            <w:shd w:fill="FFFFFF" w:val="clear"/>
            <w:vAlign w:val="center"/>
          </w:tcPr>
          <w:p>
            <w:pPr>
              <w:pStyle w:val="TableContents"/>
              <w:bidi w:val="0"/>
              <w:spacing w:before="0" w:after="283"/>
              <w:jc w:val="center"/>
              <w:rPr/>
            </w:pPr>
            <w:r>
              <w:rPr/>
              <w:t> </w:t>
            </w:r>
          </w:p>
        </w:tc>
      </w:tr>
      <w:tr>
        <w:trPr/>
        <w:tc>
          <w:tcPr>
            <w:tcW w:w="19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40,710,692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96,561</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19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19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19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40,710,692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146"/>
        <w:gridCol w:w="1036"/>
        <w:gridCol w:w="146"/>
        <w:gridCol w:w="146"/>
        <w:gridCol w:w="261"/>
        <w:gridCol w:w="430"/>
        <w:gridCol w:w="146"/>
        <w:gridCol w:w="146"/>
        <w:gridCol w:w="211"/>
        <w:gridCol w:w="781"/>
        <w:gridCol w:w="166"/>
        <w:gridCol w:w="146"/>
        <w:gridCol w:w="466"/>
        <w:gridCol w:w="773"/>
        <w:gridCol w:w="166"/>
        <w:gridCol w:w="146"/>
        <w:gridCol w:w="211"/>
        <w:gridCol w:w="841"/>
        <w:gridCol w:w="166"/>
        <w:gridCol w:w="146"/>
        <w:gridCol w:w="230"/>
        <w:gridCol w:w="809"/>
        <w:gridCol w:w="413"/>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23,601,004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68,486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related to vesting of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common stock and warrants, net of offering costs of $2,721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40,710,692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087" w:type="dxa"/>
        <w:jc w:val="left"/>
        <w:tblInd w:w="0" w:type="dxa"/>
        <w:tblLayout w:type="fixed"/>
        <w:tblCellMar>
          <w:top w:w="28" w:type="dxa"/>
          <w:left w:w="28" w:type="dxa"/>
          <w:bottom w:w="28" w:type="dxa"/>
          <w:right w:w="28" w:type="dxa"/>
        </w:tblCellMar>
      </w:tblPr>
      <w:tblGrid>
        <w:gridCol w:w="6936"/>
        <w:gridCol w:w="146"/>
        <w:gridCol w:w="248"/>
        <w:gridCol w:w="866"/>
        <w:gridCol w:w="195"/>
        <w:gridCol w:w="171"/>
        <w:gridCol w:w="248"/>
        <w:gridCol w:w="866"/>
        <w:gridCol w:w="411"/>
      </w:tblGrid>
      <w:tr>
        <w:trPr/>
        <w:tc>
          <w:tcPr>
            <w:tcW w:w="6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(29,477</w:t>
            </w:r>
          </w:p>
        </w:tc>
        <w:tc>
          <w:tcPr>
            <w:tcW w:w="19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(37,969</w:t>
            </w:r>
          </w:p>
        </w:tc>
        <w:tc>
          <w:tcPr>
            <w:tcW w:w="4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accretion of discount on available-for-sale securities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411" w:type="dxa"/>
            <w:tcBorders/>
            <w:shd w:fill="FFFFFF" w:val="cle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(1,533</w:t>
            </w:r>
          </w:p>
        </w:tc>
        <w:tc>
          <w:tcPr>
            <w:tcW w:w="19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(6,439</w:t>
            </w:r>
          </w:p>
        </w:tc>
        <w:tc>
          <w:tcPr>
            <w:tcW w:w="19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(4,214</w:t>
            </w:r>
          </w:p>
        </w:tc>
        <w:tc>
          <w:tcPr>
            <w:tcW w:w="19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7,798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(35,287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maturities of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58,365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and warrants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53,616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exercise of pre-funded warrants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Payment of offering costs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Repayment of term loan</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(1,216</w:t>
            </w:r>
          </w:p>
        </w:tc>
        <w:tc>
          <w:tcPr>
            <w:tcW w:w="19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Tax withholding payments on restricted stock units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49,692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(36,284</w:t>
            </w:r>
          </w:p>
        </w:tc>
        <w:tc>
          <w:tcPr>
            <w:tcW w:w="19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74,103</w:t>
            </w:r>
          </w:p>
        </w:tc>
        <w:tc>
          <w:tcPr>
            <w:tcW w:w="411" w:type="dxa"/>
            <w:tcBorders/>
            <w:shd w:fill="CFF0FC"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96,374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60,090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60,055</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98,801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Restricted cash, long-term (included in other assets)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60,090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Spruce Biosciences, Inc. (the “Company”) is a late-stage biopharmaceutical company focused on developing and commercializing novel therapies for endocrine and neurological disorders with significant unmet medical need. The Company is developing its product candidate, tildacerfont, a second-generation CRF</w:t>
      </w:r>
      <w:r>
        <w:rPr>
          <w:rFonts w:ascii="Times New Roman" w:hAnsi="Times New Roman"/>
          <w:color w:val="000000"/>
          <w:sz w:val="13"/>
        </w:rPr>
        <w:t>1</w:t>
      </w:r>
      <w:r>
        <w:rPr>
          <w:rFonts w:ascii="Times New Roman" w:hAnsi="Times New Roman"/>
          <w:color w:val="000000"/>
          <w:sz w:val="20"/>
        </w:rPr>
        <w:t xml:space="preserve"> receptor antagonist, for the treatment of classic congenital adrenal hyperplasia (“CAH”), polycystic ovary syndrome (“PCOS”), and major depressive disorder (“MDD”). The Company is located in South San Francisco, California and was incorporated in the state of Delaware in April 2016.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Private Placement of Common Stock and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entered into a Securities Purchase Agreement (the “Purchase Agreement”) with certain institutional investors (the “Purchasers”), pursuant to which the Company agreed to sell and issue (i) 16,116,000 shares of the Company’s common stock (“Common Stock”), (ii) pre-funded warrants to purchase 800,000 shares of Common Stock (the “Pre-Funded Warrants”) to a Purchaser and (iii) 12,687,000 warrants to purchase Common Stock (the “Standard Warrants” and together with the Pre-Funded Warrants, the “Warrants”) in a private placement transaction (the “Private Placement”). The total gross proceeds to the Company were approximately $53.6 million, which does not include any proceeds that may be received upon exercise of the Standard Warrants.</w:t>
      </w:r>
    </w:p>
    <w:p>
      <w:pPr>
        <w:pStyle w:val="TextBody"/>
        <w:bidi w:val="0"/>
        <w:spacing w:before="120" w:after="283"/>
        <w:jc w:val="left"/>
        <w:rPr>
          <w:rFonts w:ascii="Times New Roman" w:hAnsi="Times New Roman"/>
          <w:sz w:val="20"/>
        </w:rPr>
      </w:pPr>
      <w:r>
        <w:rPr>
          <w:rFonts w:ascii="Times New Roman" w:hAnsi="Times New Roman"/>
          <w:b/>
          <w:color w:val="000000"/>
          <w:sz w:val="20"/>
        </w:rPr>
        <w:t>Open Market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2022, the U.S. Securities and Exchange Commission (“SEC”) declared effective a registration statement on Form S-3 (the “Shelf Registration”), covering the sale of up to $200.0 million of the Company's securities. Also, in February 2022, the Company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the Company may elect to issue and sell, from time to time, shares of Common Stock having an aggregate offering price of up to $21.0 million under the Shelf Registration through Jefferies acting as the sales agent and/or principal. As of September 30, 2024, the Company has not issued any shares of Common Stock under the Sales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believes that based on its current operating plan, its cash and cash equivalents of $60.1 million as of September 30, 2024 will be sufficient to fund its planned operations and debt obligations for at least 12 months following the issuance date of these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losses and negative cash flows from operations. During the nine months ended September 30, 2024, the Company incurred a net loss of $29.5 million and used $35.3 million of cash in operations. As of September 30, 2024, the Company had an accumulated deficit of $226.7 million and does not expect positive cash flows from operations in the foreseeable future. The Company has funded its operations primarily through the issuance and sale of equity securities, debt and 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anticipates that it will need to raise substantial additional financing in the future to fund its operations. In order to meet these additional cash requirements, the Company may seek to out-license rights to develop and commercialize tildacerfont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accounting principles generally accepted in the United States of America (“U.S. GAAP”) and applicable rules and regulations of the SEC for interim reporting. As permitted under those rules and regulations, certain notes or other financial information normally included in financial statements prepared in accordance with U.S. GAAP have been condensed or omitted. The condensed balance sheet as of September 30, 2024, the condensed statements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and comprehensive loss for the three and nine months ended September 30, 2024 and 2023, the condensed statement of stockholders’ equity for the three and nine months ended September 30, 2024 and 2023, and the condensed statements of cash flows for the nine months ended September 30, 2024 and 2023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2023 is derived from the Company’s audited financial statements. The results of operations for the nine months ended September 30, 2024 are not necessarily indicative of the results to be expected for the year ending December 31, 2024,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financial statements should be read in conjunction with the Company’s Annual Report on Form 10-K for the year ended December 31, 2023 filed with the SEC on March 18, 2024 (“Annual Report”).</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and geopolitical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nine months ended September 30, 2024, as compared to the significant accounting policies described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Accounting Standards Update 2023-09, </w:t>
      </w:r>
      <w:r>
        <w:rPr>
          <w:rFonts w:ascii="Times New Roman" w:hAnsi="Times New Roman"/>
          <w:i/>
          <w:color w:val="000000"/>
          <w:sz w:val="20"/>
        </w:rPr>
        <w:t xml:space="preserve">Income Taxes - Improvements to Income Tax Disclosures </w:t>
      </w:r>
      <w:r>
        <w:rPr>
          <w:rFonts w:ascii="Times New Roman" w:hAnsi="Times New Roman"/>
          <w:color w:val="000000"/>
          <w:sz w:val="20"/>
        </w:rPr>
        <w:t>(“ASU 2023-09”) requiring enhancements and further transparency to certain income tax disclosures, most notably the tax rate reconciliation and income taxes paid. ASU 2023-09 is effective for fiscal years beginning after December 15, 2024 on a prospective basis and retrospective application is permitted. The Company is currently evaluating the impact of the adoption of this standard on the Company’s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Improvements to Reportable Segment Disclosures</w:t>
      </w:r>
      <w:r>
        <w:rPr>
          <w:rFonts w:ascii="Times New Roman" w:hAnsi="Times New Roman"/>
          <w:color w:val="000000"/>
          <w:sz w:val="20"/>
        </w:rPr>
        <w:t xml:space="preserve"> (“ASU 2023-07”) which is intended to improve reportable segment disclosure requirements, primarily through additional disclosures about significant segment expenses, including for single reportable segment entities.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currently evaluating the disclosure requirements related to the new standard. </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fair value of financial assets and liabilities using the fair value hierarchy that describes three levels of inputs that may be used to measure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 classifies money market funds and U.S. treasury securities as Level 1 investments as the Company uses quoted prices in active markets for identical assets to determine the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assets measured at fair value on a recurring basis by level within the fair value hierarchy (in thousands): </w:t>
      </w:r>
    </w:p>
    <w:tbl>
      <w:tblPr>
        <w:tblW w:w="10042" w:type="dxa"/>
        <w:jc w:val="left"/>
        <w:tblInd w:w="0" w:type="dxa"/>
        <w:tblLayout w:type="fixed"/>
        <w:tblCellMar>
          <w:top w:w="28" w:type="dxa"/>
          <w:left w:w="28" w:type="dxa"/>
          <w:bottom w:w="28" w:type="dxa"/>
          <w:right w:w="28" w:type="dxa"/>
        </w:tblCellMar>
      </w:tblPr>
      <w:tblGrid>
        <w:gridCol w:w="2051"/>
        <w:gridCol w:w="886"/>
        <w:gridCol w:w="146"/>
        <w:gridCol w:w="296"/>
        <w:gridCol w:w="949"/>
        <w:gridCol w:w="146"/>
        <w:gridCol w:w="146"/>
        <w:gridCol w:w="686"/>
        <w:gridCol w:w="1129"/>
        <w:gridCol w:w="146"/>
        <w:gridCol w:w="146"/>
        <w:gridCol w:w="697"/>
        <w:gridCol w:w="1148"/>
        <w:gridCol w:w="146"/>
        <w:gridCol w:w="146"/>
        <w:gridCol w:w="211"/>
        <w:gridCol w:w="676"/>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8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140"/>
        <w:gridCol w:w="885"/>
        <w:gridCol w:w="146"/>
        <w:gridCol w:w="295"/>
        <w:gridCol w:w="945"/>
        <w:gridCol w:w="146"/>
        <w:gridCol w:w="146"/>
        <w:gridCol w:w="681"/>
        <w:gridCol w:w="1122"/>
        <w:gridCol w:w="146"/>
        <w:gridCol w:w="146"/>
        <w:gridCol w:w="692"/>
        <w:gridCol w:w="1141"/>
        <w:gridCol w:w="146"/>
        <w:gridCol w:w="146"/>
        <w:gridCol w:w="211"/>
        <w:gridCol w:w="676"/>
        <w:gridCol w:w="395"/>
      </w:tblGrid>
      <w:tr>
        <w:trPr/>
        <w:tc>
          <w:tcPr>
            <w:tcW w:w="2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14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FFFFFF" w:val="clear"/>
            <w:vAlign w:val="center"/>
          </w:tcPr>
          <w:p>
            <w:pPr>
              <w:pStyle w:val="TableContents"/>
              <w:bidi w:val="0"/>
              <w:spacing w:before="0" w:after="283"/>
              <w:jc w:val="center"/>
              <w:rPr/>
            </w:pPr>
            <w:r>
              <w:rPr/>
              <w:t> </w:t>
            </w:r>
          </w:p>
        </w:tc>
        <w:tc>
          <w:tcPr>
            <w:tcW w:w="88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8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8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have been no realized gains or losses on available for sale securities for the periods presented. Unrealized gains and losses are included in “accumulated other comprehensive loss” within stockholders' equity on the condensed balance sheets.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available for sale securities as of September 30, 2024 and December 31, 2023. No allowance for credit losses has been recognized as of September 30, 2024 and December 31, 2023. During the nine months ended September 30, 2024 and 2023, the Company did not recognize any impairment losses related to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term loan was $2.4 million and $3.6 million as of September 30, 2024 and December 31, 2023, respectively, and was based on market observable interest rates, a Level 2 input.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financial liabilities recorded at fair value on a recurring or non-recurring basis as of September 30, 2024 and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8335" w:type="dxa"/>
        <w:jc w:val="left"/>
        <w:tblInd w:w="0" w:type="dxa"/>
        <w:tblLayout w:type="fixed"/>
        <w:tblCellMar>
          <w:top w:w="28" w:type="dxa"/>
          <w:left w:w="28" w:type="dxa"/>
          <w:bottom w:w="28" w:type="dxa"/>
          <w:right w:w="28" w:type="dxa"/>
        </w:tblCellMar>
      </w:tblPr>
      <w:tblGrid>
        <w:gridCol w:w="4461"/>
        <w:gridCol w:w="146"/>
        <w:gridCol w:w="417"/>
        <w:gridCol w:w="1128"/>
        <w:gridCol w:w="146"/>
        <w:gridCol w:w="146"/>
        <w:gridCol w:w="357"/>
        <w:gridCol w:w="1143"/>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10,832</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research and development expenses were primarily related to clinical trials.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pStyle w:val="TextBody"/>
        <w:bidi w:val="0"/>
        <w:spacing w:before="240" w:after="283"/>
        <w:jc w:val="left"/>
        <w:rPr>
          <w:rFonts w:ascii="Times New Roman" w:hAnsi="Times New Roman"/>
          <w:sz w:val="20"/>
        </w:rPr>
      </w:pPr>
      <w:r>
        <w:rPr>
          <w:rFonts w:ascii="Times New Roman" w:hAnsi="Times New Roman"/>
          <w:b/>
          <w:color w:val="000000"/>
          <w:sz w:val="20"/>
        </w:rPr>
        <w:t>6.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 Loan and Security Agreement, as subsequently amended (the “Loan Agreement”) with Silicon Valley Bank (“SVB”) providing for a term loan (the “Term Loan”) for an aggregate principal amount of $4.5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was available under the second tranche through December 31, 2022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the Company entered into a Second Amendment to Loan and Security Agreement (the “Second Amendment”), which amended the milestones for the Second Tranche, added a liquidity covenant for the Second Tranche and amended the interest and prepayment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the carrying value of the Term Loan was $2.1 million, consisting of the outstanding principal under the First Tranche of $2.2 million, less unamortized debt discount and issuance costs of $17 thousand, which are being amortized using the effective interest method over the life of the Term Loan. Commitments available under the Second Tranche of $10.0 million expired on December 31,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As of September 30, 2024 and December 31, 2023, the stated interest rate of the Term Loan was 8.5% and 9.0%,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September 30, 2024, the Company was in compliance with all covenants under the Loan Agreement and there has been no material adverse change.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September 30, 2024, future payments of principal and interest are as follows (in thousands):</w:t>
      </w:r>
    </w:p>
    <w:tbl>
      <w:tblPr>
        <w:tblW w:w="4595" w:type="dxa"/>
        <w:jc w:val="left"/>
        <w:tblInd w:w="0" w:type="dxa"/>
        <w:tblLayout w:type="fixed"/>
        <w:tblCellMar>
          <w:top w:w="28" w:type="dxa"/>
          <w:left w:w="28" w:type="dxa"/>
          <w:bottom w:w="28" w:type="dxa"/>
          <w:right w:w="28" w:type="dxa"/>
        </w:tblCellMar>
      </w:tblPr>
      <w:tblGrid>
        <w:gridCol w:w="3196"/>
        <w:gridCol w:w="146"/>
        <w:gridCol w:w="211"/>
        <w:gridCol w:w="631"/>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3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4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gross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term loan,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Collaboration and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Eli Lily and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Kaken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Kaken License Agreement, Kaken made an upfront payment to the Company of $15.0 million in April 2023.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is recognized as revenue using the cost-based input method over the estimated period of its non-contingent research and development obligations, which is approximately two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2024 and 2023, the Company recognized collaboration revenue of $0.6 million and $3.1 million, respectively. During the nine months ended September 30, 2024 and 2023, the Company recognized collaboration revenue of $4.2 million and $7.2 million, respectively, As of September 30, 2024, deferred revenue was $0.7 million, all of which was current.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HMNC Holding GmbH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the Company entered into a license, development and option agreement (the “HMNC Agreement”) with HMNC Holding GmbH (“HMNC”). Under the terms of the HMNC Agreement, HMNC will fund and conduct a Phase 2 proof-of-concept study of tildacerfont in MDD patients, who will be screened using Cortibon Genetic Selection Tool (“Cortibon”), HMNC’s proprietary genetic selection tool.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option to in-license exclusive worldwide rights to Cortibon after completion of the study, if results are positive. If the Company exercises its option, it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amounts were paid to the Company during any of the periods presented, nor were due as of such dates pursuant to the HMNC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and December 31, 2023, the Company was authorized to issue 200,000,000 shares of common stock at $0.0001 par value per share. Holders of common stock are entitled to dividends if and when declared by the board of directors of the Company (“Board of Directors”). The holder of each share of common stock is entitled to one vote. As of September 30, 2024, no dividends were declared.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Shares reserved for future issuance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on an as converted basis, consisted of the following:</w:t>
      </w:r>
    </w:p>
    <w:tbl>
      <w:tblPr>
        <w:tblW w:w="10205" w:type="dxa"/>
        <w:jc w:val="left"/>
        <w:tblInd w:w="0" w:type="dxa"/>
        <w:tblLayout w:type="fixed"/>
        <w:tblCellMar>
          <w:top w:w="28" w:type="dxa"/>
          <w:left w:w="28" w:type="dxa"/>
          <w:bottom w:w="28" w:type="dxa"/>
          <w:right w:w="28" w:type="dxa"/>
        </w:tblCellMar>
      </w:tblPr>
      <w:tblGrid>
        <w:gridCol w:w="6349"/>
        <w:gridCol w:w="146"/>
        <w:gridCol w:w="188"/>
        <w:gridCol w:w="1346"/>
        <w:gridCol w:w="146"/>
        <w:gridCol w:w="146"/>
        <w:gridCol w:w="183"/>
        <w:gridCol w:w="1307"/>
        <w:gridCol w:w="394"/>
      </w:tblGrid>
      <w:tr>
        <w:trPr/>
        <w:tc>
          <w:tcPr>
            <w:tcW w:w="6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3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Warrants, issued and outstanding</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1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4" w:type="dxa"/>
            <w:tcBorders/>
            <w:shd w:fill="CFF0FC"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3,482,663</w:t>
            </w:r>
          </w:p>
        </w:tc>
        <w:tc>
          <w:tcPr>
            <w:tcW w:w="394" w:type="dxa"/>
            <w:tcBorders/>
            <w:shd w:fill="FFFFFF" w:val="cle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1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4,097,376</w:t>
            </w:r>
          </w:p>
        </w:tc>
        <w:tc>
          <w:tcPr>
            <w:tcW w:w="394" w:type="dxa"/>
            <w:tcBorders/>
            <w:shd w:fill="CFF0FC"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Equity Incentive Plan</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77,631</w:t>
            </w:r>
          </w:p>
        </w:tc>
        <w:tc>
          <w:tcPr>
            <w:tcW w:w="394" w:type="dxa"/>
            <w:tcBorders/>
            <w:shd w:fill="FFFFFF" w:val="cle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Employee Stock Purchase Plan</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675,038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shares reserved</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23,050,984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21,019,708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condensed statements of operations and comprehensive loss (in thousands): </w:t>
      </w:r>
    </w:p>
    <w:tbl>
      <w:tblPr>
        <w:tblW w:w="9758" w:type="dxa"/>
        <w:jc w:val="left"/>
        <w:tblInd w:w="0" w:type="dxa"/>
        <w:tblLayout w:type="fixed"/>
        <w:tblCellMar>
          <w:top w:w="28" w:type="dxa"/>
          <w:left w:w="28" w:type="dxa"/>
          <w:bottom w:w="28" w:type="dxa"/>
          <w:right w:w="28" w:type="dxa"/>
        </w:tblCellMar>
      </w:tblPr>
      <w:tblGrid>
        <w:gridCol w:w="3651"/>
        <w:gridCol w:w="146"/>
        <w:gridCol w:w="305"/>
        <w:gridCol w:w="826"/>
        <w:gridCol w:w="211"/>
        <w:gridCol w:w="211"/>
        <w:gridCol w:w="305"/>
        <w:gridCol w:w="826"/>
        <w:gridCol w:w="146"/>
        <w:gridCol w:w="146"/>
        <w:gridCol w:w="295"/>
        <w:gridCol w:w="798"/>
        <w:gridCol w:w="204"/>
        <w:gridCol w:w="204"/>
        <w:gridCol w:w="295"/>
        <w:gridCol w:w="79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the Company granted stock options covering 210,000 shares with an immaterial weighted-average grant date fair value per option.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nine months ended September 30, 2024, the Company granted 1,698,400 restricted stock units (“RSUs”) with a weighted-average grant date fair value of $1.59 per unit. RSU grants in the period included 795,350 RSUs subject to performance-based vesting conditions related to the satisfaction of certain clinical development milestones. As of September 30, 2024, the Company had 1,525,150 RSUs outstanding subject to performance-based vesting conditions, of which 880,950 RSUs are considered probable of achievement. </w:t>
      </w:r>
    </w:p>
    <w:p>
      <w:pPr>
        <w:pStyle w:val="TextBody"/>
        <w:bidi w:val="0"/>
        <w:spacing w:before="24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41,302,599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40,710,692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41,187,766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37,751,865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9194"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1036"/>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Standard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12,687,000</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2,539,475</w:t>
            </w:r>
          </w:p>
        </w:tc>
        <w:tc>
          <w:tcPr>
            <w:tcW w:w="3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4,232,373</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2020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20,724,551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19,701,726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2023 filed with the Securities and Exchange Commission (“SEC”) on March 18, 2024 (the “Annual Report”). Unless otherwise indicated, all references in this Quarterly Report on Form 10-Q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late-stage biopharmaceutical company focused on developing and commercializing novel therapies for endocrine and neurological disorders with significant unmet medical need. We are developing our product candidate, tildacerfont, an oral antagonist of the CRF</w:t>
      </w:r>
      <w:r>
        <w:rPr>
          <w:rFonts w:ascii="Times New Roman" w:hAnsi="Times New Roman"/>
          <w:color w:val="000000"/>
          <w:sz w:val="13"/>
        </w:rPr>
        <w:t>1</w:t>
      </w:r>
      <w:r>
        <w:rPr>
          <w:rFonts w:ascii="Times New Roman" w:hAnsi="Times New Roman"/>
          <w:color w:val="000000"/>
          <w:sz w:val="20"/>
        </w:rPr>
        <w:t xml:space="preserve"> receptor, which is the receptor for corticotropin-releasing factor (“CRF”), for the treatment of classic congenital adrenal hyperplasia (“CAH”), polycystic ovary syndrome (“PCOS”), and major depressive disorder (“MDD”). Over 400 subjects across ten completed clinical trials to date have been administered tildacerfont with no drug-related serious adverse events (“SAEs”) reported.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Classic CAH is a serious and life-threatening disease with no known novel therapies approved in approximately 70 years. In March 2024, we reported topline results for CAHmelia-203, a placebo-controlled, double-blind Phase 2b clinical trial in adult patients with classic CAH and highly elevated levels of androstenedione (“A4”) at baseline. CAHmelia-203 enrolled 96 subjects with a mean baseline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glucocorticoid (“GC”) was low with approximately 50% of patients reporting 80% or greater compliance, resulting in lower-than-expected tildacerfont exposure. Tildacerfont was generally safe and well tolerated at all doses, with no treatment-related SAEs. Most adverse events were reported as mild to moderate. Based upon the outcome of the study, we terminated the CAHmelia-203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initiated CAHmelia-204, a second Phase 2b clinical trial in 100 adult patients with classic CAH on mean daily dose of supraphysiologic GCs of 37 mg/day of hydrocortisone equivalents. Patients enrolled had a mean A4 level at baseline of 224 ng/dL (approximately the ULN) and 66% of patients enrolled had androgenic control, defined as having A4 values below the ULN at baseline. Topline results from CAHmelia-204 are anticipated in December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investigating tildacerfont for the treatment of classic CAH in children. We initiated CAHptain-205, a Phase 2 open-label clinical trial, which initially utilized a sequential three cohort design, to evaluate the safety, efficacy, and pharmacokinetics (“PK”) of tildacerfont in pediatric patients two to 17 years of age with classic CAH. The study characterized the safety and pharmacokinetic profiles of tildacerfont, as well as changes in androgen levels over 12 weeks of treatment, and the ability to reduce daily GC dose upon A4 normalization. In March 2024, we reported topline results from the first three cohorts of the clinical trial, which included 30 children between two and 17 years of age with a mean baseline GC dose of 14 mg/m2/day and mean baseline A4 level of 372 ng/dL.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CAHptain-205 clinical trial met the efficacy endpoints, the activity observed was less consistent than anticipated and without clear dose response. Preliminary PK analysis suggests that tildacerfont is cleared more rapidly in children than in adult CAH patients. The clinical trial was amended to include additional dose ranging cohorts in adults, adolescents and children. The maximum planned dose is 400mg BID, subject to adjustment based on safety and PK data obtained during the clinical trial. Dosing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initiate at 200mg BID in adults and adolescents. All cohorts administered doses above 200mg BID will be adaptive, so that the determination to initiate a cohort, and at what increased dose, may be determined by the sponsor, within the guidelines of the protocol, based on recommendations by an independent Data Monitoring Committee and emerging safety and exposure data. Individual and study stopping criteria will further ensure safety of the participants. Topline results from these additional dose ranging cohorts in adults, adolescents, and children are anticipated in December 2024. Assuming positive results from CAHmelia-204 and CAHptain-205, we plan to meet with the U.S. Food and Drug Administration (“FDA”) and comparable foreign regulatory authorities to outline the design of a registrational clinical program in adult and pediatric classic CAH. 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Beyond classic CAH, we believe tildacerfont has potential utility in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In June 2024, we presented results from POWER, a Phase 2 proof-of-concept, placebo-controlled, dose escalation trial which will evaluate the safety and efficacy of tildacerfont titrated to 200mg QD compared to placebo at 12 weeks of treatment in subjects with PCOS and elevated adrenal androgens as measured by dehydroepiandrosterone sulfate (“DHEAS”) levels at baseline. In women with elevated baseline DHEAS, a significant reduction in DHEAS versus placebo was observed (p = 0.020). In study participants, a significant increase in sex hormone binding globulin (“SHBG”) versus placebo was also observed (p = 0.012). The Phase 2 study was not powered to test for statistical significance on the primary endpoint. However, the lowering of DHEAS, an adrenal androgen precursor, observed with 12-week exposure, suggests that tildacerfont may be of therapeutic benefit for some women with PCOS. Additionally, the observed increase in SHBG may potentially result in lower levels of free, bioactive sex hormones such as testosterone. Tildacerfont was well-tolerated with no safety signals observed. The majority of adverse events were mild to moderate. No SAEs were reported. We are currently evaluating strategic collaboration opportunities for the development and commercialization of tildacerfont for the treatment of PCOS. </w:t>
      </w:r>
    </w:p>
    <w:p>
      <w:pPr>
        <w:pStyle w:val="TextBody"/>
        <w:bidi w:val="0"/>
        <w:spacing w:before="120" w:after="283"/>
        <w:jc w:val="left"/>
        <w:rPr>
          <w:rFonts w:ascii="Times New Roman" w:hAnsi="Times New Roman"/>
          <w:sz w:val="20"/>
        </w:rPr>
      </w:pPr>
      <w:r>
        <w:rPr>
          <w:rFonts w:ascii="Times New Roman" w:hAnsi="Times New Roman"/>
          <w:color w:val="000000"/>
          <w:sz w:val="20"/>
        </w:rPr>
        <w:t>In May 2024, we entered into a license, development and option agreement (the “HMNC Agreement”) with HMNC Holding GmbH (“HMNC”). Under the terms of the HMNC Agreement, HMNC will fund and conduct a Phase 2 proof-of-concept study of tildacerfont in MDD patients, who will be screened using Cortibon Genetic Selection Tool (“Cortibon”), HMNC’s proprietary genetic selection tool. Abnormal CRF neurotransmission and CRF</w:t>
      </w:r>
      <w:r>
        <w:rPr>
          <w:rFonts w:ascii="Times New Roman" w:hAnsi="Times New Roman"/>
          <w:color w:val="000000"/>
          <w:sz w:val="13"/>
        </w:rPr>
        <w:t>1</w:t>
      </w:r>
      <w:r>
        <w:rPr>
          <w:rFonts w:ascii="Times New Roman" w:hAnsi="Times New Roman"/>
          <w:color w:val="000000"/>
          <w:sz w:val="20"/>
        </w:rPr>
        <w:t xml:space="preserve"> receptor signal transduction has been proposed to be a critical mechanism for stress pathophysiology that leads to major depression. Markers of hyperactive brain CRF neurotransmission, including abnormally high cerebrospinal fluid (“CSF”) levels of CRF and aberrant functioning of the hypothalamic–pituitary-adrenal (“HPA”) axis, are present in major depression. The CRF</w:t>
      </w:r>
      <w:r>
        <w:rPr>
          <w:rFonts w:ascii="Times New Roman" w:hAnsi="Times New Roman"/>
          <w:color w:val="000000"/>
          <w:sz w:val="13"/>
        </w:rPr>
        <w:t>1</w:t>
      </w:r>
      <w:r>
        <w:rPr>
          <w:rFonts w:ascii="Times New Roman" w:hAnsi="Times New Roman"/>
          <w:color w:val="000000"/>
          <w:sz w:val="20"/>
        </w:rPr>
        <w:t xml:space="preserve"> receptor is abundantly expressed in the brain and pituitary gland, where it is the primary regulator of the HPA axis. By blocking the CRF</w:t>
      </w:r>
      <w:r>
        <w:rPr>
          <w:rFonts w:ascii="Times New Roman" w:hAnsi="Times New Roman"/>
          <w:color w:val="000000"/>
          <w:sz w:val="13"/>
        </w:rPr>
        <w:t>1</w:t>
      </w:r>
      <w:r>
        <w:rPr>
          <w:rFonts w:ascii="Times New Roman" w:hAnsi="Times New Roman"/>
          <w:color w:val="000000"/>
          <w:sz w:val="20"/>
        </w:rPr>
        <w:t xml:space="preserve"> receptor, tildacerfont has the potential to address hyperactive brain CRF neurotransmission and aberrant functioning of the HPA axis in patients with MDD. Additionally, by utilizing genetic markers, Cortibon aims to identify MDD patients who are more likely to respond to CRF</w:t>
      </w:r>
      <w:r>
        <w:rPr>
          <w:rFonts w:ascii="Times New Roman" w:hAnsi="Times New Roman"/>
          <w:color w:val="000000"/>
          <w:sz w:val="13"/>
        </w:rPr>
        <w:t>1</w:t>
      </w:r>
      <w:r>
        <w:rPr>
          <w:rFonts w:ascii="Times New Roman" w:hAnsi="Times New Roman"/>
          <w:color w:val="000000"/>
          <w:sz w:val="20"/>
        </w:rPr>
        <w:t xml:space="preserve"> receptor antagonism, thereby enhancing treatment outcomes and reducing the trial-and-error period typical in depression treatment. We have an option to in-license exclusive worldwide rights to Cortibon after completion of the study, if results are positive. If we exercise our option, we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for the development and commercialization of tildacerfont for the treatment of CAH in Japan (the “Kaken License Agreement”). Under the terms of the Kaken License Agreement, we received an upfront payment of $15.0 million from Kaken in April 2023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losses and negative cash flows from operations. During the nine months ended September 30, 2024 and 2023, we incurred net losses of $29.5 million and $38.0 million, respectively, and used $35.3 million and $22.1 million of cash in operations, respectively. As of September 30, 2024 and December 31, 2023, we had an accumulated deficit of $226.7 million and $197.2 million, respectively,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through September 30, 2024, we have raised aggregate gross proceeds of $293.1 million, including $103.5 million from our initial public offering (“IPO”) in October 2020, $116.0 million from the sale of our redeemable convertible preferred stock, $5.0 million from the issuance of debt, $53.6 million from a private placement financing in February 2023, and the $15.0 million upfront payment from Kaken received in April 2023. As of September 30, 2024 and December 31, 2023, we had cash and cash equivalents of $60.1 million and $96.3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based on our current operating plan, that our cash and cash equivalents as of September 30, 2024 will be sufficient to fund our operations and debt obligations for at least 12 months following the issuance date of our financial statements included elsewhere in this Quarterly Report. We have based this projection on assumptions that may be inaccurate and as a result, we may utilize our capital resources sooner than we expect. 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tildacerfont through our ongoing clinical trials in adult and pediatric patients with classic CAH;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clinical development of tildacerfont in additional indications, including PCOS and MDD;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approvals of tildacerfont in patients with classic CAH, PCOS, and MDD;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 highly specialized commercial organization to support the commercialization of tildacerfont, if approved,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additional indications and formulations for which to investigate tildacerfont in the future and expand our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283"/>
        <w:jc w:val="left"/>
        <w:rPr>
          <w:rFonts w:ascii="Times New Roman" w:hAnsi="Times New Roman"/>
          <w:sz w:val="20"/>
        </w:rPr>
      </w:pPr>
      <w:r>
        <w:rPr>
          <w:rFonts w:ascii="Times New Roman" w:hAnsi="Times New Roman"/>
          <w:color w:val="000000"/>
          <w:sz w:val="20"/>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September 30, 2024, we have not issued any shares of common stock under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Eli Lilly and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w:t>
      </w:r>
      <w:r>
        <w:rPr>
          <w:rFonts w:ascii="Times New Roman" w:hAnsi="Times New Roman"/>
          <w:color w:val="000000"/>
          <w:sz w:val="13"/>
        </w:rPr>
        <w:t>1</w:t>
      </w:r>
      <w:r>
        <w:rPr>
          <w:rFonts w:ascii="Times New Roman" w:hAnsi="Times New Roman"/>
          <w:color w:val="000000"/>
          <w:sz w:val="20"/>
        </w:rPr>
        <w:t xml:space="preserve">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Kaken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2023, we entered into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Kaken License Agreement, Kaken made an upfront payment to us of $15.0 million in April 2023.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the expiration of regulatory exclusivity of tildacerfont or the expiration of the last valid claim of a Company-licensed patent covering tildacerfont in Japan (the “Royalty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agreed to supply Kaken’s clinical drug supply requirements of tildacerfont pursuant to a clinical supply agreement.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Silicon Valley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as subsequently amended (the “Loan Agreement”), with SVB providing for a term loan (the “Term Loan”) for an aggregate principal amount of $4.5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we entered into a First Amendment to Loan and Security Agreement (the “First Amendment”) which increased the aggregate principal amount of the Term Loan to $30.0 million, of which $20.0 million was immediately available under the first 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entered into a Second Amendment to Loan and Security Agreement (the “Second Amendment”) which amended the milestones for the Second Tranche, added a liquidity covenant for the Second Tranche and amended the interest and prepayment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and December 31, 2023, the outstanding principal was comprised of $2.2 million and $3.4 million, respectively, under the First Tranche. Repayment of principal under the First Tranche commenced in January 2023. Commitments available under the Second Tranche of $10.0 million expired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September 30, 2024, management believes that we are in compliance with all covenants under the Loan Agreement and there has been no material adverse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our revenue has been derived from the Kaken License Agreement, pursuant to which we granted Kaken the exclusive right to develop and commercialize tildacerfont for CAH in Japan.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recognize royalty and milestone revenues under the Kaken License Agreement if and when appropriate under the relevant accounting rules (see Note 7 to our condensed financial statements). We have not generated any revenues from the commercial sale of approved products and we do not expect to generate revenues from the commercial sale of our product candidates for at least the foreseeable future, if ever.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of external and internal expenses incurred in connection with our research activities and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consisting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development—expenses associated with clinical research organizations (“CROs”) engaged to manage and conduct clinical trials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studies—expenses associated with preclinical studies and clinical pharmacology;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manufacturing—expenses associated with contract manufacturing; labeling, packaging, and distribution of clinical trial supplies,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research and development—expenses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potential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condensed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additional administrative personnel and services are required to manage these functions of a public company, and as we advance tildacerfont through clinical development and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non-cash amortization of debt discount and issuance costs in connection with the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cash equivalents and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Three Months Ended September 30, 2024 and 2023</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7296" w:type="dxa"/>
        <w:jc w:val="left"/>
        <w:tblInd w:w="0" w:type="dxa"/>
        <w:tblLayout w:type="fixed"/>
        <w:tblCellMar>
          <w:top w:w="28" w:type="dxa"/>
          <w:left w:w="28" w:type="dxa"/>
          <w:bottom w:w="28" w:type="dxa"/>
          <w:right w:w="28" w:type="dxa"/>
        </w:tblCellMar>
      </w:tblPr>
      <w:tblGrid>
        <w:gridCol w:w="2721"/>
        <w:gridCol w:w="146"/>
        <w:gridCol w:w="264"/>
        <w:gridCol w:w="846"/>
        <w:gridCol w:w="207"/>
        <w:gridCol w:w="182"/>
        <w:gridCol w:w="264"/>
        <w:gridCol w:w="921"/>
        <w:gridCol w:w="166"/>
        <w:gridCol w:w="146"/>
        <w:gridCol w:w="211"/>
        <w:gridCol w:w="631"/>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w:t>
            </w:r>
          </w:p>
        </w:tc>
        <w:tc>
          <w:tcPr>
            <w:tcW w:w="2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September 30, 2024 and 2023, we recognized $0.6 million and $3.1 million, respectively, as collaboration revenue under the Kaken License Agreement.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7870" w:type="dxa"/>
        <w:jc w:val="left"/>
        <w:tblInd w:w="0" w:type="dxa"/>
        <w:tblLayout w:type="fixed"/>
        <w:tblCellMar>
          <w:top w:w="28" w:type="dxa"/>
          <w:left w:w="28" w:type="dxa"/>
          <w:bottom w:w="28" w:type="dxa"/>
          <w:right w:w="28" w:type="dxa"/>
        </w:tblCellMar>
      </w:tblPr>
      <w:tblGrid>
        <w:gridCol w:w="3496"/>
        <w:gridCol w:w="146"/>
        <w:gridCol w:w="289"/>
        <w:gridCol w:w="782"/>
        <w:gridCol w:w="199"/>
        <w:gridCol w:w="199"/>
        <w:gridCol w:w="289"/>
        <w:gridCol w:w="925"/>
        <w:gridCol w:w="146"/>
        <w:gridCol w:w="146"/>
        <w:gridCol w:w="211"/>
        <w:gridCol w:w="63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1071"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vAlign w:val="center"/>
          </w:tcPr>
          <w:p>
            <w:pPr>
              <w:pStyle w:val="TableContents"/>
              <w:bidi w:val="0"/>
              <w:spacing w:before="0" w:after="283"/>
              <w:jc w:val="left"/>
              <w:rPr/>
            </w:pPr>
            <w:r>
              <w:rPr/>
              <w:t> </w:t>
            </w:r>
          </w:p>
        </w:tc>
        <w:tc>
          <w:tcPr>
            <w:tcW w:w="1071"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decreased by $6.9 million during the three months ended September 30, 2024, compared to the three months ended September 30, 2023. The overall decrease in research and development expenses was primarily related to the decrease in clinical development expenses and manufacturing expenses driven by the termination of the CAHmelia-203 study, completion of the POWER study, and the completion of enrollment in the CAHmelia-204 study, partially offset by an increase related to additional dose ranging cohorts in the CAHptain-205 clinical trial. There was also a decrease in personnel related expenses due to a decrease in headcount.</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$0.2 million during the three months ended September 30, 2024, compared to the three months ended September 30, 2023, primarily due to an increase in legal professional services offset by a decrease in personnel expenses due to a decrease in recruiting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fairly consistent during the three months ended September 30, 2024, compared to the three months ended September 30, 2023 and was related to the Term Loan.</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decreased by $0.6 million during the three months ended September 30, 2024, compared to the three months ended September 30, 2023. The decrease was primarily due to lower average daily balances on cash and cash equivalents for the three months ended September 30, 2024 compared to the three months ended September 30, 2023.</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Nine Months Ended September 30, 2024 and 2023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7311" w:type="dxa"/>
        <w:jc w:val="left"/>
        <w:tblInd w:w="0" w:type="dxa"/>
        <w:tblLayout w:type="fixed"/>
        <w:tblCellMar>
          <w:top w:w="28" w:type="dxa"/>
          <w:left w:w="28" w:type="dxa"/>
          <w:bottom w:w="28" w:type="dxa"/>
          <w:right w:w="28" w:type="dxa"/>
        </w:tblCellMar>
      </w:tblPr>
      <w:tblGrid>
        <w:gridCol w:w="2721"/>
        <w:gridCol w:w="146"/>
        <w:gridCol w:w="248"/>
        <w:gridCol w:w="866"/>
        <w:gridCol w:w="195"/>
        <w:gridCol w:w="171"/>
        <w:gridCol w:w="248"/>
        <w:gridCol w:w="866"/>
        <w:gridCol w:w="166"/>
        <w:gridCol w:w="146"/>
        <w:gridCol w:w="211"/>
        <w:gridCol w:w="736"/>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24,961</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(32,077</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and 2023, we recognized $4.2 million and $7.2 million, respectively, as collaboration revenue under the Kaken License Agreement.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7886" w:type="dxa"/>
        <w:jc w:val="left"/>
        <w:tblInd w:w="0" w:type="dxa"/>
        <w:tblLayout w:type="fixed"/>
        <w:tblCellMar>
          <w:top w:w="28" w:type="dxa"/>
          <w:left w:w="28" w:type="dxa"/>
          <w:bottom w:w="28" w:type="dxa"/>
          <w:right w:w="28" w:type="dxa"/>
        </w:tblCellMar>
      </w:tblPr>
      <w:tblGrid>
        <w:gridCol w:w="3496"/>
        <w:gridCol w:w="146"/>
        <w:gridCol w:w="265"/>
        <w:gridCol w:w="849"/>
        <w:gridCol w:w="183"/>
        <w:gridCol w:w="183"/>
        <w:gridCol w:w="265"/>
        <w:gridCol w:w="849"/>
        <w:gridCol w:w="14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15,351</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Research and development expenses decreased by $13.4 million during the nine months ended September 30, 2024, compared to the nine months ended September 30, 2023. The overall decrease in research and development expenses was primarily related to the decrease in clinical development expenses and manufacturing expenses driven by the termination of the CAHmelia-203 study, completion of the POWER study, and the completion of enrollment in the CAHmelia-204 study, partially offset by an increase related to additional dose ranging cohorts in the CAHptain-205 clinical trial. There was also a decrease in personnel related expenses due to a decrease in headcount which was partially offset by an increase in stock-based compensation expense.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$1.6 million during the nine months ended September 30, 2024, compared to the nine months ended September 30, 2023, primarily due to an increase in legal professional services and an increase in personnel expenses due to an increase in stock-based compensation expense offset by a decrease in recruiting expenses and insurance costs for directors and officers.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fairly consistent during the nine months ended September 30, 2024, compared to the nine months ended September 30, 2023 and was related to the Term Loan.</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increased by $0.4 million during the nine months ended September 30, 2024, compared to the nine months ended September 30, 2023. The increase was primarily due to higher yield earned on money market fund balances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operations. We anticipate that we will continue to incur net losses for the foreseeable future. As of September 30, 2024 and December 31, 2023, we had an accumulated deficit of $226.7 million and $197.2 million, respectively. As of September 30, 2024 and December 31, 2023, we had cash and cash equivalents of $60.1 million and $96.3 million, respectively. Since inception through September 30, 2024,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based on our current operating plan, that our cash and cash equivalents as of September 30, 2024 will be sufficient to fund our operations and debt obligations for at least 12 months following the issuance date of our financial statements included elsewhere in this Quarterly Report. In addition, we have streamlined our operations and have implemented cost reduction measures, including termination of the CAHmelia-203 study and a reduction in force of approximately 21% in March 2024, which has extended our cash runway through the end of 2025, beyond anticipated topline data readouts for CAHmelia-204 and CAHptain-205.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and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September 30, 2024, we have not issued any shares of common stock pursuant to the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agreed to pay Jefferies commissions for its services of acting as agent of 3.0% of the gross proceeds from the sale of the shares pursuant to the Sales Agreement. We have also agreed to provide Jefferies with customary indemnification and contribution rights. The shares will be sold pursuant to the Shelf Registration, and offerings of the shares will be made only by means of the prospectus supplement.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studies for the treatment of classic CAH in adult and pediatric patients, as we conduct clinical trials of tildacerfont in additional indications beyond classic CAH, as we seek regulatory approvals for tildacerfont, and incur expenses associated with hiring additional personnel to support our research and development efforts. The process of conducting the necessary clinical research to obtain regulatory approval is costly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time-consuming, the successful development of tildacerfont is highly uncertain, and we may never succeed in achieving regulatory approval for tildacerfont in classic CAH in adult and pediatric patients or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raise capital through equity or debt financings, collaborative agreements, potentially including agreements to out-license rights to develop and commercialize tildacerfont,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of, and timing of our ongoing and planned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tildacerfont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favorable out-licensing agreements for the development and commercialization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the disruptions to and volatility in the credit and financial markets in the United States and worldwide from geopolitical and macroeconomic events, including the wars in Ukraine and Israel and related sanctions, and recent and potential future disruptions in access to bank deposits or lending commitments due to bank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the wars in Ukraine and Israel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future payments of principal and interest on the Term Loan, which commenced repayment in January 2023 and matures in January 2026, were $2.3 million. For a description of the terms of the Loan Agreement, see the section titled “Management’s Discussion and Analysis of Financial Condition and Results of Operations —Material Agreements — Loan Agreement”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the total undiscounted lease payments for our non-cancelable operating lease for office space, which terminates in February 2028 unless renewed, was $1.2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 required to pay up to an aggregate of $23.0 million upon the achievement of certain milestones. As of September 30, 2024, we were unable to estimate the timing or likelihood of achieving these milestones or generating 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 (in thousands):</w:t>
      </w:r>
    </w:p>
    <w:tbl>
      <w:tblPr>
        <w:tblW w:w="8731" w:type="dxa"/>
        <w:jc w:val="left"/>
        <w:tblInd w:w="0" w:type="dxa"/>
        <w:tblLayout w:type="fixed"/>
        <w:tblCellMar>
          <w:top w:w="28" w:type="dxa"/>
          <w:left w:w="28" w:type="dxa"/>
          <w:bottom w:w="28" w:type="dxa"/>
          <w:right w:w="28" w:type="dxa"/>
        </w:tblCellMar>
      </w:tblPr>
      <w:tblGrid>
        <w:gridCol w:w="4216"/>
        <w:gridCol w:w="146"/>
        <w:gridCol w:w="248"/>
        <w:gridCol w:w="866"/>
        <w:gridCol w:w="195"/>
        <w:gridCol w:w="171"/>
        <w:gridCol w:w="248"/>
        <w:gridCol w:w="866"/>
        <w:gridCol w:w="166"/>
        <w:gridCol w:w="146"/>
        <w:gridCol w:w="211"/>
        <w:gridCol w:w="841"/>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(35,287</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Net (decrease) increase in cash, </w:t>
              <w:br/>
              <w:t>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by $13.2 million during the nine months ended September 30, 2024 compared to the nine months ended September 30, 2023 primarily due to the receipt of the $15.0 million upfront payment from Kaken in April 2023.</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2024, net cash provided by investing activities was nil.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2023, net cash provided by investing activities was $46.5 million consisting primarily of proceeds from maturities of investments of $58.4 million offset by purchases of investments of $11.9 million.</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September 30, 2024, net cash used in financing activities was $1.0 million, consisting primarily of principal payments on the Term Loan of $1.2 million, offset by proceeds of $0.2 million from stock option exercises.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2023, net cash provided by financing activities was $49.7 million, consisting primarily of net proceeds received from the February 2023 private placement of $50.9 million, offset by principal payments on the Term Loan of $1.2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are described in the section titled “Management’s Discussion and Analysis of Financial Condition and Results of Operations—Critical Accounting Policies and Estimates” in the Annual Report. During the nine months ended September 30, 2024, there were no changes to our critical accounting estimates from those discussed in the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as of September 30, 2024 consist of $60.1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 for our Term Loan is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and December 31, 2023,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geopolitical and macroeconomic events. As of September 30, 2024,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September 30, 2024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product revenue. For the nine months ended September 30, 2024 and 2023, we reported net losses of $29.5 million and $38.0 million, respectively. As of September 30, 2024, we had an accumulated deficit of $226.7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we had cash and cash equivalents of $60.1 million. In October 2020, we consummated our initial public offering (“IPO”) and issued 6,900,000 shares of common stock for net proceeds of $93.4 million, after deducting underwriting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discounts and commissions and offering expenses. In February 2023, we completed a private placement for net proceeds of $50.9 million. In April 2023, we received a $15.0 million upfront payment under the Kaken License Agreement. We believe, based on our current operating plan, that our cash and cash equivalents as of September 30, 2024 will be sufficient to fund our operations and debt obligations for at least 12 months following the issuance date of our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was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tildacerfont and any future product candidates and may need to raise additional funds sooner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funding may not be available on acceptable terms, or at all. In addition, we may not be able to access a portion of our existing cash and cash equivalents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 Further, as a result of geopolitical and macroeconomic events, the ongoing wars in Ukraine and Israel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significantly harm our business, prospects, financial condition, and results of operations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only have one product candidate, tildacerfont, and our business and future success depends entirely on our ability to develop, obtain regulatory approval for, and then successfully commercialize, tildacerfont, which is currently in clinical development for adult and pediatric patients with classic CAH. This may make an investment in our company riskier than similar companies that have multiple product candidates in active development that may be able to better sustain failure of a lead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we reported topline results CAHmelia-203, a placebo-controlled, double-blind Phase 2b clinical trial in adult patients with classic CAH and highly elevated levels of androstenedione (“A4”) at baseline. CAHmelia-203 enrolled 96 subjects with a mean baseline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glucocorticoid (“GC”) was low with approximately 50% of patients reporting 80% or greater compliance, resulting in lower-than-expected tildacerfont exposure. Tildacerfont was generally safe and well tolerated at all doses, with no treatment-related SAEs. Most adverse events were reported as mild to moderate. Based upon the outcome of the study, we terminated the CAHmelia-203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initiated CAHmelia-204, a second Phase 2b clinical trial in 100 adult patients with classic CAH on mean daily dose of supraphysiologic GCs of 37 mg/day of hydrocortisone equivalents. Patients were enrolled with a mean A4 level at baseline of 224 ng/dL (approximately the ULN) and 66% of patients were enrolled with androgenic control, defined as having A4 values below the ULN at baseline. Although we have terminated the CAHmelia-203 trial, we believe the differentiated patient population between CAHmelia-203 and CAHmelia-204 supports our decision to continue with the CAHmelia-204 trial until topline results are available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December 2024. However, our belief about the differentiated patient population may be incorrect and the CAHmelia-204 trial may similarly fail to meet its primary efficacy endpoint, which would result in significant financial and development setbacks.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investigating tildacerfont for the treatment of classic CAH in children. We initiated CAHptain-205, a Phase 2 open-label clinical trial, which initially utilized a sequential three cohort design, to evaluate the safety, efficacy, and pharmacokinetics (“PK”) of tildacerfont in pediatric patients two to 17 years of age with classic CAH. The study characterized the safety and pharmacokinetic profiles of tildacerfont, as well as changes in androgen levels over 12 weeks of treatment, and the ability to reduce daily GC dose upon A4 normalization. In March 2024, we reported topline results from the first three cohorts of the clinical trial, which included 30 children between two and 17 years of age with a mean baseline GC dose of 14 mg/m2/day and mean baseline A4 level of 372 ng/dL.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The clinical trial was amended to include additional dose ranging cohorts in adults, adolescents, and children. The maximum planned dose is 400mg BID, subject to adjustment based on safety and PK data obtained during the clinical trial. Dosing will initiate at 200mg BID in adults and adolescents. All cohorts administered doses above 200mg BID will be adaptive, so that the determination to initiate a cohort, and at what increased dose, may be determined by the Sponsor, within the guidelines of the protocol, based on recommendations by an independent Data Monitoring Committee and emerging safety and exposure data. Individual and study stopping criteria will further ensure safety of the participants. Topline results from these additional dose ranging cohorts in adults, adolescents, and children are anticipated in December 2024. Assuming positive results from CAHmelia-204 and CAHptain-205, we plan to meet with the U.S. Food and Drug Administration (“FDA”) and comparable foreign regulatory authorities to outline the design of a registrational clinical program in adult and pediatric classic CAH. We have also submitted a pediatric investigational plan (“PIP”) to the Pediatric Committee (“PDCO”) of the European Medicines Agency (“EMA”) regarding a registrational program in children with classic CAH. PDCO issued an opinion on its agreement with the proposed PIP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In June 2024, we presented results from POWER, a Phase 2 proof-of-concept, placebo-controlled, dose escalation trial which will evaluate the safety and efficacy of tildacerfont titrated to 200mg QD compared to placebo at 12 weeks of treatment in subjects with PCOS and elevated adrenal androgens as measured by dehydroepiandrosterone sulfate (“DHEAS”) levels at baseline. In women with elevated baseline DHEAS, a significant reduction in DHEAS versus placebo was observed (p = 0.020). In study participants, a significant increase in sex hormone binding globulin (“SHBG”) versus placebo was also observed (p = 0.012). The Phase 2 study was not powered to test for statistical significance on the primary endpoint. However, the lowering of DHEAS, an adrenal androgen precursor, observed with 12-week exposure, suggests that tildacerfont may be of therapeutic benefit for some women with PCOS. Additionally, the observed increase in SHBG may potentially result in lower levels of free, bioactive sex hormones such as testosterone. Tildacerfont was well-tolerated with no safety signals observed. The majority of adverse events were mild to moderate. No SAEs were reported. We are currently evaluating strategic collaboration opportunities for the development and commercialization of tildacerfont for the treatment of PCOS.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tildacerfont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including one or more new drug applications (“NDAs”) from the FDA, and maintaining such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commercializing tildacerfont,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and regulatory exclusivity for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tildacerfont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tildacerfont to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obtain regulatory approvals or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the safety and efficacy of tildacerfont, which could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endocrine and neurological disorders for which there is limited clinical experience, and our ongoing Phase 2b clinical trial uses endpoints that do not have regulatory precedent in classic CAH due to the lack of approved therapies beyond current standard of care,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and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pStyle w:val="TextBody"/>
        <w:bidi w:val="0"/>
        <w:spacing w:before="120" w:after="283"/>
        <w:jc w:val="left"/>
        <w:rPr>
          <w:rFonts w:ascii="Times New Roman" w:hAnsi="Times New Roman"/>
          <w:sz w:val="20"/>
        </w:rPr>
      </w:pPr>
      <w:r>
        <w:rPr>
          <w:rFonts w:ascii="Times New Roman" w:hAnsi="Times New Roman"/>
          <w:color w:val="000000"/>
          <w:sz w:val="20"/>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w:t>
      </w:r>
      <w:r>
        <w:rPr>
          <w:rFonts w:ascii="Times New Roman" w:hAnsi="Times New Roman"/>
          <w:color w:val="000000"/>
          <w:sz w:val="13"/>
        </w:rPr>
        <w:t>1</w:t>
      </w:r>
      <w:r>
        <w:rPr>
          <w:rFonts w:ascii="Times New Roman" w:hAnsi="Times New Roman"/>
          <w:color w:val="000000"/>
          <w:sz w:val="20"/>
        </w:rPr>
        <w:t xml:space="preserve"> receptor antagonist and filed NDAs in adult and pediatric classic CAH. The FDA has accepted both NDAs with priority review designations with target action dates in December 2024. Crinetics Pharmaceuticals, Inc. initiated a Phase 2 clinical trial in 2023 to evaluate the safety and efficacy of an oral ACTH antagonist in adults with CAH and reported positive interim data. BridgeBio Pharma, Inc. discontinued development of an AAV5 gene therapy product candidate to treat classic CAH.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we are using doses in our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have faced significant setbacks as we conducted our two Phase 2b clinical trials in adult patients with classic CAH, and we may continue to face such setbacks, which may delay or prevent regulatory approval of tildacerfont. For example, due to not meeting its primary efficacy endpoint, we terminated our CAHmelia-203 trial in March 2024 and will be largely dependent on our Phase 2b CAHmelia-204 and Phase 2 CAHptain-205 trials to inform the design of a registrational clinical program in adult and pediatric classic CAH, subject to feedback from FDA and comparable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some indications for which we are evaluating tildacerfont are rare endocrine disorders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Phase 2b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manufacturing sufficient quantities of tildacerfont or any future product candidates</w:t>
      </w:r>
      <w:r>
        <w:rPr>
          <w:color w:val="000000"/>
        </w:rPr>
        <w:t xml:space="preserve"> </w:t>
      </w:r>
      <w:r>
        <w:rPr>
          <w:rFonts w:ascii="Times New Roman" w:hAnsi="Times New Roman"/>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indications for which we are developing tildacerfont and any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SAEs in clinical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vendors not performing manufacturing and distribution services in a timely manner or to sufficient quality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contagious disease outbreaks on our ongoing and planned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Similar requirements and risks are applicable in foreign markets. We have not previously submitted an NDA to the FDA, or similar drug approval filings to comparable foreign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 or clinical trials for tildacerfont and any future product candidates either prior to or post-approval, or may object to elements of our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and any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people using drugs similar to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our efforts to expand our pipeline by in-licensing or acquiring development-stage assets or programs or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and plan to conduct several clinical trials for tildacerfont in parallel over the next several years, including multiple clinical trials in adult and pediatric patients with classic CAH and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a granulate formulation or oral suspension for pediatric patients.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we may pursue additional in-licenses or acquisitions of development-stage assets or programs, which entails additional risk to us. For example, on June 13, 2024, we entered into a “stalking horse” asset purchase agreement (the “Asset Purchase Agreement”), pursuant to which we agreed to acquire substantially all of the rights, title and interests in, to and under certain assets and interests used by Eiger BioPharmaceuticals, Inc. (the “Seller”) with respect to Avexitide (as such term is defined in the Asset Purchase Agreement) (the “Transferred Assets”). The Asset Purchase Agreement provides that the acquisition of the Transferred Assets by the Company is subject to approval of the United States Bankruptcy Court for the Northern District of Texas (the “Bankruptcy Court”) in the cases captioned </w:t>
      </w:r>
      <w:r>
        <w:rPr>
          <w:rFonts w:ascii="Times New Roman" w:hAnsi="Times New Roman"/>
          <w:i/>
          <w:color w:val="000000"/>
          <w:sz w:val="20"/>
        </w:rPr>
        <w:t>In re Eiger BioPharmaceuticals, Inc., et al</w:t>
      </w:r>
      <w:r>
        <w:rPr>
          <w:rFonts w:ascii="Times New Roman" w:hAnsi="Times New Roman"/>
          <w:color w:val="000000"/>
          <w:sz w:val="20"/>
        </w:rPr>
        <w:t>, Case No. 24-80040 (the “Chapter 11 Cases”), and one or more auctions, if necessary, to solicit higher or otherwise better competing bids in respect of all or any part of the Transferred Assets in accordance with the terms of the bid procedures previously approved by the Bankruptcy Court. Under the Asset Purchase Agreement, we agreed, subject to the Bankruptcy Court’s approval and absent any higher or otherwise better bid, to acquire the Transferred Assets from the Seller for $10.0 million, subject to certain adjustments pursuant to the Asset Purchase Agreement. The Asset Purchase Agreement includes customary representations and warranties and various customary covenants under the circumstances that are subject to certain limitations, including, without limitation, a termination fee of $0.3 million payable to us, and the right to designate executory contracts and unexpired leases to assume or reject. In connection with the Chapter 11 Cases, on June 17, 2024, an auction was conducted with respect to the Transferred Assets as part of the Seller’s court-supervised sale process under Section 363 of chapter 11 of Title 11 of the United States Code. Following the completion of the auction, we were designated the back-up bidder, with a final back-up bid during the auction of a purchase price in the amount of $35.0 million less a credit in the amount of $0.3 million for the termination fee resulting in a net purchase price in the amount of $34.7 million, plus the assumption of specified contractual cure amounts up to $0.3 million. The sale of the Transferred Assets was approved by the Bankruptcy Court and we were paid the $0.3 million termination fee in accordance with the terms of the Asset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 including component shortages and related supply chain challenges, outbreaks of contagious diseases (such as the COVID-19 pandemic), the wars in Ukraine and Israel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Similarly, it is possible that the war in Israel may have similar effects. As a result, our business and results of operations may be adversely affected by the ongoing wars in Ukraine and Israel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conclusions reached, our ability to obtain regulatory approval for, and commercialize, tildacerfont and any future product candidates may be harmed, which could harm our business, operating results, prospects,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endocrine and neurological disorders. For example, we believe that tildacerfont has the potential to bring therapeutic benefit to patients suffering from endocrine disorders where the underlying pathophysiology supports a need to reduce excess secretion of or hyperresponsiveness to ACTH, including, but not limited to, non-classic CAH and females with PCOS, as well as in major depressive disorder (“MDD”). Given the relatively small number of patients who have some of the disorders that we are targeting and intend to target with tildacerfont, it is critical to our ability to grow and become profitable that we continue to successfully identify patients with these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submit a Marketing Authorization Application (“MAA”) to the EMA for approval of tildacerfont in the EU for the treatment of classic CAH. As with the FDA, obtaining approval of an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terminate or halt clinical trials and could result in a more restrictive label or the delay or denial of regulatory approval by the FDA or other comparable foreign authorities. For example, although tildacerfont has been assessed in over 400 subjects across ten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ULN, elevations in aspartate aminotransferase (“AST”) less than five times the ULN, and no increases in bilirubin. The event resolved on its own without additional medical intervention.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tildacerfont and any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form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 or suspend or change their approvals of such product or place restrictions on the way it is prescribed;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tildacerfont and any future product candidates, if approved, and could significantly harm our business,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policies of the FDA and other regulatory authorities, including foreign regulatory authorities,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funding for the FDA and other government agencies, or comparable foreign regulatory authorities 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tildacerfont and any future product candidates, tildacerfont and any future product candidates may not gain market acceptance among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those of any collaboration or distribution partner on whom we rely for sales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DOJ, and comparable foreign authorities strictly regulate the marketing and promotional claims that are made about pharmaceutical products, such as tildacerfont,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tildacerfont and any future product candidates, which could make it difficult for us to sell tildacerfont and any future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U.S. governmental healthcare programs, such as Medicare and Medicaid, or comparable foreign healthcare programs, and commercial payors is critical to new product acceptance, and we may not obtain such coverage or adequate reimbursement. Moreover, we focus our clinical development of tildacerfont on treatments for endocrine and neurological disorders, some of which have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Moreover, prior to the U.S.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health insurance coverage through Medicaid or the Affordable Care Act.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until 2032,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began to effect progressively starting in fiscal year 2023. On August 15, 2024, HHS announced the agreed-upon reimbursement price of the first ten drugs that were subject to price negotiations, although the Medicare drug price negotiation program is currently subject to legal challenges. HHS will select up to fifteen additional drugs covered under Part D for negotiation in 2025. HHS has and will continue to issue and update guidance as these programs are implemented.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other healthcare reform measures that may be adopted in the future, particularly in light of the upcoming U.S. Presidential and Congressional elections,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third-party payors. The implementation of cost containment measures or other healthcare reforms may prevent us from being able to generate revenue, attain profitability or commercialize tildacerfont,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will apply from January 2025. It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for our product candidates in the EU, if approved, among other regulatory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marketing tildacerfont and any future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of 1977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tildacerfont for additional indications, our commercial opportunity may be limited.*</w:t>
      </w:r>
    </w:p>
    <w:p>
      <w:pPr>
        <w:pStyle w:val="TextBody"/>
        <w:bidi w:val="0"/>
        <w:spacing w:before="120" w:after="283"/>
        <w:jc w:val="left"/>
        <w:rPr>
          <w:rFonts w:ascii="Times New Roman" w:hAnsi="Times New Roman"/>
          <w:sz w:val="20"/>
        </w:rPr>
      </w:pPr>
      <w:r>
        <w:rPr>
          <w:rFonts w:ascii="Times New Roman" w:hAnsi="Times New Roman"/>
          <w:color w:val="000000"/>
          <w:sz w:val="20"/>
        </w:rPr>
        <w:t>One of our strategies is to pursue clinical development of tildacerfont in additional endocrine disorders, including, but not limited to, females with PCOS and major depressive disorder (“MDD”). CRF</w:t>
      </w:r>
      <w:r>
        <w:rPr>
          <w:rFonts w:ascii="Times New Roman" w:hAnsi="Times New Roman"/>
          <w:color w:val="000000"/>
          <w:sz w:val="13"/>
        </w:rPr>
        <w:t>1</w:t>
      </w:r>
      <w:r>
        <w:rPr>
          <w:rFonts w:ascii="Times New Roman" w:hAnsi="Times New Roman"/>
          <w:color w:val="000000"/>
          <w:sz w:val="20"/>
        </w:rPr>
        <w:t xml:space="preserve">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though we have obtained orphan drug designation for tildacerfont for the treatment of CAH, we may not be able to obtain or maintain the benefits associated with orphan drug status, including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may grant orphan drug designation for medicinal products that are intended for the diagnosis, prevention or treatment of diseases that are life-threatening or chronically debilitating, and for which either no satisfactory method of diagnosis, prevention, or treatment exists, or if such method exists, the medicine is of significant benefit to those affected by such condition. In addition, to benefit from such designation, either the prevalence of such condition must not be more than five in 10,000 people across the EU or, if more prevalent, the product, without the benefits derived from orphan status, would not generate sufficient returns in the EU to justify the investment needed for its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from approving another marketing application for the same drug and same indication for that time period. In the EU, upon grant of a marketing authorization, orphan medicinal products market exclusivity precludes the EMA from accepting another marketing authorization application or an application to extend for a similar product, and the European Commission from granting a marketing authorization for the same indication. The applicable period is seven years in the United States and ten years in the EU, which may be extended by six months and two years, respectively, in the case of product candidates that have complied with the respective regulatory authority’s agreed upon pediatric investigation plan. The market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designation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the manufacturer of the original orphan medicinal product is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sufficient quantities or the regulatory authority concludes that a subsequent application for the same drug for the same indication is clinically superior in that it is shown to be safer, more effective or makes a major contribution to patient care. In addition, if an orphan designated product receives marketing approval for an indication broader than or different from what is designated, such product may not be entitled to the regulatory exclusivities associated with orphan designation. Even though the FDA has granted orphan drug designation to tildacerfont for the treatment of classic CAH, if we receive approval for tildacerfont for a modified or different indication, our current orphan designations may not provide us with exclusivity.</w:t>
      </w:r>
    </w:p>
    <w:p>
      <w:pPr>
        <w:pStyle w:val="TextBody"/>
        <w:bidi w:val="0"/>
        <w:spacing w:before="120" w:after="283"/>
        <w:jc w:val="left"/>
        <w:rPr>
          <w:rFonts w:ascii="Times New Roman" w:hAnsi="Times New Roman"/>
          <w:sz w:val="20"/>
        </w:rPr>
      </w:pPr>
      <w:r>
        <w:rPr>
          <w:rFonts w:ascii="Times New Roman" w:hAnsi="Times New Roman"/>
          <w:color w:val="000000"/>
          <w:sz w:val="20"/>
        </w:rPr>
        <w:t>Orphan drug designation does not convey any advantage in, or shorten the duration of, the regulatory review or approval process. Also, regulatory approval for any product candidate may be withdrawn, suspended or varied</w:t>
      </w:r>
      <w:r>
        <w:rPr>
          <w:rFonts w:ascii="Times New Roman" w:hAnsi="Times New Roman"/>
          <w:color w:val="000000"/>
          <w:sz w:val="20"/>
          <w:u w:val="single"/>
        </w:rPr>
        <w:t xml:space="preserve"> </w:t>
      </w:r>
      <w:r>
        <w:rPr>
          <w:rFonts w:ascii="Times New Roman" w:hAnsi="Times New Roman"/>
          <w:color w:val="000000"/>
          <w:sz w:val="20"/>
        </w:rPr>
        <w:t>and other product candidates may obtain approval before us and receive orphan drug exclusivity, which could block us from entering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orphan drug exclusivity for tildacerfont, that exclusivity may not effectively protect us from competition because different drugs can be approved for the same condition before the expiration of the orphan drug exclusivity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successfully in-license, acquire, develop, and market additional product candidates or approved products would impair our ability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 substantial amount of our efforts is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European Commission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we had 22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tildacerfont and any future product candidates, while complying with our contractual obligations to contractors and other third parties;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2019, we entered into a Loan and Security Agreement (the “Loan Agreement”) providing for a term loan (the “Term Loan”) with SVB. In April 2020, we entered into a deferral agreement with SVB (the “Deferral Agreement”), whereby we and SVB agreed to extend the repayment dates of all monthly payments of principal due and the maturity date with respect to the Term Loan by six months. In March 2021, we entered into the First Amendment with SVB (the “First Amendment”), which increased the aggregate principal amount of the Term Loan commitment by SVB to up to $30.0 million. In May 2022, we entered into the Second Amendment with SVB (the “Second Amendment”), which amended the milestone upon which the Second Tranche commitment of $10.0 million would become available. As of September 30, 2024, we had $2.2 million outstanding under the Loan Agreement. Repayment of principal commenced in January 2023. Commitments available under the Second Tranche of $10.0 million expired on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under the Term Loan are secured by a first priority lien on substantially all of our assets, excluding intellectual property assets. We have agreed with SVB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Quarterly Report on Form 10-Q.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(“EU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As a result, we and the third parties with whom we work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physical or electronic break-ins, social engineering attempts (including through deep fakes, which may be increasingly more difficult to identify as fake, and phishing and spam emails), malicious code (such as computer viruses and worms), malware (including as a result of advanced persistent threat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color w:val="000000"/>
          <w:sz w:val="20"/>
        </w:rPr>
        <w:t>In addition, our relationship with the third parties with whom we work could introduce new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While we may be entitled to damages if the third parties with whom we work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expend significant resources (including financial) or modify our business activities (including our clinical trial activities) to try to protect against security incidents or to detect, investigate, mitigate, contain and remediate a security incident.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and recover from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with whom we work. A security incident or other interruption could disrupt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the third parties with whom we work experience a security incident, applicable data privacy and security obligations may require us, or we may voluntarily choose, to notify relevant stakeholders, such as consumers, partners, collaborators, government authorities, and the media or to take other actions, such as providing credit monitoring and identifying theft protection services. Such disclosures and related actions can be costly, and the disclosure or the failure to comply with such applicable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consequences that could negatively affect our operating results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are or may become subject to federal, state, local, and foreign data privacy and security laws and regulations, as well as other rules, standards, policies and contractual or other obligations, relating to the processing of personal data, including data we collect about trial participants in connection with clinical trials. If we or the third parties with whom we work fail, or are perceived to have failed, to address or comply with any such obligations, this could result in enforcement actions that could include investigations, fines, penalties, audits and inspections, litigation (including class-action claims) and arbitration, additional reporting requirements and/or oversight, temporary or permanent bans on all or some processing of personal data, or orders to destroy or not use personal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data and establishing a new regulatory agency to implement and enforce the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states, such as Virginia, Colorado, Connecticut and Utah have also passed comprehensive privacy laws, and similar laws are being considered in several other states, as well as at the federal and local levels.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including our processing of personal data. For example, our processing of personal data is or may become subject in certain circumstances to the EU GDPR and the United Kingdom’s GDPR (“UK GDPR”) (collectively, “GDPR”). Each of these regulations requires stringent standards of data privacy and security concerning personal data and potentially significant sanctions. For example, under GDPR, companies 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transfer personal data from Europe and other jurisdictions to the United States or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and other ‘inadequate’ countries in compliance with GDPR,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 Regulators in the United States are also increasingly scrutinizing certain personal data transfers and have and may further impose personal data localization requirements or restrictions on cross-border personal data transfers.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bound by other contractual obligations related to data privacy and security, and our efforts to comply with such obligations may not be successful. For example, patients about whom we or the third parties with whom we work to obtain information, as well as the third parties with whom we work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(and individuals’ data privacy and security expectations) are quickly changing, becoming increasingly stringent, and creating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with whom we work ability to operate in certain jurisdictions. Each of these constantly evolving laws can be subject to differing applications and interpretations which may be inconsistent or conflict among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tildacerfont and any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our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As of December 31, 2023, after reducing net operating losses (“NOLs”) and tax credits for amounts not expected to be utilized, we had federal NOL carryforwards of approximately $118.2 million and state NOL carryforwards of approximately $123.0 million. The federal NOL carryforwards arising in taxable years beginning prior to 2018 will begin to expire in 2036 and state NOL carryforwards will begin to expire in 2036, unless previously utilized. We also have federal and state tax credit carryforwards totaling $22.2 million and $1.7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2023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September 30, 2024, we recorded a full valuation allowance on our net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at the state level, there may be periods during which the use of NOLs is suspended or otherwise limited, which could accelerate or permanently increase state taxes owed.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legislation could have a material impact on the value of our net deferred tax assets, could result in significant one-time charges, and could increase our future tax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Lilly, the termination of which could result in the loss of significant rights, which would harm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w:t>
      </w:r>
      <w:r>
        <w:rPr>
          <w:rFonts w:ascii="Times New Roman" w:hAnsi="Times New Roman"/>
          <w:color w:val="000000"/>
          <w:sz w:val="13"/>
        </w:rPr>
        <w:t xml:space="preserve">1 </w:t>
      </w:r>
      <w:r>
        <w:rPr>
          <w:rFonts w:ascii="Times New Roman" w:hAnsi="Times New Roman"/>
          <w:color w:val="000000"/>
          <w:sz w:val="20"/>
        </w:rPr>
        <w:t>receptor antagonist compounds. Any termination of this license will result in the loss of significant rights and will restrict our ability to develop and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tildacerfont and any future product candidates must be approved by the applicable regulatory authorities, including the FDA or comparable foreign regulatory authorities,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interference proceeding can be provoked by a third party or instituted by the USPTO to determine who was the first to invent any of the subject matter covered by the patent claims of our applications for any application with an 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tildacerfont and any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and use tildacerfont and any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or license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obtain patents that cover the use or manufacture of tildacerfont;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tildacerfont,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tildacerfont,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and/or damages. For example, the scope of patentable subject matter under 35 U.S.C. 101 has evolved significantly over the past several years as the Court of Appeals for the Federal Circuit and the U.S.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U.S.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U.S. courts, the U.S. Congress or the USPTO may impact the value of our patent rights. For example, the U.S. Supreme Court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The trend of these decisions along with resulting changes in patentability requirements being implemented by the USPTO could make it increasingly difficult for us to obtain and maintain patents on our products, and could jeopardize patent term adjustment or otherwise reduce patent term, reduce the scope of, or invalidate or render unenforceable our patent rights.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the U.S.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those countries, we may have limited remedies if patents are infringed or if we are compelled to grant a license to a third party, which could materially diminish the value of those patents. This could limit our potential revenue opportunities. Accordingly,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For example, as of June 1, 2023, European patent applications and patents may be subjected to the jurisdiction of the Unified Patent Court (the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hAnsi="Times New Roman"/>
          <w:i/>
          <w:color w:val="000000"/>
          <w:sz w:val="20"/>
        </w:rPr>
        <w:t>inter partes</w:t>
      </w:r>
      <w:r>
        <w:rPr>
          <w:rFonts w:ascii="Times New Roman" w:hAnsi="Times New Roman"/>
          <w:color w:val="000000"/>
          <w:sz w:val="20"/>
        </w:rPr>
        <w:t xml:space="preserve"> review, interference and reexamination proceedings before the USPTO, or oppositions and other comparable proceedings in foreign jurisdictions. The America Invents Act introduced new procedures including </w:t>
      </w:r>
      <w:r>
        <w:rPr>
          <w:rFonts w:ascii="Times New Roman" w:hAnsi="Times New Roman"/>
          <w:i/>
          <w:color w:val="000000"/>
          <w:sz w:val="20"/>
        </w:rPr>
        <w:t>inter partes</w:t>
      </w:r>
      <w:r>
        <w:rPr>
          <w:rFonts w:ascii="Times New Roman" w:hAnsi="Times New Roman"/>
          <w:color w:val="000000"/>
          <w:sz w:val="20"/>
        </w:rPr>
        <w:t xml:space="preserve">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tildacerfont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In July 2023, the USPTO dismissed the rehearing and POP requests and granted </w:t>
      </w:r>
      <w:r>
        <w:rPr>
          <w:rFonts w:ascii="Times New Roman" w:hAnsi="Times New Roman"/>
          <w:i/>
          <w:color w:val="000000"/>
          <w:sz w:val="20"/>
        </w:rPr>
        <w:t>sua sponte</w:t>
      </w:r>
      <w:r>
        <w:rPr>
          <w:rFonts w:ascii="Times New Roman" w:hAnsi="Times New Roman"/>
          <w:color w:val="000000"/>
          <w:sz w:val="20"/>
        </w:rPr>
        <w:t xml:space="preserve"> Director Review of the Board’s decisions. In August 2023, the USPTO issued a Director Review decision addressing the standards for inherent anticipation and written description and remanded for a new decision about institution from the Board. In December 2023, the Board instituted post-grant review.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meet all applicable requirements of Nasdaq and Nasdaq determines to delist our common stock, the delisting could adversely affect the market liquidity of our common stock and the market price of our common stock could decrease</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26, 2024, we received a letter from Nasdaq, notifying us that, for the previous 30 consecutive business day period prior to the date of the letter, the closing bid price for our common stock was below $1.00. In accordance with Nasdaq Listing Rule 5810(c)(3)(A) we were provided an initial period of 180 calendar days, or until October 23, 2024, to regain compliance with Nasdaq’s bid price requirement. On October 10, 2024, we applied to transfer our listing from the Nasdaq Global Select Market to the Nasdaq Capital Market (the “Transfer”). On October 24, 2024, Nasdaq notified us that the Transfer was approved, effective October 28, 2024, and that, in connection with the Transfer, we were eligible for an additional 180 calendar day period, or until April 21, 2025 (the “Extended Compliance Date”), to regain compliance with Nasdaq’s bid price requirement. If, at any time before the Extended Compliance Date, the bid price for our common stock closes at $1.00 or more for a minimum of 10 consecutive business days, we will regain compliance with the bid price requirement, unless Nasdaq staff exercised its discretion to extend this 10-day period pursuant to Nasdaq rules. In connection with obtaining approval for the Transfer, we notified Nasdaq in writing of our intention to regain compliance with Nasdaq’s bid price requirement by effecting a reverse stock split, if necessary.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liquid and orderly trading market for our common stock may not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2024 to November 8, 2024 has ranged from a low of $0.42 to a high of $5.49. In addition to the factors discussed in this “Risk Factors” section and elsewhere in this Quarterly Report on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data from our Phase 2b clinical trial or any future clinical trials we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clinical trials as a result of outbreaks of contagious diseases (such as the COVID-19 pandemic), patient engagement, protocol amendments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tildacerfont and any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coverage and adequate reimbursement of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scientific or executive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if any, of the markets for adult and pediatric classic CAH, females with PCOS, MDD, and other endocrine and neurological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and macroeconomic conditions, including relating to contagious disease outbreaks, the ongoing wars in Ukraine and Israel, and recent and potential future disruptions in access to bank deposits or lending commitments due to bank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biopharmaceutical companies in particular, have experienced extreme price and volume fluctuations that have often been unrelated or disproportionate to the operating performance of these companies. Broad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2024, there were 41,302,599 shares of our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All of the pre-funded warrants have been exercised. Pursuant to the securities purchase agreement, we have registered for resale such securities.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(the “Shelf Registration”). For example, in February 2022,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2023,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all of which have been exercised, and warrants to purchase 12,687,000 shares of common stock. If these additional shares of common stock, and the shares of common stock issued or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prevent our common stock from dropping below the Nasdaq minimum bid price requirement or prevent future non-compliance with the listing requirements of Nasdaq.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Loan Agreement, we are prohibited from paying cash dividends without the prior written consent of Silicon Valley Bank.</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840"/>
        <w:gridCol w:w="146"/>
        <w:gridCol w:w="511"/>
        <w:gridCol w:w="146"/>
        <w:gridCol w:w="735"/>
        <w:gridCol w:w="146"/>
        <w:gridCol w:w="631"/>
        <w:gridCol w:w="146"/>
        <w:gridCol w:w="1011"/>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4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hyperlink r:id="rId4">
              <w:r>
                <w:rPr>
                  <w:rStyle w:val="InternetLink"/>
                  <w:rFonts w:ascii="Times New Roman" w:hAnsi="Times New Roman"/>
                  <w:color w:val="0000FF"/>
                  <w:sz w:val="20"/>
                </w:rPr>
                <w:t xml:space="preserve"> </w:t>
              </w:r>
            </w:hyperlink>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1_1.htm">
              <w:r>
                <w:rPr>
                  <w:rStyle w:val="InternetLink"/>
                  <w:rFonts w:ascii="Times New Roman" w:hAnsi="Times New Roman"/>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1_2.htm">
              <w:r>
                <w:rPr>
                  <w:rStyle w:val="InternetLink"/>
                  <w:rFonts w:ascii="Times New Roman" w:hAnsi="Times New Roman"/>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40" w:type="dxa"/>
            <w:tcBorders/>
            <w:shd w:fill="FFFFFF" w:val="clear"/>
            <w:vAlign w:val="center"/>
          </w:tcPr>
          <w:p>
            <w:pPr>
              <w:pStyle w:val="TableContents"/>
              <w:bidi w:val="0"/>
              <w:spacing w:before="0" w:after="283"/>
              <w:jc w:val="left"/>
              <w:rPr/>
            </w:pPr>
            <w:hyperlink w:anchor="spr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1" w:type="dxa"/>
            <w:tcBorders/>
            <w:shd w:fill="FFFFFF" w:val="clear"/>
            <w:vAlign w:val="center"/>
          </w:tcPr>
          <w:p>
            <w:pPr>
              <w:pStyle w:val="TableContents"/>
              <w:bidi w:val="0"/>
              <w:spacing w:before="0" w:after="283"/>
              <w:jc w:val="center"/>
              <w:rPr/>
            </w:pPr>
            <w:r>
              <w:rPr/>
              <w:t> </w:t>
            </w:r>
          </w:p>
        </w:tc>
      </w:tr>
      <w:tr>
        <w:trPr/>
        <w:tc>
          <w:tcPr>
            <w:tcW w:w="74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vAlign w:val="center"/>
          </w:tcPr>
          <w:p>
            <w:pPr>
              <w:pStyle w:val="TableContents"/>
              <w:bidi w:val="0"/>
              <w:spacing w:before="0" w:after="283"/>
              <w:jc w:val="center"/>
              <w:rPr/>
            </w:pPr>
            <w:r>
              <w:rPr/>
              <w:t> </w:t>
            </w:r>
          </w:p>
        </w:tc>
        <w:tc>
          <w:tcPr>
            <w:tcW w:w="3326"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487" w:type="dxa"/>
        <w:jc w:val="left"/>
        <w:tblInd w:w="0" w:type="dxa"/>
        <w:tblLayout w:type="fixed"/>
        <w:tblCellMar>
          <w:top w:w="28" w:type="dxa"/>
          <w:left w:w="28" w:type="dxa"/>
          <w:bottom w:w="28" w:type="dxa"/>
          <w:right w:w="28" w:type="dxa"/>
        </w:tblCellMar>
      </w:tblPr>
      <w:tblGrid>
        <w:gridCol w:w="2206"/>
        <w:gridCol w:w="109"/>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SPRUCE BIOSCIENCES,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3" w:name="sprb-ex31_1.htm"/>
      <w:bookmarkStart w:id="24" w:name="kssprbex31_1"/>
      <w:bookmarkEnd w:id="23"/>
      <w:bookmarkEnd w:id="24"/>
      <w:r>
        <w:rPr/>
        <w:t> </w:t>
      </w:r>
      <w:r>
        <w:br w:type="page"/>
      </w:r>
    </w:p>
    <w:p>
      <w:pPr>
        <w:pStyle w:val="TextBody"/>
        <w:bidi w:val="0"/>
        <w:jc w:val="right"/>
        <w:rPr>
          <w:rFonts w:ascii="Times New Roman" w:hAnsi="Times New Roman"/>
          <w:b/>
          <w:color w:val="000000"/>
          <w:sz w:val="20"/>
        </w:rPr>
      </w:pPr>
      <w:bookmarkStart w:id="25" w:name="exhibit_index"/>
      <w:bookmarkEnd w:id="25"/>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Javier Szwarcberg,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Spruce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206"/>
        <w:gridCol w:w="109"/>
        <w:gridCol w:w="406"/>
        <w:gridCol w:w="28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prb-ex31_2.htm"/>
      <w:bookmarkStart w:id="27" w:name="kssprb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Samir Gharib,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prb-ex32_1.htm"/>
      <w:bookmarkStart w:id="29" w:name="kssprb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September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206"/>
        <w:gridCol w:w="109"/>
        <w:gridCol w:w="406"/>
        <w:gridCol w:w="28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2_2.htm"/>
      <w:bookmarkStart w:id="31" w:name="kssprb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September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0269344/d12372dex31.htm" TargetMode="External"/><Relationship Id="rId3" Type="http://schemas.openxmlformats.org/officeDocument/2006/relationships/hyperlink" Target="https://www.sec.gov/Archives/edgar/data/1683553/000119312520269344/d12372dex32.htm" TargetMode="External"/><Relationship Id="rId4" Type="http://schemas.openxmlformats.org/officeDocument/2006/relationships/hyperlink" Target="https://www.sec.gov/Archives/edgar/data/1683553/000119312520269344/d12372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63429</Words>
  <Characters>355346</Characters>
  <CharactersWithSpaces>418434</CharactersWithSpaces>
  <Paragraphs>4582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