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226" w:type="dxa"/>
        <w:jc w:val="left"/>
        <w:tblInd w:w="0" w:type="dxa"/>
        <w:tblLayout w:type="fixed"/>
        <w:tblCellMar>
          <w:top w:w="28" w:type="dxa"/>
          <w:left w:w="28" w:type="dxa"/>
          <w:bottom w:w="28" w:type="dxa"/>
          <w:right w:w="28" w:type="dxa"/>
        </w:tblCellMar>
      </w:tblPr>
      <w:tblGrid>
        <w:gridCol w:w="6226"/>
      </w:tblGrid>
      <w:tr>
        <w:trPr/>
        <w:tc>
          <w:tcPr>
            <w:tcW w:w="622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22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226" w:type="dxa"/>
            <w:tcBorders/>
            <w:vAlign w:val="center"/>
          </w:tcPr>
          <w:p>
            <w:pPr>
              <w:pStyle w:val="TableContents"/>
              <w:bidi w:val="0"/>
              <w:spacing w:before="0" w:after="0"/>
              <w:jc w:val="left"/>
              <w:rPr/>
            </w:pPr>
            <w:r>
              <w:rPr/>
              <w:t xml:space="preserve">UNDER THE SECURITIES EXCHANGE ACT OF 1934 </w:t>
            </w:r>
          </w:p>
        </w:tc>
      </w:tr>
      <w:tr>
        <w:trPr/>
        <w:tc>
          <w:tcPr>
            <w:tcW w:w="622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6226" w:type="dxa"/>
            <w:tcBorders/>
            <w:vAlign w:val="center"/>
          </w:tcPr>
          <w:p>
            <w:pPr>
              <w:pStyle w:val="TableContents"/>
              <w:bidi w:val="0"/>
              <w:spacing w:before="0" w:after="0"/>
              <w:jc w:val="center"/>
              <w:rPr>
                <w:b/>
                <w:color w:val="0000FF"/>
              </w:rPr>
            </w:pPr>
            <w:r>
              <w:rPr>
                <w:b/>
                <w:color w:val="0000FF"/>
              </w:rPr>
              <w:t>Spruce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226" w:type="dxa"/>
            <w:tcBorders/>
            <w:vAlign w:val="center"/>
          </w:tcPr>
          <w:p>
            <w:pPr>
              <w:pStyle w:val="TableContents"/>
              <w:bidi w:val="0"/>
              <w:spacing w:before="0" w:after="0"/>
              <w:jc w:val="center"/>
              <w:rPr>
                <w:b/>
                <w:color w:val="0000FF"/>
              </w:rPr>
            </w:pPr>
            <w:r>
              <w:rPr>
                <w:b/>
                <w:color w:val="0000FF"/>
              </w:rPr>
              <w:t>Common Stock, par value $0.0001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22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22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Advisors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46,960.00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46,960.00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46,960.00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reported in this Schedule 13G are based upon 2,752,278 Shares outstanding as of May 11, 2026 (according to the issuer's Form 10-Q as filed with the Securities and Exchange Commission on May 13,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Advisors Holdings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46,960.00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46,960.00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46,960.00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46,960.00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46,960.00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46,960.00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1,684.00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1,684.00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Group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4,959.00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4,959.00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4,959.00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4,959.00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Kenneth Griffin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51,919.00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51,919.00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51,919.00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Spruce Biosciences,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611 Gateway Boulevard, Suite 740,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held of record by Citadel Multi-Strategy Equities Master Fund Ltd., a Cayman Islands company ("CM"), Citadel CEMF Investments Ltd., a Cayman Islands limited company ("CCIL"), Citadel Quantitative Strategies Master Fund Ltd., a Cayman Islands limited company ("CQ"), Citadel Securities and CRBU Holdings LLC, a Delaware limited liability company ("CRBH"). Such Shares may include other instruments exercisable for or convertible into Shares. Citadel Advisors is the portfolio manager for CM, CCIL and CQ. CAH is the sole member of Citadel Advisors. CGP is the general partner of CAH. CALC4 is the non-member manager of Citadel Securities and CRBH. CSGP is the general partner of CALC4. Mr. Griffin is the President and Chief Executive Officer of CGP, and owns a controlling interest in CGP and CSGP.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each of the Reporting Persons is 830 Brickell Plaza, Miami, Florida 33131.</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Each of Citadel Advisors LLC, Citadel Advisors Holdings LP and Citadel GP LLC may be deemed to beneficially own 46,960 Shares. 2. Citadel Securities LLC may be deemed to beneficially own 1,684 Shares. 3. Each of Citadel Securities Group LP and Citadel Securities GP LLC may be deemed to beneficially own 4,959 Shares. 4. Mr. Griffin may be deemed to beneficially own 51,919 Shares.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 The number of Shares that each of Citadel Advisors LLC, Citadel Advisors Holdings LP and Citadel GP LLC may be deemed to beneficially own constitutes 1.7% of the Shares outstanding. 2. The number of Shares that Citadel Securities LLC may be deemed to beneficially own constitutes 0.1% of the Shares outstanding. 3. The number of Shares that each of Citadel Securities Group LP and Citadel Securities GP LLC may be deemed to beneficially own constitutes 0.2% of the Shares outstanding. 4. The number of Shares that Mr. Griffin may be deemed to beneficially own constitutes 1.9% of the Shares outstanding.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Each of Citadel Advisors LLC, Citadel Advisors Holdings LP and Citadel GP LLC: 0 2. Citadel Securities LLC: 0 3. Each of Citadel Securities Group LP and Citadel Securities GP LLC: 0 4. Mr. Griffin: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Each of Citadel Advisors LLC, Citadel Advisors Holdings LP and Citadel GP LLC: 46,960 2. Citadel Securities LLC: 1,684 3. Each of Citadel Securities Group LP and Citadel Securities GP LLC: 4,959 4. Mr. Griffin: 51,919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Each of Citadel Advisors LLC, Citadel Advisors Holdings LP and Citadel GP LLC: 0 2. Citadel Securities LLC: 0 3. Each of Citadel Securities Group LP and Citadel Securities GP LLC: 0 4. Mr. Griffin: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Each of Citadel Advisors LLC, Citadel Advisors Holdings LP and Citadel GP LLC: 46,960 2. Citadel Securities LLC: 1,684 3. Each of Citadel Securities Group LP and Citadel Securities GP LLC: 4,959 4. Mr. Griffin: 51,919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Citadel Advisors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Citadel Advisors Holdings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Citadel GP LLC</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Citadel Securities LLC</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Citadel Securities Group LP</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Citadel Securities GP LLC</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Kenneth Griffin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7"/>
        <w:gridCol w:w="4498"/>
      </w:tblGrid>
      <w:tr>
        <w:trPr/>
        <w:tc>
          <w:tcPr>
            <w:tcW w:w="57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2158</Words>
  <Characters>11090</Characters>
  <CharactersWithSpaces>13123</CharactersWithSpaces>
  <Paragraphs>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