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prb-20230630.htm"/>
      <w:bookmarkStart w:id="1" w:name="kssprb20230630"/>
      <w:bookmarkEnd w:id="0"/>
      <w:bookmarkEnd w:id="1"/>
      <w:r>
        <w:rPr/>
        <w:t> </w:t>
      </w:r>
    </w:p>
    <w:p>
      <w:pPr>
        <w:pStyle w:val="TextBody"/>
        <w:pBdr>
          <w:top w:val="double" w:sz="6" w:space="1" w:color="000000"/>
        </w:pBdr>
        <w:bidi w:val="0"/>
        <w:spacing w:before="0" w:after="0"/>
        <w:jc w:val="center"/>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UNITED STATES</w:t>
      </w:r>
    </w:p>
    <w:p>
      <w:pPr>
        <w:pStyle w:val="TextBody"/>
        <w:bidi w:val="0"/>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quarterly period ended</w:t>
      </w:r>
      <w:r>
        <w:rPr>
          <w:rFonts w:ascii="Times New Roman" w:hAnsi="Times New Roman"/>
          <w:sz w:val="20"/>
        </w:rPr>
        <w:t xml:space="preserve"> </w:t>
      </w:r>
      <w:r>
        <w:rPr>
          <w:rFonts w:ascii="Times New Roman;serif" w:hAnsi="Times New Roman;serif"/>
          <w:b/>
          <w:sz w:val="20"/>
        </w:rPr>
        <w:t>June 30, 2023</w:t>
      </w:r>
    </w:p>
    <w:p>
      <w:pPr>
        <w:pStyle w:val="TextBody"/>
        <w:bidi w:val="0"/>
        <w:spacing w:before="6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4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transition period from ___________ to ____________</w:t>
      </w:r>
    </w:p>
    <w:p>
      <w:pPr>
        <w:pStyle w:val="TextBody"/>
        <w:bidi w:val="0"/>
        <w:spacing w:before="60" w:after="0"/>
        <w:jc w:val="center"/>
        <w:rPr>
          <w:rFonts w:ascii="Times New Roman;serif" w:hAnsi="Times New Roman;serif"/>
          <w:b/>
          <w:sz w:val="20"/>
        </w:rPr>
      </w:pPr>
      <w:r>
        <w:rPr>
          <w:rFonts w:ascii="Times New Roman;serif" w:hAnsi="Times New Roman;serif"/>
          <w:b/>
          <w:sz w:val="20"/>
        </w:rPr>
        <w:t>Commission File Number: 001-39594</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44"/>
        </w:rPr>
      </w:pPr>
      <w:r>
        <w:rPr>
          <w:rFonts w:ascii="Times New Roman;serif" w:hAnsi="Times New Roman;serif"/>
          <w:b/>
          <w:sz w:val="44"/>
        </w:rPr>
        <w:t>Spruce Biosciences,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tbl>
      <w:tblPr>
        <w:tblW w:w="4292" w:type="dxa"/>
        <w:jc w:val="left"/>
        <w:tblInd w:w="0" w:type="dxa"/>
        <w:tblLayout w:type="fixed"/>
        <w:tblCellMar>
          <w:top w:w="28" w:type="dxa"/>
          <w:left w:w="28" w:type="dxa"/>
          <w:bottom w:w="28" w:type="dxa"/>
          <w:right w:w="28" w:type="dxa"/>
        </w:tblCellMar>
      </w:tblPr>
      <w:tblGrid>
        <w:gridCol w:w="3046"/>
        <w:gridCol w:w="1246"/>
      </w:tblGrid>
      <w:tr>
        <w:trPr/>
        <w:tc>
          <w:tcPr>
            <w:tcW w:w="30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81-2154263</w:t>
            </w:r>
          </w:p>
        </w:tc>
      </w:tr>
      <w:tr>
        <w:trPr/>
        <w:tc>
          <w:tcPr>
            <w:tcW w:w="30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30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611 Gateway Boulevard, Suite 740</w:t>
            </w:r>
          </w:p>
          <w:p>
            <w:pPr>
              <w:pStyle w:val="TableContents"/>
              <w:bidi w:val="0"/>
              <w:spacing w:before="0" w:after="15"/>
              <w:ind w:left="0" w:right="0" w:hanging="0"/>
              <w:jc w:val="center"/>
              <w:rPr>
                <w:rFonts w:ascii="Times New Roman;serif" w:hAnsi="Times New Roman;serif"/>
                <w:b/>
                <w:sz w:val="20"/>
              </w:rPr>
            </w:pPr>
            <w:r>
              <w:rPr>
                <w:rFonts w:ascii="Times New Roman;serif" w:hAnsi="Times New Roman;serif"/>
                <w:b/>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30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Registrant’s telephone number, including area code: (415) 655-4168</w:t>
      </w:r>
    </w:p>
    <w:p>
      <w:pPr>
        <w:pStyle w:val="TextBody"/>
        <w:pBdr>
          <w:bottom w:val="single" w:sz="4"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9"/>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945" w:type="dxa"/>
        <w:jc w:val="left"/>
        <w:tblInd w:w="0" w:type="dxa"/>
        <w:tblLayout w:type="fixed"/>
        <w:tblCellMar>
          <w:top w:w="28" w:type="dxa"/>
          <w:left w:w="28" w:type="dxa"/>
          <w:bottom w:w="28" w:type="dxa"/>
          <w:right w:w="28" w:type="dxa"/>
        </w:tblCellMar>
      </w:tblPr>
      <w:tblGrid>
        <w:gridCol w:w="3286"/>
        <w:gridCol w:w="146"/>
        <w:gridCol w:w="886"/>
        <w:gridCol w:w="146"/>
        <w:gridCol w:w="348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Trading</w:t>
            </w:r>
          </w:p>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28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$0.0001 per share</w:t>
            </w:r>
          </w:p>
        </w:tc>
        <w:tc>
          <w:tcPr>
            <w:tcW w:w="14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SPRB</w:t>
            </w:r>
          </w:p>
        </w:tc>
        <w:tc>
          <w:tcPr>
            <w:tcW w:w="146" w:type="dxa"/>
            <w:tcBorders/>
            <w:vAlign w:val="center"/>
          </w:tcPr>
          <w:p>
            <w:pPr>
              <w:pStyle w:val="TableContents"/>
              <w:bidi w:val="0"/>
              <w:spacing w:before="0" w:after="0"/>
              <w:ind w:left="0" w:right="0" w:hanging="0"/>
              <w:jc w:val="center"/>
              <w:rPr/>
            </w:pPr>
            <w:r>
              <w:rPr/>
              <w:t> </w:t>
            </w:r>
          </w:p>
        </w:tc>
        <w:tc>
          <w:tcPr>
            <w:tcW w:w="348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Nasdaq Global Select Market</w:t>
            </w:r>
          </w:p>
        </w:tc>
      </w:tr>
    </w:tbl>
    <w:p>
      <w:pPr>
        <w:pStyle w:val="TextBody"/>
        <w:bidi w:val="0"/>
        <w:spacing w:before="0" w:after="0"/>
        <w:jc w:val="left"/>
        <w:rPr>
          <w:rFonts w:ascii="Times New Roman" w:hAnsi="Times New Roman"/>
          <w:sz w:val="20"/>
        </w:rPr>
      </w:pPr>
      <w:r>
        <w:rPr>
          <w:rFonts w:ascii="Times New Roman;serif" w:hAnsi="Times New Roman;serif"/>
          <w:b w:val="false"/>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9"/>
        </w:rPr>
        <w:t>No ☐</w:t>
      </w:r>
    </w:p>
    <w:p>
      <w:pPr>
        <w:pStyle w:val="TextBody"/>
        <w:bidi w:val="0"/>
        <w:spacing w:before="60" w:after="0"/>
        <w:jc w:val="left"/>
        <w:rPr>
          <w:rFonts w:ascii="Times New Roman" w:hAnsi="Times New Roman"/>
          <w:sz w:val="20"/>
        </w:rPr>
      </w:pPr>
      <w:r>
        <w:rPr>
          <w:rFonts w:ascii="Times New Roman;serif" w:hAnsi="Times New Roman;serif"/>
          <w:b w:val="false"/>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9"/>
        </w:rPr>
        <w:t>No ☐</w:t>
      </w:r>
    </w:p>
    <w:p>
      <w:pPr>
        <w:pStyle w:val="TextBody"/>
        <w:bidi w:val="0"/>
        <w:spacing w:before="60" w:after="0"/>
        <w:jc w:val="left"/>
        <w:rPr>
          <w:rFonts w:ascii="Times New Roman;serif" w:hAnsi="Times New Roman;serif"/>
          <w:b w:val="false"/>
          <w:sz w:val="19"/>
        </w:rPr>
      </w:pPr>
      <w:r>
        <w:rPr>
          <w:rFonts w:ascii="Times New Roman;serif" w:hAnsi="Times New Roman;serif"/>
          <w:b w:val="false"/>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center"/>
              <w:rPr/>
            </w:pPr>
            <w:r>
              <w:rPr/>
              <w:t> </w:t>
            </w:r>
          </w:p>
        </w:tc>
        <w:tc>
          <w:tcPr>
            <w:tcW w:w="2457"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center"/>
              <w:rPr/>
            </w:pPr>
            <w:r>
              <w:rPr/>
              <w:t> </w:t>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9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60" w:after="0"/>
        <w:jc w:val="left"/>
        <w:rPr>
          <w:rFonts w:ascii="Times New Roman" w:hAnsi="Times New Roman"/>
          <w:sz w:val="20"/>
        </w:rPr>
      </w:pPr>
      <w:r>
        <w:rPr>
          <w:rFonts w:ascii="Times New Roman;serif" w:hAnsi="Times New Roman;serif"/>
          <w:b w:val="false"/>
          <w:sz w:val="19"/>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60" w:after="0"/>
        <w:jc w:val="left"/>
        <w:rPr>
          <w:rFonts w:ascii="Times New Roman" w:hAnsi="Times New Roman"/>
          <w:sz w:val="20"/>
        </w:rPr>
      </w:pPr>
      <w:r>
        <w:rPr>
          <w:rFonts w:ascii="Times New Roman;serif" w:hAnsi="Times New Roman;serif"/>
          <w:b w:val="false"/>
          <w:sz w:val="19"/>
        </w:rPr>
        <w:t>As of August 10, 2023, the registrant had 40,710,692</w:t>
      </w:r>
      <w:r>
        <w:rPr>
          <w:rFonts w:ascii="Times New Roman" w:hAnsi="Times New Roman"/>
          <w:sz w:val="20"/>
        </w:rPr>
        <w:t xml:space="preserve"> </w:t>
      </w:r>
      <w:r>
        <w:rPr>
          <w:rFonts w:ascii="Times New Roman;serif" w:hAnsi="Times New Roman;serif"/>
          <w:b w:val="false"/>
          <w:sz w:val="19"/>
        </w:rPr>
        <w:t>shares of common stock, $0.0001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table_contents"/>
      <w:bookmarkEnd w:id="2"/>
      <w:r>
        <w:rPr>
          <w:rFonts w:ascii="Times New Roman;serif" w:hAnsi="Times New Roman;serif"/>
          <w:b/>
          <w:sz w:val="20"/>
        </w:rPr>
        <w:t>Table of Contents</w:t>
      </w:r>
    </w:p>
    <w:p>
      <w:pPr>
        <w:pStyle w:val="TextBody"/>
        <w:bidi w:val="0"/>
        <w:spacing w:before="0" w:after="0"/>
        <w:jc w:val="center"/>
        <w:rPr/>
      </w:pPr>
      <w:r>
        <w:rPr/>
        <w:t> </w:t>
      </w:r>
    </w:p>
    <w:p>
      <w:pPr>
        <w:pStyle w:val="TextBody"/>
        <w:bidi w:val="0"/>
        <w:spacing w:before="0" w:after="0"/>
        <w:jc w:val="left"/>
        <w:rPr/>
      </w:pPr>
      <w:hyperlink w:anchor="summary_of_risks">
        <w:r>
          <w:rPr>
            <w:rStyle w:val="InternetLink"/>
            <w:rFonts w:ascii="Times New Roman;serif" w:hAnsi="Times New Roman;serif"/>
            <w:b w:val="false"/>
            <w:caps/>
            <w:sz w:val="20"/>
            <w:u w:val="single"/>
          </w:rPr>
          <w:t>Summary of Risks Associated With Our Business</w:t>
        </w:r>
      </w:hyperlink>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763"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Unaudited Condensed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balance_sheets">
              <w:r>
                <w:rPr>
                  <w:rStyle w:val="InternetLink"/>
                  <w:rFonts w:ascii="Times New Roman;serif" w:hAnsi="Times New Roman;serif"/>
                  <w:b w:val="false"/>
                  <w:sz w:val="20"/>
                  <w:u w:val="single"/>
                </w:rPr>
                <w:t>Condensed Balance Sheets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perations">
              <w:r>
                <w:rPr>
                  <w:rStyle w:val="InternetLink"/>
                  <w:rFonts w:ascii="Times New Roman;serif" w:hAnsi="Times New Roman;serif"/>
                  <w:b w:val="false"/>
                  <w:sz w:val="20"/>
                  <w:u w:val="single"/>
                </w:rPr>
                <w:t>Condensed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f_stock">
              <w:r>
                <w:rPr>
                  <w:rStyle w:val="InternetLink"/>
                  <w:rFonts w:ascii="Times New Roman;serif" w:hAnsi="Times New Roman;serif"/>
                  <w:b w:val="false"/>
                  <w:sz w:val="20"/>
                  <w:u w:val="single"/>
                </w:rPr>
                <w:t>Condensed Statements of Stockholders’ Equity</w:t>
              </w:r>
            </w:hyperlink>
            <w:r>
              <w:rPr>
                <w:rFonts w:ascii="Times New Roman" w:hAnsi="Times New Roman"/>
                <w:sz w:val="20"/>
              </w:rPr>
              <w:t xml:space="preserve"> </w:t>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ash_flows">
              <w:r>
                <w:rPr>
                  <w:rStyle w:val="InternetLink"/>
                  <w:rFonts w:ascii="Times New Roman;serif" w:hAnsi="Times New Roman;serif"/>
                  <w:b w:val="false"/>
                  <w:sz w:val="20"/>
                  <w:u w:val="single"/>
                </w:rPr>
                <w:t>Condensed Statements of Cash Flows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densed_financial_statements">
              <w:r>
                <w:rPr>
                  <w:rStyle w:val="InternetLink"/>
                  <w:rFonts w:ascii="Times New Roman;serif" w:hAnsi="Times New Roman;serif"/>
                  <w:b w:val="false"/>
                  <w:sz w:val="20"/>
                  <w:u w:val="single"/>
                </w:rPr>
                <w:t>Notes to the Unaudited Condensed Financial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bookmarkStart w:id="3" w:name="summary_of_risks"/>
      <w:bookmarkEnd w:id="3"/>
      <w:r>
        <w:rPr>
          <w:rFonts w:ascii="Times New Roman;serif" w:hAnsi="Times New Roman;serif"/>
          <w:b/>
          <w:sz w:val="20"/>
        </w:rPr>
        <w:t>SUMMARY OF RISKS ASSOCIATED WITH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risks and uncertainties associated with our business, many of which are beyond our control. Some of the material risks associated with our business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limited operating history, have incurred significant net losses since our inception, and anticipate that we will continue to incur significant net losses for the foreseeable future. We expect these losses to increase as we continue our clinical development of, and seek regulatory approvals for,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need substantial additional financing to develop tildacerfont and any future product candidates and implement our operating plans. If we fail to obtain additional financing, we may be forced to delay, reduce or eliminate our product development programs or commercialization efforts.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encounter difficulties enrolling patients in our clinical trials, our clinical development activities could be delayed or otherwise adversely affected.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clinical trials may fail to adequately demonstrate the safety and efficacy of tildacerfont, which could prevent or delay regulatory approval and commercialization.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U.S. Food and Drug Administration (“FDA”) and comparable foreign regulatory authorities may require us to initiate one or more additional clinical trials for tildacerfont in adult patients with classic congenital adrenal hyperplasia (“CAH”), including a Phase 3 clinical trial or trials. The estimated timing or scope of any such future clinical trials is not currently ascertainable. Even if regulatory approvals are obtained, we may never be able to successfully commercialize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U.S. and global economic and geopolitical conditions could adversely affect our business, financial condition or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and any future product candidates, and other proprietary technologies if approved, may be adversely affected.</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4" w:name="part_ifinancial_information"/>
      <w:bookmarkEnd w:id="4"/>
      <w:r>
        <w:rPr>
          <w:rFonts w:ascii="Times New Roman;serif" w:hAnsi="Times New Roman;serif"/>
          <w:b/>
          <w:sz w:val="20"/>
        </w:rPr>
        <w:t>PART I — FINANCIAL INFORMATION</w:t>
      </w:r>
    </w:p>
    <w:p>
      <w:pPr>
        <w:pStyle w:val="TextBody"/>
        <w:bidi w:val="0"/>
        <w:spacing w:before="0" w:after="0"/>
        <w:jc w:val="left"/>
        <w:rPr>
          <w:rFonts w:ascii="Times New Roman;serif" w:hAnsi="Times New Roman;serif"/>
          <w:b/>
          <w:sz w:val="20"/>
        </w:rPr>
      </w:pPr>
      <w:bookmarkStart w:id="5" w:name="item_1_financial_statements"/>
      <w:bookmarkEnd w:id="5"/>
      <w:r>
        <w:rPr>
          <w:rFonts w:ascii="Times New Roman;serif" w:hAnsi="Times New Roman;serif"/>
          <w:b/>
          <w:sz w:val="20"/>
        </w:rPr>
        <w:t>Item 1. Financial Statements</w:t>
      </w:r>
    </w:p>
    <w:p>
      <w:pPr>
        <w:pStyle w:val="TextBody"/>
        <w:bidi w:val="0"/>
        <w:spacing w:before="0" w:after="0"/>
        <w:jc w:val="center"/>
        <w:rPr>
          <w:rFonts w:ascii="Times New Roman;serif" w:hAnsi="Times New Roman;serif"/>
          <w:b/>
          <w:sz w:val="20"/>
        </w:rPr>
      </w:pPr>
      <w:r>
        <w:rPr>
          <w:rFonts w:ascii="Times New Roman;serif" w:hAnsi="Times New Roman;serif"/>
          <w:b/>
          <w:sz w:val="20"/>
        </w:rPr>
        <w:t>SPRUCE BIOSCIENCES, INC.</w:t>
      </w:r>
    </w:p>
    <w:p>
      <w:pPr>
        <w:pStyle w:val="TextBody"/>
        <w:bidi w:val="0"/>
        <w:spacing w:before="0" w:after="0"/>
        <w:jc w:val="center"/>
        <w:rPr>
          <w:rFonts w:ascii="Times New Roman;serif" w:hAnsi="Times New Roman;serif"/>
          <w:b/>
          <w:sz w:val="20"/>
        </w:rPr>
      </w:pPr>
      <w:bookmarkStart w:id="6" w:name="condensed_balance_sheets"/>
      <w:bookmarkEnd w:id="6"/>
      <w:r>
        <w:rPr>
          <w:rFonts w:ascii="Times New Roman;serif" w:hAnsi="Times New Roman;serif"/>
          <w:b/>
          <w:sz w:val="20"/>
        </w:rPr>
        <w:t>CONDENSED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p>
      <w:pPr>
        <w:pStyle w:val="TextBody"/>
        <w:bidi w:val="0"/>
        <w:spacing w:before="0" w:after="0"/>
        <w:jc w:val="center"/>
        <w:rPr/>
      </w:pPr>
      <w:r>
        <w:rPr/>
        <w:t> </w:t>
      </w:r>
    </w:p>
    <w:tbl>
      <w:tblPr>
        <w:tblW w:w="9997" w:type="dxa"/>
        <w:jc w:val="left"/>
        <w:tblInd w:w="0" w:type="dxa"/>
        <w:tblLayout w:type="fixed"/>
        <w:tblCellMar>
          <w:top w:w="28" w:type="dxa"/>
          <w:left w:w="28" w:type="dxa"/>
          <w:bottom w:w="28" w:type="dxa"/>
          <w:right w:w="28" w:type="dxa"/>
        </w:tblCellMar>
      </w:tblPr>
      <w:tblGrid>
        <w:gridCol w:w="6781"/>
        <w:gridCol w:w="146"/>
        <w:gridCol w:w="211"/>
        <w:gridCol w:w="841"/>
        <w:gridCol w:w="166"/>
        <w:gridCol w:w="146"/>
        <w:gridCol w:w="219"/>
        <w:gridCol w:w="876"/>
        <w:gridCol w:w="611"/>
      </w:tblGrid>
      <w:tr>
        <w:trPr/>
        <w:tc>
          <w:tcPr>
            <w:tcW w:w="6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vAlign w:val="center"/>
          </w:tcPr>
          <w:p>
            <w:pPr>
              <w:pStyle w:val="TableContents"/>
              <w:bidi w:val="0"/>
              <w:spacing w:before="0" w:after="0"/>
              <w:ind w:left="0" w:right="0" w:hanging="0"/>
              <w:jc w:val="center"/>
              <w:rPr/>
            </w:pPr>
            <w:r>
              <w:rPr/>
              <w:t> </w:t>
            </w:r>
          </w:p>
        </w:tc>
      </w:tr>
      <w:tr>
        <w:trPr/>
        <w:tc>
          <w:tcPr>
            <w:tcW w:w="67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100"/>
              <w:jc w:val="righ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24,487</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54,590</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3,320</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83,608</w:t>
            </w:r>
          </w:p>
        </w:tc>
        <w:tc>
          <w:tcPr>
            <w:tcW w:w="611" w:type="dxa"/>
            <w:tcBorders/>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1,400</w:t>
            </w:r>
          </w:p>
        </w:tc>
        <w:tc>
          <w:tcPr>
            <w:tcW w:w="611" w:type="dxa"/>
            <w:tcBorders/>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85,648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100"/>
              <w:jc w:val="righ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1,426</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9,399</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12,447</w:t>
            </w:r>
          </w:p>
        </w:tc>
        <w:tc>
          <w:tcPr>
            <w:tcW w:w="611" w:type="dxa"/>
            <w:tcBorders/>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w:t>
            </w:r>
          </w:p>
        </w:tc>
        <w:tc>
          <w:tcPr>
            <w:tcW w:w="611" w:type="dxa"/>
            <w:tcBorders/>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3,293</w:t>
            </w:r>
          </w:p>
        </w:tc>
        <w:tc>
          <w:tcPr>
            <w:tcW w:w="611" w:type="dxa"/>
            <w:tcBorders/>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100"/>
              <w:jc w:val="right"/>
              <w:rPr/>
            </w:pPr>
            <w:r>
              <w:rPr/>
              <w:t> </w:t>
            </w:r>
          </w:p>
        </w:tc>
      </w:tr>
      <w:tr>
        <w:trPr/>
        <w:tc>
          <w:tcPr>
            <w:tcW w:w="678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678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 xml:space="preserve">shares authorized and </w:t>
              <w:br/>
              <w:t>   no</w:t>
            </w:r>
            <w:r>
              <w:rPr>
                <w:rFonts w:ascii="Times New Roman" w:hAnsi="Times New Roman"/>
                <w:sz w:val="20"/>
              </w:rPr>
              <w:t> </w:t>
            </w:r>
            <w:r>
              <w:rPr>
                <w:rFonts w:ascii="Times New Roman;serif" w:hAnsi="Times New Roman;serif"/>
                <w:b w:val="false"/>
                <w:sz w:val="20"/>
              </w:rPr>
              <w:t>shares issued or outstanding as of June 30,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200,000,000</w:t>
            </w:r>
            <w:r>
              <w:rPr>
                <w:rFonts w:ascii="Times New Roman" w:hAnsi="Times New Roman"/>
                <w:sz w:val="20"/>
              </w:rPr>
              <w:t> </w:t>
            </w:r>
            <w:r>
              <w:rPr>
                <w:rFonts w:ascii="Times New Roman;serif" w:hAnsi="Times New Roman;serif"/>
                <w:b w:val="false"/>
                <w:sz w:val="20"/>
              </w:rPr>
              <w:t xml:space="preserve">shares authorized as of </w:t>
              <w:br/>
              <w:t>   June 30, 2023 and December 31, 2022; 40,710,692</w:t>
            </w:r>
            <w:r>
              <w:rPr>
                <w:rFonts w:ascii="Times New Roman" w:hAnsi="Times New Roman"/>
                <w:sz w:val="20"/>
              </w:rPr>
              <w:t> </w:t>
            </w:r>
            <w:r>
              <w:rPr>
                <w:rFonts w:ascii="Times New Roman;serif" w:hAnsi="Times New Roman;serif"/>
                <w:b w:val="false"/>
                <w:sz w:val="20"/>
              </w:rPr>
              <w:t>and 23,601,004</w:t>
            </w:r>
            <w:r>
              <w:rPr>
                <w:rFonts w:ascii="Times New Roman" w:hAnsi="Times New Roman"/>
                <w:sz w:val="20"/>
              </w:rPr>
              <w:t> </w:t>
            </w:r>
            <w:r>
              <w:rPr>
                <w:rFonts w:ascii="Times New Roman;serif" w:hAnsi="Times New Roman;serif"/>
                <w:b w:val="false"/>
                <w:sz w:val="20"/>
              </w:rPr>
              <w:t xml:space="preserve">shares </w:t>
              <w:br/>
              <w:t>   issued and outstanding as of June 30, 2023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271,540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218,354</w:t>
            </w:r>
          </w:p>
        </w:tc>
        <w:tc>
          <w:tcPr>
            <w:tcW w:w="611" w:type="dxa"/>
            <w:tcBorders/>
            <w:vAlign w:val="center"/>
          </w:tcPr>
          <w:p>
            <w:pPr>
              <w:pStyle w:val="TableContents"/>
              <w:bidi w:val="0"/>
              <w:spacing w:before="0" w:after="0"/>
              <w:ind w:left="0" w:right="0" w:firstLine="200"/>
              <w:jc w:val="left"/>
              <w:rPr/>
            </w:pPr>
            <w:r>
              <w:rPr/>
              <w:t> </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(149,313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68,486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125,962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85,648</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val="false"/>
          <w:i/>
          <w:sz w:val="20"/>
        </w:rPr>
        <w:t>See accompanying notes to the condensed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SPRUCE BIOSCIENCES, INC.</w:t>
      </w:r>
    </w:p>
    <w:p>
      <w:pPr>
        <w:pStyle w:val="TextBody"/>
        <w:bidi w:val="0"/>
        <w:spacing w:before="0" w:after="0"/>
        <w:jc w:val="center"/>
        <w:rPr>
          <w:rFonts w:ascii="Times New Roman;serif" w:hAnsi="Times New Roman;serif"/>
          <w:b/>
          <w:sz w:val="20"/>
        </w:rPr>
      </w:pPr>
      <w:bookmarkStart w:id="7" w:name="condensed_statements_operations"/>
      <w:bookmarkEnd w:id="7"/>
      <w:r>
        <w:rPr>
          <w:rFonts w:ascii="Times New Roman;serif" w:hAnsi="Times New Roman;serif"/>
          <w:b/>
          <w:sz w:val="20"/>
        </w:rPr>
        <w:t>CONDENSED STATEMENTS OF OPERATIONS AND COMPREHENSIVE LOSS</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and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591" w:type="dxa"/>
            <w:tcBorders/>
            <w:vAlign w:val="center"/>
          </w:tcPr>
          <w:p>
            <w:pPr>
              <w:pStyle w:val="TableContents"/>
              <w:bidi w:val="0"/>
              <w:spacing w:before="0" w:after="0"/>
              <w:ind w:left="0" w:right="0" w:firstLine="200"/>
              <w:jc w:val="lef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44"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23,616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(23,616</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 (loss), net of tax:</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35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 for 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(24,296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Weighted-average shares of common stock outstanding, </w:t>
              <w:br/>
              <w:t>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40,547,925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23,493,613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36,247,931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23,492,960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SPRUCE BIOSCIENCES, INC.</w:t>
      </w:r>
    </w:p>
    <w:p>
      <w:pPr>
        <w:pStyle w:val="TextBody"/>
        <w:bidi w:val="0"/>
        <w:spacing w:before="0" w:after="0"/>
        <w:jc w:val="center"/>
        <w:rPr>
          <w:rFonts w:ascii="Times New Roman;serif" w:hAnsi="Times New Roman;serif"/>
          <w:b/>
          <w:sz w:val="20"/>
        </w:rPr>
      </w:pPr>
      <w:bookmarkStart w:id="8" w:name="condensed_statements_of_stock"/>
      <w:bookmarkEnd w:id="8"/>
      <w:r>
        <w:rPr>
          <w:rFonts w:ascii="Times New Roman;serif" w:hAnsi="Times New Roman;serif"/>
          <w:b/>
          <w:sz w:val="20"/>
        </w:rPr>
        <w:t>CONDENSED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amounts)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920"/>
        <w:gridCol w:w="146"/>
        <w:gridCol w:w="146"/>
        <w:gridCol w:w="1036"/>
        <w:gridCol w:w="146"/>
        <w:gridCol w:w="146"/>
        <w:gridCol w:w="261"/>
        <w:gridCol w:w="430"/>
        <w:gridCol w:w="146"/>
        <w:gridCol w:w="146"/>
        <w:gridCol w:w="211"/>
        <w:gridCol w:w="781"/>
        <w:gridCol w:w="166"/>
        <w:gridCol w:w="146"/>
        <w:gridCol w:w="466"/>
        <w:gridCol w:w="782"/>
        <w:gridCol w:w="166"/>
        <w:gridCol w:w="146"/>
        <w:gridCol w:w="211"/>
        <w:gridCol w:w="841"/>
        <w:gridCol w:w="166"/>
        <w:gridCol w:w="146"/>
        <w:gridCol w:w="221"/>
        <w:gridCol w:w="820"/>
        <w:gridCol w:w="413"/>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39,746,116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270,285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107,997</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vesting of restricted stock units, net of tax withholdings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on available for 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(12,824</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40,710,692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271,540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96,561</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920"/>
        <w:gridCol w:w="146"/>
        <w:gridCol w:w="146"/>
        <w:gridCol w:w="1036"/>
        <w:gridCol w:w="146"/>
        <w:gridCol w:w="146"/>
        <w:gridCol w:w="261"/>
        <w:gridCol w:w="430"/>
        <w:gridCol w:w="146"/>
        <w:gridCol w:w="146"/>
        <w:gridCol w:w="211"/>
        <w:gridCol w:w="781"/>
        <w:gridCol w:w="166"/>
        <w:gridCol w:w="146"/>
        <w:gridCol w:w="466"/>
        <w:gridCol w:w="782"/>
        <w:gridCol w:w="166"/>
        <w:gridCol w:w="146"/>
        <w:gridCol w:w="211"/>
        <w:gridCol w:w="841"/>
        <w:gridCol w:w="166"/>
        <w:gridCol w:w="146"/>
        <w:gridCol w:w="231"/>
        <w:gridCol w:w="810"/>
        <w:gridCol w:w="413"/>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23,601,004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218,354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68,486</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pre-funded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vesting of restricted stock units, net of tax withholdings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90,704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and warrants, net of offering costs of $2,721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16,116,000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50,895</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on available for 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40,710,692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271,540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(174,928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96,561</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financial statements.</w:t>
      </w:r>
    </w:p>
    <w:p>
      <w:pPr>
        <w:pStyle w:val="TextBody"/>
        <w:bidi w:val="0"/>
        <w:spacing w:before="0" w:after="0"/>
        <w:jc w:val="center"/>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SPRUCE BIOSCIENCES, INC.</w:t>
      </w:r>
    </w:p>
    <w:p>
      <w:pPr>
        <w:pStyle w:val="TextBody"/>
        <w:bidi w:val="0"/>
        <w:spacing w:before="0" w:after="0"/>
        <w:jc w:val="center"/>
        <w:rPr>
          <w:rFonts w:ascii="Times New Roman;serif" w:hAnsi="Times New Roman;serif"/>
          <w:b/>
          <w:sz w:val="20"/>
        </w:rPr>
      </w:pPr>
      <w:r>
        <w:rPr>
          <w:rFonts w:ascii="Times New Roman;serif" w:hAnsi="Times New Roman;serif"/>
          <w:b/>
          <w:sz w:val="20"/>
        </w:rPr>
        <w:t>CONDENSED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 except share amounts)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920"/>
        <w:gridCol w:w="146"/>
        <w:gridCol w:w="146"/>
        <w:gridCol w:w="1036"/>
        <w:gridCol w:w="146"/>
        <w:gridCol w:w="146"/>
        <w:gridCol w:w="261"/>
        <w:gridCol w:w="430"/>
        <w:gridCol w:w="146"/>
        <w:gridCol w:w="146"/>
        <w:gridCol w:w="211"/>
        <w:gridCol w:w="781"/>
        <w:gridCol w:w="166"/>
        <w:gridCol w:w="146"/>
        <w:gridCol w:w="466"/>
        <w:gridCol w:w="782"/>
        <w:gridCol w:w="166"/>
        <w:gridCol w:w="146"/>
        <w:gridCol w:w="211"/>
        <w:gridCol w:w="841"/>
        <w:gridCol w:w="166"/>
        <w:gridCol w:w="146"/>
        <w:gridCol w:w="221"/>
        <w:gridCol w:w="820"/>
        <w:gridCol w:w="413"/>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23,492,873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(114,895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100,243</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vesting of restricted stock units, net of tax withholdings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available for 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23,560,250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89,121</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20"/>
        <w:gridCol w:w="146"/>
        <w:gridCol w:w="146"/>
        <w:gridCol w:w="1036"/>
        <w:gridCol w:w="146"/>
        <w:gridCol w:w="146"/>
        <w:gridCol w:w="261"/>
        <w:gridCol w:w="430"/>
        <w:gridCol w:w="146"/>
        <w:gridCol w:w="146"/>
        <w:gridCol w:w="211"/>
        <w:gridCol w:w="781"/>
        <w:gridCol w:w="166"/>
        <w:gridCol w:w="146"/>
        <w:gridCol w:w="466"/>
        <w:gridCol w:w="782"/>
        <w:gridCol w:w="166"/>
        <w:gridCol w:w="146"/>
        <w:gridCol w:w="211"/>
        <w:gridCol w:w="841"/>
        <w:gridCol w:w="166"/>
        <w:gridCol w:w="146"/>
        <w:gridCol w:w="221"/>
        <w:gridCol w:w="820"/>
        <w:gridCol w:w="413"/>
      </w:tblGrid>
      <w:tr>
        <w:trPr/>
        <w:tc>
          <w:tcPr>
            <w:tcW w:w="1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6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413" w:type="dxa"/>
            <w:tcBorders/>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January 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23,491,881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111,371</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related to vesting of restricted stock units, net of tax withholdings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2,046</w:t>
            </w:r>
          </w:p>
        </w:tc>
        <w:tc>
          <w:tcPr>
            <w:tcW w:w="413" w:type="dxa"/>
            <w:tcBorders/>
            <w:vAlign w:val="center"/>
          </w:tcPr>
          <w:p>
            <w:pPr>
              <w:pStyle w:val="TableContents"/>
              <w:bidi w:val="0"/>
              <w:spacing w:before="0" w:after="0"/>
              <w:ind w:left="0" w:right="0" w:firstLine="200"/>
              <w:jc w:val="left"/>
              <w:rPr/>
            </w:pPr>
            <w:r>
              <w:rPr/>
              <w:t> </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available for 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pPr>
            <w:r>
              <w:rPr/>
              <w:t> </w:t>
            </w:r>
          </w:p>
        </w:tc>
        <w:tc>
          <w:tcPr>
            <w:tcW w:w="7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w:t>
            </w:r>
          </w:p>
        </w:tc>
        <w:tc>
          <w:tcPr>
            <w:tcW w:w="413"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(23,635</w:t>
            </w:r>
          </w:p>
        </w:tc>
        <w:tc>
          <w:tcPr>
            <w:tcW w:w="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2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23,560,250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(126,768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89,121</w:t>
            </w:r>
          </w:p>
        </w:tc>
        <w:tc>
          <w:tcPr>
            <w:tcW w:w="4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SPRUCE BIOSCIENCES, INC.</w:t>
      </w:r>
    </w:p>
    <w:p>
      <w:pPr>
        <w:pStyle w:val="TextBody"/>
        <w:bidi w:val="0"/>
        <w:spacing w:before="0" w:after="0"/>
        <w:jc w:val="center"/>
        <w:rPr>
          <w:rFonts w:ascii="Times New Roman;serif" w:hAnsi="Times New Roman;serif"/>
          <w:b/>
          <w:sz w:val="20"/>
        </w:rPr>
      </w:pPr>
      <w:bookmarkStart w:id="9" w:name="condensed_statements_cash_flows"/>
      <w:bookmarkEnd w:id="9"/>
      <w:r>
        <w:rPr>
          <w:rFonts w:ascii="Times New Roman;serif" w:hAnsi="Times New Roman;serif"/>
          <w:b/>
          <w:sz w:val="20"/>
        </w:rPr>
        <w:t>CONDENSED STATEMENTS OF CASH FLOWS</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(in thousands)</w:t>
      </w:r>
    </w:p>
    <w:p>
      <w:pPr>
        <w:pStyle w:val="TextBody"/>
        <w:bidi w:val="0"/>
        <w:spacing w:before="0" w:after="0"/>
        <w:jc w:val="center"/>
        <w:rPr/>
      </w:pPr>
      <w:r>
        <w:rPr/>
        <w:t> </w:t>
      </w:r>
    </w:p>
    <w:tbl>
      <w:tblPr>
        <w:tblW w:w="9499" w:type="dxa"/>
        <w:jc w:val="left"/>
        <w:tblInd w:w="0" w:type="dxa"/>
        <w:tblLayout w:type="fixed"/>
        <w:tblCellMar>
          <w:top w:w="28" w:type="dxa"/>
          <w:left w:w="28" w:type="dxa"/>
          <w:bottom w:w="28" w:type="dxa"/>
          <w:right w:w="28" w:type="dxa"/>
        </w:tblCellMar>
      </w:tblPr>
      <w:tblGrid>
        <w:gridCol w:w="6736"/>
        <w:gridCol w:w="146"/>
        <w:gridCol w:w="211"/>
        <w:gridCol w:w="736"/>
        <w:gridCol w:w="166"/>
        <w:gridCol w:w="146"/>
        <w:gridCol w:w="211"/>
        <w:gridCol w:w="736"/>
        <w:gridCol w:w="4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3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(25,615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(23,635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2,046</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Net amortization (accretion) of premium/discount on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108</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Non-cash lease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166</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Loss on disposal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709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(285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(1,378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1,688</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Deferred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10,871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(21,367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Purchases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(11,881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(12,978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(6</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maturities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44,365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39,000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32,484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26,016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issuance of common stock and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53,616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issuance of common stock related to employee stock purchase plan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38</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exercise of common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Proceeds from exercise of pre-funded warrants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Payment of offering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(2,721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(227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Repayment of term loan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(811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Tax withholding payments on restricted stock units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50,097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(187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72,784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4,462</w:t>
            </w:r>
          </w:p>
        </w:tc>
        <w:tc>
          <w:tcPr>
            <w:tcW w:w="411" w:type="dxa"/>
            <w:tcBorders/>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cash equivalents, and restricted cash at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24,732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42,964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Cash, cash equivalents, and restricted cash at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97,516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47,426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sz w:val="19"/>
              </w:rPr>
            </w:pPr>
            <w:r>
              <w:rPr>
                <w:rFonts w:ascii="Times New Roman;serif" w:hAnsi="Times New Roman;serif"/>
                <w:b/>
                <w:sz w:val="19"/>
              </w:rPr>
              <w:t>Reconciliation of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97,482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47,210</w:t>
            </w:r>
          </w:p>
        </w:tc>
        <w:tc>
          <w:tcPr>
            <w:tcW w:w="411" w:type="dxa"/>
            <w:tcBorders/>
            <w:vAlign w:val="center"/>
          </w:tcPr>
          <w:p>
            <w:pPr>
              <w:pStyle w:val="TableContents"/>
              <w:bidi w:val="0"/>
              <w:spacing w:before="0" w:after="0"/>
              <w:ind w:left="0" w:right="0" w:firstLine="200"/>
              <w:jc w:val="left"/>
              <w:rPr/>
            </w:pPr>
            <w:r>
              <w:rPr/>
              <w:t> </w:t>
            </w:r>
          </w:p>
        </w:tc>
      </w:tr>
      <w:tr>
        <w:trPr/>
        <w:tc>
          <w:tcPr>
            <w:tcW w:w="6736" w:type="dxa"/>
            <w:tcBorders/>
            <w:vAlign w:val="center"/>
          </w:tcPr>
          <w:p>
            <w:pPr>
              <w:pStyle w:val="TableContents"/>
              <w:bidi w:val="0"/>
              <w:spacing w:before="0" w:after="0"/>
              <w:ind w:left="200" w:right="0" w:hanging="0"/>
              <w:jc w:val="left"/>
              <w:rPr>
                <w:rFonts w:ascii="Times New Roman;serif" w:hAnsi="Times New Roman;serif"/>
                <w:b w:val="false"/>
                <w:sz w:val="19"/>
              </w:rPr>
            </w:pPr>
            <w:r>
              <w:rPr>
                <w:rFonts w:ascii="Times New Roman;serif" w:hAnsi="Times New Roman;serif"/>
                <w:b w:val="false"/>
                <w:sz w:val="19"/>
              </w:rPr>
              <w:t>Restricted cash, long-term (included in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216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736"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97,516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9"/>
              </w:rPr>
            </w:pPr>
            <w:r>
              <w:rPr>
                <w:rFonts w:ascii="Times New Roman;serif" w:hAnsi="Times New Roman;serif"/>
                <w:b w:val="false"/>
                <w:sz w:val="19"/>
              </w:rPr>
              <w:t>47,426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See accompanying notes to the condensed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SPRUCE BIOSCIENCES, INC.</w:t>
      </w:r>
    </w:p>
    <w:p>
      <w:pPr>
        <w:pStyle w:val="TextBody"/>
        <w:bidi w:val="0"/>
        <w:spacing w:before="0" w:after="0"/>
        <w:jc w:val="center"/>
        <w:rPr>
          <w:rFonts w:ascii="Times New Roman" w:hAnsi="Times New Roman"/>
          <w:sz w:val="20"/>
        </w:rPr>
      </w:pPr>
      <w:bookmarkStart w:id="10" w:name="notes_to_condensed_financial_statements"/>
      <w:bookmarkEnd w:id="10"/>
      <w:r>
        <w:rPr>
          <w:rFonts w:ascii="Times New Roman;serif" w:hAnsi="Times New Roman;serif"/>
          <w:b/>
          <w:sz w:val="20"/>
        </w:rPr>
        <w:t>NOTES TO THE CONDENSED</w:t>
      </w:r>
      <w:r>
        <w:rPr>
          <w:rFonts w:ascii="Times New Roman" w:hAnsi="Times New Roman"/>
          <w:sz w:val="20"/>
        </w:rPr>
        <w:t xml:space="preserve"> </w:t>
      </w:r>
      <w:r>
        <w:rPr>
          <w:rFonts w:ascii="Times New Roman;serif" w:hAnsi="Times New Roman;serif"/>
          <w:b/>
          <w:sz w:val="20"/>
        </w:rPr>
        <w:t>FINANCIAL STATEMENTS</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 Organization and Principal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Description of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Spruce Biosciences, Inc. (the “Company”) is a late-stage biopharmaceutical company focused on developing and commercializing novel therapies for rare endocrine disorders with significant unmet medical need. The Company is initially developing its wholly-owned product candidate, tildacerfont, as the potential first non-steroidal therapy for patients suffering from classic congenital adrenal hyperplasia (“CAH”). The Company is also developing tildacerfont for females suffering from polycystic ovary syndrome (“PCOS”). The Company is located in South San Francisco, California and was incorporated in the state of Delaware in April 2016.</w:t>
      </w:r>
    </w:p>
    <w:p>
      <w:pPr>
        <w:pStyle w:val="TextBody"/>
        <w:bidi w:val="0"/>
        <w:spacing w:before="120" w:after="0"/>
        <w:jc w:val="left"/>
        <w:rPr>
          <w:rFonts w:ascii="Times New Roman;serif" w:hAnsi="Times New Roman;serif"/>
          <w:b/>
          <w:sz w:val="20"/>
        </w:rPr>
      </w:pPr>
      <w:r>
        <w:rPr>
          <w:rFonts w:ascii="Times New Roman;serif" w:hAnsi="Times New Roman;serif"/>
          <w:b/>
          <w:sz w:val="20"/>
        </w:rPr>
        <w:t>Private Placement of Common Stock and Warrants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2023, the Company entered into a Securities Purchase Agreement (the “Purchase Agreement”) with certain institutional investors (the “Purchasers”), pursuant to which the Company agreed to sell and issue (i) 16,116,000</w:t>
      </w:r>
      <w:r>
        <w:rPr>
          <w:rFonts w:ascii="Times New Roman" w:hAnsi="Times New Roman"/>
          <w:sz w:val="20"/>
        </w:rPr>
        <w:t xml:space="preserve"> </w:t>
      </w:r>
      <w:r>
        <w:rPr>
          <w:rFonts w:ascii="Times New Roman;serif" w:hAnsi="Times New Roman;serif"/>
          <w:b w:val="false"/>
          <w:sz w:val="20"/>
        </w:rPr>
        <w:t>shares of the Company’s common stock (“Common Stock”), (ii) pre-funded warrants to purchase 800,000</w:t>
      </w:r>
      <w:r>
        <w:rPr>
          <w:rFonts w:ascii="Times New Roman" w:hAnsi="Times New Roman"/>
          <w:sz w:val="20"/>
        </w:rPr>
        <w:t xml:space="preserve"> </w:t>
      </w:r>
      <w:r>
        <w:rPr>
          <w:rFonts w:ascii="Times New Roman;serif" w:hAnsi="Times New Roman;serif"/>
          <w:b w:val="false"/>
          <w:sz w:val="20"/>
        </w:rPr>
        <w:t>shares of Common Stock (the “Pre-Funded Warrants”) to a Purchaser and (iii) 12,687,000</w:t>
      </w:r>
      <w:r>
        <w:rPr>
          <w:rFonts w:ascii="Times New Roman" w:hAnsi="Times New Roman"/>
          <w:sz w:val="20"/>
        </w:rPr>
        <w:t xml:space="preserve"> </w:t>
      </w:r>
      <w:r>
        <w:rPr>
          <w:rFonts w:ascii="Times New Roman;serif" w:hAnsi="Times New Roman;serif"/>
          <w:b w:val="false"/>
          <w:sz w:val="20"/>
        </w:rPr>
        <w:t>warrants to purchase Common Stock (the “Standard Warrants” and together with the Pre-Funded Warrants, the “Warrants”) in a private placement transaction (the “Private Placement”). The total gross proceeds to the Company were approximately $53.6</w:t>
      </w:r>
      <w:r>
        <w:rPr>
          <w:rFonts w:ascii="Times New Roman" w:hAnsi="Times New Roman"/>
          <w:sz w:val="20"/>
        </w:rPr>
        <w:t xml:space="preserve"> </w:t>
      </w:r>
      <w:r>
        <w:rPr>
          <w:rFonts w:ascii="Times New Roman;serif" w:hAnsi="Times New Roman;serif"/>
          <w:b w:val="false"/>
          <w:sz w:val="20"/>
        </w:rPr>
        <w:t>million, which does not include any proceeds that may be received upon exercise of the Standard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Open Market Sales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U.S. Securities and Exchange Commission (“SEC”) declared effective a registration statement on Form S-3 (the “Shelf Registration”), covering the sale of up to $200.0</w:t>
      </w:r>
      <w:r>
        <w:rPr>
          <w:rFonts w:ascii="Times New Roman" w:hAnsi="Times New Roman"/>
          <w:sz w:val="20"/>
        </w:rPr>
        <w:t xml:space="preserve"> </w:t>
      </w:r>
      <w:r>
        <w:rPr>
          <w:rFonts w:ascii="Times New Roman;serif" w:hAnsi="Times New Roman;serif"/>
          <w:b w:val="false"/>
          <w:sz w:val="20"/>
        </w:rPr>
        <w:t>million of our securities. Also, in February 2022, we entered into an Open Market Sales Agreement</w:t>
      </w:r>
      <w:r>
        <w:rPr>
          <w:rFonts w:ascii="Times New Roman;serif" w:hAnsi="Times New Roman;serif"/>
          <w:b w:val="false"/>
          <w:sz w:val="13"/>
        </w:rPr>
        <w:t>SM</w:t>
      </w:r>
      <w:r>
        <w:rPr>
          <w:rFonts w:ascii="Times New Roman" w:hAnsi="Times New Roman"/>
          <w:sz w:val="20"/>
        </w:rPr>
        <w:t xml:space="preserve"> </w:t>
      </w:r>
      <w:r>
        <w:rPr>
          <w:rFonts w:ascii="Times New Roman;serif" w:hAnsi="Times New Roman;serif"/>
          <w:b w:val="false"/>
          <w:sz w:val="20"/>
        </w:rPr>
        <w:t>(the “Sales Agreement”) with Jefferies LLC (“Jefferies”) pursuant to which we may elect to issue and sell, from time to time, shares of Common Stock having an aggregate offering price of up to $21.0</w:t>
      </w:r>
      <w:r>
        <w:rPr>
          <w:rFonts w:ascii="Times New Roman" w:hAnsi="Times New Roman"/>
          <w:sz w:val="20"/>
        </w:rPr>
        <w:t xml:space="preserve"> </w:t>
      </w:r>
      <w:r>
        <w:rPr>
          <w:rFonts w:ascii="Times New Roman;serif" w:hAnsi="Times New Roman;serif"/>
          <w:b w:val="false"/>
          <w:sz w:val="20"/>
        </w:rPr>
        <w:t>million under the Shelf Registration through Jefferies acting as the sales agent and/or principal. As of June 30, 2023, we have not issued any shares of Common Stock under the Sales Agreement.</w:t>
      </w:r>
    </w:p>
    <w:p>
      <w:pPr>
        <w:pStyle w:val="TextBody"/>
        <w:bidi w:val="0"/>
        <w:spacing w:before="12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believes that based on its current operating plan, its cash, cash equivalents and investments of $120.5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will be sufficient to fund its planned operations and debt obligations for at least 12 months following the issuance date of these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incurred significant losses and negative cash flows from operations. During the six months ended June 30, 2023, the Company incurred a net loss of $25.6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used $9.8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cash in operations. As of June 30, 2023, the Company had an accumulated deficit of $174.9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does not expect positive cash flows from operations in the foreseeable future. The Company has funded its operations primarily through the issuance and sale of equity securities, debt and collaboration 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anticipates that it will need to raise substantial additional financing in the future to fund its operations. In order to meet these additional cash requirements, the Company may seek to out-license rights to develop and commercialize tildacerfont or sell additional equity or issue debt, convertible debt or other securities that may result in dilution to its stockholders. If the Company raises additional funds through the issuance of debt or convertible debt securities, these securities could have rights senior to those of its shares of Common Stock and could contain covenants that restrict its operations. There can be no assurance that the Company will be able to obtain additional equity or debt financing on terms acceptable to it, if at all. Additional debt financing, if available, would result in increased fixed payment obligations and may involve agreements that include covenants limiting or restricting the Company’s ability to take specific actions such as incurring debt, making capital expenditures or declaring dividends. The Company’s failure to obtain sufficient funds on acceptable terms when needed could have a material adverse effect on its business, results of operations, and financial condition.</w:t>
      </w:r>
    </w:p>
    <w:p>
      <w:pPr>
        <w:pStyle w:val="TextBody"/>
        <w:bidi w:val="0"/>
        <w:spacing w:before="240" w:after="0"/>
        <w:jc w:val="left"/>
        <w:rPr>
          <w:rFonts w:ascii="Times New Roman" w:hAnsi="Times New Roman"/>
          <w:sz w:val="20"/>
        </w:rPr>
      </w:pPr>
      <w:r>
        <w:rPr>
          <w:rFonts w:ascii="Times New Roman;serif" w:hAnsi="Times New Roman;serif"/>
          <w:b/>
          <w:sz w:val="20"/>
        </w:rPr>
        <w:t>2. Summary of Significant Accounting Policies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Basis of Presentation</w:t>
      </w:r>
    </w:p>
    <w:p>
      <w:pPr>
        <w:pStyle w:val="TextBody"/>
        <w:bidi w:val="0"/>
        <w:spacing w:before="120" w:after="0"/>
        <w:jc w:val="left"/>
        <w:rPr>
          <w:rFonts w:ascii="Times New Roman" w:hAnsi="Times New Roman"/>
          <w:sz w:val="20"/>
        </w:rPr>
      </w:pPr>
      <w:r>
        <w:rPr>
          <w:rFonts w:ascii="Times New Roman;serif" w:hAnsi="Times New Roman;serif"/>
          <w:b w:val="false"/>
          <w:sz w:val="20"/>
        </w:rPr>
        <w:t>The financial statements have been prepared in accordance with accounting principles generally accepted in the United States of America (“U.S. GAAP”) and applicable rules and regulations of the SEC for interim reporting. As permitted under those rules and regulations, certain notes or other financial information normally included in financial statements prepared in accordance with 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GAAP have been condensed or omitted. The condensed balance sheet as of June 30, 2023, the condensed statements of operations and comprehensive loss for the three and six months ended June 30, 2023 and 2022, the condensed statement of stockholders’ equity for the three and six months ended June 30, 2023 and 2022, and the condensed statements of cash flows for the six months ended June 30, 2023 and 2022 are unaudited. The interim condensed financial statements have been prepared on the same basis as the annual financial statements and, in the opinion of management, reflect all adjustments, which include only normal, recurring adjustments that are necessary to present fairly the Company’s results for the interim periods presented. The condensed balance sheet as of December 31, 2022 is derived from the Company’s audited financial statements. The results of operations for the three and six months ended June 30, 2023 are not necessarily indicative of the results to be expected for the year ending December 31, 2023, or for any other future annual or interim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These interim condensed financial statements should be read in conjunction with the Company’s Annual Report on Form 10-K for the year ended December 31, 2022</w:t>
      </w:r>
      <w:r>
        <w:rPr>
          <w:rFonts w:ascii="Times New Roman" w:hAnsi="Times New Roman"/>
          <w:sz w:val="20"/>
        </w:rPr>
        <w:t xml:space="preserve"> </w:t>
      </w:r>
      <w:r>
        <w:rPr>
          <w:rFonts w:ascii="Times New Roman;serif" w:hAnsi="Times New Roman;serif"/>
          <w:b w:val="false"/>
          <w:sz w:val="20"/>
        </w:rPr>
        <w:t>filed with the SEC on March 16, 2023 (“Annual Report”).</w:t>
      </w:r>
    </w:p>
    <w:p>
      <w:pPr>
        <w:pStyle w:val="TextBody"/>
        <w:bidi w:val="0"/>
        <w:spacing w:before="120" w:after="0"/>
        <w:jc w:val="left"/>
        <w:rPr>
          <w:rFonts w:ascii="Times New Roman" w:hAnsi="Times New Roman"/>
          <w:sz w:val="20"/>
        </w:rPr>
      </w:pPr>
      <w:r>
        <w:rPr>
          <w:rFonts w:ascii="Times New Roman;serif" w:hAnsi="Times New Roman;serif"/>
          <w:b/>
          <w:sz w:val="20"/>
        </w:rPr>
        <w:t>Use of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financial statements in conformity with U.S. GAAP requires management to make estimates and assumptions that affect the reported amounts of assets, liabilities and expenses as well as related disclosure of contingent assets and liabilities. Significant estimates and assumptions reflected in these financial statements include, but are not limited to, accrued research and development expenses, revenue recognition, stock-based compensation, and uncertain tax positions. The Company bases its estimates on its historical experience and on assumptions that it believes are reasonable; however, actual results could significantly differ from those estimates.</w:t>
      </w:r>
    </w:p>
    <w:p>
      <w:pPr>
        <w:pStyle w:val="TextBody"/>
        <w:bidi w:val="0"/>
        <w:spacing w:before="120" w:after="0"/>
        <w:jc w:val="left"/>
        <w:rPr>
          <w:rFonts w:ascii="Times New Roman" w:hAnsi="Times New Roman"/>
          <w:sz w:val="20"/>
        </w:rPr>
      </w:pPr>
      <w:r>
        <w:rPr>
          <w:rFonts w:ascii="Times New Roman;serif" w:hAnsi="Times New Roman;serif"/>
          <w:b/>
          <w:sz w:val="20"/>
        </w:rPr>
        <w:t>Risks and Uncertainties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product candidates developed by the Company will require approvals from the U.S. Food and Drug Administration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financial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subject to a number of risks similar to other late-stage biopharmaceutical companies including, but not limited to, dependency on the clinical success of the Company’s product candidate, tildacerfont, ability to obtain regulatory approval of tildacerfont, the need for substantial additional financing to achieve its goals, uncertainty of broad adoption of its approved products, if any, by physicians and consumers, significant competition, untested manufacturing capabilities, and dependence on key individuals and sole source suppliers.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Global economic and business activities continue to face widespread macroeconomic and geopolitical uncertainties, including recent and potential future disruptions in access to bank deposits or lending commitments due to bank failures, labor shortages, inflation and monetary supply shifts, recession risks and potential disruptions from the ongoing Russia-Ukraine conflict and related sanctions. 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120" w:after="0"/>
        <w:jc w:val="left"/>
        <w:rPr>
          <w:rFonts w:ascii="Times New Roman" w:hAnsi="Times New Roman"/>
          <w:sz w:val="20"/>
        </w:rPr>
      </w:pPr>
      <w:r>
        <w:rPr>
          <w:rFonts w:ascii="Times New Roman;serif" w:hAnsi="Times New Roman;serif"/>
          <w:b/>
          <w:sz w:val="20"/>
        </w:rPr>
        <w:t>Concentration of Credit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which potentially subject the Company to significant concentration of credit risk, consist primarily of cash, cash equivalents and investments. The Company maintains deposits in federally insured financial institutions in excess of federally insured limits. The Company is exposed to credit risk in the event of default by the financial institutions holding its cash and cash equivalents to the extent recorded in the balance sheets.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Significant Accounting Policies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no significant changes to the significant accounting policies during the three and six months ended June 30, 2023, as compared to the significant accounting policies described in the Annual Report, with exception to the below policies.</w:t>
      </w:r>
    </w:p>
    <w:p>
      <w:pPr>
        <w:pStyle w:val="TextBody"/>
        <w:bidi w:val="0"/>
        <w:spacing w:before="120" w:after="0"/>
        <w:jc w:val="left"/>
        <w:rPr>
          <w:rFonts w:ascii="Times New Roman;serif" w:hAnsi="Times New Roman;serif"/>
          <w:b/>
          <w:sz w:val="20"/>
        </w:rPr>
      </w:pPr>
      <w:r>
        <w:rPr>
          <w:rFonts w:ascii="Times New Roman;serif" w:hAnsi="Times New Roman;serif"/>
          <w:b/>
          <w:sz w:val="20"/>
        </w:rPr>
        <w:t>Investments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adopted Accounting Standards Update (“ASU”) 2016-13, </w:t>
      </w:r>
      <w:r>
        <w:rPr>
          <w:rFonts w:ascii="Times New Roman;serif" w:hAnsi="Times New Roman;serif"/>
          <w:b w:val="false"/>
          <w:i/>
          <w:sz w:val="20"/>
        </w:rPr>
        <w:t>Measurement of Credit Losses on Financial Instruments</w:t>
      </w:r>
      <w:r>
        <w:rPr>
          <w:rFonts w:ascii="Times New Roman;serif" w:hAnsi="Times New Roman;serif"/>
          <w:b w:val="false"/>
          <w:sz w:val="20"/>
        </w:rPr>
        <w:t>, on January 1, 2023. The Company’s investments are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balance sheet date. Investments with contractual maturities greater than 12 months are considered long-term investments.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specifically related to the security, among other factors. Credit-related impairment losses, limited by the amount that the fair value is less than the amortized cost basis, are recorded through an allowance for credit losses in interest and other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unrealized losses from declines in fair value below the amortized cost basis as a result of non-credit factors are recognized in accumulated other comprehensive loss, net of tax as a separate component of stockholders’ equity, along with unrealized gains. Realized gains and losses and declines in fair value, if any, on available-for-sale securities are included in interest and other income, net in the statement of operations and comprehensive loss.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balance sheets.</w:t>
      </w:r>
    </w:p>
    <w:p>
      <w:pPr>
        <w:pStyle w:val="TextBody"/>
        <w:bidi w:val="0"/>
        <w:spacing w:before="120" w:after="0"/>
        <w:jc w:val="left"/>
        <w:rPr>
          <w:rFonts w:ascii="Times New Roman" w:hAnsi="Times New Roman"/>
          <w:sz w:val="20"/>
        </w:rPr>
      </w:pPr>
      <w:r>
        <w:rPr>
          <w:rFonts w:ascii="Times New Roman;serif" w:hAnsi="Times New Roman;serif"/>
          <w:b/>
          <w:sz w:val="20"/>
        </w:rPr>
        <w:t>Revenue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revenues when, or as, the promised goods or services are transferred to customers in an amount that reflects the consideration to which the Company expects to be entitled in exchange for those services. To determine revenue recognition for arrangements, the Company performs the following five steps: (1) identify the contract(s) with a customer; (2) identify the performance obligation(s) in the contract; (3) determine the transaction price; (4) allocate the transaction price to the performance obligation(s) in the contract; and (5) recognize revenue when (or as) the performance obligation(s) are satisfied.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entered into a licensing and collaboration agreement that primarily includes the following: (i) upfront cash consideration; (ii) payments associated with achieving certain milestones; and (iii) royalties based on specified percentages of net product sales, if any. At the initiation of an agreement, the Company analyzes each unit of account within the contract to determine if the counterparty is a customer in the context of the unit of account.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At contract inception, the Company assesses the goods or services promised and enforceable in a contract with a customer and identifies those distinct goods and services that represent a performance obligation. If a promised good or service is not distinct, the Company combines that good or service with other promised goods or services until it identifies a bundle of goods or services that is distinct. Promised goods and services that are not material in the context of the contract are not considered performance obligations. Additional goods or services that are exercisable at a customer’s discretion are assessed to determine if they provide a material right to the customer and if so, they are considered performance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transaction price is the amount of consideration to which the Company expects to be entitled in exchange for transferring promised goods or services to a customer. The consideration promised in a contract with a customer may include fixed amounts, variable amounts, or both. Non-refundable upfront payments are considered fixed consideration and included in the transaction price. At the inception of arrangements that include variable consideration, the Company uses judgment to estimate the amount of variable consideration to include in the transaction price using the most likely method. If it is probable that a significant revenue reversal will not occur, then the estimated amount is included in the transaction price. Milestone payments that are not within the Company’s or the licensee’s control, such as regulatory approvals, are not included in the transaction price until those approvals are received.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At the end of each reporting period, the Company re-evaluates the estimated variable consideration included in the transaction price and any related constraint and, as necessary, adjusts the estimate of the overall transaction price. Any adjustments will be recorded on a cumulative catch-up basis, which would affect revenues and earnings in the period of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it is determined that multiple performance obligations exist, the transaction price is allocated at the inception of the agreement to all identified performance obligations based on the relative standalone selling prices, unless the consideration is variable and meets the criteria to be allocated entirely to one or more, but not all, performance obligations in the contract. Other components of the transaction price are allocated based on the relative standalone selling price, over which the Company applies significant judgment. The Company develops assumptions that require judgment to determine the standalone selling price for license-related performance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obligations under the adjusted market assessment approach, which may include forecasted revenues, development timelines, discount rates and probabilities of success.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is recognized when, or as, the Company satisfies a performance obligation. The Company recognizes revenue over time by measuring the progress toward complete satisfaction of the relevant performance obligation using an appropriate input method based on the nature of the good or service promised to the customer. The Company uses judgment to assess the nature of the performance obligation to determine whether the performance obligation is satisfied over time or at a point in time. The selection of the method to measure progress towards completion requires judgment and is based on the nature of the products or services to be provided.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 customer pays consideration, or the Company has an unconditional right to the consideration, before the satisfaction of the revenue recognition criteria, the amounts are recorded as deferred revenue in the Company’s balance sheet. The current portion of deferred revenue represents the amount of the performance obligation that is expected to be satisfied within the next twelve months. Amounts recognized as revenue prior to receipt or before they are due are recorded as contract assets in the Company’s balance sheet, excluding any amounts presented as accounts receivable. If the Company has an unconditional right to receive consideration, the contract assets are accounted for as accounts receivable and presented separately from contract assets. A net contract asset or liability is presented for each contract with a customer.</w:t>
      </w:r>
    </w:p>
    <w:p>
      <w:pPr>
        <w:pStyle w:val="TextBody"/>
        <w:bidi w:val="0"/>
        <w:spacing w:before="120" w:after="0"/>
        <w:jc w:val="left"/>
        <w:rPr>
          <w:rFonts w:ascii="Times New Roman;serif" w:hAnsi="Times New Roman;serif"/>
          <w:b/>
          <w:sz w:val="20"/>
        </w:rPr>
      </w:pPr>
      <w:r>
        <w:rPr>
          <w:rFonts w:ascii="Times New Roman;serif" w:hAnsi="Times New Roman;serif"/>
          <w:b/>
          <w:sz w:val="20"/>
        </w:rPr>
        <w:t>Emerging Growth Company Status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pStyle w:val="TextBody"/>
        <w:bidi w:val="0"/>
        <w:spacing w:before="120" w:after="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June 2016, the Financial Accounting Standards Board (“FASB”) issued ASU 2016-13, </w:t>
      </w:r>
      <w:r>
        <w:rPr>
          <w:rFonts w:ascii="Times New Roman;serif" w:hAnsi="Times New Roman;serif"/>
          <w:b w:val="false"/>
          <w:i/>
          <w:sz w:val="20"/>
        </w:rPr>
        <w:t>Financial Instruments – Credit Losses (Topic 326): Measurement of Credit Losses on Financial Instruments</w:t>
      </w:r>
      <w:r>
        <w:rPr>
          <w:rFonts w:ascii="Times New Roman" w:hAnsi="Times New Roman"/>
          <w:sz w:val="20"/>
        </w:rPr>
        <w:t xml:space="preserve"> </w:t>
      </w:r>
      <w:r>
        <w:rPr>
          <w:rFonts w:ascii="Times New Roman;serif" w:hAnsi="Times New Roman;serif"/>
          <w:b w:val="false"/>
          <w:sz w:val="20"/>
        </w:rPr>
        <w:t>(“ASU 2016-13”). ASU 2016-13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ASU 2016-13 on January 1, 2023 and the adoption did not have any impact on the Company’s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3. Fair Value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fair value hierarchy that requires an entity to maximize the use of observable inputs, where available, and minimize the use of unobservable inputs when measuring fair value.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determined the fair value of financial assets and liabilities using the fair value hierarchy that describes three levels of inputs that may be used to measure fair value, as follows: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1 — Quoted prices in active markets for identical assets and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Level 3 — Unobservable inputs that are supported by little or no market activity and that are significant to the fair value of the assets or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Assets and liabilities measured at fair value are classified in their entirety based on the lowest level of input that is significant to the fair value measurement. The Company classifies money market funds, U.S. government treasury securities, and U.S. government agency securities as Level 1 investments as the Company uses quoted prices in active markets for identical assets to determine the fair value. The Company classifies corporate bonds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input generally includes reported trades of or quotes on the same or similar securities. The Company does not make additional judgments or assumptions made to the pricing data sourced from the third-party pricing services.</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the Company’s financial assets measured at fair value on a recurring basis by level within the fair value hierarchy (in thousands):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645"/>
        <w:gridCol w:w="876"/>
        <w:gridCol w:w="146"/>
        <w:gridCol w:w="248"/>
        <w:gridCol w:w="919"/>
        <w:gridCol w:w="146"/>
        <w:gridCol w:w="146"/>
        <w:gridCol w:w="579"/>
        <w:gridCol w:w="954"/>
        <w:gridCol w:w="146"/>
        <w:gridCol w:w="146"/>
        <w:gridCol w:w="558"/>
        <w:gridCol w:w="997"/>
        <w:gridCol w:w="166"/>
        <w:gridCol w:w="146"/>
        <w:gridCol w:w="211"/>
        <w:gridCol w:w="781"/>
        <w:gridCol w:w="395"/>
      </w:tblGrid>
      <w:tr>
        <w:trPr/>
        <w:tc>
          <w:tcPr>
            <w:tcW w:w="264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14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5" w:type="dxa"/>
            <w:tcBorders/>
            <w:vAlign w:val="center"/>
          </w:tcPr>
          <w:p>
            <w:pPr>
              <w:pStyle w:val="TableContents"/>
              <w:bidi w:val="0"/>
              <w:spacing w:before="0" w:after="0"/>
              <w:ind w:left="0" w:right="0" w:hanging="0"/>
              <w:jc w:val="center"/>
              <w:rPr/>
            </w:pPr>
            <w:r>
              <w:rPr/>
              <w:t> </w:t>
            </w:r>
          </w:p>
        </w:tc>
        <w:tc>
          <w:tcPr>
            <w:tcW w:w="87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Hierarchy</w:t>
              <w:br/>
              <w:t>Level</w:t>
            </w:r>
          </w:p>
        </w:tc>
        <w:tc>
          <w:tcPr>
            <w:tcW w:w="146" w:type="dxa"/>
            <w:tcBorders/>
            <w:vAlign w:val="center"/>
          </w:tcPr>
          <w:p>
            <w:pPr>
              <w:pStyle w:val="TableContents"/>
              <w:bidi w:val="0"/>
              <w:spacing w:before="0" w:after="0"/>
              <w:ind w:left="0" w:right="0" w:hanging="0"/>
              <w:jc w:val="center"/>
              <w:rPr/>
            </w:pPr>
            <w:r>
              <w:rPr/>
              <w:t> </w:t>
            </w:r>
          </w:p>
        </w:tc>
        <w:tc>
          <w:tcPr>
            <w:tcW w:w="11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95,040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6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95,040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treasury securities</w:t>
            </w:r>
          </w:p>
        </w:tc>
        <w:tc>
          <w:tcPr>
            <w:tcW w:w="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9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left"/>
              <w:rPr/>
            </w:pPr>
            <w:r>
              <w:rPr/>
              <w:t> </w:t>
            </w:r>
          </w:p>
        </w:tc>
        <w:tc>
          <w:tcPr>
            <w:tcW w:w="9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left"/>
              <w:rPr/>
            </w:pPr>
            <w:r>
              <w:rPr/>
              <w:t> </w:t>
            </w:r>
          </w:p>
        </w:tc>
        <w:tc>
          <w:tcPr>
            <w:tcW w:w="9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18,130</w:t>
            </w:r>
          </w:p>
        </w:tc>
        <w:tc>
          <w:tcPr>
            <w:tcW w:w="395" w:type="dxa"/>
            <w:tcBorders/>
            <w:vAlign w:val="center"/>
          </w:tcPr>
          <w:p>
            <w:pPr>
              <w:pStyle w:val="TableContents"/>
              <w:bidi w:val="0"/>
              <w:spacing w:before="0" w:after="0"/>
              <w:ind w:left="0" w:right="0" w:hanging="0"/>
              <w:jc w:val="left"/>
              <w:rPr/>
            </w:pPr>
            <w:r>
              <w:rPr/>
              <w:t> </w:t>
            </w:r>
          </w:p>
        </w:tc>
      </w:tr>
      <w:tr>
        <w:trPr/>
        <w:tc>
          <w:tcPr>
            <w:tcW w:w="26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agency securities</w:t>
            </w:r>
          </w:p>
        </w:tc>
        <w:tc>
          <w:tcPr>
            <w:tcW w:w="87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4,911</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645"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short-term investments</w:t>
            </w:r>
          </w:p>
        </w:tc>
        <w:tc>
          <w:tcPr>
            <w:tcW w:w="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23,041</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45"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investments</w:t>
            </w:r>
          </w:p>
        </w:tc>
        <w:tc>
          <w:tcPr>
            <w:tcW w:w="87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118,081</w:t>
            </w:r>
          </w:p>
        </w:tc>
        <w:tc>
          <w:tcPr>
            <w:tcW w:w="3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712"/>
        <w:gridCol w:w="877"/>
        <w:gridCol w:w="146"/>
        <w:gridCol w:w="272"/>
        <w:gridCol w:w="874"/>
        <w:gridCol w:w="146"/>
        <w:gridCol w:w="146"/>
        <w:gridCol w:w="590"/>
        <w:gridCol w:w="971"/>
        <w:gridCol w:w="146"/>
        <w:gridCol w:w="146"/>
        <w:gridCol w:w="482"/>
        <w:gridCol w:w="1101"/>
        <w:gridCol w:w="166"/>
        <w:gridCol w:w="146"/>
        <w:gridCol w:w="211"/>
        <w:gridCol w:w="676"/>
        <w:gridCol w:w="397"/>
      </w:tblGrid>
      <w:tr>
        <w:trPr/>
        <w:tc>
          <w:tcPr>
            <w:tcW w:w="271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712"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7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12" w:type="dxa"/>
            <w:tcBorders/>
            <w:vAlign w:val="center"/>
          </w:tcPr>
          <w:p>
            <w:pPr>
              <w:pStyle w:val="TableContents"/>
              <w:bidi w:val="0"/>
              <w:spacing w:before="0" w:after="0"/>
              <w:ind w:left="0" w:right="0" w:hanging="0"/>
              <w:jc w:val="center"/>
              <w:rPr/>
            </w:pPr>
            <w:r>
              <w:rPr/>
              <w:t> </w:t>
            </w:r>
          </w:p>
        </w:tc>
        <w:tc>
          <w:tcPr>
            <w:tcW w:w="877"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br/>
              <w:t>Hierarchy</w:t>
              <w:br/>
              <w:t>Level</w:t>
            </w:r>
          </w:p>
        </w:tc>
        <w:tc>
          <w:tcPr>
            <w:tcW w:w="146" w:type="dxa"/>
            <w:tcBorders/>
            <w:vAlign w:val="center"/>
          </w:tcPr>
          <w:p>
            <w:pPr>
              <w:pStyle w:val="TableContents"/>
              <w:bidi w:val="0"/>
              <w:spacing w:before="0" w:after="0"/>
              <w:ind w:left="0" w:right="0" w:hanging="0"/>
              <w:jc w:val="center"/>
              <w:rPr/>
            </w:pPr>
            <w:r>
              <w:rPr/>
              <w:t> </w:t>
            </w:r>
          </w:p>
        </w:tc>
        <w:tc>
          <w:tcPr>
            <w:tcW w:w="11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6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87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22,496</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1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cash equivalents</w:t>
            </w:r>
          </w:p>
        </w:tc>
        <w:tc>
          <w:tcPr>
            <w:tcW w:w="8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22,496</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treasury securities</w:t>
            </w:r>
          </w:p>
        </w:tc>
        <w:tc>
          <w:tcPr>
            <w:tcW w:w="87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7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left"/>
              <w:rPr/>
            </w:pPr>
            <w:r>
              <w:rPr/>
              <w:t> </w:t>
            </w:r>
          </w:p>
        </w:tc>
        <w:tc>
          <w:tcPr>
            <w:tcW w:w="9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 w:type="dxa"/>
            <w:tcBorders/>
            <w:vAlign w:val="center"/>
          </w:tcPr>
          <w:p>
            <w:pPr>
              <w:pStyle w:val="TableContents"/>
              <w:bidi w:val="0"/>
              <w:spacing w:before="0" w:after="0"/>
              <w:ind w:left="0" w:right="0" w:hanging="0"/>
              <w:jc w:val="left"/>
              <w:rPr/>
            </w:pPr>
            <w:r>
              <w:rPr/>
              <w:t> </w:t>
            </w:r>
          </w:p>
        </w:tc>
        <w:tc>
          <w:tcPr>
            <w:tcW w:w="11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43,264</w:t>
            </w:r>
          </w:p>
        </w:tc>
        <w:tc>
          <w:tcPr>
            <w:tcW w:w="397" w:type="dxa"/>
            <w:tcBorders/>
            <w:vAlign w:val="center"/>
          </w:tcPr>
          <w:p>
            <w:pPr>
              <w:pStyle w:val="TableContents"/>
              <w:bidi w:val="0"/>
              <w:spacing w:before="0" w:after="0"/>
              <w:ind w:left="0" w:right="0" w:hanging="0"/>
              <w:jc w:val="left"/>
              <w:rPr/>
            </w:pPr>
            <w:r>
              <w:rPr/>
              <w:t> </w:t>
            </w:r>
          </w:p>
        </w:tc>
      </w:tr>
      <w:tr>
        <w:trPr/>
        <w:tc>
          <w:tcPr>
            <w:tcW w:w="27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87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11,326</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712"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short-term investments</w:t>
            </w:r>
          </w:p>
        </w:tc>
        <w:tc>
          <w:tcPr>
            <w:tcW w:w="8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55,148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54,590</w:t>
            </w:r>
          </w:p>
        </w:tc>
        <w:tc>
          <w:tcPr>
            <w:tcW w:w="397"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71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equivalents and investments</w:t>
            </w:r>
          </w:p>
        </w:tc>
        <w:tc>
          <w:tcPr>
            <w:tcW w:w="87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77,644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77,086</w:t>
            </w:r>
          </w:p>
        </w:tc>
        <w:tc>
          <w:tcPr>
            <w:tcW w:w="3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 w:hAnsi="Times New Roman"/>
          <w:sz w:val="20"/>
        </w:rPr>
      </w:pPr>
      <w:r>
        <w:rPr>
          <w:rFonts w:ascii="Times New Roman;serif" w:hAnsi="Times New Roman;serif"/>
          <w:b w:val="false"/>
          <w:sz w:val="20"/>
        </w:rPr>
        <w:t>There have been no</w:t>
      </w:r>
      <w:r>
        <w:rPr>
          <w:rFonts w:ascii="Times New Roman" w:hAnsi="Times New Roman"/>
          <w:sz w:val="20"/>
        </w:rPr>
        <w:t xml:space="preserve"> </w:t>
      </w:r>
      <w:r>
        <w:rPr>
          <w:rFonts w:ascii="Times New Roman;serif" w:hAnsi="Times New Roman;serif"/>
          <w:b w:val="false"/>
          <w:sz w:val="20"/>
        </w:rPr>
        <w:t>realized gains or losses on available for sale securities for the periods presented. Unrealized gains and losses are included in “accumulated other comprehensive loss” within stockholders’ equity on the balance sheets. Investments that were in an unrealized loss position as of June 30, 2023 and December 31, 2022, consisted of (in thousands):</w:t>
      </w:r>
    </w:p>
    <w:tbl>
      <w:tblPr>
        <w:tblW w:w="10205" w:type="dxa"/>
        <w:jc w:val="left"/>
        <w:tblInd w:w="0" w:type="dxa"/>
        <w:tblLayout w:type="fixed"/>
        <w:tblCellMar>
          <w:top w:w="28" w:type="dxa"/>
          <w:left w:w="28" w:type="dxa"/>
          <w:bottom w:w="28" w:type="dxa"/>
          <w:right w:w="28" w:type="dxa"/>
        </w:tblCellMar>
      </w:tblPr>
      <w:tblGrid>
        <w:gridCol w:w="2289"/>
        <w:gridCol w:w="228"/>
        <w:gridCol w:w="618"/>
        <w:gridCol w:w="146"/>
        <w:gridCol w:w="146"/>
        <w:gridCol w:w="430"/>
        <w:gridCol w:w="769"/>
        <w:gridCol w:w="166"/>
        <w:gridCol w:w="146"/>
        <w:gridCol w:w="228"/>
        <w:gridCol w:w="619"/>
        <w:gridCol w:w="156"/>
        <w:gridCol w:w="156"/>
        <w:gridCol w:w="430"/>
        <w:gridCol w:w="769"/>
        <w:gridCol w:w="166"/>
        <w:gridCol w:w="146"/>
        <w:gridCol w:w="211"/>
        <w:gridCol w:w="676"/>
        <w:gridCol w:w="146"/>
        <w:gridCol w:w="146"/>
        <w:gridCol w:w="430"/>
        <w:gridCol w:w="769"/>
        <w:gridCol w:w="219"/>
      </w:tblGrid>
      <w:tr>
        <w:trPr/>
        <w:tc>
          <w:tcPr>
            <w:tcW w:w="22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0"/>
              <w:ind w:left="0" w:right="0" w:hanging="0"/>
              <w:jc w:val="left"/>
              <w:rPr/>
            </w:pPr>
            <w:r>
              <w:rPr/>
              <w:t> </w:t>
            </w:r>
          </w:p>
        </w:tc>
        <w:tc>
          <w:tcPr>
            <w:tcW w:w="7697"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9" w:type="dxa"/>
            <w:tcBorders/>
            <w:vAlign w:val="center"/>
          </w:tcPr>
          <w:p>
            <w:pPr>
              <w:pStyle w:val="TableContents"/>
              <w:bidi w:val="0"/>
              <w:spacing w:before="0" w:after="0"/>
              <w:ind w:left="0" w:right="0" w:hanging="0"/>
              <w:jc w:val="left"/>
              <w:rPr/>
            </w:pPr>
            <w:r>
              <w:rPr/>
              <w:t> </w:t>
            </w:r>
          </w:p>
        </w:tc>
        <w:tc>
          <w:tcPr>
            <w:tcW w:w="233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Greater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9" w:type="dxa"/>
            <w:tcBorders/>
            <w:vAlign w:val="center"/>
          </w:tcPr>
          <w:p>
            <w:pPr>
              <w:pStyle w:val="TableContents"/>
              <w:bidi w:val="0"/>
              <w:spacing w:before="0" w:after="0"/>
              <w:ind w:left="0" w:right="0" w:hanging="0"/>
              <w:jc w:val="left"/>
              <w:rPr/>
            </w:pPr>
            <w:r>
              <w:rPr/>
              <w:t> </w:t>
            </w:r>
          </w:p>
        </w:tc>
        <w:tc>
          <w:tcPr>
            <w:tcW w:w="8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 w:type="dxa"/>
            <w:tcBorders/>
            <w:vAlign w:val="center"/>
          </w:tcPr>
          <w:p>
            <w:pPr>
              <w:pStyle w:val="TableContents"/>
              <w:bidi w:val="0"/>
              <w:spacing w:before="0" w:after="0"/>
              <w:ind w:left="0" w:right="0" w:hanging="0"/>
              <w:jc w:val="left"/>
              <w:rPr/>
            </w:pPr>
            <w:r>
              <w:rPr/>
              <w:t> </w:t>
            </w:r>
          </w:p>
        </w:tc>
        <w:tc>
          <w:tcPr>
            <w:tcW w:w="11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8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treasury securities</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5,951</w:t>
            </w:r>
          </w:p>
        </w:tc>
        <w:tc>
          <w:tcPr>
            <w:tcW w:w="156" w:type="dxa"/>
            <w:tcBorders/>
            <w:vAlign w:val="center"/>
          </w:tcPr>
          <w:p>
            <w:pPr>
              <w:pStyle w:val="TableContents"/>
              <w:bidi w:val="0"/>
              <w:spacing w:before="0" w:after="0"/>
              <w:ind w:left="0" w:right="0" w:hanging="0"/>
              <w:jc w:val="left"/>
              <w:rPr/>
            </w:pPr>
            <w:r>
              <w:rPr/>
              <w:t> </w:t>
            </w:r>
          </w:p>
        </w:tc>
        <w:tc>
          <w:tcPr>
            <w:tcW w:w="15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01"/>
        <w:gridCol w:w="211"/>
        <w:gridCol w:w="676"/>
        <w:gridCol w:w="146"/>
        <w:gridCol w:w="146"/>
        <w:gridCol w:w="422"/>
        <w:gridCol w:w="754"/>
        <w:gridCol w:w="166"/>
        <w:gridCol w:w="146"/>
        <w:gridCol w:w="211"/>
        <w:gridCol w:w="676"/>
        <w:gridCol w:w="146"/>
        <w:gridCol w:w="146"/>
        <w:gridCol w:w="358"/>
        <w:gridCol w:w="818"/>
        <w:gridCol w:w="166"/>
        <w:gridCol w:w="146"/>
        <w:gridCol w:w="211"/>
        <w:gridCol w:w="676"/>
        <w:gridCol w:w="146"/>
        <w:gridCol w:w="146"/>
        <w:gridCol w:w="358"/>
        <w:gridCol w:w="818"/>
        <w:gridCol w:w="315"/>
      </w:tblGrid>
      <w:tr>
        <w:trPr/>
        <w:tc>
          <w:tcPr>
            <w:tcW w:w="2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201" w:type="dxa"/>
            <w:tcBorders/>
            <w:vAlign w:val="center"/>
          </w:tcPr>
          <w:p>
            <w:pPr>
              <w:pStyle w:val="TableContents"/>
              <w:bidi w:val="0"/>
              <w:spacing w:before="0" w:after="0"/>
              <w:ind w:left="0" w:right="0" w:hanging="0"/>
              <w:jc w:val="left"/>
              <w:rPr/>
            </w:pPr>
            <w:r>
              <w:rPr/>
              <w:t> </w:t>
            </w:r>
          </w:p>
        </w:tc>
        <w:tc>
          <w:tcPr>
            <w:tcW w:w="7689"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1" w:type="dxa"/>
            <w:tcBorders/>
            <w:vAlign w:val="center"/>
          </w:tcPr>
          <w:p>
            <w:pPr>
              <w:pStyle w:val="TableContents"/>
              <w:bidi w:val="0"/>
              <w:spacing w:before="0" w:after="0"/>
              <w:ind w:left="0" w:right="0" w:hanging="0"/>
              <w:jc w:val="left"/>
              <w:rPr/>
            </w:pPr>
            <w:r>
              <w:rPr/>
              <w:t> </w:t>
            </w:r>
          </w:p>
        </w:tc>
        <w:tc>
          <w:tcPr>
            <w:tcW w:w="23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Less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Greater than 12 months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5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1"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Losses</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government treasury securities</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3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2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Corporate bonds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15"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20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short-term investments</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34,911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51,654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w:t>
            </w:r>
          </w:p>
        </w:tc>
        <w:tc>
          <w:tcPr>
            <w:tcW w:w="3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Company does not intend to sell the securities in an unrealized loss position and does not expect it will be required to sell the securities before recovery of the unamortized cost basis. Additionally, the Company evaluated its securities for credit losses and considered the decline in market value to be primarily attributable to current economic and market conditions and not credit related. Accordingly, no</w:t>
      </w:r>
      <w:r>
        <w:rPr>
          <w:rFonts w:ascii="Times New Roman" w:hAnsi="Times New Roman"/>
          <w:sz w:val="20"/>
        </w:rPr>
        <w:t xml:space="preserve"> </w:t>
      </w:r>
      <w:r>
        <w:rPr>
          <w:rFonts w:ascii="Times New Roman;serif" w:hAnsi="Times New Roman;serif"/>
          <w:b w:val="false"/>
          <w:sz w:val="20"/>
        </w:rPr>
        <w:t>allowance for credit losses has been recognized as of June 30, 2023. During the three and six months ended June 30, 2023 and 2022, the Company did not recognize any impairment losses related to investments.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did not have material accrued interest, which is recorded in other current assets. As of June 30, 2023, the weighted-average remaining contractual maturities of available for sale securities was approximately three</w:t>
      </w:r>
      <w:r>
        <w:rPr>
          <w:rFonts w:ascii="Times New Roman;serif" w:hAnsi="Times New Roman;serif"/>
          <w:sz w:val="20"/>
        </w:rPr>
        <w:t xml:space="preserve"> </w:t>
      </w:r>
      <w:r>
        <w:rPr>
          <w:rFonts w:ascii="Times New Roman;serif" w:hAnsi="Times New Roman;serif"/>
          <w:b w:val="false"/>
          <w:sz w:val="20"/>
        </w:rPr>
        <w:t>months. The Company’s cash equivalents and short-term investments are due within one year.</w:t>
      </w:r>
    </w:p>
    <w:p>
      <w:pPr>
        <w:pStyle w:val="TextBody"/>
        <w:bidi w:val="0"/>
        <w:spacing w:before="120" w:after="0"/>
        <w:jc w:val="left"/>
        <w:rPr>
          <w:rFonts w:ascii="Times New Roman" w:hAnsi="Times New Roman"/>
          <w:sz w:val="20"/>
        </w:rPr>
      </w:pPr>
      <w:r>
        <w:rPr>
          <w:rFonts w:ascii="Times New Roman;serif" w:hAnsi="Times New Roman;serif"/>
          <w:b w:val="false"/>
          <w:sz w:val="20"/>
        </w:rPr>
        <w:t>The estimated fair value of the term loan was $4.2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of June 30, 2023 and December 31, 2022, respectively, and was based on market observable interest rates, a Level 2 input.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did not have any financial liabilities recorded at fair value on a recurring or non-recurring basis as of June 30, 2023 and December 31,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4. Balance Sheet Components</w:t>
      </w:r>
    </w:p>
    <w:p>
      <w:pPr>
        <w:pStyle w:val="TextBody"/>
        <w:bidi w:val="0"/>
        <w:spacing w:before="120" w:after="0"/>
        <w:jc w:val="left"/>
        <w:rPr>
          <w:rFonts w:ascii="Times New Roman;serif" w:hAnsi="Times New Roman;serif"/>
          <w:b/>
          <w:sz w:val="20"/>
        </w:rPr>
      </w:pPr>
      <w:r>
        <w:rPr>
          <w:rFonts w:ascii="Times New Roman;serif" w:hAnsi="Times New Roman;serif"/>
          <w:b/>
          <w:sz w:val="20"/>
        </w:rPr>
        <w:t>Accrued Expenses and Other Current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Accrued expenses and other current liabilities consisted of the following (in thousands):</w:t>
      </w:r>
    </w:p>
    <w:tbl>
      <w:tblPr>
        <w:tblW w:w="7072" w:type="dxa"/>
        <w:jc w:val="left"/>
        <w:tblInd w:w="0" w:type="dxa"/>
        <w:tblLayout w:type="fixed"/>
        <w:tblCellMar>
          <w:top w:w="28" w:type="dxa"/>
          <w:left w:w="28" w:type="dxa"/>
          <w:bottom w:w="28" w:type="dxa"/>
          <w:right w:w="28" w:type="dxa"/>
        </w:tblCellMar>
      </w:tblPr>
      <w:tblGrid>
        <w:gridCol w:w="4261"/>
        <w:gridCol w:w="146"/>
        <w:gridCol w:w="211"/>
        <w:gridCol w:w="676"/>
        <w:gridCol w:w="146"/>
        <w:gridCol w:w="146"/>
        <w:gridCol w:w="294"/>
        <w:gridCol w:w="801"/>
        <w:gridCol w:w="3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7,449</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 and benefits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1,286</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w:t>
            </w:r>
          </w:p>
        </w:tc>
        <w:tc>
          <w:tcPr>
            <w:tcW w:w="391" w:type="dxa"/>
            <w:tcBorders/>
            <w:vAlign w:val="center"/>
          </w:tcPr>
          <w:p>
            <w:pPr>
              <w:pStyle w:val="TableContents"/>
              <w:bidi w:val="0"/>
              <w:spacing w:before="0" w:after="0"/>
              <w:ind w:left="0" w:right="0" w:hanging="0"/>
              <w:jc w:val="left"/>
              <w:rPr/>
            </w:pPr>
            <w:r>
              <w:rPr/>
              <w:t> </w:t>
            </w:r>
          </w:p>
        </w:tc>
      </w:tr>
      <w:tr>
        <w:trPr/>
        <w:tc>
          <w:tcPr>
            <w:tcW w:w="42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Accrued research and development expenses were primarily related to clinical trials and manufacturing of clinical drug supply.</w:t>
      </w:r>
    </w:p>
    <w:p>
      <w:pPr>
        <w:pStyle w:val="TextBody"/>
        <w:bidi w:val="0"/>
        <w:spacing w:before="240" w:after="0"/>
        <w:jc w:val="left"/>
        <w:rPr>
          <w:rFonts w:ascii="Times New Roman;serif" w:hAnsi="Times New Roman;serif"/>
          <w:b/>
          <w:sz w:val="20"/>
        </w:rPr>
      </w:pPr>
      <w:r>
        <w:rPr>
          <w:rFonts w:ascii="Times New Roman;serif" w:hAnsi="Times New Roman;serif"/>
          <w:b/>
          <w:sz w:val="20"/>
        </w:rPr>
        <w:t>5. 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leases space under a non-cancelable operating lease, which requires the Company to pay base rent, real estate taxes, insurance, general repairs, and maintenance. In December 2022, the Company entered into a non-cancelable operating lease for approximately 6,500</w:t>
      </w:r>
      <w:r>
        <w:rPr>
          <w:rFonts w:ascii="Times New Roman" w:hAnsi="Times New Roman"/>
          <w:sz w:val="20"/>
        </w:rPr>
        <w:t xml:space="preserve"> </w:t>
      </w:r>
      <w:r>
        <w:rPr>
          <w:rFonts w:ascii="Times New Roman;serif" w:hAnsi="Times New Roman;serif"/>
          <w:b w:val="false"/>
          <w:sz w:val="20"/>
        </w:rPr>
        <w:t>square feet of office space in South San Francisco, California, which commenced in December 2022</w:t>
      </w:r>
      <w:r>
        <w:rPr>
          <w:rFonts w:ascii="Times New Roman" w:hAnsi="Times New Roman"/>
          <w:sz w:val="20"/>
        </w:rPr>
        <w:t xml:space="preserve"> </w:t>
      </w:r>
      <w:r>
        <w:rPr>
          <w:rFonts w:ascii="Times New Roman;serif" w:hAnsi="Times New Roman;serif"/>
          <w:b w:val="false"/>
          <w:sz w:val="20"/>
        </w:rPr>
        <w:t>and expires in February 2028</w:t>
      </w:r>
      <w:r>
        <w:rPr>
          <w:rFonts w:ascii="Times New Roman" w:hAnsi="Times New Roman"/>
          <w:sz w:val="20"/>
        </w:rPr>
        <w:t xml:space="preserve"> </w:t>
      </w:r>
      <w:r>
        <w:rPr>
          <w:rFonts w:ascii="Times New Roman;serif" w:hAnsi="Times New Roman;serif"/>
          <w:b w:val="false"/>
          <w:sz w:val="20"/>
        </w:rPr>
        <w:t>(the “South San Francisco Lease”). The Company has an option to extend the lease term of the South San Francisco Lease for an additional three years</w:t>
      </w:r>
      <w:r>
        <w:rPr>
          <w:rFonts w:ascii="Times New Roman;serif" w:hAnsi="Times New Roman;serif"/>
          <w:sz w:val="20"/>
        </w:rPr>
        <w:t xml:space="preserve"> </w:t>
      </w:r>
      <w:r>
        <w:rPr>
          <w:rFonts w:ascii="Times New Roman;serif" w:hAnsi="Times New Roman;serif"/>
          <w:b w:val="false"/>
          <w:sz w:val="20"/>
        </w:rPr>
        <w:t>which has not been included in the lease term as it is not reasonably certain that the Company will exercise this option.</w:t>
      </w:r>
    </w:p>
    <w:p>
      <w:pPr>
        <w:pStyle w:val="TextBody"/>
        <w:bidi w:val="0"/>
        <w:spacing w:before="240" w:after="0"/>
        <w:jc w:val="left"/>
        <w:rPr>
          <w:rFonts w:ascii="Times New Roman" w:hAnsi="Times New Roman"/>
          <w:sz w:val="20"/>
        </w:rPr>
      </w:pPr>
      <w:r>
        <w:rPr>
          <w:rFonts w:ascii="Times New Roman;serif" w:hAnsi="Times New Roman;serif"/>
          <w:b/>
          <w:sz w:val="20"/>
        </w:rPr>
        <w:t>6. Term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2019, the Company entered into a Loan and Security Agreement, as subsequently amended (the “Loan Agreement”) with Silicon Valley Bank (“SVB”) providing for a term loan (the “Term Loan”) for an aggregate principal amount of $4.5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2019 and in connection with the Loan Agreement, the Company issued a warrant to purchase up to an aggregate of 49,609</w:t>
      </w:r>
      <w:r>
        <w:rPr>
          <w:rFonts w:ascii="Times New Roman" w:hAnsi="Times New Roman"/>
          <w:sz w:val="20"/>
        </w:rPr>
        <w:t xml:space="preserve"> </w:t>
      </w:r>
      <w:r>
        <w:rPr>
          <w:rFonts w:ascii="Times New Roman;serif" w:hAnsi="Times New Roman;serif"/>
          <w:b w:val="false"/>
          <w:sz w:val="20"/>
        </w:rPr>
        <w:t>shares of Common Stock at $1.44</w:t>
      </w:r>
      <w:r>
        <w:rPr>
          <w:rFonts w:ascii="Times New Roman" w:hAnsi="Times New Roman"/>
          <w:sz w:val="20"/>
        </w:rPr>
        <w:t xml:space="preserve"> </w:t>
      </w:r>
      <w:r>
        <w:rPr>
          <w:rFonts w:ascii="Times New Roman;serif" w:hAnsi="Times New Roman;serif"/>
          <w:b w:val="false"/>
          <w:sz w:val="20"/>
        </w:rPr>
        <w:t>per share. The Company determined the initial fair value of the warrant to be $0.1</w:t>
      </w:r>
      <w:r>
        <w:rPr>
          <w:rFonts w:ascii="Times New Roman" w:hAnsi="Times New Roman"/>
          <w:sz w:val="20"/>
        </w:rPr>
        <w:t xml:space="preserve"> </w:t>
      </w:r>
      <w:r>
        <w:rPr>
          <w:rFonts w:ascii="Times New Roman;serif" w:hAnsi="Times New Roman;serif"/>
          <w:b w:val="false"/>
          <w:sz w:val="20"/>
        </w:rPr>
        <w:t>million using the Black-Scholes option-pricing model. The fair value of the warrant was recorded to equity and as a debt discount, which was being amortized to interest expense using the effective interest method over the term of the Term Loan. In November 2020, the warrant was net-exercised for 46,358</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2021, the Company entered into a First Amendment to Loan and Security Agreement (the “First Amendment”), which increased the aggregate principal amount of the Term Loan to $30.0</w:t>
      </w:r>
      <w:r>
        <w:rPr>
          <w:rFonts w:ascii="Times New Roman" w:hAnsi="Times New Roman"/>
          <w:sz w:val="20"/>
        </w:rPr>
        <w:t xml:space="preserve"> </w:t>
      </w:r>
      <w:r>
        <w:rPr>
          <w:rFonts w:ascii="Times New Roman;serif" w:hAnsi="Times New Roman;serif"/>
          <w:b w:val="false"/>
          <w:sz w:val="20"/>
        </w:rPr>
        <w:t>million, of which $20.0</w:t>
      </w:r>
      <w:r>
        <w:rPr>
          <w:rFonts w:ascii="Times New Roman" w:hAnsi="Times New Roman"/>
          <w:sz w:val="20"/>
        </w:rPr>
        <w:t xml:space="preserve"> </w:t>
      </w:r>
      <w:r>
        <w:rPr>
          <w:rFonts w:ascii="Times New Roman;serif" w:hAnsi="Times New Roman;serif"/>
          <w:b w:val="false"/>
          <w:sz w:val="20"/>
        </w:rPr>
        <w:t>million was immediately available under the first tranche (“First Tranche”) and $10.0</w:t>
      </w:r>
      <w:r>
        <w:rPr>
          <w:rFonts w:ascii="Times New Roman" w:hAnsi="Times New Roman"/>
          <w:sz w:val="20"/>
        </w:rPr>
        <w:t xml:space="preserve"> </w:t>
      </w:r>
      <w:r>
        <w:rPr>
          <w:rFonts w:ascii="Times New Roman;serif" w:hAnsi="Times New Roman;serif"/>
          <w:b w:val="false"/>
          <w:sz w:val="20"/>
        </w:rPr>
        <w:t>million was available under the second tranche through December 31, 2022</w:t>
      </w:r>
      <w:r>
        <w:rPr>
          <w:rFonts w:ascii="Times New Roman" w:hAnsi="Times New Roman"/>
          <w:sz w:val="20"/>
        </w:rPr>
        <w:t xml:space="preserve"> </w:t>
      </w:r>
      <w:r>
        <w:rPr>
          <w:rFonts w:ascii="Times New Roman;serif" w:hAnsi="Times New Roman;serif"/>
          <w:b w:val="false"/>
          <w:sz w:val="20"/>
        </w:rPr>
        <w:t>(“Second Tranche”), subject to the completion of certain clinical or financial milestones. Pursuant to the First Amendment, the Term Loan will mature on January 1, 2026</w:t>
      </w:r>
      <w:r>
        <w:rPr>
          <w:rFonts w:ascii="Times New Roman" w:hAnsi="Times New Roman"/>
          <w:sz w:val="20"/>
        </w:rPr>
        <w:t xml:space="preserve"> </w:t>
      </w:r>
      <w:r>
        <w:rPr>
          <w:rFonts w:ascii="Times New Roman;serif" w:hAnsi="Times New Roman;serif"/>
          <w:b w:val="false"/>
          <w:sz w:val="20"/>
        </w:rPr>
        <w:t>(the “Maturity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2022, the Company entered into a Second Amendment to Loan and Security Agreement (the “Second Amendment”), which amended the milestones for the Second Tranche, added a liquidity covenant for the Second Tranche and amended the interest and prepayment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carrying value of the Term Loan was $4.1</w:t>
      </w:r>
      <w:r>
        <w:rPr>
          <w:rFonts w:ascii="Times New Roman" w:hAnsi="Times New Roman"/>
          <w:sz w:val="20"/>
        </w:rPr>
        <w:t xml:space="preserve"> </w:t>
      </w:r>
      <w:r>
        <w:rPr>
          <w:rFonts w:ascii="Times New Roman;serif" w:hAnsi="Times New Roman;serif"/>
          <w:b w:val="false"/>
          <w:sz w:val="20"/>
        </w:rPr>
        <w:t>million, consisting of the outstanding principal under the First Tranche of $4.2</w:t>
      </w:r>
      <w:r>
        <w:rPr>
          <w:rFonts w:ascii="Times New Roman" w:hAnsi="Times New Roman"/>
          <w:sz w:val="20"/>
        </w:rPr>
        <w:t xml:space="preserve"> </w:t>
      </w:r>
      <w:r>
        <w:rPr>
          <w:rFonts w:ascii="Times New Roman;serif" w:hAnsi="Times New Roman;serif"/>
          <w:b w:val="false"/>
          <w:sz w:val="20"/>
        </w:rPr>
        <w:t>million, less unamortized debt discount and issuance costs of $0.1</w:t>
      </w:r>
      <w:r>
        <w:rPr>
          <w:rFonts w:ascii="Times New Roman" w:hAnsi="Times New Roman"/>
          <w:sz w:val="20"/>
        </w:rPr>
        <w:t xml:space="preserve"> </w:t>
      </w:r>
      <w:r>
        <w:rPr>
          <w:rFonts w:ascii="Times New Roman;serif" w:hAnsi="Times New Roman;serif"/>
          <w:b w:val="false"/>
          <w:sz w:val="20"/>
        </w:rPr>
        <w:t>million, which are being amortized using the effective interest method over the life of the Term Loan. Commitments available under the Second Tranche of $10.0</w:t>
      </w:r>
      <w:r>
        <w:rPr>
          <w:rFonts w:ascii="Times New Roman" w:hAnsi="Times New Roman"/>
          <w:sz w:val="20"/>
        </w:rPr>
        <w:t xml:space="preserve"> </w:t>
      </w:r>
      <w:r>
        <w:rPr>
          <w:rFonts w:ascii="Times New Roman;serif" w:hAnsi="Times New Roman;serif"/>
          <w:b w:val="false"/>
          <w:sz w:val="20"/>
        </w:rPr>
        <w:t>million expired on December 31,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w:t>
      </w:r>
      <w:r>
        <w:rPr>
          <w:rFonts w:ascii="Times New Roman" w:hAnsi="Times New Roman"/>
          <w:sz w:val="20"/>
        </w:rPr>
        <w:t xml:space="preserve"> </w:t>
      </w:r>
      <w:r>
        <w:rPr>
          <w:rFonts w:ascii="Times New Roman;serif" w:hAnsi="Times New Roman;serif"/>
          <w:b w:val="false"/>
          <w:sz w:val="20"/>
        </w:rPr>
        <w:t>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 As of June 30, 2023, the stated interest rate of the Term Loan was 8.75%.</w:t>
      </w:r>
    </w:p>
    <w:p>
      <w:pPr>
        <w:pStyle w:val="TextBody"/>
        <w:bidi w:val="0"/>
        <w:spacing w:before="120" w:after="0"/>
        <w:jc w:val="left"/>
        <w:rPr>
          <w:rFonts w:ascii="Times New Roman" w:hAnsi="Times New Roman"/>
          <w:sz w:val="20"/>
        </w:rPr>
      </w:pPr>
      <w:r>
        <w:rPr>
          <w:rFonts w:ascii="Times New Roman;serif" w:hAnsi="Times New Roman;serif"/>
          <w:b w:val="false"/>
          <w:sz w:val="20"/>
        </w:rPr>
        <w:t>The final payment is due on the Maturity Date and includes all outstanding principal plus accrued unpaid interest and an end of term payment totaling $0.3</w:t>
      </w:r>
      <w:r>
        <w:rPr>
          <w:rFonts w:ascii="Times New Roman" w:hAnsi="Times New Roman"/>
          <w:sz w:val="20"/>
        </w:rPr>
        <w:t xml:space="preserve"> </w:t>
      </w:r>
      <w:r>
        <w:rPr>
          <w:rFonts w:ascii="Times New Roman;serif" w:hAnsi="Times New Roman;serif"/>
          <w:b w:val="false"/>
          <w:sz w:val="20"/>
        </w:rPr>
        <w:t>million, which is 6.0% of the original funded principal amount of the First Tranche (the “Supplemental Final Payment”). The Company may prepay amounts outstanding under the Term Loan at any time provided certain notification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customary affirmative and restrictive covenants under the Loan Agreement. The Company’s obligations under the Loan Agreement are secured by a first priority security interest in substantially all of its current and future assets, other than intellectual property. The Company also agreed not to encumber its intellectual property assets, except as permitted by the Loan Agreement</w:t>
      </w:r>
      <w:r>
        <w:rPr>
          <w:rFonts w:ascii="Times New Roman;serif" w:hAnsi="Times New Roman;serif"/>
          <w:b w:val="false"/>
          <w:sz w:val="24"/>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Loan Agreement also contains customary indemnification obligations and customary events of default, including, among other things, the Company’s failure to fulfill certain obligations under the Loan Agreement and the occurrence of a material adverse change in its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the Company under the Loan Agreement, the lender would be entitled to exercise their remedies thereunder, including the right to accelerate the debt, upon which the Company may be required to repay all amounts then outstanding under the Loan Agreement. As of June 30, 2023, the Company was in compliance with all covenants under the Loan Agreement and there has been no material adverse change.</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As of June 30, 2023, future payments of principal and interest are as follows (in thousands):</w:t>
      </w:r>
    </w:p>
    <w:tbl>
      <w:tblPr>
        <w:tblW w:w="4595" w:type="dxa"/>
        <w:jc w:val="left"/>
        <w:tblInd w:w="0" w:type="dxa"/>
        <w:tblLayout w:type="fixed"/>
        <w:tblCellMar>
          <w:top w:w="28" w:type="dxa"/>
          <w:left w:w="28" w:type="dxa"/>
          <w:bottom w:w="28" w:type="dxa"/>
          <w:right w:w="28" w:type="dxa"/>
        </w:tblCellMar>
      </w:tblPr>
      <w:tblGrid>
        <w:gridCol w:w="3196"/>
        <w:gridCol w:w="146"/>
        <w:gridCol w:w="211"/>
        <w:gridCol w:w="631"/>
        <w:gridCol w:w="4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Year ending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 (remaining 6 months)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w:t>
            </w:r>
          </w:p>
        </w:tc>
        <w:tc>
          <w:tcPr>
            <w:tcW w:w="4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w:t>
            </w:r>
          </w:p>
        </w:tc>
        <w:tc>
          <w:tcPr>
            <w:tcW w:w="4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1,711</w:t>
            </w:r>
          </w:p>
        </w:tc>
        <w:tc>
          <w:tcPr>
            <w:tcW w:w="411" w:type="dxa"/>
            <w:tcBorders/>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interest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gross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4,189</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unamortized debt issuance costs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term loan,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7. Collaboration and License Agreements</w:t>
      </w:r>
    </w:p>
    <w:p>
      <w:pPr>
        <w:pStyle w:val="TextBody"/>
        <w:bidi w:val="0"/>
        <w:spacing w:before="240" w:after="0"/>
        <w:jc w:val="left"/>
        <w:rPr>
          <w:rFonts w:ascii="Times New Roman;serif" w:hAnsi="Times New Roman;serif"/>
          <w:b/>
          <w:sz w:val="20"/>
        </w:rPr>
      </w:pPr>
      <w:r>
        <w:rPr>
          <w:rFonts w:ascii="Times New Roman;serif" w:hAnsi="Times New Roman;serif"/>
          <w:b/>
          <w:sz w:val="20"/>
        </w:rPr>
        <w:t>Eli Lily and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2016, the Company entered into a license agreement (the “Lilly License Agreement”), with Eli Lilly and Company (“Lilly”). Pursuant to the terms of the Lilly License Agreement, Lilly granted the Company an exclusive, worldwide, royalty bearing, sublicensable license under certain technology, patent rights, know-how and proprietary materials related to certain compounds, to research, develop, and commercialize such compounds for all pharmaceutical uses.</w:t>
      </w:r>
    </w:p>
    <w:p>
      <w:pPr>
        <w:pStyle w:val="TextBody"/>
        <w:bidi w:val="0"/>
        <w:spacing w:before="120" w:after="0"/>
        <w:jc w:val="left"/>
        <w:rPr>
          <w:rFonts w:ascii="Times New Roman" w:hAnsi="Times New Roman"/>
          <w:sz w:val="20"/>
        </w:rPr>
      </w:pPr>
      <w:r>
        <w:rPr>
          <w:rFonts w:ascii="Times New Roman;serif" w:hAnsi="Times New Roman;serif"/>
          <w:b w:val="false"/>
          <w:sz w:val="20"/>
        </w:rPr>
        <w:t>As partial consideration for the rights granted to the Company under the Lilly License Agreement, the Company made a one-time upfront payment to Lilly of $0.8</w:t>
      </w:r>
      <w:r>
        <w:rPr>
          <w:rFonts w:ascii="Times New Roman" w:hAnsi="Times New Roman"/>
          <w:sz w:val="20"/>
        </w:rPr>
        <w:t xml:space="preserve"> </w:t>
      </w:r>
      <w:r>
        <w:rPr>
          <w:rFonts w:ascii="Times New Roman;serif" w:hAnsi="Times New Roman;serif"/>
          <w:b w:val="false"/>
          <w:sz w:val="20"/>
        </w:rPr>
        <w:t>million during the year ended December 31, 2016, which was recorded as research and development expense as there was no alternative use due to the early stage of the technology. The Company is also required to pay Lilly up to an aggregate of $23.0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upon the achievement, during the time the Lilly License Agreement remains in effect, of certain milestones relating to the clinical development and commercial sales of products licensed under the Lilly License Agreement. Such payments are for predetermined fixed amounts, are paid only upon the first occurrence of each event, and are due shortly after achieving the applicable milestone. In addition, the Company is required to pay Lilly tiered royalties on annual worldwide net sales with rates ranging from mid-single-digits to sub-teens. No</w:t>
      </w:r>
      <w:r>
        <w:rPr>
          <w:rFonts w:ascii="Times New Roman" w:hAnsi="Times New Roman"/>
          <w:sz w:val="20"/>
        </w:rPr>
        <w:t xml:space="preserve"> </w:t>
      </w:r>
      <w:r>
        <w:rPr>
          <w:rFonts w:ascii="Times New Roman;serif" w:hAnsi="Times New Roman;serif"/>
          <w:b w:val="false"/>
          <w:sz w:val="20"/>
        </w:rPr>
        <w:t>additional amounts were paid by the Company to Lilly during any of the periods presented, nor were due as of such dates pursuant to the Lilly License Agreement.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Lilly License Agreement will remain in effect, unless earlier terminated, until the expiration of the royalty payment obligations. Royalties are payable on a product-by-product and country-by-country basis from the first commercial sale of the product until the later of (i) the tenth anniversary of the date of first commercial sale in such country, (ii) the expiration in such country of the last-to-expire licensed patent having a valid claim covering the manufacture, use or sale of the licensed product as commercialized in such country, and (iii) the expiration of any data or regulatory exclusivity period for the licensed product in such country.</w:t>
      </w:r>
    </w:p>
    <w:p>
      <w:pPr>
        <w:pStyle w:val="TextBody"/>
        <w:bidi w:val="0"/>
        <w:spacing w:before="240" w:after="0"/>
        <w:jc w:val="left"/>
        <w:rPr>
          <w:rFonts w:ascii="Times New Roman;serif" w:hAnsi="Times New Roman;serif"/>
          <w:b/>
          <w:sz w:val="20"/>
        </w:rPr>
      </w:pPr>
      <w:r>
        <w:rPr>
          <w:rFonts w:ascii="Times New Roman;serif" w:hAnsi="Times New Roman;serif"/>
          <w:b/>
          <w:sz w:val="20"/>
        </w:rPr>
        <w:t>Kaken Pharmaceutical Co, Ltd.</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5, 2023, the Company entered into a collaboration and license agreement (the “Kaken License Agreement”) with Kaken Pharmaceutical Co, Ltd. (“Kaken”). Under the terms of the Kaken License Agreement, the Company granted to Kaken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exclusive right to develop, manufacture and commercialize the Company’s product candidate, tildacerfont, for the treatment of CAH in Japan. Pursuant to the Kaken License Agreement, Kaken will be responsible for securing and maintaining regulatory approvals necessary to commercialize tildacerfont in Japan. The Company will retain all rights to tildacerfont in all other geographies.</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Kaken License Agreement, Kaken made an upfront payment to the Company of $15.0</w:t>
      </w:r>
      <w:r>
        <w:rPr>
          <w:rFonts w:ascii="Times New Roman" w:hAnsi="Times New Roman"/>
          <w:sz w:val="20"/>
        </w:rPr>
        <w:t xml:space="preserve"> </w:t>
      </w:r>
      <w:r>
        <w:rPr>
          <w:rFonts w:ascii="Times New Roman;serif" w:hAnsi="Times New Roman;serif"/>
          <w:b w:val="false"/>
          <w:sz w:val="20"/>
        </w:rPr>
        <w:t>million in April 2023. In addition to the upfront payment, the Company is entitled to receive up to an aggregate of approximately $65.0</w:t>
      </w:r>
      <w:r>
        <w:rPr>
          <w:rFonts w:ascii="Times New Roman" w:hAnsi="Times New Roman"/>
          <w:sz w:val="20"/>
        </w:rPr>
        <w:t xml:space="preserve"> </w:t>
      </w:r>
      <w:r>
        <w:rPr>
          <w:rFonts w:ascii="Times New Roman;serif" w:hAnsi="Times New Roman;serif"/>
          <w:b w:val="false"/>
          <w:sz w:val="20"/>
        </w:rPr>
        <w:t>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the Company a non-creditable, non-refundable specified purchase price for each unit of Company-manufactured product supplied to Kaken for commercial sale. In addition, the Company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identified a combined performance obligation consisting of the license and know-how granted to Kaken as well as certain non-contingent research and development activities. The Company determined that the transaction price at the inception of the Kaken License Agreement consisted of the upfront payment of $15.0</w:t>
      </w:r>
      <w:r>
        <w:rPr>
          <w:rFonts w:ascii="Times New Roman" w:hAnsi="Times New Roman"/>
          <w:sz w:val="20"/>
        </w:rPr>
        <w:t xml:space="preserve"> </w:t>
      </w:r>
      <w:r>
        <w:rPr>
          <w:rFonts w:ascii="Times New Roman;serif" w:hAnsi="Times New Roman;serif"/>
          <w:b w:val="false"/>
          <w:sz w:val="20"/>
        </w:rPr>
        <w:t>million. The transaction price is recognized as revenue using the cost-based input method over the estimated period of its non-contingent research and development obligations, which is approximately two years.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2023, the Company recognized $2.2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as collaboration revenue, respectively, all of which related to activities satisfied in the current period. As of June 30, 2023, deferred revenue was $10.9</w:t>
      </w:r>
      <w:r>
        <w:rPr>
          <w:rFonts w:ascii="Times New Roman" w:hAnsi="Times New Roman"/>
          <w:sz w:val="20"/>
        </w:rPr>
        <w:t xml:space="preserve"> </w:t>
      </w:r>
      <w:r>
        <w:rPr>
          <w:rFonts w:ascii="Times New Roman;serif" w:hAnsi="Times New Roman;serif"/>
          <w:b w:val="false"/>
          <w:sz w:val="20"/>
        </w:rPr>
        <w:t>million, of which $8.1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was current.</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8. Capital Structure</w:t>
      </w:r>
    </w:p>
    <w:p>
      <w:pPr>
        <w:pStyle w:val="TextBody"/>
        <w:bidi w:val="0"/>
        <w:spacing w:before="120" w:after="0"/>
        <w:jc w:val="left"/>
        <w:rPr>
          <w:rFonts w:ascii="Times New Roman" w:hAnsi="Times New Roman"/>
          <w:sz w:val="20"/>
        </w:rPr>
      </w:pPr>
      <w:r>
        <w:rPr>
          <w:rFonts w:ascii="Times New Roman;serif" w:hAnsi="Times New Roman;serif"/>
          <w:b/>
          <w:sz w:val="20"/>
        </w:rPr>
        <w:t>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the Company was authorized to issue 200,000,000</w:t>
      </w:r>
      <w:r>
        <w:rPr>
          <w:rFonts w:ascii="Times New Roman" w:hAnsi="Times New Roman"/>
          <w:sz w:val="20"/>
        </w:rPr>
        <w:t xml:space="preserve"> </w:t>
      </w:r>
      <w:r>
        <w:rPr>
          <w:rFonts w:ascii="Times New Roman;serif" w:hAnsi="Times New Roman;serif"/>
          <w:b w:val="false"/>
          <w:sz w:val="20"/>
        </w:rPr>
        <w:t>shares of Common Stock $0.0001</w:t>
      </w:r>
      <w:r>
        <w:rPr>
          <w:rFonts w:ascii="Times New Roman" w:hAnsi="Times New Roman"/>
          <w:sz w:val="20"/>
        </w:rPr>
        <w:t xml:space="preserve"> </w:t>
      </w:r>
      <w:r>
        <w:rPr>
          <w:rFonts w:ascii="Times New Roman;serif" w:hAnsi="Times New Roman;serif"/>
          <w:b w:val="false"/>
          <w:sz w:val="20"/>
        </w:rPr>
        <w:t>par value per share. Holders of Common Stock are entitled to dividends if and when declared by the board of directors of the Company (“Board of Directors”). The holder of each share of Common Stock is entitled to one vote. As of June 30, 2023, no</w:t>
      </w:r>
      <w:r>
        <w:rPr>
          <w:rFonts w:ascii="Times New Roman" w:hAnsi="Times New Roman"/>
          <w:sz w:val="20"/>
        </w:rPr>
        <w:t xml:space="preserve"> </w:t>
      </w:r>
      <w:r>
        <w:rPr>
          <w:rFonts w:ascii="Times New Roman;serif" w:hAnsi="Times New Roman;serif"/>
          <w:b w:val="false"/>
          <w:sz w:val="20"/>
        </w:rPr>
        <w:t>dividends were declared.</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Shares reserved for future issuance</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Common Stock reserved for future issuance, on an as converted basis, consisted of the following:</w:t>
      </w:r>
    </w:p>
    <w:tbl>
      <w:tblPr>
        <w:tblW w:w="9602" w:type="dxa"/>
        <w:jc w:val="left"/>
        <w:tblInd w:w="0" w:type="dxa"/>
        <w:tblLayout w:type="fixed"/>
        <w:tblCellMar>
          <w:top w:w="28" w:type="dxa"/>
          <w:left w:w="28" w:type="dxa"/>
          <w:bottom w:w="28" w:type="dxa"/>
          <w:right w:w="28" w:type="dxa"/>
        </w:tblCellMar>
      </w:tblPr>
      <w:tblGrid>
        <w:gridCol w:w="6496"/>
        <w:gridCol w:w="146"/>
        <w:gridCol w:w="146"/>
        <w:gridCol w:w="1036"/>
        <w:gridCol w:w="146"/>
        <w:gridCol w:w="146"/>
        <w:gridCol w:w="148"/>
        <w:gridCol w:w="947"/>
        <w:gridCol w:w="391"/>
      </w:tblGrid>
      <w:tr>
        <w:trPr/>
        <w:tc>
          <w:tcPr>
            <w:tcW w:w="6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4,166,194</w:t>
            </w:r>
          </w:p>
        </w:tc>
        <w:tc>
          <w:tcPr>
            <w:tcW w:w="391" w:type="dxa"/>
            <w:tcBorders/>
            <w:vAlign w:val="center"/>
          </w:tcPr>
          <w:p>
            <w:pPr>
              <w:pStyle w:val="TableContents"/>
              <w:bidi w:val="0"/>
              <w:spacing w:before="0" w:after="0"/>
              <w:ind w:left="0" w:right="0" w:hanging="0"/>
              <w:jc w:val="left"/>
              <w:rPr/>
            </w:pPr>
            <w:r>
              <w:rPr/>
              <w:t> </w:t>
            </w:r>
          </w:p>
        </w:tc>
      </w:tr>
      <w:tr>
        <w:trPr/>
        <w:tc>
          <w:tcPr>
            <w:tcW w:w="6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issued and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2,707,975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1,996,128</w:t>
            </w:r>
          </w:p>
        </w:tc>
        <w:tc>
          <w:tcPr>
            <w:tcW w:w="391" w:type="dxa"/>
            <w:tcBorders/>
            <w:vAlign w:val="center"/>
          </w:tcPr>
          <w:p>
            <w:pPr>
              <w:pStyle w:val="TableContents"/>
              <w:bidi w:val="0"/>
              <w:spacing w:before="0" w:after="0"/>
              <w:ind w:left="0" w:right="0" w:hanging="0"/>
              <w:jc w:val="left"/>
              <w:rPr/>
            </w:pPr>
            <w:r>
              <w:rPr/>
              <w:t> </w:t>
            </w:r>
          </w:p>
        </w:tc>
      </w:tr>
      <w:tr>
        <w:trPr/>
        <w:tc>
          <w:tcPr>
            <w:tcW w:w="6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2020 Equity Incentive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940,061</w:t>
            </w:r>
          </w:p>
        </w:tc>
        <w:tc>
          <w:tcPr>
            <w:tcW w:w="391" w:type="dxa"/>
            <w:tcBorders/>
            <w:vAlign w:val="center"/>
          </w:tcPr>
          <w:p>
            <w:pPr>
              <w:pStyle w:val="TableContents"/>
              <w:bidi w:val="0"/>
              <w:spacing w:before="0" w:after="0"/>
              <w:ind w:left="0" w:right="0" w:hanging="0"/>
              <w:jc w:val="left"/>
              <w:rPr/>
            </w:pPr>
            <w:r>
              <w:rPr/>
              <w:t> </w:t>
            </w:r>
          </w:p>
        </w:tc>
      </w:tr>
      <w:tr>
        <w:trPr/>
        <w:tc>
          <w:tcPr>
            <w:tcW w:w="6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2020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734,845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601,819</w:t>
            </w:r>
          </w:p>
        </w:tc>
        <w:tc>
          <w:tcPr>
            <w:tcW w:w="391" w:type="dxa"/>
            <w:tcBorders/>
            <w:vAlign w:val="center"/>
          </w:tcPr>
          <w:p>
            <w:pPr>
              <w:pStyle w:val="TableContents"/>
              <w:bidi w:val="0"/>
              <w:spacing w:before="0" w:after="0"/>
              <w:ind w:left="0" w:right="0" w:hanging="0"/>
              <w:jc w:val="left"/>
              <w:rPr/>
            </w:pPr>
            <w:r>
              <w:rPr/>
              <w:t> </w:t>
            </w:r>
          </w:p>
        </w:tc>
      </w:tr>
      <w:tr>
        <w:trPr/>
        <w:tc>
          <w:tcPr>
            <w:tcW w:w="6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Warrants, issued and outstanding</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shares reserved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21,566,236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7,704,202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sz w:val="20"/>
        </w:rPr>
      </w:pPr>
      <w:r>
        <w:rPr>
          <w:rFonts w:ascii="Times New Roman;serif" w:hAnsi="Times New Roman;serif"/>
          <w:b/>
          <w:sz w:val="20"/>
        </w:rPr>
        <w:t>Common Stock Warrants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2023, the Company entered into the Purchase Agreement with the Purchasers, pursuant to which the Company agreed to sell and issue (i) 16,116,000</w:t>
      </w:r>
      <w:r>
        <w:rPr>
          <w:rFonts w:ascii="Times New Roman" w:hAnsi="Times New Roman"/>
          <w:sz w:val="20"/>
        </w:rPr>
        <w:t xml:space="preserve"> </w:t>
      </w:r>
      <w:r>
        <w:rPr>
          <w:rFonts w:ascii="Times New Roman;serif" w:hAnsi="Times New Roman;serif"/>
          <w:b w:val="false"/>
          <w:sz w:val="20"/>
        </w:rPr>
        <w:t>shares of Common Stock, (ii) Pre-Funded Warrants to purchase 800,000</w:t>
      </w:r>
      <w:r>
        <w:rPr>
          <w:rFonts w:ascii="Times New Roman" w:hAnsi="Times New Roman"/>
          <w:sz w:val="20"/>
        </w:rPr>
        <w:t xml:space="preserve"> </w:t>
      </w:r>
      <w:r>
        <w:rPr>
          <w:rFonts w:ascii="Times New Roman;serif" w:hAnsi="Times New Roman;serif"/>
          <w:b w:val="false"/>
          <w:sz w:val="20"/>
        </w:rPr>
        <w:t>shares of Common Stock to a Purchaser and (iii) 12,687,000</w:t>
      </w:r>
      <w:r>
        <w:rPr>
          <w:rFonts w:ascii="Times New Roman" w:hAnsi="Times New Roman"/>
          <w:sz w:val="20"/>
        </w:rPr>
        <w:t xml:space="preserve"> </w:t>
      </w:r>
      <w:r>
        <w:rPr>
          <w:rFonts w:ascii="Times New Roman;serif" w:hAnsi="Times New Roman;serif"/>
          <w:b w:val="false"/>
          <w:sz w:val="20"/>
        </w:rPr>
        <w:t>Standard Warrants to purchase Common Stock in the Private Placement.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Pre-Funded Warrants have an exercise price of $0.01</w:t>
      </w:r>
      <w:r>
        <w:rPr>
          <w:rFonts w:ascii="Times New Roman" w:hAnsi="Times New Roman"/>
          <w:sz w:val="20"/>
        </w:rPr>
        <w:t xml:space="preserve"> </w:t>
      </w:r>
      <w:r>
        <w:rPr>
          <w:rFonts w:ascii="Times New Roman;serif" w:hAnsi="Times New Roman;serif"/>
          <w:b w:val="false"/>
          <w:sz w:val="20"/>
        </w:rPr>
        <w:t>per share and the Standard Warrants have an exercise price of $3.96</w:t>
      </w:r>
      <w:r>
        <w:rPr>
          <w:rFonts w:ascii="Times New Roman" w:hAnsi="Times New Roman"/>
          <w:sz w:val="20"/>
        </w:rPr>
        <w:t xml:space="preserve"> </w:t>
      </w:r>
      <w:r>
        <w:rPr>
          <w:rFonts w:ascii="Times New Roman;serif" w:hAnsi="Times New Roman;serif"/>
          <w:b w:val="false"/>
          <w:sz w:val="20"/>
        </w:rPr>
        <w:t>per share, in each case subject to proportional adjustments in the event of stock splits or combinations or similar events. The Warrants will be exercisable for a period of five years following the date of issuance. The Warrants were recorded as a component of stockholders’ equity within additional paid-in-capital.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June 30, 2023, all of the Pre-Funded Warrants were exercised for 800,000</w:t>
      </w:r>
      <w:r>
        <w:rPr>
          <w:rFonts w:ascii="Times New Roman" w:hAnsi="Times New Roman"/>
          <w:sz w:val="20"/>
        </w:rPr>
        <w:t xml:space="preserve"> </w:t>
      </w:r>
      <w:r>
        <w:rPr>
          <w:rFonts w:ascii="Times New Roman;serif" w:hAnsi="Times New Roman;serif"/>
          <w:b w:val="false"/>
          <w:sz w:val="20"/>
        </w:rPr>
        <w:t>shares of Common Stock. As of June 30, 2023, no</w:t>
      </w:r>
      <w:r>
        <w:rPr>
          <w:rFonts w:ascii="Times New Roman" w:hAnsi="Times New Roman"/>
          <w:sz w:val="20"/>
        </w:rPr>
        <w:t xml:space="preserve"> </w:t>
      </w:r>
      <w:r>
        <w:rPr>
          <w:rFonts w:ascii="Times New Roman;serif" w:hAnsi="Times New Roman;serif"/>
          <w:b w:val="false"/>
          <w:sz w:val="20"/>
        </w:rPr>
        <w:t>Pre-Funded Warrants remained outstanding. The Pre-Funded Warrants are included in the weighted-average number of shares of Common Stock used to calculate basic and diluted net loss per share attributable to common stockholders (see Note 10).</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9. Stock-Based Compensation Expense</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summarizes the components of stock-based compensation expense recognized in the Company’s condensed statements of operations and comprehensive loss during the three and six months ended June 30, 2023 and 2022 (in thousands):</w:t>
      </w:r>
      <w:r>
        <w:rPr>
          <w:rFonts w:ascii="Times New Roman" w:hAnsi="Times New Roman"/>
          <w:sz w:val="20"/>
        </w:rPr>
        <w:t xml:space="preserve"> </w:t>
      </w:r>
    </w:p>
    <w:tbl>
      <w:tblPr>
        <w:tblW w:w="8611" w:type="dxa"/>
        <w:jc w:val="left"/>
        <w:tblInd w:w="0" w:type="dxa"/>
        <w:tblLayout w:type="fixed"/>
        <w:tblCellMar>
          <w:top w:w="28" w:type="dxa"/>
          <w:left w:w="28" w:type="dxa"/>
          <w:bottom w:w="28" w:type="dxa"/>
          <w:right w:w="28" w:type="dxa"/>
        </w:tblCellMar>
      </w:tblPr>
      <w:tblGrid>
        <w:gridCol w:w="3451"/>
        <w:gridCol w:w="146"/>
        <w:gridCol w:w="280"/>
        <w:gridCol w:w="758"/>
        <w:gridCol w:w="193"/>
        <w:gridCol w:w="193"/>
        <w:gridCol w:w="280"/>
        <w:gridCol w:w="559"/>
        <w:gridCol w:w="146"/>
        <w:gridCol w:w="146"/>
        <w:gridCol w:w="235"/>
        <w:gridCol w:w="637"/>
        <w:gridCol w:w="162"/>
        <w:gridCol w:w="162"/>
        <w:gridCol w:w="235"/>
        <w:gridCol w:w="637"/>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3" w:type="dxa"/>
            <w:tcBorders/>
            <w:vAlign w:val="center"/>
          </w:tcPr>
          <w:p>
            <w:pPr>
              <w:pStyle w:val="TableContents"/>
              <w:bidi w:val="0"/>
              <w:spacing w:before="0" w:after="0"/>
              <w:ind w:left="0" w:right="0" w:hanging="0"/>
              <w:jc w:val="center"/>
              <w:rPr/>
            </w:pPr>
            <w:r>
              <w:rPr/>
              <w:t> </w:t>
            </w:r>
          </w:p>
        </w:tc>
        <w:tc>
          <w:tcPr>
            <w:tcW w:w="8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center"/>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w:t>
            </w:r>
          </w:p>
        </w:tc>
        <w:tc>
          <w:tcPr>
            <w:tcW w:w="193"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790</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w:t>
            </w:r>
          </w:p>
        </w:tc>
        <w:tc>
          <w:tcPr>
            <w:tcW w:w="3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1,489</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5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1,219</w:t>
            </w:r>
          </w:p>
        </w:tc>
        <w:tc>
          <w:tcPr>
            <w:tcW w:w="1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2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2,279</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sz w:val="20"/>
        </w:rPr>
        <w:t>Restricted Stock Units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During the six months ended June 30, 2023, the Company granted 816,850</w:t>
      </w:r>
      <w:r>
        <w:rPr>
          <w:rFonts w:ascii="Times New Roman" w:hAnsi="Times New Roman"/>
          <w:sz w:val="20"/>
        </w:rPr>
        <w:t xml:space="preserve"> </w:t>
      </w:r>
      <w:r>
        <w:rPr>
          <w:rFonts w:ascii="Times New Roman;serif" w:hAnsi="Times New Roman;serif"/>
          <w:b w:val="false"/>
          <w:sz w:val="20"/>
        </w:rPr>
        <w:t>restricted stock units (“RSUs”) with a weighted-average grant date fair value of $2.54</w:t>
      </w:r>
      <w:r>
        <w:rPr>
          <w:rFonts w:ascii="Times New Roman" w:hAnsi="Times New Roman"/>
          <w:sz w:val="20"/>
        </w:rPr>
        <w:t xml:space="preserve"> </w:t>
      </w:r>
      <w:r>
        <w:rPr>
          <w:rFonts w:ascii="Times New Roman;serif" w:hAnsi="Times New Roman;serif"/>
          <w:b w:val="false"/>
          <w:sz w:val="20"/>
        </w:rPr>
        <w:t>per unit. RSU grants in the period included 186,750</w:t>
      </w:r>
      <w:r>
        <w:rPr>
          <w:rFonts w:ascii="Times New Roman" w:hAnsi="Times New Roman"/>
          <w:sz w:val="20"/>
        </w:rPr>
        <w:t xml:space="preserve"> </w:t>
      </w:r>
      <w:r>
        <w:rPr>
          <w:rFonts w:ascii="Times New Roman;serif" w:hAnsi="Times New Roman;serif"/>
          <w:b w:val="false"/>
          <w:sz w:val="20"/>
        </w:rPr>
        <w:t>RSUs subject to performance-based vesting conditions related to the satisfaction of certain clinical development milestones. As of June 30, 2023, the Company had 1,194,875</w:t>
      </w:r>
      <w:r>
        <w:rPr>
          <w:rFonts w:ascii="Times New Roman" w:hAnsi="Times New Roman"/>
          <w:sz w:val="20"/>
        </w:rPr>
        <w:t xml:space="preserve"> </w:t>
      </w:r>
      <w:r>
        <w:rPr>
          <w:rFonts w:ascii="Times New Roman;serif" w:hAnsi="Times New Roman;serif"/>
          <w:b w:val="false"/>
          <w:sz w:val="20"/>
        </w:rPr>
        <w:t>RSUs outstanding subject to performance-based vesting conditions, of which 125,063</w:t>
      </w:r>
      <w:r>
        <w:rPr>
          <w:rFonts w:ascii="Times New Roman" w:hAnsi="Times New Roman"/>
          <w:sz w:val="20"/>
        </w:rPr>
        <w:t xml:space="preserve"> </w:t>
      </w:r>
      <w:r>
        <w:rPr>
          <w:rFonts w:ascii="Times New Roman;serif" w:hAnsi="Times New Roman;serif"/>
          <w:b w:val="false"/>
          <w:sz w:val="20"/>
        </w:rPr>
        <w:t>RSUs are considered probable of achievement.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10. Net Loss Per Share</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(23,635</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744"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shares of Common Stock outstanding</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40,547,925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23,493,613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36,247,931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23,492,960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4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9089" w:type="dxa"/>
        <w:jc w:val="left"/>
        <w:tblInd w:w="0" w:type="dxa"/>
        <w:tblLayout w:type="fixed"/>
        <w:tblCellMar>
          <w:top w:w="28" w:type="dxa"/>
          <w:left w:w="28" w:type="dxa"/>
          <w:bottom w:w="28" w:type="dxa"/>
          <w:right w:w="28" w:type="dxa"/>
        </w:tblCellMar>
      </w:tblPr>
      <w:tblGrid>
        <w:gridCol w:w="6001"/>
        <w:gridCol w:w="146"/>
        <w:gridCol w:w="146"/>
        <w:gridCol w:w="1036"/>
        <w:gridCol w:w="146"/>
        <w:gridCol w:w="146"/>
        <w:gridCol w:w="146"/>
        <w:gridCol w:w="931"/>
        <w:gridCol w:w="3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subject to outstanding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4,292,447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3,954,980</w:t>
            </w:r>
          </w:p>
        </w:tc>
        <w:tc>
          <w:tcPr>
            <w:tcW w:w="391" w:type="dxa"/>
            <w:tcBorders/>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subject to outstanding RSUs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2,707,975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425,853</w:t>
            </w:r>
          </w:p>
        </w:tc>
        <w:tc>
          <w:tcPr>
            <w:tcW w:w="391" w:type="dxa"/>
            <w:tcBorders/>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Estimated shares issuable under the 2020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138,365</w:t>
            </w:r>
          </w:p>
        </w:tc>
        <w:tc>
          <w:tcPr>
            <w:tcW w:w="391" w:type="dxa"/>
            <w:tcBorders/>
            <w:vAlign w:val="center"/>
          </w:tcPr>
          <w:p>
            <w:pPr>
              <w:pStyle w:val="TableContents"/>
              <w:bidi w:val="0"/>
              <w:spacing w:before="0" w:after="0"/>
              <w:ind w:left="0" w:right="0" w:hanging="0"/>
              <w:jc w:val="left"/>
              <w:rPr/>
            </w:pPr>
            <w:r>
              <w:rPr/>
              <w:t> </w:t>
            </w:r>
          </w:p>
        </w:tc>
      </w:tr>
      <w:tr>
        <w:trPr/>
        <w:tc>
          <w:tcPr>
            <w:tcW w:w="60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subject to outstanding Standard Warrants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12,687,000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0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19,958,430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4,519,198</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You should read the following discussion and analysis of our financial condition and results of operations in conjunction with our unaudited condensed financial statements and the related notes to those statements included elsewhere in this Quarterly Report on Form 10-Q and our audited financial statements and notes thereto and the related Management’s Discussion and Analysis of Financial Condition and Results of Operations included in our Annual Report on Form 10-K for the year ended December 31, 2022 filed with the Securities and Exchange Commission (“SEC”) on March 16, 2023 (the “Annual Report”). Unless otherwise indicated, all references in this Quarterly Report on Form 10-Q to “Spruce,” the “company,” “we,” “our,” “us” or similar terms refer to Spruce Biosciences, Inc.</w:t>
      </w:r>
    </w:p>
    <w:p>
      <w:pPr>
        <w:pStyle w:val="TextBody"/>
        <w:bidi w:val="0"/>
        <w:spacing w:before="120" w:after="0"/>
        <w:jc w:val="left"/>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 addition to historical financial information, this Quarterly Report on Form 10-Q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late-stage biopharmaceutical company focused on developing and commercializing novel therapies for rare endocrine disorders with significant unmet medical need. We are initially developing our wholly-owned product candidate, tildacerfont, as the potential first non-steroidal therapy to offer markedly improved disease control and reduce steroid burden for patients suffering from classic congenital adrenal hyperplasia (“CAH”). Classic CAH is a serious and life-threatening disease with no known novel therapies approved in approximately 70 years. In a 12-week Phase 2a proof-of-concept clinical trial, tildacerfont-treated adult patients suffering from classic CAH who had elevated adrenal hormones at baseline despite being on standard of care therapy achieved approximately 80% reductions in hormones that are key indicators of elevated adrenal hormones at baseline. Furthermore, over 200 subjects across eight completed clinical trials to date have been administered tildacerfont with no drug-related serious adverse events (“SAEs”) reported.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initiated CAHmelia-203, a placebo-controlled, double-blind Phase 2b clinical trial in adult patients with classic CAH with highly elevated levels of androstenedione (“A4”) at baseline and anticipate topline results in the second half of 2023. Enrollment in the CAHmelia-203 trial has recently surpassed 75%. We have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 Enrollment in CAHmelia-204 is approaching 75% enrollment. Based on post-hoc analyses of our clinical data to date, we have chosen to target two distinct groups of classic CAH patients with either supraphysiologic doses of glucocorticoids with normal or near normal levels of A4 at baseline or highly elevated levels of A4 at baseline. These two groups, which together make up the entire classic CAH patient population, have differing disease challenges centered on excessive adrenal androgen levels or excessive glucocorticoid usage, both of which have the potential to be addressed by treatment with tildacerfont, if approved. We believe our strategy to study CAH patients in these two enriched sub-populations may enable us to observe clinically meaningful outcomes. Additionally, we believe these two clinical trials will provide sufficient patient exposures for our registrational safety database, which are designed to potentially support registration in the United States and Europe. Assuming positive results from these clinical trials, we plan to meet with the U.S. Food and Drug Administration (“FDA”) and certain comparable foreign regulatory authorities to discuss potential registration.</w:t>
      </w:r>
    </w:p>
    <w:p>
      <w:pPr>
        <w:pStyle w:val="TextBody"/>
        <w:bidi w:val="0"/>
        <w:spacing w:before="120" w:after="0"/>
        <w:jc w:val="left"/>
        <w:rPr>
          <w:rFonts w:ascii="Times New Roman" w:hAnsi="Times New Roman"/>
          <w:sz w:val="20"/>
        </w:rPr>
      </w:pPr>
      <w:r>
        <w:rPr>
          <w:rFonts w:ascii="Times New Roman;serif" w:hAnsi="Times New Roman;serif"/>
          <w:b w:val="false"/>
          <w:sz w:val="20"/>
        </w:rPr>
        <w:t>We are also investigating tildacerfont for the treatment of classic CAH in children. We believe there is a significant medical need to provide androgen-lowering and glucocorticoid-sparing therapies to pediatric classic CAH patients to reduce the risk of premature puberty and the adverse effects of glucocorticoids, including growth inhibition and short-stature as adults. We have initiated CAHptain, a Phase 2 open-label clinical trial, which will utilize a sequential three cohort design, to evaluate the safety, efficacy, and pharmacokinetics of tildacerfont in children two to 17 years of age with classic CAH. Cohort 1 of the trial is fully enrolled, Cohort 2 enrollment is nearly complete and screening for Cohort 3 is underway. We anticipate topline data from adolescents (cohorts 1 and 2) of the Phase 2 open-label clinical trial in the second half of 2023. We have also submitted a pediatric investigational plan (“PIP”) to the Pediatric Committee (“PDCO”) of the European Medicines Agency (“EMA”) regarding a registrational program in children with classic CAH. PDCO issued an opinion on its agreement with the proposed PIP of tildacerfont for the treatment of CAH which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endorsed the clinical program to evaluate the safety, tolerability and efficacy of tildacerfont for the treatment of CAH in patients from one year of age to less than 18 years of age. PDCO also granted a waiver for the treatment of CAH in patients less than one year of age.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Beyond classic CAH, we believe tildacerfont has potential utility in polycystic ovary syndrome (“PCOS”), and in a range of diseases where the underlying biology supports a need to reduce excess secretion of or hyperresponsiveness to adrenocorticotropic hormone (“ACTH”). PCOS is a hormonal disorder common among females of reproductive age affecting nearly five million females in the United States and approximately 115 million females worldwide. PCOS is characterized by elevated levels of androgens, cysts in the ovaries, and irregular periods. We believe that tildacerfont may present a novel mechanism to reduce ACTH and provide a therapeutic option for females with PCOS. By leveraging our existing Phase 1 program, which includes safety, tolerability, and pharmacokinetics of tildacerfont, we have initiated POWER, a Phase 2 proof-of-concept,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the study drug and single event occurrences. No serious adverse reactions or dose toxicities were observed, and there was no evidence of adrenal insufficiency.</w:t>
      </w:r>
    </w:p>
    <w:p>
      <w:pPr>
        <w:pStyle w:val="TextBody"/>
        <w:bidi w:val="0"/>
        <w:spacing w:before="120" w:after="0"/>
        <w:jc w:val="left"/>
        <w:rPr>
          <w:rFonts w:ascii="Times New Roman" w:hAnsi="Times New Roman"/>
          <w:sz w:val="20"/>
        </w:rPr>
      </w:pPr>
      <w:r>
        <w:rPr>
          <w:rFonts w:ascii="Times New Roman;serif" w:hAnsi="Times New Roman;serif"/>
          <w:b w:val="false"/>
          <w:sz w:val="20"/>
        </w:rPr>
        <w:t>Since our inception in November 2014, we have focused primarily on raising capital, establishing and protecting our intellectual property portfolio, organizing and staffing our company, business planning, and conducting preclinical and clinical development of, and manufacturing development for, our product candidate, tildacerfont. We have no products approved for commercial sale and have not generated any product revenue to date, and we continue to incur significant research and development and other expenses related to our ongoing operations. Our ability to generate product revenue sufficient to achieve profitability, if ever, will depend on the successful development of tildacerfont and any future product candidates.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build a highly specialized commercial organization to support the commercialization of tildacerfont, if approved, in the United States. Given a relatively small number of endocrinologists and specialists treat a large proportion of patients with classic CAH, we believe this market can be effectively addressed with a modest-sized targeted commercial sales force, alongside various high-touch patient initiatives. If tildacerfont is approved for additional indications, we plan to leverage our rare disorder commercial infrastructure and expertise to efficiently address those patient populations. We will seek strategic collaborations to benefit from the resources of biopharmaceutical companies specialized in either relevant disease areas or geographies in markets outside the United States. In January 2023, we and Kaken Pharmaceutical Co. Ltd. (“Kaken”) entered into an exclusive licensing agreement for the development and commercialization of tildacerfont for the treatment of CAH in Japan (the “Kaken License Agreement”). Under the terms of the Kaken License Agreement, we received an upfront payment of $15.0 million from Kaken in April 2023 and will be eligible to receive additional payments upon the achievement of future development and commercial milestones, as well as tiered double-digit royalties on net sales in Japan. Kaken will be responsible for the clinical development and commercialization of tildacerfont in Japan, and we will retain all rights to tildacerfont in all other geographies. Kaken will also be responsible for securing and maintaining regulatory approvals necessary to market and sell tildacerfont in Japan.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and expect to continue to rely, on third parties for the manufacture of tildacerfont for preclinical studies and clinical trials, as well as for commercial manufacture if tildacerfont obtains marketing approval. We also rely, and expect to continue to rely, on third parties to package, label, store, and distribute tildacerfont,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inception, we have incurred significant losses and negative cash flows from operations. During the six months ended June 30, 2023 and 2022, we incurred net losses of $25.6 million and $23.6 million, respectively, and used $9.8 million and $21.4 million of cash in operations, respectively. As of June 30, 2023 and December 31, 2022, we had an accumulated deficit of $174.9 million and $149.3 million, respectively, and we do not expect positive cash flows from operations for the foreseeable future. We expect to continue to incur significant and increasing losses for the foreseeable future, and our net losses may fluctuate significantly from period to period, depending on the timing of expenditures on our planned research and development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2020, we consummated our initial public offering (“IPO”) and issued 6,900,000 shares of common stock for net proceeds of $93.4 million, after deducting underwriting discounts and commissions and offering expenses. Since inception through June 30, 2023,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the $15.0 million upfront payment from Kaken received in April 2023. As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June 30, 2023 and December 31, 2022, we had cash, cash equivalents and investments of $120.5 million and $79.1 million, respectively.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based on our current operating plan, that our cash, cash equivalents and investments as of June 30, 2023 will be sufficient to fund our operations and debt obligations for at least 12 months following the issuance date of our financial statements included elsewhere in this Quarterly Report. We have based this projection on assumptions that may be inaccurate and as a result, we may utilize our capital resources sooner than we expect. We expect our expenses will increase significantly in connection with our ongoing activities,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advance tildacerfont through our ongoing Phase 2b clinical trials in adult patients with classic CAH;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advance clinical development of tildacerfont in additional indications, including pediatric classic CAH and PCOS;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pursue regulatory approvals of tildacerfont in patients with classic CAH and PCOS;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build a highly specialized commercial organization to support the commercialization of tildacerfont, if approved, in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strategic collaborations to benefit from the resources of biopharmaceutical companies specialized in either relevant disease areas or geographies in markets outside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 additional indications and formulations for which to investigate tildacerfont in the future and expand our pipeline of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implement operational, financial, and management information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hire additional personnel;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obtain, maintain, expand, and protect our intellectual property portfolio.</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U.S. Securities and Exchange Commission (“SEC”) declared effective a registration statement on Form S-3 (the “Shelf Registration”), covering the sale of up to $200.0 million of our securities. Also, in February 2022, we entered into an Open Market Sales Agreement</w:t>
      </w:r>
      <w:r>
        <w:rPr>
          <w:rFonts w:ascii="Times New Roman;serif" w:hAnsi="Times New Roman;serif"/>
          <w:b w:val="false"/>
          <w:sz w:val="13"/>
        </w:rPr>
        <w:t>SM</w:t>
      </w:r>
      <w:r>
        <w:rPr>
          <w:rFonts w:ascii="Times New Roman" w:hAnsi="Times New Roman"/>
          <w:sz w:val="20"/>
        </w:rPr>
        <w:t xml:space="preserve"> </w:t>
      </w:r>
      <w:r>
        <w:rPr>
          <w:rFonts w:ascii="Times New Roman;serif" w:hAnsi="Times New Roman;serif"/>
          <w:b w:val="false"/>
          <w:sz w:val="20"/>
        </w:rPr>
        <w:t>(the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June 30, 2023, we have not issued any shares of common stock under the 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Global economic and business activities continue to face widespread macroeconomic uncertainties, including recent and potential future disruptions in access to bank deposits or lending commitments due to bank failures, labor shortages, inflation and monetary supply shifts, recession risks and potential disruptions from the ongoing Russia-Ukraine conflict and related sanctions.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of the impact of these factors on our operational and financial performance, including our ability to execute our business strategies and initiatives in the expected time frame, will depend on future developments, which are uncertain and cannot be predicted; however, any continued or renewed disruption resulting from these factors could negatively impact our business.</w:t>
      </w:r>
    </w:p>
    <w:p>
      <w:pPr>
        <w:pStyle w:val="TextBody"/>
        <w:bidi w:val="0"/>
        <w:spacing w:before="120" w:after="0"/>
        <w:jc w:val="left"/>
        <w:rPr>
          <w:rFonts w:ascii="Times New Roman" w:hAnsi="Times New Roman"/>
          <w:sz w:val="20"/>
        </w:rPr>
      </w:pPr>
      <w:r>
        <w:rPr>
          <w:rFonts w:ascii="Times New Roman;serif" w:hAnsi="Times New Roman;serif"/>
          <w:b/>
          <w:sz w:val="20"/>
        </w:rPr>
        <w:t>Material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License Agreement with Eli Lilly and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2016, we entered into a license agreement (the “Lilly License Agreement”) with Eli Lilly and Company (“Lilly”). Pursuant to the terms of the Lilly License Agreement, Lilly granted us an exclusive, worldwide, royalty bearing, sublicensable license under certain technology, patent rights, know-how, and proprietary materials, which we refer to collectively as the “Lilly IP”, and such patents (the “Lilly Licensed Patents”), relating to the CRF1 receptor antagonist compounds either listed in the Lilly License Agreement or covered by patent rights controlled by Lilly, which we refer to collectively as the “Lilly Compounds”, to research, develop, commercialize, make, have made, use, sell, offer to sell, and import the Lilly Compounds and any products containing a Lilly Compound, including any products containing a Lilly Compound and one or more additional active pharmaceutical ingredients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(“APIs”) other than a Lilly Compound, which we refer to collectively as the “Lilly Licensed Products”, for all pharmaceutical uses, including all diagnostic, therapeutic, and prophylactic uses, for human or animal administration. Lilly retained rights under the Lilly IP and the Lilly Licensed Patents for internal research purposes.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partial consideration for the rights granted to us under the Lilly License Agreement, we made a one-time upfront payment to Lilly of $0.8 million. We are also required to pay Lilly up to an aggregate of $23.0 million upon the achievement, during the time the Lilly License Agreement remains in effect, of certain milestones relating to the clinical development and commercial sales of the Lilly Licensed Products. Such payments are for predetermined fixed amounts, are paid only upon the first occurrence of each such event and are due shortly after achieving the applicable milestone. In addition, we are required to pay Lilly tiered royalties on annual worldwide net sales of Lilly Licensed Products, with rates ranging from mid-single-digits to sub-teens (the “Lilly Royalties”). The Lilly Royalties shall commence on a country-by-country basis on the date of the first commercial sale of Lilly Licensed Product in such country, and shall expire on a country-by-country basis on the latest of the following dates: (i) the tenth anniversary of the date of first commercial sale in such country, (ii) the expiration in such country of the last-to-expire Lilly Licensed Patent having a valid claim covering the manufacture, use, or sale of the Lilly Licensed Product as commercialized in such country, and (iii) the expiration of any data or regulatory exclusivity period for the Lilly Licensed Product in such country. Upon such expiration, the license granted to us with respect to such country shall become fully paid-up, royalty-free, perpetual and irrevocable. In addition, the Lilly Royalties may be reduced upon the occurrence of certain events.</w:t>
      </w:r>
    </w:p>
    <w:p>
      <w:pPr>
        <w:pStyle w:val="TextBody"/>
        <w:bidi w:val="0"/>
        <w:spacing w:before="120" w:after="0"/>
        <w:jc w:val="left"/>
        <w:rPr>
          <w:rFonts w:ascii="Times New Roman" w:hAnsi="Times New Roman"/>
          <w:sz w:val="20"/>
        </w:rPr>
      </w:pPr>
      <w:r>
        <w:rPr>
          <w:rFonts w:ascii="Times New Roman;serif" w:hAnsi="Times New Roman;serif"/>
          <w:b/>
          <w:i/>
          <w:sz w:val="20"/>
        </w:rPr>
        <w:t>License Agreement with Kaken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5, 2023, we entered into the Kaken License Agreement with Kaken. Under the terms of the Kaken License Agreement, we granted to Kaken the exclusive right to develop, manufacture and commercialize our product candidate, tildacerfont, for the treatment of CAH in Japan. Pursuant to the Kaken License Agreement, Kaken will be responsible for securing and maintaining regulatory approvals necessary to commercialize tildacerfont in Japan. We will retain all rights to tildacerfont in all other geographies.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also granted to Kaken a right of first negotiation with respect to the development, manufacturing and commercialization of tildacerfont for CAH in China (including Hong Kong, Taiwan, and Macau), South Korea and other specified southeastern Asian countries, and for indications other than CAH.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Kaken License Agreement, Kaken made an upfront payment to us of $15.0 million in April 2023. In addition to the upfront payment, we are entitled to receive up to an aggregate of approximately $65.0 million (at exchange rates in effect on the date of the Kaken License Agreement) upon the achievement of specified milestones related to the development, regulatory approval and commercialization of tildacerfont in Japan, including the achievement of specified net sales thresholds, if approved. Kaken has agreed to pay us a non-creditable, non-refundable specified purchase price for each unit of Company-manufactured product supplied to Kaken for commercial sale. In addition, we will also be entitled to receive a royalty for each unit of non-Company manufactured product sold equal to a range of double-digit percentages up to the mid-twenties based on annual net sales of tildacerfont in Japan. Both the purchase price for each unit and the royalty rate are subject to reduction in certain circumstances as specified in the Kaken License Agreement. Kaken’s obligation to pay royalties will continue for ten years after the first commercial sale in Japan or, if later, until the expiration of regulatory exclusivity of tildacerfont or the expiration of the last valid claim of a Company-licensed patent covering tildacerfont in Japan (the “Royalty Term”).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agreed to supply Kaken’s clinical drug supply requirements of tildacerfont pursuant to a clinical supply agreement that the parties will consummate. During the Royalty Term, we have agreed to supply Kaken’s requirements of tildacerfont pursuant to the Kaken License Agreement and a commercial supply agreement to be entered into by the parties, though Kaken may procure alternate suppliers. Following the Royalty Term, Kaken at its option may continue to purchase Company-manufactured tildacerfont at a purchase price equal to our manufacturing cost plus a low double-digit administrative fee.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Either party may terminate the Kaken License Agreement (i) in the event the other party shall have materially breached its obligations thereunder and such default shall have continued for a specified period after written notice thereof or (ii) upon the bankruptcy or insolvency of the other party. In addition, we may terminate the Kaken License Agreement upon prior written notice if Kaken ceases all development or commercialization activities for a specified period of time, subject to certain exceptions, or (ii) challenges the validity, enforceability or scope of any of the patents licensed by us to Kaken under the Kaken License Agreement, subject to certain conditions. Kaken may terminate the Kaken License Agreement at any time for convenience upon prior written notice provided within a specified period of time to us.</w:t>
      </w:r>
    </w:p>
    <w:p>
      <w:pPr>
        <w:pStyle w:val="TextBody"/>
        <w:bidi w:val="0"/>
        <w:spacing w:before="120" w:after="0"/>
        <w:jc w:val="left"/>
        <w:rPr>
          <w:rFonts w:ascii="Times New Roman" w:hAnsi="Times New Roman"/>
          <w:sz w:val="20"/>
        </w:rPr>
      </w:pPr>
      <w:r>
        <w:rPr>
          <w:rFonts w:ascii="Times New Roman;serif" w:hAnsi="Times New Roman;serif"/>
          <w:b/>
          <w:i/>
          <w:sz w:val="20"/>
        </w:rPr>
        <w:t>Loan Agreement with Silicon Valley Bank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September 2019, we entered into a Loan and Security Agreement, as subsequently amended (the “Loan Agreement”), with SVB providing for a term loan (the “Term Loan”) for an aggregate principal amount of $4.5 million.</w:t>
      </w:r>
    </w:p>
    <w:p>
      <w:pPr>
        <w:pStyle w:val="TextBody"/>
        <w:bidi w:val="0"/>
        <w:spacing w:before="120" w:after="0"/>
        <w:jc w:val="left"/>
        <w:rPr>
          <w:rFonts w:ascii="Times New Roman" w:hAnsi="Times New Roman"/>
          <w:sz w:val="20"/>
        </w:rPr>
      </w:pPr>
      <w:r>
        <w:rPr>
          <w:rFonts w:ascii="Times New Roman;serif" w:hAnsi="Times New Roman;serif"/>
          <w:b w:val="false"/>
          <w:sz w:val="20"/>
        </w:rPr>
        <w:t>In March 2021, we entered into a First Amendment to Loan and Security Agreement (the “First Amendment”) which increased the aggregate principal amount of the Term Loan to $30.0 million, of which $20.0 million was immediately available under the first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tranche (the “First Tranche”) and $10.0 million was available under the second tranche through December 31, 2022 (the “Second Tranche”) subject to the completion of certain clinical or financial milestones. Pursuant to the First Amendment, the Term Loan will mature on January 1, 2026 (the “Maturity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2022, we entered into a Second Amendment to Loan and Security Agreement (the “Second Amendment”) which amended the milestones for the Second Tranche, added a liquidity covenant for the Second Tranche and amended the interest and prepayment terms.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and December 31, 2022, the outstanding principal was comprised of $4.2 million and $5.0 million, respectively, under the First Tranche. Repayment of principal under the First Tranche commenced in January 2023. Commitments available under the Second Tranche of $10.0 million expired on December 31, 2022.</w:t>
      </w:r>
    </w:p>
    <w:p>
      <w:pPr>
        <w:pStyle w:val="TextBody"/>
        <w:bidi w:val="0"/>
        <w:spacing w:before="120" w:after="0"/>
        <w:jc w:val="left"/>
        <w:rPr>
          <w:rFonts w:ascii="Times New Roman" w:hAnsi="Times New Roman"/>
          <w:sz w:val="20"/>
        </w:rPr>
      </w:pPr>
      <w:r>
        <w:rPr>
          <w:rFonts w:ascii="Times New Roman;serif" w:hAnsi="Times New Roman;serif"/>
          <w:b w:val="false"/>
          <w:sz w:val="20"/>
        </w:rPr>
        <w:t>The Loan Agreement provides for monthly cash interest-only payments following the funding date of each respective tranche and continuing thereafter through December 31, 2022. The Term Loan is subject to a floating per annum interest rate equal to the greater of (a) 0.50% above the Prime Rate (as defined in the Loan Agreement) or (b) 3.75%. Following the interest-only period, the outstanding Term Loan balance will be payable in (i) 37 consecutive monthly payments after the end of the interest-only period and continuing on the same day of each month thereafter, in amounts that would fully amortize such Term Loan balance, as of the first business day of the first month following the amended interest-only period, over the repayment period, plus (ii) monthly payments of accrued but unpaid interest.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final payment is due on the Maturity Date and includes all outstanding principal plus accrued unpaid interest and an end of term payment totaling $0.3 million, which is 6.0% of the original funded principal amount of the First Tranche (the “Supplemental Final Payment”). We may prepay amounts outstanding under the Term Loan at any time provided certain notification conditions are met, in which case, all outstanding principal plus accrued and unpaid interest, the Supplemental Final Payment, a prepayment fee of 1% or 2% of the principal amount of the First Tranche, and any bank expenses become due and payable.</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customary affirmative and restrictive covenants under the Loan Agreement. Our obligations under the Loan Agreement are secured by a first priority security interest in substantially all of our current and future assets, other than intellectual property. We also agreed not to encumber our intellectual property assets, except as permitted by the Loan Agreement.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Loan Agreement also contains customary indemnification obligations and customary events of default, including, among other things, our failure to fulfill certain obligations under the Loan Agreement and the occurrence of a material adverse change in our business, operations, or condition (financial or otherwise), a material impairment of the prospect of repayment of any portion of the loan, or a material impairment in the perfection or priority of lender’s lien in the collateral or in the value of such collateral. In the event of default by us under the Loan Agreement, the lender would be entitled to exercise their remedies thereunder, including the right to accelerate the debt, upon which we may be required to repay all amounts then outstanding under the Loan Agreement. As of June 30, 2023, management believes that we are in compliance with all covenants under the Loan Agreement and there has been no material adverse change.</w:t>
      </w:r>
    </w:p>
    <w:p>
      <w:pPr>
        <w:pStyle w:val="TextBody"/>
        <w:bidi w:val="0"/>
        <w:spacing w:before="24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Collaboration Revenue</w:t>
      </w:r>
    </w:p>
    <w:p>
      <w:pPr>
        <w:pStyle w:val="TextBody"/>
        <w:bidi w:val="0"/>
        <w:spacing w:before="120" w:after="0"/>
        <w:jc w:val="left"/>
        <w:rPr>
          <w:rFonts w:ascii="Times New Roman" w:hAnsi="Times New Roman"/>
          <w:sz w:val="20"/>
        </w:rPr>
      </w:pPr>
      <w:r>
        <w:rPr>
          <w:rFonts w:ascii="Times New Roman;serif" w:hAnsi="Times New Roman;serif"/>
          <w:b w:val="false"/>
          <w:sz w:val="20"/>
        </w:rPr>
        <w:t>To date, our revenue has been derived from the Kaken License Agreement, under which we granted Kaken the exclusive right to develop and commercialize tildacerfont for CAH in Japan.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will recognize royalty and milestone revenues under the Kaken License Agreement if and when appropriate under the relevant accounting rules (see Note 7 to our condensed financial statements). We have not generated any revenues from the commercial sale of approved products and we do not expect to generate revenues from the commercial sale of our product candidates for at least the foreseeable future, if 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classify operating expenses into two main categories: (i) research and development expenses and (ii) general and administrative expenses.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and development expenses consist of external and internal expenses incurred in connection with our research activities and development programs.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expenses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external expenses, consisting of:</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clinical development—expenses associated with clinical research organizations (“CROs”) engaged to manage and conduct clinical trials and other outside services;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preclinical studies—expenses associated with preclinical studies and clinical pharmacology;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manufacturing—expenses associated with contract manufacturing; labeling, packaging, and distribution of clinical trial supplies, and other outside services; </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research and development—expenses associated with business operations, quality and regulatory compliance;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internal expenses, consisting of personnel, including expenses for salaries, bonuses, benefits, stock-based compensation, as well as allocation of certain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these expenses have been incurred to advance tildacerfont. These expenses will primarily consist of expenses for the conduct of clinical trials as well as manufacturing costs for clinical drug supply. We expect that significant additional spending will be required to progress tildacerfont through clinical development and regulatory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are recognized as they are incurred, including licenses of intellectual property that have no alternative future use at the time of the acquisition. If deposits are required by external vendors, a portion of the deposit is included as a prepaid expense until the activity has been performed or when the goods have been received to amortize the deposit to expense in the condensed statements of operations and comprehensive loss.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General and Administrative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consist primarily of personnel-related costs, including salaries, bonuses, benefits, and stock-based compensation expense, for executive, finance, and other administrative functions. General and administrative expenses also include legal fees, professional fees, insurance costs, facility costs not otherwise included in research and development expenses, and public company expenses such as costs associated with compliance with the rules and regulations of the SEC, and those of the Nasdaq Stock Market, Inc. (“Nasdaq”) listing rules.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our general and administrative expenses will continue to increase in the foreseeable future as additional administrative personnel and services are required to manage these functions of a public company, and as we advance tildacerfont through clinical development and regulatory approval.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consists of interest incurred and non-cash amortization of debt discount and issuance costs in connection with the Term Loan.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Interest and Other Income, Net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and other income, net primarily consists of interest income earned on our cash, cash equivalents and investments.</w:t>
      </w:r>
    </w:p>
    <w:p>
      <w:pPr>
        <w:pStyle w:val="TextBody"/>
        <w:bidi w:val="0"/>
        <w:spacing w:before="2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Comparisons of the Three Months Ended June 30, 2023 and 2022</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 (in thousands):</w:t>
      </w:r>
    </w:p>
    <w:tbl>
      <w:tblPr>
        <w:tblW w:w="6675" w:type="dxa"/>
        <w:jc w:val="left"/>
        <w:tblInd w:w="0" w:type="dxa"/>
        <w:tblLayout w:type="fixed"/>
        <w:tblCellMar>
          <w:top w:w="28" w:type="dxa"/>
          <w:left w:w="28" w:type="dxa"/>
          <w:bottom w:w="28" w:type="dxa"/>
          <w:right w:w="28" w:type="dxa"/>
        </w:tblCellMar>
      </w:tblPr>
      <w:tblGrid>
        <w:gridCol w:w="2521"/>
        <w:gridCol w:w="146"/>
        <w:gridCol w:w="216"/>
        <w:gridCol w:w="756"/>
        <w:gridCol w:w="170"/>
        <w:gridCol w:w="149"/>
        <w:gridCol w:w="216"/>
        <w:gridCol w:w="756"/>
        <w:gridCol w:w="166"/>
        <w:gridCol w:w="146"/>
        <w:gridCol w:w="211"/>
        <w:gridCol w:w="631"/>
        <w:gridCol w:w="5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3"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9" w:type="dxa"/>
            <w:tcBorders/>
            <w:vAlign w:val="center"/>
          </w:tcPr>
          <w:p>
            <w:pPr>
              <w:pStyle w:val="TableContents"/>
              <w:bidi w:val="0"/>
              <w:spacing w:before="0" w:after="0"/>
              <w:ind w:left="0" w:right="0" w:hanging="0"/>
              <w:jc w:val="center"/>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5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70" w:type="dxa"/>
            <w:tcBorders/>
            <w:vAlign w:val="center"/>
          </w:tcPr>
          <w:p>
            <w:pPr>
              <w:pStyle w:val="TableContents"/>
              <w:bidi w:val="0"/>
              <w:spacing w:before="0" w:after="0"/>
              <w:ind w:left="0" w:right="0" w:hanging="0"/>
              <w:jc w:val="right"/>
              <w:rPr/>
            </w:pPr>
            <w:r>
              <w:rPr/>
              <w:t> </w:t>
            </w:r>
          </w:p>
        </w:tc>
        <w:tc>
          <w:tcPr>
            <w:tcW w:w="149" w:type="dxa"/>
            <w:tcBorders/>
            <w:vAlign w:val="center"/>
          </w:tcPr>
          <w:p>
            <w:pPr>
              <w:pStyle w:val="TableContents"/>
              <w:bidi w:val="0"/>
              <w:spacing w:before="0" w:after="0"/>
              <w:ind w:left="0" w:right="0" w:hanging="0"/>
              <w:jc w:val="left"/>
              <w:rPr/>
            </w:pPr>
            <w:r>
              <w:rPr/>
              <w:t> </w:t>
            </w:r>
          </w:p>
        </w:tc>
        <w:tc>
          <w:tcPr>
            <w:tcW w:w="97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13,126</w:t>
            </w:r>
          </w:p>
        </w:tc>
        <w:tc>
          <w:tcPr>
            <w:tcW w:w="170" w:type="dxa"/>
            <w:tcBorders/>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4,066</w:t>
            </w:r>
          </w:p>
        </w:tc>
        <w:tc>
          <w:tcPr>
            <w:tcW w:w="591" w:type="dxa"/>
            <w:tcBorders/>
            <w:vAlign w:val="center"/>
          </w:tcPr>
          <w:p>
            <w:pPr>
              <w:pStyle w:val="TableContents"/>
              <w:bidi w:val="0"/>
              <w:spacing w:before="0" w:after="0"/>
              <w:ind w:left="0" w:right="0" w:firstLine="200"/>
              <w:jc w:val="lef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3,011</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16,137</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(13,972</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(2,090</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7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 net</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1,275</w:t>
            </w:r>
          </w:p>
        </w:tc>
        <w:tc>
          <w:tcPr>
            <w:tcW w:w="17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(12,824</w:t>
            </w:r>
          </w:p>
        </w:tc>
        <w:tc>
          <w:tcPr>
            <w:tcW w:w="17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9" w:type="dxa"/>
            <w:tcBorders/>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Collaboration Revenue</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June 30, 2023, we recognized $2.2 million as collaboration revenue under the Kaken License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sets forth research and development expenses for the periods presented (in thousands):</w:t>
      </w:r>
      <w:r>
        <w:rPr>
          <w:rFonts w:ascii="Times New Roman" w:hAnsi="Times New Roman"/>
          <w:sz w:val="20"/>
        </w:rPr>
        <w:t xml:space="preserve"> </w:t>
      </w:r>
    </w:p>
    <w:tbl>
      <w:tblPr>
        <w:tblW w:w="7389" w:type="dxa"/>
        <w:jc w:val="left"/>
        <w:tblInd w:w="0" w:type="dxa"/>
        <w:tblLayout w:type="fixed"/>
        <w:tblCellMar>
          <w:top w:w="28" w:type="dxa"/>
          <w:left w:w="28" w:type="dxa"/>
          <w:bottom w:w="28" w:type="dxa"/>
          <w:right w:w="28" w:type="dxa"/>
        </w:tblCellMar>
      </w:tblPr>
      <w:tblGrid>
        <w:gridCol w:w="3496"/>
        <w:gridCol w:w="146"/>
        <w:gridCol w:w="243"/>
        <w:gridCol w:w="781"/>
        <w:gridCol w:w="168"/>
        <w:gridCol w:w="168"/>
        <w:gridCol w:w="243"/>
        <w:gridCol w:w="659"/>
        <w:gridCol w:w="166"/>
        <w:gridCol w:w="146"/>
        <w:gridCol w:w="211"/>
        <w:gridCol w:w="571"/>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6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expenses: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Clinical development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8,218</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Manufacturing</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Preclinical studies</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research and development</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39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expenses:</w:t>
            </w:r>
          </w:p>
        </w:tc>
        <w:tc>
          <w:tcPr>
            <w:tcW w:w="146"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right"/>
              <w:rPr/>
            </w:pPr>
            <w:r>
              <w:rPr/>
              <w:t> </w:t>
            </w:r>
          </w:p>
        </w:tc>
        <w:tc>
          <w:tcPr>
            <w:tcW w:w="168"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2,947</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1,498</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Facilities and other</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13,126</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$4.1 million during the three months ended June 30, 2023, compared to the three months ended June 30, 2022. The overall increase in research and development expenses was primarily related to the progression of clinical trials of tildacerfont in adult classic CAH, pediatric classic CAH, and PCOS. There was also an increase in personnel expenses attributable to an increase in headcount and an increase in manufacturing expenses due to timing of planned manufacturing activities related to clinical drug supply.</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$0.2 million during the three months ended June 30, 2023, compared to the three months ended June 30, 2022, primarily due to an increase in professional services, including legal, finance and accounting.</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was fairly consistent during the three months ended June 30, 2023, compared to the three months ended June 30, 2022, and was related to the Term Loan.</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and Other Income,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and other income, net increased by $1.2 million during the three months ended June 30, 2023, compared to the three months ended June 30, 2022. The increase was primarily due to higher yield earned on investment balances in 2023.</w:t>
      </w:r>
    </w:p>
    <w:p>
      <w:pPr>
        <w:pStyle w:val="TextBody"/>
        <w:bidi w:val="0"/>
        <w:spacing w:before="120" w:after="0"/>
        <w:jc w:val="left"/>
        <w:rPr>
          <w:rFonts w:ascii="Times New Roman" w:hAnsi="Times New Roman"/>
          <w:sz w:val="20"/>
        </w:rPr>
      </w:pPr>
      <w:r>
        <w:rPr>
          <w:rFonts w:ascii="Times New Roman;serif" w:hAnsi="Times New Roman;serif"/>
          <w:b/>
          <w:i/>
          <w:sz w:val="20"/>
        </w:rPr>
        <w:t>Comparisons of the Six Months Ended June 30, 2023 and 2022</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periods presented (in thousands):</w:t>
      </w:r>
    </w:p>
    <w:tbl>
      <w:tblPr>
        <w:tblW w:w="6618" w:type="dxa"/>
        <w:jc w:val="left"/>
        <w:tblInd w:w="0" w:type="dxa"/>
        <w:tblLayout w:type="fixed"/>
        <w:tblCellMar>
          <w:top w:w="28" w:type="dxa"/>
          <w:left w:w="28" w:type="dxa"/>
          <w:bottom w:w="28" w:type="dxa"/>
          <w:right w:w="28" w:type="dxa"/>
        </w:tblCellMar>
      </w:tblPr>
      <w:tblGrid>
        <w:gridCol w:w="2521"/>
        <w:gridCol w:w="146"/>
        <w:gridCol w:w="211"/>
        <w:gridCol w:w="736"/>
        <w:gridCol w:w="166"/>
        <w:gridCol w:w="146"/>
        <w:gridCol w:w="211"/>
        <w:gridCol w:w="736"/>
        <w:gridCol w:w="166"/>
        <w:gridCol w:w="146"/>
        <w:gridCol w:w="211"/>
        <w:gridCol w:w="631"/>
        <w:gridCol w:w="5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4,129</w:t>
            </w:r>
          </w:p>
        </w:tc>
        <w:tc>
          <w:tcPr>
            <w:tcW w:w="59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7,270</w:t>
            </w:r>
          </w:p>
        </w:tc>
        <w:tc>
          <w:tcPr>
            <w:tcW w:w="591" w:type="dxa"/>
            <w:tcBorders/>
            <w:vAlign w:val="center"/>
          </w:tcPr>
          <w:p>
            <w:pPr>
              <w:pStyle w:val="TableContents"/>
              <w:bidi w:val="0"/>
              <w:spacing w:before="0" w:after="0"/>
              <w:ind w:left="0" w:right="0" w:firstLine="200"/>
              <w:jc w:val="left"/>
              <w:rPr/>
            </w:pPr>
            <w:r>
              <w:rPr/>
              <w:t> </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52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(3,555</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Collaboration Revenue</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we recognized $4.1 million as collaboration revenue under the Kaken License Agreement.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sets forth research and development expenses for the periods presented (in thousands):</w:t>
      </w:r>
      <w:r>
        <w:rPr>
          <w:rFonts w:ascii="Times New Roman" w:hAnsi="Times New Roman"/>
          <w:sz w:val="20"/>
        </w:rPr>
        <w:t xml:space="preserve"> </w:t>
      </w:r>
    </w:p>
    <w:tbl>
      <w:tblPr>
        <w:tblW w:w="7175" w:type="dxa"/>
        <w:jc w:val="left"/>
        <w:tblInd w:w="0" w:type="dxa"/>
        <w:tblLayout w:type="fixed"/>
        <w:tblCellMar>
          <w:top w:w="28" w:type="dxa"/>
          <w:left w:w="28" w:type="dxa"/>
          <w:bottom w:w="28" w:type="dxa"/>
          <w:right w:w="28" w:type="dxa"/>
        </w:tblCellMar>
      </w:tblPr>
      <w:tblGrid>
        <w:gridCol w:w="3496"/>
        <w:gridCol w:w="146"/>
        <w:gridCol w:w="211"/>
        <w:gridCol w:w="677"/>
        <w:gridCol w:w="146"/>
        <w:gridCol w:w="146"/>
        <w:gridCol w:w="211"/>
        <w:gridCol w:w="677"/>
        <w:gridCol w:w="146"/>
        <w:gridCol w:w="146"/>
        <w:gridCol w:w="211"/>
        <w:gridCol w:w="571"/>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External expenses:</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Clinical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3,026</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Manufacturing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Preclinical studies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391" w:type="dxa"/>
            <w:tcBorders/>
            <w:vAlign w:val="center"/>
          </w:tcPr>
          <w:p>
            <w:pPr>
              <w:pStyle w:val="TableContents"/>
              <w:bidi w:val="0"/>
              <w:spacing w:before="0" w:after="0"/>
              <w:ind w:left="0" w:right="0" w:hanging="0"/>
              <w:jc w:val="left"/>
              <w:rPr/>
            </w:pPr>
            <w:r>
              <w:rPr/>
              <w:t> </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Internal expenses:</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Personnel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2,787</w:t>
            </w:r>
          </w:p>
        </w:tc>
        <w:tc>
          <w:tcPr>
            <w:tcW w:w="391" w:type="dxa"/>
            <w:tcBorders/>
            <w:vAlign w:val="center"/>
          </w:tcPr>
          <w:p>
            <w:pPr>
              <w:pStyle w:val="TableContents"/>
              <w:bidi w:val="0"/>
              <w:spacing w:before="0" w:after="0"/>
              <w:ind w:left="0" w:right="0" w:firstLine="200"/>
              <w:jc w:val="left"/>
              <w:rPr/>
            </w:pPr>
            <w:r>
              <w:rPr/>
              <w:t> </w:t>
            </w:r>
          </w:p>
        </w:tc>
      </w:tr>
      <w:tr>
        <w:trPr/>
        <w:tc>
          <w:tcPr>
            <w:tcW w:w="349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Facilities and 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$7.3 million during the six months ended June 30, 2023, compared to the six months ended June 30, 2022. The overall increase in research and development expenses was primarily related to the progression of clinical trials of tildacerfont in adult classic CAH, pediatric classic CAH, and PCOS. There was also an increase in personnel expenses attributable to an increase in headcount and an increase in manufacturing expenses due to timing of planned manufacturing activities related to clinical drug supply.</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$0.4 million during the six months ended June 30, 2023, compared to the six months ended June 30, 2022, primarily due to an increase in professional services, including legal, finance and accounting.</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expense was fairly consistent during the six months ended June 30, 2023, compared to the six months ended June 30, 2022, and was related to the Term Loan.</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and Other Income,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Interest and other income, net increased by $1.7 million during the six months ended June 30, 2023, compared to the six months ended June 30, 2022. The increase was primarily due to higher yield earned on investment balances in 2023.</w:t>
      </w:r>
    </w:p>
    <w:p>
      <w:pPr>
        <w:pStyle w:val="TextBody"/>
        <w:bidi w:val="0"/>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not generated any revenue from product sales and have incurred significant operating losses and negative cash flows from operations. We anticipate that we will continue to incur net losses for the foreseeable future. As of June 30, 2023 and December 31, 2022, we had an accumulated deficit of $174.9 million and $149.3 million, respectively. As of June 30, 2023 and December 31, 2022, we had cash, cash equivalents and investments of $120.5 million and $79.1 million, respectively. Since inception through June 30, 2023, we have raised aggregate gross proceeds of $293.1 million, including $103.5 million from our IPO in October 2020, $116.0 million from the sale of our redeemable convertible preferred stock, $5.0 million from the issuance of debt, $53.6 million from a private placement financing in February 2023, and $15.0 million from the Kaken upfront payment received in April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based on our current operating plan, that our cash, cash equivalents and investments as of June 30, 2023 will be sufficient to fund our operations and debt obligations for at least 12 months following the issuance date of our financial statements included elsewhere in this Quarterly Report. In addition, we believe based on our current operating plan, that our cash, cash equivalents, and investments as of June 30, 2023 is expected to allow us to fund operating and capital expenditures into the first half of 2025.</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Shelf Registration and 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2022, the SEC declared effective the Shelf Registration covering the sale of up to $200.0 million of our securities. Also, in February 2022, we entered into the Sales Agreement with Jefferies, pursuant to which we may elect to issue and sell, from time to time, shares of common stock having an aggregate offering price of up to $21.0 million under the Shelf Registration through Jefferies acting as the sales agent and/or principal (the “Offering”). We have also filed a prospectus supplement with the SEC in connection with the Offering under the Shelf Registration. Upon delivery of an issuance notice and subject to the terms and conditions of the Sales Agreement, Jefferies may sell the shares at market prices by any method deemed to be an “at the market offering” as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defined in Rule 415(a)(4) promulgated under the Securities Act, including sales made directly on or through Nasdaq, the existing trading market for our common stock. We or Jefferies may suspend or terminate the offering of the shares upon notice to the other party, subject to certain conditions. Jefferies will act as sales agent on a commercially reasonable efforts basis consistent with its normal trading and sales practices and applicable state and federal law, rules and regulations and the rules of Nasdaq. We may instruct Jefferies to not sell the shares if the sales cannot be transacted at or above the price we designate in any issuance notice. We are not obligated to make any sales of the shares under the Sales Agreement. As of June 30, 2023, we have not issued any shares of common stock pursuant to the Sales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We have agreed to pay Jefferies commissions for its services of acting as agent of 3.0% of the gross proceeds from the sale of the shares pursuant to the Sales Agreement. We have also agreed to provide Jefferies with customary indemnification and contribution rights. The shares will be sold pursuant to the Shelf Registration, and offerings of the shares will be made only by means of the prospectus supplement.</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Private Placement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2023, we entered into a securities purchase agreement with several institutional and accredited investors, including holders of more than 5% of our total common stock outstanding on the date of the securities purchase agreement, pursuant to which we sold 16,116,000 shares of common stock, pre-funded warrants to purchase 800,000 shares of common stock, and warrants to purchase 12,687,000 shares of common stock for gross proceeds of $53.6 million, before deducting offering expenses payable by us. During the three months ended June 30, 2023, all of the pre-funded warrants were exercised for 800,000 shares of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Funding Requirements</w:t>
      </w:r>
    </w:p>
    <w:p>
      <w:pPr>
        <w:pStyle w:val="TextBody"/>
        <w:bidi w:val="0"/>
        <w:spacing w:before="120" w:after="0"/>
        <w:jc w:val="left"/>
        <w:rPr>
          <w:rFonts w:ascii="Times New Roman" w:hAnsi="Times New Roman"/>
          <w:sz w:val="20"/>
        </w:rPr>
      </w:pPr>
      <w:r>
        <w:rPr>
          <w:rFonts w:ascii="Times New Roman;serif" w:hAnsi="Times New Roman;serif"/>
          <w:b w:val="false"/>
          <w:sz w:val="20"/>
        </w:rPr>
        <w:t>To date, we have not generated any revenue from product sales. We do not expect to generate any meaningful revenue unless and until we obtain regulatory approval and commercialize tildacerfont or any future product candidates, and we do not know when, or if at all, that will occur. We will continue to require additional capital to develop tildacerfont and fund operations for the foreseeable future. Our primary uses of cash are to fund our operations, which consist primarily of research and development expenses related to our clinical development programs, and to a lesser extent, 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At this time, we cannot reasonably estimate or know the nature, timing, and estimated costs of the efforts that will be necessary to complete the development of, and obtain regulatory approval for, tildacerfont or any of our future product candidates. We expect our research and development expenses to increase significantly in the foreseeable future as we continue to invest in research and development activities related to developing tildacerfont, as tildacerfont continues advancing in late stage studies for the treatment of classic CAH in adult patients, as we conduct clinical trials of tildacerfont in additional indications beyond classic CAH in adult patients, as we seek regulatory approvals for tildacerfont, and incur expenses associated with hiring additional personnel to support our research and development efforts. The process of conducting the necessary clinical research to obtain regulatory approval is costly and time-consuming, the successful development of tildacerfont is highly uncertain, and we may never succeed in achieving regulatory approval for tildacerfont in classic CAH in adult patients or other indications.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seek to raise capital through equity or debt financings, collaborative agreements, potentially including agreements to out-license rights to develop and commercialize tildacerfont, or other arrangements with other companies, or through other sources of financing.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progress, costs, trial design, results of, and timing of our ongoing and planned clinical trials of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costs and timing of seeking and obtaining FDA and any other regulatory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number and characteristics of product candidates that we may pursue;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manufacture sufficient quantities of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 to expand our research and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manufacturing tildacerfont and establishing clinical and commercial supplies, and sales, marketing, and distribution capabilities;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enter into favorable out-licensing agreements for the development and commercialization of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costs associated with commercialization;</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costs of acquiring, licensing, or investing in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need and ability to retain key management and hire scientific, technical, business, and medical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effect of competing products and product candidates and other market developments;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receipt, and amount of sales from tildacerfont and any future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need to implement additional internal systems and infrastructure, including financial and reporting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economic and other terms, timing of, and success of any collaboration, licensing, or other arrangements which we may enter in the future;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effects of the disruptions to and volatility in the credit and financial markets in the United States and worldwide from geopolitical and macroeconomic events, including the COVID-19 pandemic, the ongoing Russia-Ukraine conflict and related sanctions, and recent and potential future disruptions in access to bank deposits or lending commitments due to bank failures.</w:t>
      </w:r>
    </w:p>
    <w:p>
      <w:pPr>
        <w:pStyle w:val="TextBody"/>
        <w:bidi w:val="0"/>
        <w:spacing w:before="120" w:after="0"/>
        <w:jc w:val="left"/>
        <w:rPr>
          <w:rFonts w:ascii="Times New Roman" w:hAnsi="Times New Roman"/>
          <w:sz w:val="20"/>
        </w:rPr>
      </w:pPr>
      <w:r>
        <w:rPr>
          <w:rFonts w:ascii="Times New Roman;serif" w:hAnsi="Times New Roman;serif"/>
          <w:b w:val="false"/>
          <w:sz w:val="20"/>
        </w:rPr>
        <w:t>If we raise additional funds by issuing equity securities, our stockholders will experience dilution. If we raise additional capital through debt financing, we may be subject to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resulting from macroeconomic events, such as the COVID-19 pandemic, the ongoing Russia-Ukraine conflict and related sanctions, and recent and potential future disruptions in access to bank deposits or lending commitments due to bank failures,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Material Cash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future payments of principal and interest on the Term Loan, which commenced repayment in January 2023 and matures in January 2026, were $4.7 million. For a description of the terms of the Loan Agreement, see the section titled “Management’s Discussion and Analysis of Financial Condition and Results of Operations —Material Agreements — Loan Agreement” above.</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the total undiscounted lease liability for our non-cancelable operating lease for office space, which terminates in February 2028 unless renewed, was $1.7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enter into contracts in the normal course of business with third-party contract manufacturing organizations and CROs for clinical trials, non-clinical studies, drug substance and product manufacturing and other services for operating purposes. These contracts are generally cancelable by us upon prior written notice after a certain period. Payments due upon cancellation consist only of payments for services provided or expenses incurred, including noncancelable obligations of our service providers, up to the date of cancellation.</w:t>
      </w:r>
    </w:p>
    <w:p>
      <w:pPr>
        <w:pStyle w:val="TextBody"/>
        <w:bidi w:val="0"/>
        <w:spacing w:before="120" w:after="0"/>
        <w:jc w:val="left"/>
        <w:rPr>
          <w:rFonts w:ascii="Times New Roman" w:hAnsi="Times New Roman"/>
          <w:sz w:val="20"/>
        </w:rPr>
      </w:pPr>
      <w:r>
        <w:rPr>
          <w:rFonts w:ascii="Times New Roman;serif" w:hAnsi="Times New Roman;serif"/>
          <w:b w:val="false"/>
          <w:sz w:val="20"/>
        </w:rPr>
        <w:t>We have also entered into the Lilly License Agreement under which we are obligated to make aggregate milestone payments upon the achievement of specified milestones as well as royalty payments. The payment obligations under the Lilly License Agreement are contingent upon future events, such as our achievement of specified milestones or generating product sales. In addition to royalty payments on future sales, we are also required to pay up to an aggregate of $23.0 million upon the achievement of certain milestones. As of June 30, 2023, we were unable to estimate the timing or likelihood of achieving these milestones or generating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product sales. For a description of the terms of the Lilly License Agreement, see the section titled “Management’s Discussion and Analysis of Financial Condition and Results of Operations — Material Agreements — License Agreement with Eli Lilly and Company” above.</w:t>
      </w:r>
    </w:p>
    <w:p>
      <w:pPr>
        <w:pStyle w:val="TextBody"/>
        <w:bidi w:val="0"/>
        <w:spacing w:before="120" w:after="0"/>
        <w:jc w:val="left"/>
        <w:rPr>
          <w:rFonts w:ascii="Times New Roman" w:hAnsi="Times New Roman"/>
          <w:sz w:val="20"/>
        </w:rPr>
      </w:pPr>
      <w:r>
        <w:rPr>
          <w:rFonts w:ascii="Times New Roman;serif" w:hAnsi="Times New Roman;serif"/>
          <w:b/>
          <w:i/>
          <w:sz w:val="20"/>
        </w:rPr>
        <w:t>Summary Statements of Cash Flows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sets forth the primary sources and uses of cash, cash equivalents, and restricted cash for the periods presented below (in thousands):</w:t>
      </w:r>
      <w:r>
        <w:rPr>
          <w:rFonts w:ascii="Times New Roman" w:hAnsi="Times New Roman"/>
          <w:sz w:val="20"/>
        </w:rPr>
        <w:t xml:space="preserve"> </w:t>
      </w:r>
    </w:p>
    <w:tbl>
      <w:tblPr>
        <w:tblW w:w="8098" w:type="dxa"/>
        <w:jc w:val="left"/>
        <w:tblInd w:w="0" w:type="dxa"/>
        <w:tblLayout w:type="fixed"/>
        <w:tblCellMar>
          <w:top w:w="28" w:type="dxa"/>
          <w:left w:w="28" w:type="dxa"/>
          <w:bottom w:w="28" w:type="dxa"/>
          <w:right w:w="28" w:type="dxa"/>
        </w:tblCellMar>
      </w:tblPr>
      <w:tblGrid>
        <w:gridCol w:w="4216"/>
        <w:gridCol w:w="146"/>
        <w:gridCol w:w="211"/>
        <w:gridCol w:w="676"/>
        <w:gridCol w:w="166"/>
        <w:gridCol w:w="146"/>
        <w:gridCol w:w="211"/>
        <w:gridCol w:w="736"/>
        <w:gridCol w:w="166"/>
        <w:gridCol w:w="146"/>
        <w:gridCol w:w="211"/>
        <w:gridCol w:w="67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(21,367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11,570</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6,468</w:t>
            </w:r>
          </w:p>
        </w:tc>
        <w:tc>
          <w:tcPr>
            <w:tcW w:w="3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50,284</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2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Net increase in cash, cash equivalents, </w:t>
              <w:br/>
              <w:t>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72,784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68,322</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June 30, 2023, net cash used in operating activities was $9.8 million compared to $21.4 million for the six months ended June 30, 2022. There were higher cash payments driven by increased clinical development activities associated with the progression of clinical trials of tildacerfont in adult classic CAH, pediatric classic CAH, and PCOS. Additionally, there were higher personnel-related payments driven by increased headcount and higher payments for increased professional services, including legal, finance and accounting. The cash used was offset by the receipt of the $15.0 million upfront payment under the Kaken License Agreement in April 2023.</w:t>
      </w:r>
    </w:p>
    <w:p>
      <w:pPr>
        <w:pStyle w:val="TextBody"/>
        <w:bidi w:val="0"/>
        <w:spacing w:before="12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June 30, 2023, net cash provided by investing activities was $32.5 million, consisting of proceeds from maturities of investments of $44.4 million offset by purchases of investments of $11.9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June 30, 2022, net cash provided by investing activities was $26.0 million, consisting primarily of proceeds from maturities of investments of $39.0 million offset by purchases of investments of $13.0 million.</w:t>
      </w:r>
    </w:p>
    <w:p>
      <w:pPr>
        <w:pStyle w:val="TextBody"/>
        <w:bidi w:val="0"/>
        <w:spacing w:before="12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six months ended June 30, 2023, net cash provided by financing activities was $50.1 million, consisting primarily of net proceeds received from the February 2023 private placement of $50.9 million, offset by principal payments on the Term Loan of $0.8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six months ended June 30, 2022, net cash used by financing activities was $0.2 million, consisting primarily of payments of deferred offering costs.</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Accounting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condensed financial statements have been prepared in accordance with generally accepted accounting principles in the United States. The preparation of these condensed financial statements requires us to make estimates and assumptions that affect the reported amounts of assets, liabilities, revenue, if any, and expenses, as well as the related disclosure of contingent assets and liabilities as of the date of the financial statements.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critical accounting estimates are described in the section titled “Management’s Discussion and Analysis of Financial Condition and Results of Operations—Critical Accounting Policies and Estimates” in the Annual Report. During the three and six months ended June 30, 2023, there were no material changes to our critical accounting estimates from those discussed in the Annual Report, except those documented below.</w:t>
      </w:r>
    </w:p>
    <w:p>
      <w:pPr>
        <w:pStyle w:val="TextBody"/>
        <w:bidi w:val="0"/>
        <w:spacing w:before="12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recognize revenue allocated to the Kaken License Agreement from non-refundable, up-front fees at the point in time when the license is transferred to the licensee and the licensee can use and benefit from the license. As the license is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As the performance obligation is satisfied over time, we evaluate the measure of progress each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reporting period and, if necessary, adjust the measure of performance and related revenue recognition. We utilize the cost-based input method over the respective performance period. If the actual costs vary from our estimates, we adjust the recognition of revenue based on the updated measure of progress each reporting period. Although we do not expect our estimates to be materially different from amounts actually incurred, our projections of costs relative to the actual costs incurred may materially vary and may result in reporting amounts that are too high or too low in any particular period.</w:t>
      </w:r>
    </w:p>
    <w:p>
      <w:pPr>
        <w:pStyle w:val="TextBody"/>
        <w:bidi w:val="0"/>
        <w:spacing w:before="240" w:after="0"/>
        <w:jc w:val="left"/>
        <w:rPr>
          <w:rFonts w:ascii="Times New Roman" w:hAnsi="Times New Roman"/>
          <w:sz w:val="20"/>
        </w:rPr>
      </w:pPr>
      <w:r>
        <w:rPr>
          <w:rFonts w:ascii="Times New Roman;serif" w:hAnsi="Times New Roman;serif"/>
          <w:b/>
          <w:sz w:val="20"/>
        </w:rPr>
        <w:t>JOBS Act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Jumpstart Our Business Startups Act of 2012 (“JOBS Act”). The JOBS Act permits emerging growth companies to take advantage of an extended transition period to comply with new or revised accounting standards, delaying the adoption of these accounting standards until they would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be an emerging growth company until December 31, 2025, although circumstances could cause us to lose that status earlier, including if we become a “large accelerated filer” as defined in Rule 12b-2 under the Exchange Act or if we have total annual gross revenue of $1.235 billion or more during any fiscal year before that time, in which cases we would no longer be an emerging growth company as of the following December 31 or, if we issue more than $1.0 billion in non-convertible debt during any three year period before that time, we would cease to be an emerging growth company immediately.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bidi w:val="0"/>
        <w:spacing w:before="120" w:after="0"/>
        <w:jc w:val="left"/>
        <w:rPr>
          <w:rFonts w:ascii="Times New Roman;serif" w:hAnsi="Times New Roman;serif"/>
          <w:b/>
          <w:sz w:val="20"/>
        </w:rPr>
      </w:pPr>
      <w:r>
        <w:rPr>
          <w:rFonts w:ascii="Times New Roman;serif" w:hAnsi="Times New Roman;serif"/>
          <w:b/>
          <w:sz w:val="20"/>
        </w:rPr>
        <w:t xml:space="preserve">Interest Rate Risk </w:t>
      </w:r>
    </w:p>
    <w:p>
      <w:pPr>
        <w:pStyle w:val="TextBody"/>
        <w:bidi w:val="0"/>
        <w:spacing w:before="120" w:after="0"/>
        <w:jc w:val="left"/>
        <w:rPr>
          <w:rFonts w:ascii="Times New Roman" w:hAnsi="Times New Roman"/>
          <w:sz w:val="20"/>
        </w:rPr>
      </w:pPr>
      <w:r>
        <w:rPr>
          <w:rFonts w:ascii="Times New Roman;serif" w:hAnsi="Times New Roman;serif"/>
          <w:b w:val="false"/>
          <w:sz w:val="20"/>
        </w:rPr>
        <w:t>Our cash, cash equivalents and investments as of June 30, 2023 consist of $120.5 million in bank deposits, money market funds, U.S. treasury securities and U.S. government agency securities. Such interest-earning instruments carry a degree of interest rate risk. The goals of our investment policy are capital preservation, liquidity, safeguarding of capital and total return. We do not enter into investments for trading or speculative purposes and have not used any derivative financial instruments to manage our interest rate exposure. While we believe our cash, cash equivalents and investments do not contain excessive risk, we cannot provide absolute assurance that in the future our investments will not be subject to adverse changes in market value. Additionally, the interest rate for our Term Loan is variable.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and December 31, 2022, a hypothetical 1% change in interest rates would not have a material effect on our financial statements. We do not currently engage in hedging transactions to manage our exposure to interest rate risk.</w:t>
      </w:r>
    </w:p>
    <w:p>
      <w:pPr>
        <w:pStyle w:val="TextBody"/>
        <w:bidi w:val="0"/>
        <w:spacing w:before="120" w:after="0"/>
        <w:jc w:val="left"/>
        <w:rPr>
          <w:rFonts w:ascii="Times New Roman;serif" w:hAnsi="Times New Roman;serif"/>
          <w:b/>
          <w:sz w:val="20"/>
        </w:rPr>
      </w:pPr>
      <w:r>
        <w:rPr>
          <w:rFonts w:ascii="Times New Roman;serif" w:hAnsi="Times New Roman;serif"/>
          <w:b/>
          <w:sz w:val="20"/>
        </w:rPr>
        <w:t>Foreign Currency Rate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operations primarily consist of activities in the United States. In addition, we contract with vendors that are located outside of the United States and certain invoices are denominated in foreign currencies. While our operating results are exposed to changes in foreign currency exchange rates between the U.S. dollar and various foreign currencies, there was no material impact on our results of operations for any periods presented herein.</w:t>
      </w:r>
    </w:p>
    <w:p>
      <w:pPr>
        <w:pStyle w:val="TextBody"/>
        <w:bidi w:val="0"/>
        <w:spacing w:before="120" w:after="0"/>
        <w:jc w:val="left"/>
        <w:rPr>
          <w:rFonts w:ascii="Times New Roman;serif" w:hAnsi="Times New Roman;serif"/>
          <w:b/>
          <w:sz w:val="20"/>
        </w:rPr>
      </w:pPr>
      <w:r>
        <w:rPr>
          <w:rFonts w:ascii="Times New Roman;serif" w:hAnsi="Times New Roman;serif"/>
          <w:b/>
          <w:sz w:val="20"/>
        </w:rPr>
        <w:t>Effects of Inflation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Inflation generally affects us by increasing our cost of labor and clinical trial costs. We do not believe that inflation and changing prices had a significant impact on our results of operations for any periods presented herein. While we are seeing, and expect to continue to see, record inflation due to, among other things, the COVID-19 pandemic and other geopolitical and macroeconomic events, such as the ongoing military conflict between Ukraine and Russia and related sanctions, and recent and potential future disruptions in access to bank deposits or lending commitments due to bank failures, as of June 30, 2023, we do not expect anticipated changes in inflation to have a material effect on our business, financial condition or results of operations for future reporting periods.</w:t>
      </w:r>
    </w:p>
    <w:p>
      <w:pPr>
        <w:pStyle w:val="TextBody"/>
        <w:bidi w:val="0"/>
        <w:spacing w:before="24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and supervision of our Chief Executive Officer and our President and Chief Financial Officer, have evaluated our disclosure controls and procedures (as defined in Rules 13a-15(e) and 15d-15(e) under the Securities Exchange Act of 1934, as amended (the “Exchange Act”)) as of the end of the period covered by this Quarterly Report on Form 10-Q. Based on that evaluation, our Chief Executive Officer and President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President and Chief Financial Officer, as appropriate, to allow timely decisions regarding required disclosure.</w:t>
      </w:r>
    </w:p>
    <w:p>
      <w:pPr>
        <w:pStyle w:val="TextBody"/>
        <w:bidi w:val="0"/>
        <w:spacing w:before="120" w:after="0"/>
        <w:jc w:val="left"/>
        <w:rPr>
          <w:rFonts w:ascii="Times New Roman;serif" w:hAnsi="Times New Roman;serif"/>
          <w:b/>
          <w:sz w:val="20"/>
        </w:rPr>
      </w:pPr>
      <w:r>
        <w:rPr>
          <w:rFonts w:ascii="Times New Roman;serif" w:hAnsi="Times New Roman;serif"/>
          <w:b/>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Exchange Act Rules 13a-15(f) and 15d-15(f)) during the quarter ended June 30, 2023 that have materially affected, or are reasonably likely to materially affect, our internal control over financial reporting.</w:t>
      </w:r>
    </w:p>
    <w:p>
      <w:pPr>
        <w:pStyle w:val="TextBody"/>
        <w:bidi w:val="0"/>
        <w:spacing w:before="120" w:after="0"/>
        <w:jc w:val="left"/>
        <w:rPr>
          <w:rFonts w:ascii="Times New Roman;serif" w:hAnsi="Times New Roman;serif"/>
          <w:b/>
          <w:sz w:val="20"/>
        </w:rPr>
      </w:pPr>
      <w:r>
        <w:rPr>
          <w:rFonts w:ascii="Times New Roman;serif" w:hAnsi="Times New Roman;serif"/>
          <w:b/>
          <w:sz w:val="20"/>
        </w:rPr>
        <w:t>Limitation on the Effectiveness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designing and evaluating our disclosure controls and procedures and internal control over financial reporting, our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are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bookmarkStart w:id="14" w:name="part_iior_information"/>
      <w:bookmarkEnd w:id="14"/>
      <w:r>
        <w:rPr>
          <w:rFonts w:ascii="Times New Roman;serif" w:hAnsi="Times New Roman;serif"/>
          <w:b/>
          <w:sz w:val="20"/>
        </w:rPr>
        <w:t>PART II —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240" w:after="0"/>
        <w:jc w:val="left"/>
        <w:rPr>
          <w:rFonts w:ascii="Times New Roman" w:hAnsi="Times New Roman"/>
          <w:sz w:val="20"/>
        </w:rPr>
      </w:pPr>
      <w:bookmarkStart w:id="15" w:name="item_1_legal_proceedings"/>
      <w:bookmarkEnd w:id="15"/>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pStyle w:val="TextBody"/>
        <w:bidi w:val="0"/>
        <w:spacing w:before="240" w:after="0"/>
        <w:jc w:val="left"/>
        <w:rPr>
          <w:rFonts w:ascii="Times New Roman;serif" w:hAnsi="Times New Roman;serif"/>
          <w:b/>
          <w:sz w:val="20"/>
        </w:rPr>
      </w:pPr>
      <w:bookmarkStart w:id="16" w:name="item_1a_risk_factors"/>
      <w:bookmarkEnd w:id="16"/>
      <w:r>
        <w:rPr>
          <w:rFonts w:ascii="Times New Roman;serif" w:hAnsi="Times New Roman;serif"/>
          <w:b/>
          <w:sz w:val="20"/>
        </w:rPr>
        <w:t>Item 1A. Risk Factors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An investment in shares of our common stock involves a high degree of risk. You should carefully consider the risks described below, as well as the other information in this Quarterly Report on Form 10-Q, including our unaudited condensed financial statements and the related notes and “Management’s Discussion and Analysis of Financial Condition and Results of Operations” before deciding whether to purchase, hold or sell shares of our common stock. The occurrence of any of the risks described below could harm our business, financial condition, results of operations, growth prospects, and/or stock price or cause our actual results to differ materially from those contained in forward-looking statements we have made in this Quarterly Report on Form 10-Q and those we may make from time to time. You should consider all of the risk factors described when evaluating our business. We have marked with an asterisk (*) those risk factors that reflect changes from the similarly titled risk factors included in the Annual Report.</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Business and Industry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have a limited operating history, have incurred significant net losses since our inception, and anticipate that we will continue to incur significant net losses for the foreseeable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late-stage biopharmaceutical company founded in 2014, and our operations to date have focused primarily on raising capital, establishing and protecting our intellectual property portfolio, organizing and staffing our company, business planning, and conducting preclinical and clinical development of, and manufacturing development for, our only product candidate, tildacerfont. Additionally, as an organization, we have not yet demonstrated an ability to successfully complete clinical development, obtain regulatory approvals, manufacture a commercial-scale product, or conduct sales and marketing activities necessary for successful commercialization. As we build our capabilities and expand our organization, we have not yet demonstrated an ability to overcome many of the risks and uncertainties frequently encountered by companies in new and rapidly evolving fields, particularly in the biopharmaceutical area. Consequently, any predictions about our future performance may not be as accurate as they would be if we had a history of successfully developing and commercializing biopharmaceutical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Investment in biopharmaceutical product development is highly speculative because it entails substantial upfront capital expenditures and significant risk that any potential product candidate will fail to demonstrate adequate effectiveness in the targeted indication or an acceptable safety profile, gain regulatory approval and become commercially viable. We have no products approved for commercial sale and have not generated any product revenue to date, and we continue to incur significant research and development and other expenses related to our ongoing operations. As a result, we are not profitable and have incurred significant net losses since our inception. If tildacerfont is not successfully developed and approved in the United States, Europe, or Japan, we may never generate any product revenue. For the six months ended June 30, 2023 and 2022, we reported net losses of $25.6 million and $23.6 million, respectively. As of June 30, 2023, we had an accumulated deficit of $174.9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losses for the foreseeable future, and we expect these losses to increase as we continue our clinical development of, seek regulatory approvals for, and commercially launch tildacerfont and any future product candidates, if approved.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net losses and expected future net losses have had and will continue to have an adverse effect on our stockholders’ equity and working capital. Because of the numerous risks and uncertainties associated with drug development, we are unable to accurately predict the timing or amount of increased expenses, or when, if at all, we will be able to achieve profitability.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will need substantial additional financing to develop tildacerfont and any future product candidates and implement our operating plan. If we fail to obtain additional financing, we may be forced to delay, reduce or eliminate our product development programs or commercialization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operations have consumed substantial amounts of cash since our inception. We expect to continue to spend substantial amounts to continue the clinical development of, and seek regulatory approval for, tildacerfont and any future product candidates. We will require significant additional amounts in order to prepare for commercialization, and, if approved, to launch and commercialize tildacerfont.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cash equivalents and investments of $120.5 million. In October 2020, we consummated our initial public offering (“IPO”) and issued 6,900,000 shares of common stock for net proceeds of $93.4 million, after deducting underwriting discounts and commissions and offering expenses. In February 2023, we completed a private placement for net proceeds of $50.9 million. In April 2023, we received a $15.0 million upfront payment under the Kaken License Agreement. We believe, based on our current operating plan, that our cash, cash equivalents and investments as of June 30, 2023 will be sufficient to fund our operations and debt obligations for at least 12 months following the issuance date of our financial statements included elsewhere in this Quarterly Report.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However, changing circumstances may cause us to consume capital significantly faster than we currently anticipate, and we may need to spend more money than currently expected because of circumstances beyond our control. For example, primarily as a result of the COVID-19 pandemic, enrollment in our Phase 2b clinical trials evaluating tildacerfont for the treatment of adult classic congenital adrenal hyperplasia (“CAH”) was delayed, extending the overall duration of the trials. We have expanded the number of trial sites worldwide to provide more recruitment capabilities in an effort to accelerate enrollment. Additionally, we have amended our clinical trial protocols to enable remote visits to mitigate any potential impacts. As a result of the extended duration of the trials, increased number of trial sites, and this home health component, the overall costs of our Phase 2b clinical trials have increased and may continue to increase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will require additional capital for the further development and commercialization of tildacerfont and any future product candidates and may need to raise additional funds sooner if we choose to expand more rapidly than we presently anticipate.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 funding may not be available on acceptable terms, or at all. In addition, we may not be able to access a portion of our existing cash, cash equivalents and investments due to market conditions. For example, on March 10, 2023, the Federal Deposit Insurance Corporation (“FDIC”) took control and was appointed receiver of Silicon Valley Bank (“SVB”).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Further, as a result of geopolitical and macroeconomic events, including the COVID-19 pandemic and the ongoing military conflict between Ukraine and Russia and related sanctions,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or more dilutive. If we are unable to raise additional capital in sufficient amounts or on terms acceptable to us, we may have to significantly delay, scale back, or discontinue the development or commercialization of tildacerfont or other research and development initiatives. We also could be required to seek collaborators for tildacerfont and any future product candidates at an earlier stage than otherwise would be desirable or on terms that are less favorable than might otherwise be available or relinquish or license on unfavorable terms our rights to tildacerfont and any future product candidates in markets where we otherwise would seek to pursue development or commercialization ourselves.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 above events could significantly harm our business, prospects, financial condition, and results of operations and cause the price of our common stock to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currently depend entirely on the success of tildacerfont, which is our only product candidate. If we are unable to advance tildacerfont in clinical development, obtain regulatory approval, and ultimately commercialize tildacerfont, or experience significant delays in doing so, our business will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only have one product candidate, tildacerfont, and our business and future success depends entirely on our ability to develop, obtain regulatory approval for, and then successfully commercialize, tildacerfont, which is currently in clinical development for adult patients with classic CAH. This may make an investment in our company riskier than similar companies that have multiple product candidates in active development that may be able to better sustain failure of a lead product candidate. We initiated CAHmelia-203, a placebo-controlled, double-blind Phase 2b clinical trial in adult patients with classic CAH with highly elevated levels of A4 at baseline and anticipate topline results in the second half of 2023. We also initiated CAHmelia-204, a second Phase 2b clinical trial in adult patients with classic CAH on supraphysiologic doses of glucocorticoids with normal or near normal levels of A4 at baseline focused on glucocorticoid reduction and anticipate topline results in the second half of 2024.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Assuming positive results, we plan to meet with the U.S. Food and Drug Administration (“FDA”) and certain comparable foreign regulatory authorities to discuss potential registration. While we believe these two clinical trials will provide sufficient patient exposures for our registrational safety database, the FDA and comparable foreign regulatory authorities may not agree and may require us to enroll additional patients or initiate one or more additional clinical trials, including a Phase 3 clinical trial or trials. If the FDA or comparable foreign regulatory authorities require us to conduct one or more clinical trials, including a Phase 3 clinical trial or trials, the design, duration, and scope of such clinical trials will be decided upon after further discussions with the FDA or comparable foreign regulatory authorities, and at this time are not ascertainable. As a result, we are unable to predict with certainty the estimated timing or scope of any future clinical trials of tildacerfont we may be required to conduct.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are investigating tildacerfont for the treatment of classic CAH in children. We initiated CAHptain, a Phase 2 open-label clinical trial, which will utilize a sequential three cohort design, to evaluate the safety, efficacy, and pharmacokinetics of tildacerfont in children two to 17 years of age with classic CAH. Cohort 1 of the trial is fully enrolled, enrollment for Cohort 2 is nearly complete and screening for Cohort 3 is underway. We anticipate topline data from adolescents (cohorts 1 and 2) of the Phase 2 open-label clinical trial in the second half of 2023. Additionally, by leveraging our existing Phase 1 program, which includes safety, tolerability, and pharmacokinetics of tildacerfont, we initiated POWER, a Phase 2 proof-of-concept clinical trial in polycystic ovary syndrome (“PCOS”). The Phase 2 proof-of-concept clinical trial is a randomized, placebo-controlled, dose escalation trial which will evaluate the safety and efficacy of tildacerfont titrated to 200 mg QD compared to placebo at 12 weeks of treatment in subjects with PCOS and elevated adrenal androgens as measured by dehydroepiandrosterone sulfate (“DHEAS”) levels at baseline. In August 2023, we conducted an analysis of interim data from 20 patients (13 on tildacerfont and 7 on placebo) through the 12-week treatment period for the POWER clinical trial. The study enrolled 27 patients in total. The interim data from the study support target engagement and suggests that DHEAS may be reduced with tildacerfont treatment in women suffering from PCOS. Tildacerfont was well-tolerated, with a safety profile that is consistent with past studies. Most adverse events were classified as mild-moderate, balanced between treatment arms, unrelated to study drug and single event occurrences. No serious adverse reactions or dose toxicities were observed, and there was no evidence of adrenal insufficiency.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success of tildacerfont will depend on several factors, including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enrollment, site expansion and activation and patient engagement in our ongoing and planned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completion of our ongoing and planned clinical trials with favorable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acceptance by the FDA and European Medicines Agency (“EMA”) of the clinical trial design of our planned and ongoing clinical trials of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demonstrating safety and efficacy to the satisfaction of applicable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outcome, timing, and cost of meeting regulatory requirements established by the FDA, EMA, and other comparable foreign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receipt of marketing approvals from applicable regulatory authorities, including one or more non-disclosure agreements (“NDAs”) from the FDA, and maintaining such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commercial manufacturing capabilities and receiving/importing commercial supplies approved by the FDA and other regulatory authorities from any future third-party manufacturer;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sales, marketing, and distribution capabilities and commercializing tildacerfont, if approved, whether alone or in collaboration with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patent and trade secret protection and regulatory exclusivity for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maintaining an acceptable safety profile of tildacerfont following approval;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maintaining and growing an organization of people who can develop and, if approved, commercialize, market, and sell tildacerfont to physicians, patients, healthcare payors, and others in the medical community.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do not achieve one or more of these factors, many of which are beyond our control, in a timely manner or at all, we could experience significant delays or an inability to obtain regulatory approvals or commercialize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regulatory approvals are obtained, we may never be able to successfully commercialize tildacerfont. In addition, we will need to transition at some point from a company with a development focus to a company capable of supporting commercial activities. We may not be successful in such a transition. Accordingly, we may not be able to generate sufficient revenue through the sale of tildacerfont to continue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encounter difficulties enrolling patients in our clinical trials, our clinical development activities could be delayed or otherwise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initiate or continue our clinical trials for tildacerfont and any future product candidates if we are unable to identify and enroll a sufficient number of eligible patients to participate in these trials as required by the FDA and comparable foreign regulatory authorities. 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patient engagement, and 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particular, each indication for which we are evaluating tildacerfont is a rare endocrine disorder with limited patient populations from which to draw participants in clinical trials. For example, we estimate the total classic CAH populations are approximately 20,000 to 30,000 people in the United States, approximately 50,000 people in the European Union (“EU”) and approximately 145,000 people in China. We are and will be required to identify and enroll a sufficient number of patients with the disorder under investigation for our clinical trials of tildacerfont. Potential patients may not be adequately diagnosed or identified with the disorders which we are targeting or may not meet the entry criteria for our clinical trials. Additionally, other pharmaceutical companies with more resources and greater experience in drug development and commercialization are targeting these same endocrine disorders and are recruiting clinical trial patients from these patient populations, which may delay or make it more difficult to fully enroll our clinical trials. In addition, we have encountered difficulties in opening clinical trial sites and enrolling patients in our two ongoing Phase 2b clinical trials. Our inability to enroll a sufficient number of patients for any of our current or future clinical trials would result in significant delays or may require us to abandon one or more clinical trials altogether.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clinical trials may fail to adequately demonstrate the safety and efficacy of tildacerfont, which could prevent or delay regulatory approval and commercialization.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Before obtaining regulatory approvals for the commercial sale of a product candidate, we must demonstrate through lengthy, complex, and expensive preclinical testing and clinical trials that a product candidate is both safe and effective for use in each target indication. Clinical trials often fail to demonstrate safety and efficacy of the product candidate studied for the target indication. Most product candidates that commence clinical trials are never approved by regulatory authorities for commercialization. We are seeking to develop treatments for rare endocrine disorders for which there is limited clinical experience, and our two ongoing Phase 2b clinical trials use novel endpoints that do not have regulatory precedent in classic CAH due to the lack of clinical trials in classic CAH, which add complexity to the conduct and analysis of data from our clinical trials and may delay or prevent regulatory approval. Additionally, any safety concerns observed in any one of our clinical trials in our targeted indications could limit the prospects for regulatory approval of tildacerfont in other indications.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Preclinical and clinical drug development involves a lengthy and expensive process with uncertain outcomes, and results of earlier studies and trials may not be predictive of future trial results. We may incur additional costs or experience delays in completing, or ultimately be unable to complete, the development and commercialization of tildacerfont and any future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Preclinical and clinical testing is expensive and can take many years to complete, and its outcome is inherently uncertain. A failure of one or more preclinical or clinical trials can occur at any stage of testing. The results of preclinical studies and early clinical trials of tildacerfont may not be predictive of the results of later-stage clinical trials. Product candidates in later stages of clinical trials may fail to show the desired safety and efficacy traits despite having progressed through preclinical studies and initial clinical trials. For example, tildacerfont has not yet been evaluated in pediatric patients with classic CAH, and the results may not be similar to the results observed in clinical trials of adult patients. In addition, we intend to use doses in our two Phase 2b clinical trials that may not be safe or efficacious doses. As such, our hypotheses of efficacy may not show the desired clinical results. A number of companies in the biopharmaceutical industry have suffered significant setbacks in advanced clinical trials due to lack of efficacy or safety profiles, notwithstanding promising results in earlier trials. Moreover, preclinical and clinical data is often susceptible to varying interpretations and analyses. We may face significant setbacks as we conduct our two Phase 2b clinical trials in adult patients with classic CAH, which may delay or prevent regulatory approval of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if patients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Any delays in the commencement or completion, or termination or suspension, of our clinical trials could result in increased costs to us, delay or limit our ability to generate revenue, and adversely affect our commercial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Before we can initiate clinical trials for tildacerfont or any future product candidates, we must submit the results of preclinical studies to the FDA, or comparable foreign regulatory authorities, along with other information, including information about chemistry, manufacturing and controls, and our proposed clinical trial protocol, as part of an IND or similar regulatory filing under which we must receive authorization to proceed with clinical development.</w:t>
      </w:r>
    </w:p>
    <w:p>
      <w:pPr>
        <w:pStyle w:val="TextBody"/>
        <w:bidi w:val="0"/>
        <w:spacing w:before="120" w:after="0"/>
        <w:jc w:val="left"/>
        <w:rPr>
          <w:rFonts w:ascii="Times New Roman" w:hAnsi="Times New Roman"/>
          <w:sz w:val="20"/>
        </w:rPr>
      </w:pPr>
      <w:r>
        <w:rPr>
          <w:rFonts w:ascii="Times New Roman;serif" w:hAnsi="Times New Roman;serif"/>
          <w:b w:val="false"/>
          <w:sz w:val="20"/>
        </w:rPr>
        <w:t>Before obtaining marketing approval from regulatory authorities for the sale of tildacerfont or any future product candidates, we must conduct extensive clinical trials to demonstrate the safety and efficacy of tildacerfont and any future product candidates in humans. Clinical testing is expensive, time-consuming, and uncertain as to outcome. In addition, we may rely in part on preclinical, clinical and quality data generated by clinical research organizations (“CROs”) and other third parties for regulatory submissions for tildacerfont and any future product candidates. While we have or will have agreements governing these third parties’ services, we have limited influence over their actual performance. If these third parties do not make data available to us, or, if applicable, do not make regulatory submissions in a timely manner, in each case pursuant to our agreements with them, our development programs may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 significantly delayed, and we may need to conduct additional clinical trials or collect additional data independently. In either case, our development costs would increase.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know whether our current or any future clinical trials will begin on time or be completed on schedule, if at all. The commencement and completion of clinical trials can be delayed for a number of reasons, including delays related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failure to accept our proposed manufacturing processes and suppliers and/or requirement to provide additional information regarding our manufacturing processes before providing marketing authorization;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regulatory authorizations to commence a clinical trial or reaching a consensus with regulatory authorities on clinical trial design or implementation;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failure or delay in reaching an agreement with CROs and clinical trial sites, the terms of which can be subject to extensive negotiation and may vary significantly among different CROs and clinical trial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approval from one or more institutional review boards (“IRBs”) or Ethics Committees (“ECs”);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IRBs or ECs refusing to approve, suspending or terminating the clinical trial at an investigational site, precluding enrollment of additional subjects, or withdrawing their approval of the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to clinical trial protocols and related operationalization of such changes at clinical trial sites;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selection of clinical endpoints that require prolonged periods of clinical observation or analysis of the resulting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acceptance by the FDA and EMA of the clinical trial design of our planned and ongoing clinical trials of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sites not timely activating, delaying screening activities, or deviating from clinical trial protocols;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manufacturing sufficient quantities of tildacerfont or any future product candidates</w:t>
      </w:r>
      <w:r>
        <w:rPr/>
        <w:t xml:space="preserve"> </w:t>
      </w:r>
      <w:r>
        <w:rPr>
          <w:rFonts w:ascii="Times New Roman;serif" w:hAnsi="Times New Roman;serif"/>
          <w:b w:val="false"/>
          <w:sz w:val="20"/>
        </w:rPr>
        <w:t>or obtaining sufficient quantities of combination therapies for use in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failing to enroll or remain in our trials at the rate we expect, or failing to return for post-treatment follow-up;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choosing an alternative treatment for the indications for which we are developing tildacerfont and any future product candidates, or participating in competing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lack of subject engagement in the clinical trials or subjects dropping out of a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lack of adequate funding to continue the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subjects experiencing severe or unexpected drug-related adverse effects;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occurrence of SAEs in clinical trials of the same class of agents conducted by other companies;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facility manufacturing tildacerfont or any of its components being ordered by the FDA or comparable foreign regulatory authorities to temporarily or permanently shut down due to violations of current good manufacturing practice (“cGMP”), regulations or other applicable requirements, or infections or cross-contaminations of tildacerfont in the manufacturing process;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changes to our manufacturing process, suppliers or formulation that may be necessary or desired;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vendors not performing manufacturing and distribution services in a timely manner or to sufficient quality standards;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clinical investigators losing the licenses or permits necessary to perform our clinical trials, not performing our clinical trials on our anticipated schedule or consistent with the clinical trial protocol, good clinical practice (“GCP”), or other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contractors not performing data collection or analysis in a timely or accurate manner;</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impacts of contagious disease outbreaks on our ongoing and planned clinical trials.</w:t>
      </w:r>
    </w:p>
    <w:p>
      <w:pPr>
        <w:pStyle w:val="TextBody"/>
        <w:bidi w:val="0"/>
        <w:spacing w:before="120" w:after="0"/>
        <w:jc w:val="left"/>
        <w:rPr>
          <w:rFonts w:ascii="Times New Roman" w:hAnsi="Times New Roman"/>
          <w:sz w:val="20"/>
        </w:rPr>
      </w:pPr>
      <w:r>
        <w:rPr>
          <w:rFonts w:ascii="Times New Roman;serif" w:hAnsi="Times New Roman;serif"/>
          <w:b w:val="false"/>
          <w:sz w:val="20"/>
        </w:rPr>
        <w:t>We could also encounter delays if a clinical trial is suspended or terminated by us, by the IRBs or ECs of the institutions in which such trials are being conducted or by the FDA or comparable foreign regulatory authorities. Such authorities may impose such a</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have amended, and may need to further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conducting clinical trials in foreign countries, which we are doing for tildacerfont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principal investigators for our clinical trials may serve and have served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experience delays in the completion of, or termination of, any clinical trial of tildacerfont or any future product candidates, the commercial prospect of tildacerfont or any future product candidates will be harmed, and our ability to generate product revenue will be delayed. Moreover, any delays in completing our clinical trials will increase our costs, slow down our product candidate development and approval process and jeopardize our ability to commence product sales and generate revenue. In addition, many of the factors that cause, or lead to, termination or suspension of, or a delay in the commencement or completion of, clinical trials may also ultimately lead to the denial of regulatory approval of tildacerfont or any future product candidates. Further, delays to our clinical trials that occur as a result could shorten any period during which we may have the exclusive right to commercialize tildacerfont and our competitors may be able to bring products to market before we do, and the commercial viability of tildacerfont could be significantly reduced. Any of these occurrences may harm our business, financial condition, and prospects significantly.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Tildacerfont is, and any future product candidates will be, subject to extensive regulation and compliance obligations, which are costly and time-consuming, and such regulation may cause unanticipated delays or prevent the receipt of the required approvals to commercialize tildacerfont and any future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clinical development, manufacturing, labeling, storage, record-keeping, advertising, promotion, import, export, marketing, and distribution of tildacerfont is subject to extensive regulation by the FDA in the United States and by comparable foreign regulatory authorities in foreign markets. In the United States, we are not permitted to market tildacerfont and any future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has substantial discretion in the drug approval process, including the ability to delay, limit, or deny approval of a product candidate for many reasons. Despite the time and expense invested in clinical development of product candidates, regulatory approval is never guaranteed. Neither we nor any future collaborator is permitted to market tildacerfont and any future product candidates in the United States until we receive approval of an NDA from the FDA. We have not previously submitted an NDA to the FDA, or similar drug approval filings to comparable foreign authorities.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obtaining approval to commercialize a product candidate in the United States or in foreign markets,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tildacerfont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tildacerfont and any future product candidates either prior to or post-approval, or may object to elements of our clinical development program.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Tildacerfont and any future product candidates could fail to receive regulatory approval for many reasons, including the following: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serious and unexpected drug-related side effects may be experienced by participants in our clinical trials or by people using drugs similar to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population studied in the clinical trial may not be sufficiently broad or representative to assure safety in the full population for which we seek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not accept clinical data from trials which are conducted at clinical facilities or in countries where the standard of care is potentially different from that of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unable to demonstrate to the satisfaction of the FDA or comparable foreign regulatory authorities that a product candidate is safe and effective for any of its proposed indications;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results of clinical trials may not meet the level of statistical significance required by the FDA or comparable foreign regulatory authorities for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unable to demonstrate that a product candidate’s clinical and other benefits outweigh its safety risks;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disagree with our interpretation of data from preclinical studies or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data collected from clinical trials of tildacerfont and any future product candidates may not be sufficient to satisfy the FDA or comparable foreign regulatory authorities to support the submission of an NDA or other comparable submissions in foreign jurisdictions or to obtain regulatory approval in the United States or elsewhere, requiring, in the case of adult patients with classic CAH, additional clinical trials beyond our two ongoing Phase 2b clinical trials prior to any such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approval policies or regulations of the FDA or comparable foreign regulatory authorities may significantly change in a manner rendering our clinical data insufficient for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 above events could prevent us from achieving market approval of tildacerfont or any future product candidates and could substantially increase the costs of commercializing tildacerfont or any future product candidates. The demand for tildacerfont or any future product candidates could also be negatively impacted by any adverse effects of a competitor’s product or treatment.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tildacerfont and any future product candidates, which would significantly harm our business, financial condition, results of operations,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eventually complete clinical trials and receive approval of an NDA or foreign marketing application for tildacerfont and any future product candidates, the FDA or comparable foreign regulatory authority may grant approval contingent on the performance of costly additional clinical trials, including Phase 4 clinical trials, and/or the implementation of a risk evaluation and mitigation strategy (“REMS”) which may be required to ensure safe use of the drug after approval. The FDA or the comparable foreign regulatory authority also may approve a product candidate for a more limited indication or patient population than we originally requested, and the FDA or comparable foreign regulatory authority may not approve the labeling that we believe is necessary or desirable for the successful commercialization of a product. Any delay in obtaining, or inability to obtain, applicable regulatory approval would delay or prevent commercialization of that product candidate and would materially adversely impact our business and prospects.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Unfavorable U.S. and global economic conditions could adversely affect our business, financial condition or results of operations.*</w:t>
      </w:r>
    </w:p>
    <w:p>
      <w:pPr>
        <w:pStyle w:val="TextBody"/>
        <w:bidi w:val="0"/>
        <w:spacing w:before="120" w:after="0"/>
        <w:jc w:val="left"/>
        <w:rPr>
          <w:rFonts w:ascii="Times New Roman" w:hAnsi="Times New Roman"/>
          <w:sz w:val="20"/>
        </w:rPr>
      </w:pPr>
      <w:r>
        <w:rPr>
          <w:rFonts w:ascii="Times New Roman;serif" w:hAnsi="Times New Roman;serif"/>
          <w:b w:val="false"/>
          <w:sz w:val="20"/>
        </w:rPr>
        <w:t>Our results of operations could be adversely affected by general conditions in the U.S. and global economies, the U.S. and global financial markets and adverse geopolitical and macroeconomic developments. U.S. and global market and economic conditions have been, and may continue to be, disrupted and volatile due to many factors, including component shortages and related supply chain challenges, outbreaks of contagious diseases (such as the COVID-19 pandemic), the conflict between Ukraine and Russia and related sanctions, recent and potential future disruptions in access to bank deposits or lending commitments due to bank failures, and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banking relationship with SVB. SVB was closed on March 10, 2023 by the California Department of Financial Protection and Innovation, which appointed the FDIC as receiver. On March 12, 2023, the U.S. Treasury, Federal Reserve, and FDIC announced that SVB depositors will have access to all of their money starting March 13, 2023. On March 27, 2023, First Citizens Bank and Trust Company announced that it entered into an agreement with the FDIC to purchase out of FDIC receivership substantially all loans and certain other assets, and assume all customer deposits and certain other liabilities of Silicon Valley Bridge Bank, N.A. While we have not experienced any losses in such accounts, the recent failure of SVB potentially exposed us to significant credit risk prior to the completion by the FDIC of the resolution of SVB in a manner that fully protected all depositors. We are assessing how to prevent this exposure in the future, however, any potential future disruptions in access to bank deposits or lending commitments due to bank failures may expose us to significant credit risk.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financial markets around the world experienced volatility following the recent invasion of Ukraine by Russia.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and related sanctions,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ongoing Russia-Ukraine conflict and related sanctions has contributed to rapidly rising costs of living (driven largely by higher energy prices) in Europe and other advanced economies.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pStyle w:val="TextBody"/>
        <w:bidi w:val="0"/>
        <w:spacing w:before="120" w:after="0"/>
        <w:jc w:val="left"/>
        <w:rPr>
          <w:rFonts w:ascii="Times New Roman" w:hAnsi="Times New Roman"/>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tildacerfont and any future product candidates may be harmed, which could harm our business, operating results, prospects, or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the market opportunities for tildacerfont and any future product candidates are smaller than we believe they are, our future revenue may be adversely affected, and our business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size of the market opportunities in each of our target indications for tildacerfont and any future product candidates is smaller than we anticipate, we may not be able to achieve profitability and growth. We focus our clinical development of tildacerfont on treatments for rare endocrine disorders with relatively small patient populations. For example, we believe that tildacerfont has the potential to bring therapeutic benefit to patients suffering from endocrine disorders where the underlying pathophysiology supports a need to reduce excess secretion of or hyperresponsiveness to adrenocorticotropic hormone (“ACTH”), including, but not limited to, non-classic CAH and females with PCOS due to adrenal hyperandrogenism. Given the relatively small number of patients who have the disorders that we are targeting and intend to target with tildacerfont, it is critical to our ability to grow and become profitable that we continue to successfully identify patients with these rare endocrine disorders. In addition, our estimates of the patient populations for our target indications have been derived from a variety of sources, including scientific literature, surveys of clinics, patient foundations, and market research, and may prove to be incorrect. Further, new studies may change the estimated incidence or prevalence of these disorders. The number of patients may turn out to be lower than expected. The effort to identify patients with diseases we seek to treat is in early stages, and we cannot accurately predict the number of patients for whom treatment might be possible. For example, while classic CAH is usually detected at birth through required newborn screening programs in most developed countries, new patients may become increasingly difficult to identify or gain access to, which would adversely affect our results of operations and our business. In addition, the potentially addressable patient population for classic CAH may be limited or may not be amenable to treatment with tildacerfont, if approved. Further, even if we obtain significant market share for tildacerfont in classic CAH, we may never achieve profitability despite obtaining such significant market share, as other pharmaceutical companies with more resources and greater experience in drug development and commercialization are targeting this same endocrine disorder.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not be successful in our efforts to expand our pipeline by identifying additional indications and formulations for which to investigate tildacerfont in the future. We may expend our limited resources to pursue a particular indication or formulation for tildacerfont and fail to capitalize on product candidates, indications, or formulations that may be more profitable or for which there is a greater likelihood of success.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we have limited financial and managerial resources, we are focused on specific indications and formulations for tildacerfont. As a result, we may fail to generate additional clinical development opportunities for tildacerfont for a number of reasons, including, tildacerfont may in certain indications, on further study, be shown to have harmful side effects, limited to no efficacy, or other characteristics that suggest it is unlikely to receive marketing approval and achieve market acceptance in such additional indications.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conducting and plan to conduct several clinical trials for tildacerfont in parallel over the next several years, including multiple clinical trials in adult and pediatric patients with classic CAH and females with PCOS. As a result, we may forgo or delay pursuit of opportunities with other indications that could have had greater commercial potential or likelihood of success. However, we may focus on or pursue one or more of our target indications over other potential indications and such development efforts may not be successful, which would cause us to delay the clinical development and approval of tildacerfont. Furthermore, research programs to identify additional indications for tildacerfont require substantial technical, financial, and human resources. We may also pursue additional formulations for tildacerfont, including transitioning from a tablet formulation to a granulate formulation or oral suspension. However, we may not successfully develop these additional formulations for chemistry-related, stability-related, or other reasons. Our resource allocation decisions may cause us to fail to capitalize on viable commercial products or profitable market opportunities. Our spending on current and future research and development programs for specific indications may not yield any commercially viable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example, if we are unable to identify programs that ultimately result in approved products, we may spend material amounts of our capital and other resources evaluating, acquiring and developing products that ultimately do not provide a return on our investment.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Obtaining and maintaining regulatory approval for a product candidate in one jurisdiction does not mean that we will be successful in obtaining regulatory approval for that product candidate in other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and maintaining regulatory approval for a product candidate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for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including a number of countries in the EU, a product candidate must be approved for reimbursement before it can be approved for sale in that jurisdiction. In some cases, the price that we intend to charge for tildacerfont is also subject to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to submit a Marketing Authorization Application (“MAA”) to the EMA for approval of tildacerfont in the EU for the treatment of classic CAH. As with the FDA, obtaining approval of an MAA from the European Commission, which acts on the recommendation of the Committee for Medicinal Products for Human Use, is a similarly lengthy and expensive process and the EMA has its own procedures for assessing product candidates. Regulatory authorities in jurisdictions outside of the United States and the EU also have requirements for approval for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tildacerfont in certain countries. If we fail to comply with the regulatory requirements in international markets and/or receive applicable marketing approvals, our target market will be reduced and our ability to realize the full market potential of tildacerfont will be harmed, which would adversely affect our business, prospects,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currently have no marketing and sales organization and have yet to commercialize a product. If we are unable to establish marketing and sales capabilities or enter into agreements with third parties to market and sell tildacerfont and any future product candidates, we may not be able to generate product revenues.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do not have a commercial organization for the marketing, sales, and distribution of pharmaceutical products. To commercialize tildacerfont and any future product candidates, we must build our marketing, sales, distribution, managerial and other non-technical capabilities or make arrangements with third parties to perform these services. We intend to build a highly specialized commercial organization to support the commercialization of tildacerfont, if approved, in the United States.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establishment and development of our own sales force or the establishment of a contract sales force to market tildacerfont and any future product candidates will be expensive and time-consuming and could delay any commercial launch. Moreover, we may not be able to successfully develop this capability. We will have to compete with other pharmaceutical and biotechnology companies to recruit, hire, train, and retain marketing and sales personnel. We also face competition in our search for third parties to assist us with the sales and marketing efforts of tildacerfont. To the extent we rely on third parties to commercialize tildacerfont, if approved, we may have little or no control over the marketing and sales efforts of such third parties and our revenues from product sales may be lower than if we had commercialized tildacerfont and any future product candidates ourselves. In the event we are unable to develop our own marketing and sales force or collaborate with a third-party marketing and sales organization, we would not be able to commercialize tildacerfont or any future product candidates.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highly dependent on our key personnel, and if we are not successful in attracting and retaining highly qualified personnel, we may not be able to successfully implement our business strategy.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The loss of the services of any of our executive officers or other key employees and our inability to find suitable replacements could potentially harm our business, prospects, financial condition or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conduct our operations in South San Francisco, California. This region serves as the headquarters to many other biopharmaceutical companies and many academic and research institutions. Competition for skilled personnel in our market is intense and may limit our ability to hire and retain highly qualified personnel on acceptable terms or at all.</w:t>
      </w:r>
    </w:p>
    <w:p>
      <w:pPr>
        <w:pStyle w:val="TextBody"/>
        <w:bidi w:val="0"/>
        <w:spacing w:before="120" w:after="0"/>
        <w:jc w:val="left"/>
        <w:rPr>
          <w:rFonts w:ascii="Times New Roman" w:hAnsi="Times New Roman"/>
          <w:sz w:val="20"/>
        </w:rPr>
      </w:pPr>
      <w:r>
        <w:rPr>
          <w:rFonts w:ascii="Times New Roman;serif" w:hAnsi="Times New Roman;serif"/>
          <w:b w:val="false"/>
          <w:sz w:val="20"/>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and/or offer letters with our key employees, these arrangements provide for at-will employment, which means that any of our employees could leave our employment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Many of the other biotechnology and pharmaceutical companies that we compete against for qualified personnel have greater financial and other resources, different risk profiles, and a longer history in the industry than we do. They may also provide more diverse opportunities and better chances for career advancement. Some of these characteristics are more appealing to high quality candidates than what we can offer. If we are unable to continue to attract and retain high quality personnel, the rate and success at which we can discover, develop and commercialize product candidates will be limited.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Use of tildacerfont or any future product candidates could be associated with side effects, adverse events or other properties that could delay or prevent regulatory approval or result in significant negative consequences following marketing approval, if 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is the case with biopharmaceuticals generally, it is likely that there may be side effects and adverse events associated with the use of tildacerfont and any future product candidates. Results of our clinical trials could reveal a high and unacceptable severity and prevalence of side effects or unexpected characteristics. Undesirable side effects caused by tildacerfont and any future product candidates could cause us or regulatory authorities to interrupt, delay or halt clinical trials and could result in a more restrictive label or the delay or denial of regulatory approval by the FDA or other comparable foreign authorities. For example, although tildacerfont has been assessed in over 200 subjects across eight completed clinical trials in which it has been well tolerated with no drug-related SAEs, in our proof-of-concept, dose-escalating Phase 2a clinical trial in adults with classic CAH, one patient experienced a grade one liver-related adverse event after 14 days of treatment at 1,000mg once daily. This patient had elevated levels of alanine transaminase (“ALT”) between five and nine times the upper limit of normal (“ULN”), elevations in aspartate aminotransferase (“AST”) less than five times the ULN, and no increases in bilirubin. The event resolved on its own without additional medical intervention. No cases of liver enzyme elevations above three times the ULN were observed in any patient receiving total daily doses of 600mg, which is approximately three times the proposed therapeutic dose for adults with classic CAH, and below. If drug-related SAEs are observed, our trials could be suspended or terminated and the FDA or comparable foreign regulatory authorities could order us to cease further development of or deny approval for tildacerfont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only adults have been treated with tildacerfont, and the safety profile in pediatric patients is unknown and may be different than that observed in previous clinical trials. Results of our trials could reveal a high and unacceptable severity and prevalence of side effects.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if tildacerfont and any future product candidates receive marketing approval, and we or others later identify undesirable side effects caused by such product candidate, a number of potentially significant negative consequences could result,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forced to suspend marketing of that product, or decide to remove the product form the marketplace;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may withdraw approvals or change their approvals of such product;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may require additional warnings on the label or limit access of that product to selective specialized centers with additional safety reporting and with requirements that patients be geographically close to these centers for all or part of their treatment;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required to create a medication guide outlining the risks of such side effects for distribution to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required to change the way the product is administered;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be subject to fines, injunctions, or the imposition of criminal or civil penalties, or to sued and held liable for harm caused to subjects or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be sued and held liable for harm caused to patients;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product may become less competitive, and our reputation may suffer.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these events could prevent us from achieving or maintaining market acceptance of tildacerfont and any future product candidates, if approved, and could significantly harm our business, results of operations, and prospects.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receive regulatory approval for tildacerfont and any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any product.*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regulatory approvals that we receive may be subject to limitations on the approved indicated uses for which the product may be marketed or to the conditions of approval, or contain requirements for potentially costly post-marketing testing, including post-market studies or clinical trials, and surveillance to monitor safety and effectiveness. The FDA may also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if the FDA or a comparable foreign regulatory authority approves a product candidate, the manufacturing, quality control, labeling, packaging, distribution, adverse event reporting, storage, advertising, promotion, import, export, and recordkeeping for the approved product will be subject to extensive and ongoing regulatory requirements. The FDA also requires submissions of safety and other post-marketing information and reports, registration, as well as continued compliance with cGMP requirements and GCP for any clinical trials that we conduct post-approval. Later discovery of previously unknown problems with a product candidate,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issue warning letters or untitled letters;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mandate modifications to promotional materials or require us to provide corrective information to healthcare practitioners, or require other restrictions on the labeling or marketing of such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an injunction or impose civil or criminal penalties or monetary fines;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suspend, withdraw or modify regulatory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suspend or modify any ongoing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refuse to approve pending applications or supplements to applications filed by us;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suspend or impose restrictions on operations, including costly new manufacturing requirements;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seize or detain products, refuse to permit the import or export of products, or require us to initiate a product recall.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occurrence of any event or penalty described above may inhibit our ability to commercialize tildacerfont and any future product candidates and generate revenue and could require us to expend significant time and resources in response and could generate negative publicity.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Advertising and promotion of any product candidate that obtains approval in the United States will be heavily scrutinized by the FDA, the U.S. Federal Trade Commission, the Department of Justice (“DOJ”), the Office of Inspector General of the U.S. Department of Health and Human Services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and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FDA’s and other regulatory authorities’ policies may change and additional government regulations may be enacted that could prevent, limit or delay regulatory approval for tildacerfont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government agencies that fund research and development activities is subject to the political process, which is inherently fluid and unpredictable.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Separately, in response to the global COVID-19 pandemic, in March 2020 the FDA announced its intention to postpone most foreign inspections of manufacturing facilities. In July 2020, the FDA restarted inspections of domestic and international manufacturing facilities on a risk-based basis. Regulatory authorities outside the United States have adopted similar restrictions or other policy measures in response to the COVID-19 pandemic.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Even if we obtain regulatory approval for tildacerfont and any future product candidates, tildacerfont and any future product candidates may not gain market acceptance among physicians, patients, healthcare payors and others in the medical community.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Tildacerfont and any future product candidates may not be commercially successful. The commercial success of tildacerfont or any future product candidates, if approved, will depend significantly on the broad adoption and use of such product by physicians and patients for approved indications. The degree of market acceptance of tildacerfont or any future products, if approved, will depend on a number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clinical indications for which such product candidate is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physicians and patients considering the product as a safe and effective treatment;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and perceived advantages of the product over alternative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prevalence and severity of any side effects;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labeling or product insert requirements of the FDA or other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limitations or warnings contained in the labeling approved by the FDA or other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of market introduction of the product as well as competitive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cost of treatment in relation to alternative treatments;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of coverage and adequate reimbursement by third-party payors and government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willingness of patients to pay out-of-pocket in the absence of coverage and adequate reimbursement by third-party payors and government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relative convenience and ease of administration, including as compared to alternative treatments and competitive therapies;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effectiveness of our sales and marketing efforts and those of any collaboration or distribution partner on whom we rely for sales in foreign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tildacerfont and any future product candidate is approved but fails to achieve market acceptance among physicians, patients, healthcare payors or others in the medical community, we will not be able to generate significant revenues, which would have a material adverse effect on our business, prospects, financial condition, and results of operations. In addition, even if tildacerfont and any future product candidate gains acceptance, the markets for the treatment of patients with our target indications may not be as significant as we estimate.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tildacerfont and any future product candidate is approved for marketing, and we are found to have improperly promoted off-label uses, or if physicians prescribe or use tildacerfont and any future product candidates off-label, we may become subject to prohibitions on the sale or marketing of tildacerfont and any future product candidates, significant fines, penalties, sanctions, or product liability claims, and our image and reputation within the industry and marketplace could be harmed.</w:t>
      </w:r>
    </w:p>
    <w:p>
      <w:pPr>
        <w:pStyle w:val="TextBody"/>
        <w:bidi w:val="0"/>
        <w:spacing w:before="120" w:after="0"/>
        <w:jc w:val="left"/>
        <w:rPr>
          <w:rFonts w:ascii="Times New Roman" w:hAnsi="Times New Roman"/>
          <w:sz w:val="20"/>
        </w:rPr>
      </w:pPr>
      <w:r>
        <w:rPr>
          <w:rFonts w:ascii="Times New Roman;serif" w:hAnsi="Times New Roman;serif"/>
          <w:b w:val="false"/>
          <w:sz w:val="20"/>
        </w:rPr>
        <w:t>The FDA, DOJ, and comparable foreign authorities strictly regulate the marketing and promotional claims that are made about pharmaceutical products, such as tildacerfont, if approved. In particular, a product may not be promoted for uses or indications that are not approved by the FDA or comparable foreign authorities as reflected in the product’s approved labeling. However, if we receive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marketing approval for tildacerfont and any future product candidates, physicians can prescribe such product to their patients in a manner that is inconsistent with the approved label based on the physician’s independent medical judgement. If we are found to have promoted such off-label uses, we may receive warning letters from the FDA and comparable foreign authorities and become subject to significant liability, which would materially harm our business.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and other governmental authorities have also required that companies enter into consent decrees or permanent injunctions under which specified promotional conduct is changed or curtailed in order to resolve enforcement actions. If we are deemed by the FDA, DOJ, or other governmental authorities to have engaged in the promotion of tildacerfont or any future product candidate for off-label use, we could be subject to certain prohibitions or other restrictions on the sale or marketing and other operations or significant fines and penalties, and the imposition of these sanctions could also affect our reputation and position within the industry.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Coverage and reimbursement may be limited or unavailable in certain market segments for tildacerfont and any future product candidates, which could make it difficult for us to sell tildacerfont and any future product candidates profitably.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Successful sales of tildacerfont and any future product candidates, if approved, depend on the availability of coverage and adequate reimbursement from third-party payors. Patients who are prescribed medicine for the treatment of their conditions generally rely on third-party payors to reimburse all or part of the costs associated with their prescription drugs. Coverage and adequate reimbursement from governmental healthcare programs, such as Medicare and Medicaid, and commercial payors is critical to new product acceptance, and we may not obtain such coverage or adequate reimbursement. Moreover, we focus our clinical development of tildacerfont on treatments for rare endocrine disorders with relatively small patient populations. As a result, we must rely on obtaining appropriate coverage and reimbursement for these populations.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Government authorities and third-party payors, such as private health insurers and health maintenance organizations, decide which drugs they will cover and the amount of reimbursement they will provide. Reimbursement by a third-party payor may depend upon a number of factors, including, but not limited to, the third-party payor’s determination that use of a product 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covered benefit under its health plan;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safe, effective, and medically necessary;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appropriate for the specific patient;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cost-effective;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neither experimental nor investigational.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coverage and reimbursement approval for a product from a government or other third-party payor is a time-consuming and costly process that could require us to provide to the payor supporting scientific, clinical and cost-effectiveness data for the use of our products. We may not be able to provide data sufficient to obtain coverage and adequate reimbursement. Assuming we obtain coverage for a given product, the resulting reimbursement payment rates might not be adequate or may require co-payments that patients find unacceptably high. Patients are unlikely to use tildacerfont or any future product candidate unless coverage is provided and reimbursement is adequate to cover a significant portion of the cost. Additionally, the reimbursement rates and coverage amounts may be affected by the approved label for tildacerfont or any future product candidate. If coverage and reimbursement of our future products are unavailable or limited in scope or amount, or if pricing is set at unsatisfactory levels, we may be unable to achieve or sustain profitability.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market for tildacerfont and any future product candidates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through formulary controls or otherwise to a branded drug when a less costly generic equivalent or other alternative is available.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United States, no uniform policy of coverage and reimbursement for drug products exists among third-party payors. Third-party payors often rely upon Medicare coverage policy and payment limitations in setting their own reimbursement rates, but also have their own methods and approval process apart from Medicare determinations. Therefore, coverage and reimbursement for drug products can differ significantly from payor to payor. As a result, the coverage determination process is often a time-consuming and costly process that will require us to provide scientific and clinical support for the use of tildacerfont and any future product candidates to each payor separately, with no assurance that coverage and adequate reimbursement will be obtained. Further, coverage policies and third-party reimbursement rates may change at any time. Therefore, even if favorable coverage and reimbursement status is attained, less favorable coverage policies and reimbursement rates may be implemented in the future.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seek approval to market tildacerfont in the United States and in selected foreign jurisdictions. If we obtain approval in one or more foreign jurisdictions for tildacerfont, we will be subject to rules and regulations in those jurisdictions. In some foreign countries, particularly those in the EU, the pricing of prescription pharmaceuticals and biologics is subject to governmental control. In these countries, pricing negotiations with governmental authorities can take considerable time after obtaining marketing approval for a drug candidate. In addition, market acceptance and sales of a product will depend significantly on the availability of coverage and adequate reimbursement from third-party payors for a product and may be affected by existing and future health care reform measures.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Recently enacted legislation, future legislation and healthcare reform measures may increase the difficulty and cost for us to obtain marketing approval for and commercialize tildacerfont and any future product candidates and may affect the prices we may set.*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are that it established an annual, nondeductible fee on any entity that manufactures or imports specified branded prescription drugs and biologic agents; expands eligibility criteria for Medicaid programs; increased the statutory minimum rebates a manufacturer must pay under the Medicaid Drug Rebate Program; created a new Medicare Part D coverage gap discount program; established a new Patient-Centered Outcomes Research Institute to oversee, identify priorities in and conduct comparative clinical effectiveness research, along with funding for such research; and established a Center for Medicare and Medicaid Innovation at the Centers for Medicare &amp; Medicaid Services (“CMS”) to test innovative payment and service delivery models to lower Medicare and Medicaid spending.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have been executive, judicial and Congressional challenges to certain aspects of the Affordable Care Act. By way of example, legislation enacted in 2017, informally titled the Tax Cuts and Jobs Act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For example, on June 17, 2021, the United States Supreme Court dismissed a challenge on procedural grounds that argued the Affordable Care Act is unconstitutional in its entirety because the “individual mandate” was repealed by Congress. Moreover, prior to the United Supreme Court ruling, on January 28, 2021, President Biden issued an executive order that initiated a special enrollment period for purposes of obtaining health insurance coverage through the Affordable Care Act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Further,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there has been heightened governmental scrutiny in the United States of pharmaceutical pricing practices in light of the rising cost of prescription drugs.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the state level, 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tildacerfont, if approved, or put pressure on our product pricing, which could negatively affect our business, results of operations, financial condition, and prospects.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third-party payors. The implementation of cost containment measures or other healthcare reforms may prevent us from being able to generate revenue, attain profitability or commercialize tildacerfont, if approved.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 variety of risks associated with marketing tildacerfont and any future product candidates internationally could materially adversely affect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plan to seek regulatory approval for tildacerfont and any future product candidates internationally and, accordingly, we expect that we will be subject to additional risks related to operating in foreign countries if we obtain the necessary approvals,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differing regulatory requirements in foreign countries, including differing reimbursement, pricing and insurance regimes;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potential for so-called parallel importing, which is what happens when a local seller, faced with high or higher local prices, opts to import goods from a foreign market (with low or lower prices) rather than buying them locally;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unexpected changes in tariffs, trade barriers, price and exchange controls, and other regulatory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economic weakness, including inflation, or political instability in particular foreign economies and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internationally;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foreign taxes, including withholding of payroll taxes;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revenues, and other obligations incident to doing business in another country;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difficulties staffing and managing foreign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United States;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potential liability under the U.S. Foreign Corrupt Practices Act of 1977 (“FCPA”) or comparable foreign regulations;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internationally; and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and other risks associated with our international operations may materially adversely affect our ability to attain or maintain profitable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develop and commercialize additional product candidates, we may be unable to grow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seek to in-license or acquire development-stage product candidates in endocrine disorders that have the potential to complement our existing portfolio. If we decide to pursue the development and commercialization of any additional product candidates, we may be required to invest significant resources to acquire or in-license the rights to such product candidates or to conduct drug discovery activities. We do not currently have the necessary drug discovery personnel or expertise adequate to discover and develop an additional product candidate on our own. Any other product candidates will require additional, time-consuming development efforts, and significant financial resources, prior to commercial sale, including preclinical studies, extensive clinical trials, and approval by the FDA and applicable foreign regulatory authorities. All product candidates are prone to the risks of failure that are inherent in pharmaceutical product development, including the possibility that the product candidate will not be shown to be sufficiently safe and/or effective for approval by regulatory authorities. In addition, we may not be able to acquire, discover, or develop any additional product candidates, and any additional product candidates we may develop may not be approved, manufactured, or produced economically, successfully commercialized or widely accepted in the marketplace, or be more effective than other commercially available alternatives. Research programs to identify new product candidates require substantial technical, financial, and human resources whether or not we ultimately identify any candidates. If we are unable to develop or commercialize any other product candidates, our business and prospects will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develop tildacerfont for additional indications, our commercial opportunity may be limited.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One of our strategies is to pursue clinical development of tildacerfont in additional endocrine disorders, including, but not limited to, pediatric classic CAH and females with PCOS. The endocrine disorders we are targeting are all rare disorders and, as a result, the market size for the treatment of patients with such disorders is limited. In addition, CRF1 receptor antagonism may not be an appropriate or effective mechanism in indications where disease biology supports a need to reduce ACTH. Due to these factors, our ability to grow revenue may be dependent on our ability to successfully develop and commercialize tildacerfont for the treatment of additional indications. Developing, obtaining regulatory approval and commercializing tildacerfont for additional indications will require substantial additional funding and is prone to the risks of failure inherent in drug development. We may not be able to successfully advance any of these indications through the development process. Even if we receive regulatory approval to market tildacerfont for the treatment of any of these additional indications, any such additional indications may not be successfully commercialized, widely accepted in the marketplace, or more effective than other commercially available alternatives. If we are unable to successfully develop and commercialize tildacerfont for these additional indications, our commercial opportunity may be limited.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face significant competition from other biotechnology and pharmaceutical companies, and our operating results will suffer if we fail to compete effectively.*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biopharmaceutical industry is characterized by intense competition and rapid innovation. Although we believe that we hold a leading position in our focus on rare endocrine disorders,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tildacerfont. We believe the key competitive factors that will affect the development and commercial success of tildacerfont are efficacy, safety and tolerability profile, reliability, convenience of dosing, price and reimbursement.</w:t>
      </w:r>
    </w:p>
    <w:p>
      <w:pPr>
        <w:pStyle w:val="TextBody"/>
        <w:bidi w:val="0"/>
        <w:spacing w:before="120" w:after="0"/>
        <w:jc w:val="left"/>
        <w:rPr>
          <w:rFonts w:ascii="Times New Roman" w:hAnsi="Times New Roman"/>
          <w:sz w:val="20"/>
        </w:rPr>
      </w:pPr>
      <w:r>
        <w:rPr>
          <w:rFonts w:ascii="Times New Roman;serif" w:hAnsi="Times New Roman;serif"/>
          <w:b w:val="false"/>
          <w:sz w:val="20"/>
        </w:rPr>
        <w:t>Although classic CAH is part of the newborn screening program in most developed countries, there are no known novel therapies that have been approved in approximately 70 years. We are aware of other companies actively developing treatments for patients with classic CAH. Neurocrine Biosciences, Inc. is developing a CRF1 receptor antagonist and has initiated Phase 3 registrational trials in adult and pediatric classic CAH and plans to report topline results from both studies in the fourth quarter of 2023. Crinetics Pharmaceuticals, Inc. plans to initiate a Phase 2 clinical trial in 2023 to evaluate the safety and efficacy of an oral ACTH antagonist in adults with CAH. BridgeBio Pharma, Inc. is evaluating an AAV5 gene therapy product candidate to treat classic CAH in a Phase 1/2 proof-of-concept clinical trial. In addition, while tildacerfont ultimately seeks to significantly reduce steroid use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patients with classic CAH, patients will continue to use their steroid regimen. As high doses of corticosteroids are the current standard of care for the treatment of classic CAH, in the United States alone, there are more than two dozen companies manufacturing steroid-based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potential could be reduced or eliminated if our competitors develop and commercialize products that are safer, more effective, have fewer or less severe side effects, are more convenient, or are less expensive than products that we may develop. Our competitors also may obtain FDA or other regulatory approval for their products more rapidly than we may obtain approval for ours, which could result in our competitors establishing a strong market position before we are able to enter the market or make our development more complicated. We believe the key competitive factors affecting the success of tildacerfont are likely to be efficacy, safety, and convenience.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Even though we have obtained orphan drug designation for tildacerfont for the treatment of CAH, we may not be able to obtain or maintain the benefits associated with orphan drug status, including market exclusivity.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authorities in some jurisdictions, including the United States and the EU, may designate drugs for relatively small patient populations as orphan drugs. Under the Orphan Drug Act, the FDA may designate a drug as an orphan drug if it is intended to treat a rare disease or condition, which is generally defined as a patient population of fewer than 200,000 people in the United States, or a patient population of greater than 200,000 people in the United States, but for which there is no reasonable expectation that the cost of developing the drug will be recovered from sales in the United States. In the EU, the European Commission, on the basis of the opinion of the EMA Committee for Orphan Medicinal Products, grants orphan drug designation for medicines to be developed for the diagnosis, prevention or treatment of diseases that are life-threatening or chronically debilitating, for which either no satisfactory method of diagnosis, prevention, or treatment exists, or if such method exists, the medicine is of significant benefit to those affected by such condition. To benefit from such designation, either the prevalence of such condition must not be more than five in 10,000 people across the EU or, if more prevalent, it must be unlikely that the marketing of the medicine would generate sufficient returns to justify the investment needed for its development.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received orphan drug designation for tildacerfont for the treatment of patients with CAH in both the US and EU. Generally, if a drug with an orphan drug designation subsequently receives the first marketing approval for the indication for which it has such designation, the drug may be entitled to a period of marketing exclusivity, which precludes the FDA or the European Commission from approving another marketing application for the same drug (or, in the case of the European Commission, a similar drug) and same indication for that time period. The applicable period is seven years in the United States and ten years in the EU, which may be extended by six months and two years, respectively, in the case of product candidates that have complied with the respective regulatory agency’s agreed upon pediatric investigation plan. The exclusivity period in the EU can be reduced to six years if, at the end of the fifth year, it is established that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even after a drug is granted orphan exclusivity and approved, the FDA and the European Commission can subsequently approve a different drug for the same condition or the same drug for a different condition, which may subject the orphan-exclusive product to off-label competition. As well, before the expiration of the orphan exclusivity period, the FDA or European Commission may grant approval to a competitor if it concludes that a subsequent application for the same drug for the same indication is clinically superior in that it is shown to be safer, more effective or makes a major contribution to patient care. In the EU, the EMA may deny marketing approval for a product candidate if it determines such product candidate is structurally similar to an approved product for the same indication. In addition, if an orphan designated product receives marketing approval for an indication broader than or different from what is designated, such product may not be entitled to orphan exclusivity. Even though the FDA has granted orphan drug designation to tildacerfont for the treatment of classic CAH, if we receive approval for tildacerfont for a modified or different indication, our current orphan designations may not provide us with exclusivity.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Orphan drug designation does not convey any advantage in, or shorten the duration of, the regulatory review or approval process. Also, regulatory approval for any product candidate may be withdrawn, and other product candidates may obtain approval before us and receive orphan drug exclusivity, which could block us from entering the market.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we obtain orphan drug exclusivity for tildacerfont, that exclusivity may not effectively protect us from competition because different drugs can be approved for the same condition before the expiration of the orphan drug exclusivity period.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form or seek strategic alliances or enter into additional licensing arrangements in the future, and we may not realize the benefits of such alliances or licensing arrangements.</w:t>
      </w:r>
    </w:p>
    <w:p>
      <w:pPr>
        <w:pStyle w:val="TextBody"/>
        <w:bidi w:val="0"/>
        <w:spacing w:before="120" w:after="0"/>
        <w:jc w:val="left"/>
        <w:rPr>
          <w:rFonts w:ascii="Times New Roman" w:hAnsi="Times New Roman"/>
          <w:sz w:val="20"/>
        </w:rPr>
      </w:pPr>
      <w:r>
        <w:rPr>
          <w:rFonts w:ascii="Times New Roman;serif" w:hAnsi="Times New Roman;serif"/>
          <w:b w:val="false"/>
          <w:sz w:val="20"/>
        </w:rPr>
        <w:t>We may form or seek strategic alliances, create joint ventures or collaborations or enter into additional licensing arrangements with third parties that we believe will complement or augment our development and commercialization efforts with respect to tildacerfont and any future product candidates that we may develop. We intend to establish commercial partnerships outside of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United States in selected foreign markets. Any of these relationships may require us to incur non-recurring and other charges, increase our near-and long-term expenditures, issue securities that dilute our existing stockholders, or disrupt our management and business. In addition, we face significant competition in seeking appropriate strategic partners and the negotiation process is time-consuming and complex. If we license products or businesses, we may not be able to realize the benefit of such transactions if we are unable to successfully integrate them with our existing operations and company culture. Following a strategic transaction or license, we may not achieve the revenues or cash flows that justifies such transaction. Any delays in entering into new strategic partnership agreements related to tildacerfont could delay the development and commercialization of tildacerfont in certain geographies for certain indications, which would harm our business prospects,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failure to successfully in-license, acquire, develop, and market additional product candidates or approved products would impair our ability to grow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a substantial amount of our efforts are focused on the clinical development, potential regulatory approval and commercialization of tildacerfont, a key element of our long-term strategy is to in-license, acquire, develop, market, and commercialize a portfolio of products to treat patients with endocrine disorders. Because we do not have the necessary internal research and development capabilities, unless we build such capabilities internally, we will be dependent upon pharmaceutical companies, academic scientists, and other researchers to sell or license products or technology to us. The success of this strategy depends partly upon our ability to identify and select promising biopharmaceutical product candidates and products, negotiate licensing or acquisition agreements with their current owners, and finance these arrangements. The process of proposing, negotiating, and implementing a license or acquisition of a product candidate or approved product is lengthy and complex. Other companies, including some with substantially greater financial, marketing, sales, and other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licensing opportunities that are never completed, or we may fail to realize the anticipated benefits of such efforts. We may not be able to acquire the rights to additional product candidates on terms that we find acceptable, or at all. Further, any product candidate that we acquire may require additional development efforts prior to commercial sale, including preclinical or clinical testing and approval by the FDA, the EMA and other similar regulatory authorities. All product candidates are prone to risks of failure during biopharmaceutical product development, including the possibility that a product candidate will not be shown to be sufficiently safe and effective for approval by regulatory authorities. In addition, any approved products that we acquire may not be manufactured or sold profitably or achieve market acceptance.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will need to grow the size of our organization, and we may experience difficulties in managing this growth.*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we had 32 employees, all of whom are full-time. As our development and commercialization plans and strategies develop, and as we transition into operating as a public company, we expect to need additional development, managerial, operational, financial, sales, marketing, and other personnel. Future growth would impose significant added responsibilities on members of management,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identifying, recruiting, integrating, maintaining, and motivating additional employees;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managing our internal development efforts effectively, including the clinical and regulatory review process for tildacerfont and any future product candidates, while complying with our contractual obligations to contractors and other third parties;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improving our operational, financial and management controls, reporting systems and procedures.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initiated enrollment in CAHmelia-203, our ongoing placebo-controlled, double-blind Phase 2b clinical trial in adult patients with classic CAH with highly elevated levels of A4 at baseline, and in CAHmelia-204, our second Phase 2b clinical trial in adult patients with classic CAH on supraphysiologic doses of glucocorticoids with normal or near normal levels of A4 at baseline focused on glucocorticoid reduction. We also initiated a Phase 2 open-label clinical trial in pediatric patients between two and 17 years of age with classic CAH and a Phase 2 proof-of-concept clinical trial in females with PCOS. Our future financial performance and our ability to commercialize tildacerfont will depend, in part, on our ability to effectively manage any future growth, and our management may also have to divert a disproportionate amount of its attention away from day-to-day activities in order to devote a substantial amount of time to managing these growth activities. To date, we have used the services of outside vendors to perform tasks including clinical trial management, manufacturing, statistics and analysis, regulatory affairs, formulation development, and other drug development functions. Our growth strategy may also entail expanding our group of contractors or consultants to implement these tasks going forward. Because we rely on numerous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tildacerfont and any future product candidates or otherwise advance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tildacerfont and any future product candidates and, accordingly, may not achieve our research, development and commercialization goals.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indebtedness to Silicon Valley Bank may limit our flexibility in operating our business and adversely affect our financial health and competitive position, and our obligations to Silicon Valley Bank are secured by substantially all of our assets, excluding our intellectual property assets. If we default on these obligations, Silicon Valley Bank could foreclose on our assets.*</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2019, we entered into a Loan and Security Agreement (the “Loan Agreement”) providing for a term loan (the “Term Loan”) with SVB. In April 2020, we entered into a deferral agreement with SVB (the “Deferral Agreement”), whereby we and SVB agreed to extend the repayment dates of all monthly payments of principal due and the maturity date with respect to the Term Loan by six months. In March 2021, we entered into the First Amendment with SVB (the “First Amendment”), which increased the aggregate principal amount of the Term Loan commitment by SVB to up to $30.0 million. In May 2022, we entered into the Second Amendment with SVB (the “Second Amendment”), which amended the milestone upon which the Second Tranche commitment of $10.0 million would become available. As of June 30, 2023, we had $4.2 million outstanding under the Loan Agreement. Repayment of principal commenced in January 2023. Commitments available under the Second Tranche of $10.0 million expired on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obligations under the Term Loan are secured by a first priority lien on substantially all of our assets, excluding intellectual property assets. We have agreed with SVB not to encumber our intellectual property assets without its prior written consent unless a security interest in the underlying intellectual property is necessary to have a security interest in the accounts and proceeds that are part of the assets securing the Term Loan, in which case our intellectual property shall automatically be included within the assets securing the Term Loan.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could place us at a competitive disadvantage compared to our competitors that have less indebtedness.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Loan Agreement contains certain covenants that limit our ability to engage in certain transactions that may be in our long-term best interest, including entering into a change in control transaction. The Loan Agreement also contains certain covenants that limit our ability to obtain additional debt financing, including incurring debt from third parties not permitted under the Loan Agreement or incurring liens or encumbrances on our property. While we have not previously breached and are currently in compliance with the covenants contained in the Loan Agreement, we may breach these covenants in the future. Our ability to comply with these covenants may be affected by events and factors beyond our control. In the event that we breach one or more covenants, SVB may choose to declare an event of default and require that we immediately repay all amounts outstanding under the Loan Agreement, terminate any commitment to extend further credit and foreclose on the collateral. In addition, if an event of default occurs under the Loan Agreement, SVB may, among other things, accelerate the Term Loan or do any acts it considers necessary or reasonable to protect its security interest in the collateral under the Term Loan. Events of default include the occurrence of a material adverse change in our business, operations, or condition (financial or otherwise). The occurrence of any of these events could have a material adverse effect on our business,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 more detailed description of the terms of the Loan Agreement, see the section titled “Management’s Discussion and Analysis of Financial Condition and Results of Operations—Material Agreements—Loan Agreement” and Note 6 to our financial statements, each included elsewhere in this Quarterly Report on Form 10-Q.</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Raising additional capital may cause dilution to our existing stockholders, restrict our operations, or require us to relinquish rights to our technologies or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We may seek additional capital through a combination of equity offerings, debt financings, strategic partnerships and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The incurrence of indebtedness would result in increased fixed payment obligations and could involve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current or future product candidates, or grant licenses on terms unfavorable to us.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employees, independent contractors, principal investigators, CROs, consultants, strategic partners, and vendors may engage in misconduct or other improper activities, including noncompliance with regulatory standards and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exposed to the risk that employees, independent contractors, principal investigators, CROs, consultants, and vendors may engage in fraudulent or other illegal activity. Misconduct by these parties could include intentional, reckless and/or negligent conduct or disclosure of unauthorized activities to us that violates: (i) the rules of the FDA and other similar foreign regulatory bodies, including those rules that require the reporting of true, complete, and accurate information to the FDA and other similar foreign regulatory bodies; (ii) manufacturing standards; (iii) healthcare fraud and abuse laws in the United States and similar foreign fraudulent misconduct laws or (iv) laws that require the true, complete, and accurate reporting of our financial information or data. These laws may impact, among other things, our current activities with principal investigators and research subjects,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obtain regulatory approval for tildacerfont and begin commercializing those products in the United States and in Europe, our potential exposure under such laws will increase significantly, and our costs associated with compliance with such laws are also likely to increase.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additional reporting requirements and/or oversight if we become subject to a corporate integrity agreement or similar agreement to resolve allegations of non-compliance with these laws, contractual damages, reputational harm, diminished profits and future earnings, and curtailment of our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If we or our employees, independent contractors, consultants, commercial partners, or vendors violate these laws, we could face substantial penalties.*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relationships with customers, healthcare providers, and third-party payors may be subject, directly or indirectly, to federal and state healthcare fraud and abuse laws, false claims laws, health information privacy and security laws, and other healthcare laws and regulations. 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The U.S. healthcare laws and regulations that may affect our ability to operate include, but are not limited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federal civil and criminal false claims laws, including the federal civil False Claims Act, and civil monetary penalty laws,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government, including federal healthcare programs. In addition, the government may assert that a claim including items or services resulting from a violation of the federal Anti-Kickback Statute constitutes a false or fraudulent claim for purposes of the federal civil False Claims Act and the civil monetary penalties statute;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which created new federal civil and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Act, and their respective implementing regulations, which impose requirements on certain healthcare providers, health plans, and healthcare clearinghouses, known as covered entities, and their respective business associates that perform services for them that involve the use, or disclosure of, individually identifiable health information as well as their covered subcontractors;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also be subject to state and foreign equivalents of each of the healthcare laws described above, among others, some of which may be broader in scope. For example, we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marketing expenditures, or drug pricing; state and local laws requiring the registration of pharmaceutical sales and medical representatives; and state and foreign laws, such as the European Union General Data Protection Regulation (“GDPR”) governing the privacy and security of health information in some circumstances, many of which differ from each other in significant ways and often are not preempted by HIPAA, thus complicating compliance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we may be subject to federal consumer protection and unfair competition laws, which broadly regulate marketplace activities and activities that potentially harm consumers.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the breadth of these laws and the narrowness of the statutory exceptions and regulatory safe harbors available, it is possible that some of our business activities, or our arrangements with physicians, could be subject to challenge under one or more of such laws. It is not always possible to identify and deter employee misconduct or business noncompliance,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we or our employees, independent contractors, consultants, commercial partners and vendors violate these laws, we may be subject to investigations, enforcement actions and/or significant penalties,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In addition, the approval and commercialization of tildacerfont outside the United States will also likely subject us to foreign equivalents of the healthcare laws mentioned above, among other foreign laws.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(such as health-related data), intellectual property, and trade secrets (collectively, sensitive data).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and our third-party collaborators, consultants, contractors, suppliers, and service providers are subject to a variety of evolving threats, including but not limited to physical or electronic break-ins, social engineering attempts (including through phishing and spam emails), malicious code (such as computer viruses and worms), malware (including as a result of advanced persistent intrusions), ransomware attacks, natural disasters, terrorism, war, server malfunctions, telecommunication and electrical failure, denial of service attacks (such as credential stuffing), credential harvesting, personnel misconduct or error, supply-chain attacks, software bugs, and other similar threats.</w:t>
      </w:r>
    </w:p>
    <w:p>
      <w:pPr>
        <w:pStyle w:val="TextBody"/>
        <w:bidi w:val="0"/>
        <w:spacing w:before="120" w:after="0"/>
        <w:jc w:val="left"/>
        <w:rPr>
          <w:rFonts w:ascii="Times New Roman" w:hAnsi="Times New Roman"/>
          <w:sz w:val="20"/>
        </w:rPr>
      </w:pPr>
      <w:r>
        <w:rPr>
          <w:rFonts w:ascii="Times New Roman;serif" w:hAnsi="Times New Roman;serif"/>
          <w:b w:val="false"/>
          <w:sz w:val="20"/>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our reliance on third-party service providers could introduce new cybersecurity risks and vulnerabilities, including supply-chain attacks, and other threats to our business operations. We rely on third-party service providers and technologies to operate critical business systems to process sensitive data in a variety of contexts, including, without limitation, cloud-based infrastructure, third-party research institution collaborators and other third parties to conduct clinical trials, data center facilities,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of the previously identified or similar threats could cause a security incident or other interruption that could result in unauthorized, unlawful, or accidental acquisition, modification, destruction, alteration, encryption, access to, use or disclosure of, corruption of, or loss of sensitive data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0"/>
        <w:jc w:val="left"/>
        <w:rPr>
          <w:rFonts w:ascii="Times New Roman" w:hAnsi="Times New Roman"/>
          <w:sz w:val="20"/>
        </w:rPr>
      </w:pPr>
      <w:r>
        <w:rPr>
          <w:rFonts w:ascii="Times New Roman;serif" w:hAnsi="Times New Roman;serif"/>
          <w:b w:val="false"/>
          <w:sz w:val="20"/>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vulnerabilities pose material risks to our business. Further, we may experience delays in developing and deploying remedial measures designed to address any such identified vulnerabilities.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or the third parties upon whom we rely experience a security incident, applicable data privacy and security obligations may require us to notify relevant stakeholders, such as consumers, partners, collaborators, government authorities, and the media. Such disclosures are costly, and the disclosure or the failure to comply with such requirements could lead to adverse consequences.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(or a third party upon whom we rely) experience a security incident or are perceived to have experienced a security incident, we may experience adverse consequences, such as significant liabilities, regulatory and enforcement actions (including investigations, fines, penalties, audits and inspections), reputational damage, additional reporting requirements and/or oversight, restrictions on processing sensitive data (including personal data), litigation, indemnification obligations, negative publicity, monetary fund diversions, interruptions in our operations (including availability of data), financial loss, and other harms. For example, the loss of clinical trial 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Additionally, the development and commercialization of tildacerfont could be delayed.</w:t>
      </w:r>
    </w:p>
    <w:p>
      <w:pPr>
        <w:pStyle w:val="TextBody"/>
        <w:bidi w:val="0"/>
        <w:spacing w:before="120" w:after="0"/>
        <w:jc w:val="left"/>
        <w:rPr>
          <w:rFonts w:ascii="Times New Roman" w:hAnsi="Times New Roman"/>
          <w:sz w:val="20"/>
        </w:rPr>
      </w:pPr>
      <w:r>
        <w:rPr>
          <w:rFonts w:ascii="Times New Roman;serif" w:hAnsi="Times New Roman;serif"/>
          <w:b w:val="false"/>
          <w:sz w:val="20"/>
        </w:rPr>
        <w:t>Furthermore, our contracts may not contain limitations of liability, and even where they do, there can be no assurance that limitations of liability in our contracts are sufficient to protect us from liabilities, damages, or claims related to our data privacy and security obligations.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subject to stringent and evolving U.S. and foreign laws, regulations, rules, contractual obligations, policies and other obligations related to data privacy and security. Our actual or perceived failure to comply with such obligations could lead to government enforcement actions (which could include civil or criminal penalties), private litigation, adverse publicity, and other adverse consequences, and could negatively affect our operating results and business.*</w:t>
      </w:r>
    </w:p>
    <w:p>
      <w:pPr>
        <w:pStyle w:val="TextBody"/>
        <w:bidi w:val="0"/>
        <w:spacing w:before="120" w:after="0"/>
        <w:jc w:val="left"/>
        <w:rPr>
          <w:rFonts w:ascii="Times New Roman" w:hAnsi="Times New Roman"/>
          <w:sz w:val="20"/>
        </w:rPr>
      </w:pPr>
      <w:r>
        <w:rPr>
          <w:rFonts w:ascii="Times New Roman;serif" w:hAnsi="Times New Roman;serif"/>
          <w:b w:val="false"/>
          <w:sz w:val="20"/>
        </w:rPr>
        <w:t>We and the third parties upon which we rely may be subject to federal, state, local, and foreign data privacy and security laws and regulations, as well as other rules, standards, policies and contractual or other obligations, relating to the processing of personal data. If we or the third parties upon which we rely fail, or are perceived to have failed, to address or comply with any such obligations, this could result in enforcement actions that could include investigations, fines, penalties, audits and inspections, litigation (including class-action claims), additional reporting requirements and/or oversight, temporary or permanent bans on all or some processing of personal data, or orders to destroy or not use personal data.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United States, numerous federal, state, and local laws and regulations, including state data breach notification laws, state health information privacy laws, and federal and state consumer protection laws (e.g., Section 5 of the Federal Trade Commission Act) and regulations, and other laws (e.g., wiretapping laws) that govern the processing of personal data could apply to our operations or the operations of the third parties upon which we rely. In addition, we may obtain health information from third parties (including research institutions from which we obtain clinical trial data) that is subject to privacy and security requirements under HIPAA. If we violate HIPAA, we may be subject to significant administrative and civil penalties. Additionally, depending on the facts and circumstances, we could be subject to criminal penalties if we knowingly obtain, use, or disclose individually identifiable health information maintained by a HIPAA-covered entity in a manner that is not authorized or permitted by HIPAA.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administrative fines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CPRA expanded the CCPA’s requirements, including by adding a new right for individuals to correct their personal data and establishing a new regulatory agency to implement and enforce the law.</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states, such as Virginia and Colorado, have also passed comprehensive privacy laws, and similar laws are being considered in several other states, as well as at the federal and local levels. While these states, like the CCPA, also exempt some data processed in the context of clinical trials, these developments may further complicate compliance efforts, and increase legal risk and compliance costs for us and the third parties upon whom we rely.</w:t>
      </w:r>
    </w:p>
    <w:p>
      <w:pPr>
        <w:pStyle w:val="TextBody"/>
        <w:bidi w:val="0"/>
        <w:spacing w:before="120" w:after="0"/>
        <w:jc w:val="left"/>
        <w:rPr>
          <w:rFonts w:ascii="Times New Roman" w:hAnsi="Times New Roman"/>
          <w:sz w:val="20"/>
        </w:rPr>
      </w:pPr>
      <w:r>
        <w:rPr>
          <w:rFonts w:ascii="Times New Roman;serif" w:hAnsi="Times New Roman;serif"/>
          <w:b w:val="false"/>
          <w:sz w:val="20"/>
        </w:rPr>
        <w:t>Outside the United States, an increasing number of laws, regulations, and industry standards may govern data privacy and security, including our processing of personal data. For example, our processing of personal data is or may become subject in certain circumstances to the EU GDPR and/or the UK GDPR. Each of these regulations requires stringent standards of data privacy and security concerning personal data and potentially significant sanctions. For example, companies may face temporary or definitive bans on processing of personal data and other corrective actions; fines of up to 20 million Euros under the EU GDPR / 17.5 million pounds sterling under the UK GDPR or, in each case, 4% of annual global revenue whichever is greater; or private litigation related to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processing of personal data brought by classes of data subjects or consumer protection organizations authorized at law to represent their interests.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generally considered ‘inadequate’ for the purposes of either or both of those regulations (unless and to the extent, in the context of the EU GDPR, a U.S.-based organization self-certifies compliance with the principles of, and otherwise adheres to, the newly-approved EU-U.S. Data Privacy Framework).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aforementioned EU-U.S. Data Privacy Framework, all such transfers mechanisms are open to legal challenges, and there is no assurance that we can always satisfy or rely on these mechanisms to lawfully effect cross-border transfers of personal data where required. 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data privacy and security laws, we are bound by other contractual obligations related to data privacy and security, and our efforts to comply with such obligations may not be successful. For example, patients about whom we or the third parties upon whom we rely to obtain information, as well as the providers who share this information with us, may contractually limit our ability to use and disclose the information. We also publish privacy policies and other statements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Obligations related to data privacy and security are quickly changing, becoming increasingly stringent, and creating regulatory uncertainty. Compliance with data privacy and security obligations could require us to take on more onerous requirements in our contracts, require us to engage in costly compliance exercises, restrict our ability to collect, use and disclose data, or in some cases, impact our or the third parties upon whom we rely ability to operate in certain jurisdictions. Each of these constantly evolving laws can be subject to varying interpretations.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Failure to comply with data privacy and security obligations could result in government investigations and enforcement actions (which could include civil or criminal penalties), fines, private litigation, and/or adverse publicity and could negatively affect our operating results and business. Claims that we have violated individuals’ privacy rights, failed to comply with data privacy laws, or breached our contractual obligations, even if we are not found liable, could be expensive and time-consuming to defend and could result in adverse publicity that could harm our business.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product liability lawsuits are brought against us, we may incur substantial liabilities and may be required to limit commercialization of tildacerfont and any future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an inherent risk of product liability as a result of the clinical testing of tildacerfont and any future product candidates and will face an even greater risk if we commercialize any products. For example, we may be sued if tildacerfont or any future product candidates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tildacerfont. Even successful defense would require significant financial and management resources. Regardless of the merits or eventual outcome, liability claims may result in: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decreased demand for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injury to our reputation;</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withdrawal of clinical trial participants;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initiation of investigations by regulatory authorities;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to defend the related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diversion of management’s time and our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product recalls, withdrawals or labeling, marketing, or promotional restrictions;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 of revenue;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exhaustion of any available insurance and our capital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inability to commercialize tildacerfont and any future product candidates;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decline in our share price.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obtain and retain sufficient product liability insurance at an acceptable cost to protect against potential product liability claims could prevent or inhibit the commercialization of products we develop. We currently carry an aggregate of up to $10.0 million of product liability insurance covering our clinical trials. Although we maintain such insurance, any claim that may be brought against us could result in a court judgment or settlement in an amount that is not covered, in whole or in part, by our insurance or that is in excess of the limits of our insurance coverage. If we determine that it is prudent to increase our product liability coverage due to the commercial launch of any approved product, we may be unable to obtain such increased coverage on acceptable terms, or at all.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ability to utilize our net operating loss carryforwards and certain other tax attributes may be limited.*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incurred substantial losses during our history and do not expect to become profitable in the near future, and we may never achieve profitability. As of December 31, 2022, after reducing net operating losses (“NOLs”) and tax credits for amounts not expected to be utilized, we had federal NOL carryforwards of approximately $114.8 million and state NOL carryforwards of approximately $141.1 million. The federal NOL carryforwards arising in taxable years beginning prior to 2018 will begin to expire in 2036 and state NOL carryforwards will begin to expire in 2036, unless previously utilized. We also have federal and state tax credit carryforwards totaling $10.9 million and $1.2 million, respectively. The federal tax credit carryforwards will begin to expire in 2036, unless previously utilized. The state tax credits will not expire.</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Tax Act, as modified by the Coronavirus Aid, Relief, and Economic Security Act (“CARES Act”), federal NOL carryforwards generated in tax years beginning after December 31, 2017 may be carried forward indefinitely but may only be used to offset 80% of our taxable income annually. Similar rules may apply under state tax laws. Such limitations could result in the expiration of our carryforwards before they can be utilized and, if we are profitable, our future cash flows could be adversely affected due to our increased taxable income or tax liability. Our NOLs and tax credit carryforwards are subject to review and possible adjustment by the Internal Revenue Service and state tax authorities and may become subject to an annual limitations under Section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382 and 383 of the Internal Revenue Code of 1986, as amended. Under Section 382, certain cumulative changes in the ownership interest of significant stockholders over a rolling three-year period in excess of 50 percentage points (by value), could result in an ownership change that may limit our ability to utilize our NOL carryforwards and other tax attributes to offset future taxable income or tax liabilities. An ownership change analysis covering periods through December 31, 2021 concluded that an ownership change occurred in May 2016 and in August 2020. As a result of the ownership changes, we derecognized NOL-related deferred tax assets down to the amount expected to be realized. Our ability to use our remaining NOL carryforwards may be further limited if we experience a Section 382 ownership change as a result of future changes in our stock ownership. As of June 30, 2023, we recorded a full valuation allowance on our net deferred tax assets.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tax laws or regulations that are applied adversely to us may have a material adverse effect on our business, cash flow, financial condition or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and the recently enacted Inflation Reduction Act of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Inflation Reduction Act, or any other newly enacted federal tax legislation. Changes in corporate tax rates, the realization of net deferred tax assets relating to our operations, and the deductibility of expenses under the Tax Act, the CARES Act, the Inflation Reduction Act or future reform legislation could have a material impact on the value of our net deferred tax assets, could result in significant one-time charges, and could increase our future tax expense.</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Reliance on Third Parties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depend on intellectual property licensed from Lilly, the termination of which could result in the loss of significant rights, which would harm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dependent on technology, patents, know-how, and proprietary materials, both our own and licensed from others. We entered into a license agreement with Lilly in May 2016 pursuant to which we were granted an exclusive, worldwide, royalty bearing, sublicensable license under certain technology, patent rights, know-how, and proprietary materials relating to certain CRF1 receptor antagonist compounds. Any termination of this license will result in the loss of significant rights and will restrict our ability to develop and commercialize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generally also subject to all of the same risks with respect to protection of intellectual property that we license, as we are for intellectual property that we own, which are described below under “Risks Related to Our Intellectual Property.” If we or our licensors fail to adequately protect this intellectual property, our ability to commercialize products could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on third parties to conduct our clinical trials. If these third parties do not successfully carry out their contractual duties or meet expected deadlines, we may not be able to obtain regulatory approval for or commercialize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currently rely on, and intend to continue relying on, third-party CROs in connection with our clinical trials for tildacerfont. We control or will control only certain aspects of their activities. Nevertheless, we are responsible for ensuring that each of our clinical trials is conducted in accordance with applicable protocol, legal, regulatory, and scientific standards, and our reliance on our CROs does not relieve us of our regulatory responsibilities. We and our CROs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CROs fail to comply with applicable GCP regulations, the clinical data generated in our clinical trials may be deemed unreliable and the FDA or comparable foreign regulatory authorities may require us to perform additional clinical trials before approving our marketing applications. Upon inspection, such regulatory authorities may determine that our clinical trials do not comply with the GCP regulations. In addition, our clinical trials must be conducted with drug product produced under cGMP regulations and will require a large number of test subjects. Our failure or any failure by our CROs to comply with these regulations or to recruit a sufficient number of patients may require us to repeat clinical trials, which would delay the regulatory approval process. Moreover, our business may be implicated if any of our CROs violates federal or state fraud and abuse or false claims laws and regulations or healthcare privacy and security laws.</w:t>
      </w:r>
    </w:p>
    <w:p>
      <w:pPr>
        <w:pStyle w:val="TextBody"/>
        <w:bidi w:val="0"/>
        <w:spacing w:before="120" w:after="0"/>
        <w:jc w:val="left"/>
        <w:rPr>
          <w:rFonts w:ascii="Times New Roman" w:hAnsi="Times New Roman"/>
          <w:sz w:val="20"/>
        </w:rPr>
      </w:pPr>
      <w:r>
        <w:rPr>
          <w:rFonts w:ascii="Times New Roman;serif" w:hAnsi="Times New Roman;serif"/>
          <w:b w:val="false"/>
          <w:sz w:val="20"/>
        </w:rPr>
        <w:t>Our CROs are not our employees and, except for remedies available to us under our agreements with such CROs, we cannot control whether or not they devote sufficient time and resources to our ongoing preclinical, clinical and non-clinical programs. These CROs may also have relationships with other commercial entities, including our competitors, for whom they may also be conducting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trials or other drug development activities, which could affect their performance on our behalf. If our CROs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for or successfully commercialize tildacerfont and any future product candidates. As a result, our financial results and the commercial prospects for tildacerfont and any future product candidates would be harmed, our costs could increase and our ability to generate revenues could be delayed.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Although we carefully manage our relationships with our CROs, we may encounter challenges or delays in the future and these delays or challenges may have a material adverse impact on our business, prospects,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quarantines, shelter-in-place, and similar government orders, or the perception that such orders, shutdowns or other restrictions on the conduct of business operations could occur, related to infectious diseases could impact personnel at our CROs, which could disrupt our clinical timelines, which could have a material adverse impact on our business, prospects, financial condition, and results of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rely completely on third parties to manufacture our preclinical and clinical drug supplies and we intend to rely on third parties to produce commercial supplies of tildacerfont and any future product candidates, if approved, and these third parties may fail to obtain and maintain regulatory approval for their facilities, fail to provide us with sufficient quantities of drug product or fail to do so at acceptable quality levels or prices.*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currently have nor do we plan to acquire the infrastructure or capability internally to manufacture our clinical drug supplies for use in the conduct of our clinical trials, and we lack the resources and the capability to manufacture tildacerfont and any future product candidates on a clinical or commercial scale. Instead, we rely on contract manufacturers for such production. In particular, we currently rely on a single-source manufacturer for drug product, and a single-source manufacturer for drug substance.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currently have any long-term agreement with a manufacturer to produce raw materials, active pharmaceutical ingredients (“APIs”), and the finished products of tildacerfont or the associated packaging used in our current product format and we may rely on single source suppliers for clinical supply of API and drug product of tildacerfont. We will need to identify and qualify a third-party manufacturer prior to commercialization of tildacerfont, and we intend to enter into agreements for commercial production with third-party suppliers. As tildacerfont is intended to treat rare endocrine disorders, we will only require a low-volume of raw materials and APIs, and in some cases with single-source suppliers and manufacturers. Our reliance on third-party suppliers and manufacturers, including single-source suppliers, could harm our ability to develop tildacerfont and any future product candidates or to commercialize any product candidates that are approved. Further, any delay in identifying and qualifying a manufacturer for commercial production could delay the potential commercialization of tildacerfont and any future product candidates, and, in the event that we do not have sufficient product to complete our clinical trials, it could delay such trials.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facilities used by our contract manufacturers to manufacture tildacerfont and any future product candidates must be approved by the applicable regulatory authorities, including the FDA, pursuant to inspections that will be conducted after an NDA or comparable foreign regulatory marketing application is submitted. We currently do not control the manufacturing process of tildacerfont and are completely dependent on our contract manufacturing partners for compliance with the FDA’s cGMP requirements for manufacture of both the active drug substances and finished drug product. If our contract manufacturers cannot successfully manufacture material that conforms to our specifications and the FDA’s strict regulatory requirements, they will not be able to secure or maintain FDA approval for the manufacturing facilities. In addition, we have no control over the ability of our contract manufacturers to maintain adequate quality control, quality assurance and qualified personnel. If the FDA or any other applicable regulatory authority does not approve these facilities for the manufacture of tildacerfont or any future product candidates or if it withdraws any such approval in the future,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which would significantly impact our ability to develop, obtain regulatory approval for, or market tildacerfont and any future product candidates.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tildacerfont or any future product candidates or in the manufacturing facilities, such manufacturing facilities may need to be closed for an extended period of time to investigate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remedy the contamination. Any stability or other issues relating to the manufacture of tildacerfont may occur in the future. In addition, quarantines, shelter-in-place, and similar government orders, or the perception that such orders, shutdowns, or other restrictions on the conduct of business operations could occur, related to infectious diseases could impact personnel at our third-party manufacturing facilities upon which we rely, or the availability or cost of materials, which could disrupt the supply chain for our product candidates.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or our third-party manufacturers use hazardous and biological materials in a manner that causes injury or violates applicable law, we may be liable for damages.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Our Intellectual Property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are unable to obtain and maintain sufficient intellectual property protection for tildacerfont, any future product candidates, and other proprietary technologies we develop, or if the scope of the intellectual property protection obtained is not sufficiently broad, our competitors could develop and commercialize products similar or identical to ours, and our ability to successfully commercialize tildacerfont, if approved, any future product candidates, and other proprietary technologies if approved,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 success will depend in part on our ability to obtain and maintain a combination of patents, trade secret protection and confidentiality agreements to protect the intellectual property related to tildacerfont, any future product candidates, and other proprietary technologies we develop. If we are unable to obtain or maintain patent protection with respect to tildacerfont, any future product candidates, and other proprietary technologies we may develop, our business, financial condition, results of operations, and prospects could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position of biotechnology and pharmaceutical companies is highly uncertain and involves complex legal, scientific, and factual questions and has been the subject of frequent litigation in recent years. As a result, the issuance, scope, validity, enforceability, and commercial value of our patent rights are highly uncertain. Our patent applications may not result in patents being issued which protect tildacerfont and uses thereof, any future product candidates, and other proprietary technologies we may develop or which effectively prevent others from commercializing competitive technologies and products. Further, no consistent policy regarding the breadth of claims allowed in pharmaceutical patents has emerged to date in the United States or in many jurisdictions outside of the United States. Changes in either the patent laws or interpretations of patent laws in the United States and other countries may diminish the value of our intellectual property. Accordingly, we cannot predict the breadth of claims that may be obtained or enforced in the patents that have been issued or may be issued from the applications we currently or may in the future own or license from third parties. Further, if any patents or applications we obtain or license are deemed invalid and unenforceable, our ability to commercialize or license our technology could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application process is subject to numerous risks and uncertainties, and there can be no assurance that we or any of our actual or potential future collaborators will be successful in protecting tildacerfont, any future product candidates, and other proprietary technologies and their uses by obtaining, defending and enforcing patents. These risks and uncertainties include the following:</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United States Patent and Trademark Office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 applications may not result in any patents being issued;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patents that may be issued or in-licensed may be challenged, invalidated, modified, revoked, circumvented, found to be unenforceable, or may otherwise not provide any competitive advantage;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and may limit, interfere with, or eliminate our ability to obtain patents related to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parties may have or may seek to design around our claims or develop technologies that may be related or competitive to our platform, may have filed or may file patent applications and may have received or may receive patents that overlap or conflict with our patent applications and patents, either by claiming the same composition of matter, methods or formulations or by claiming subject matter that could dominate our patent position;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successful opposition to any patents owned by or licensed to us could deprive us of rights necessary for the practice of our technologies or the successful commercialization of any products or product candidates that we may develop;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patent applications in the United States and most other countries are confidential for a period of time after filing, we cannot be certain that we or our licensors were the first to file any patent application related to tildacerfont, any future product candidates, and other proprietary technologies and their uses;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interference proceeding can be provoked by a third party or instituted by the USPTO to determine who was the first to invent any of the subject matter covered by the patent claims of our applications for any application with an effective filing date before March 16, 2013; as such, subject matter covered in patents or patent applications that we or our licensors have filed before March 16, 2013 may be challenged and invalidated under an interference proceeding;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countries other than the United States may have patent laws less favorable to patentees than those upheld by U.S. courts, allowing foreign competitors a better opportunity to create, develop, and market competing product candidates in those countries.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patent prosecution process is expensive, time-consuming, and complex, and we may not be able to file, prosecute, or maintain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 for such output.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tildacerfont, any future product candidates, and other proprietary technologies and erode or negate any competitive advantage we may have, which could have a material adverse effect on our financial condition and results of operations. For example: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may be able to make compounds that are similar to tildacerfont and any future product candidates but that are not covered by the claims of our patents;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may be able to make and use tildacerfont and any future product candidates in countries where valid enforceable patents are not obtained;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might not have been the first to make the inventions covered by our pending patent applications;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might not have been the first to file patent applications for these inventions;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patents that we obtain may not provide us with any competitive advantages;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develop additional proprietary technologies that are patentable;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countries where we do not have patent rights or where patent protection is weak and then use the information learned from such activities to develop competitive products for sale in our major commercial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ensure that any of our patents, or any of our pending patent applications, if issued, or those of our licensors, will include claims having a scope sufficient to protect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cannot ensure that we will be able to successfully commercialize our products on a substantial scale, if approved, before the relevant patents that we own or license expire;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may obtain patents that cover the use or manufacture of tildacerfont; 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patents of others may have an adverse effect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or invalidity proceedings before U.S. or non-U.S. patent offices.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be certain that the claims in our issued patents and pending patent applications covering tildacerfont or any future product candidates will be considered patentable by the USPTO, courts in the United States, or by patent offices or courts in foreign countries. Furthermore, the laws of some foreign countries do not protect proprietary rights to the same extent or in the same manner as the laws of the United States. As a result, we may encounter significant problems in protecting and defending our intellectual property internationally.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strength of patents in the biotechnology and pharmaceutical fields involves complex legal and scientific questions and can be uncertain. The patent applications that we own or in-license may fail to result in issued patents with claims that cover tildacerfont and any future product candidates in the United States or in foreign countries. Even if such patents do successfully issue, third parties may challenge the ownership, validity, enforceability, or scope thereof, which may result in such patents being narrowed, invalidated, or held unenforceable. Any successful opposition to our patents could deprive us of exclusive rights necessary for the successful commercialization of tildacerfont and any future product candidates. Furthermore, even if they are unchallenged, our patents may not adequately protect our intellectual property, provide exclusivity for tildacerfont or any future product candidates or prevent others from designing around our claims. If the breadth or strength of protection provided by the patents we hold with respect to tildacerfont or any future product candidates is threatened, it could dissuade companies from collaborating with us to develop, or threaten our ability to commercialize, tildacerfont or any future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U.S. patent applications in which claims are entitled to a priority date before March 16, 2013, an interference proceeding can be provoked by a third party or instituted by the USPTO to determine who was the first to invent any of the subject matter covered by the patent claims of our patents or patent applications. An unfavorable outcome could require us to cease using the related technology or to attempt to license rights from the prevailing party. Our business could be harmed if the prevailing party does not offer us a license on commercially reasonable terms. Our participation in an interference proceeding may fail and, even if successful, may result in substantial costs and distract our management and other employees.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U.S. patent applications containing a claim not entitled to priority before March 16, 2013, there is greater level of uncertainty in the patent law. In September 2011, the Leahy-Smith America Invents Act (“America Invents Act”) was signed into law. The America Invents Act includes a number of significant changes to U.S. patent law, including provisions that affect the way patent applications will be prosecuted and may also affect patent litigation. The USPTO is developing regulations and procedures to govern the administration of the America Invents Act, and many of the substantive changes to patent law associated with the America Invents Act, and in particular, the “first to file” provisions, were enacted on March 16, 2013. This will require us to be cognizant going forward of the time from invention to filing of a patent application and be diligent in filing patent applications, but circumstances could prevent us from promptly filing patent applications on our inventions. It remains unclear what impact the America Invents Act will have on the operation of our business. As such,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Patent terms may be inadequate to protect our competitive position on our product candidates for an adequate amount of time.*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such as patent term adjustments, but the life of a patent and, correspondingly, the protection it affords is limited. Even if we or our licensors obtain patents covering our product candidates, when the terms of all patents covering a product expire, our business may become subject to competition from competitive products, including generic products. Given the amount of time required for the development, testing, and regulatory review and approval of new product candidates, patents protecting such candidates may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do not obtain patent term extension for tildacerfont, our business may be materially harmed.*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Depending upon the timing, duration, and specifics of any FDA marketing approval of tildacerfont, or any future product candidate we may develop, one or more of patents issuing from our U.S. patent applications may be eligible for limited patent term extension under the Drug Price Competition and Patent Term Restoration Action of 1984 (“Hatch-Waxman Amendments”). The Hatch-Waxman Amendments permit a patent extension term (“PTE”)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(“SPC”). If we encounter delays in our development efforts, including our clinical trials, the period of time during which we could market tildacerfont and any future product candidates under patent protection would be reduced. Additionally, we may not receive an extension if we fail to apply within applicable deadlines, fail to apply prior to expiration of relevant patents, or otherwise fail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fail to comply with our obligations in the agreements under which we license intellectual property rights from third parties, such as our license agreement with Lilly, or otherwise experience disruptions to our business relationships with our licensors, we could lose license rights that are important to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party to a license agreement with Lilly under which we are granted intellectual property rights that are important to our business and our only product candidate, tildacerfont. If we fail to comply with our obligations under the license agreement, or we are subject to a bankruptcy, the license agreement may be terminated, in which event we would not be able to develop, commercialize or market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Licensing of intellectual property rights is of critical importance to our business and involves complex legal, business and scientific issues. Disputes may arise between us and our licensors regarding intellectual property rights subject to a license agreement,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whether and the extent to which our technology and processes infringe on intellectual property rights of the licensor that are not subject to the license agreement;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right to sublicense intellectual property rights to third parties under collaborative development relationships;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diligence obligations with respect to the use of the licensed technology in relation to our development and commercialization of tildacerfont, and what activities satisfy those diligence obligations;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ownership of inventions and know-how resulting from the joint creation or use of intellectual property by our licensors and us and our partners.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our current licensor or any future licensor may not always act in our best interest.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generally also subject to all of the same risks with respect to protection of intellectual property that we license as we are for intellectual property that we own, which are described below. If we, our current licensor, or any future licensor fail to adequately protect this intellectual property, our ability to commercialize tildacerfont and any future product could be impeded.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We have systems in place to remind us to pay these fees, and we employ an outside firm and rely on our outside counsel to pay these fees due to foreign patent agencies.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with similar or identical products or technology earlier than should otherwise have been the case, which would have a material adverse effect on our business, financial condition, results of operations, and prospects.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Changes in U.S. patent law could diminish the value of patents in general, thereby impairing our ability to protect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is the case with other biotechnology and pharmaceutical companies, our success is heavily dependent on intellectual property, particularly on obtaining and enforcing patents. Our patent rights may be affected by developments or uncertainty in U.S. or foreign patent statutes, patent case law, USPTO rules and regulations or the rules and regulations of foreign patent offices. Obtaining and enforcing patents in the biotechnology and pharmaceutical industry involve both technological and legal complexity, and is therefore costly, time-consuming and inherently uncertain. In addition, the United States may, at any time, enact changes to U.S. patent law and regulations, including by legislation, by regulatory rule-making, or by judicial precedent, that adversely affect the scope of patent protection available and weaken the rights of patent owners to obtain patents, enforce patent infringement and obtain injunctions and/or damages. For example, the scope of patentable subject matter under 35 U.S.C. 101 has evolved significantly over the past several years as the Court of Appeals for the Federal Circuit and the Supreme Court issued various opinions, and the USPTO modified its guidance for practitioners on multiple occasions. Other countries may likewise enact changes to their patent laws in ways that adversely diminish the scope of patent protection and weaken the rights of patent owners to obtain patents, enforce patent infringement, and obtain injunctions and/or damages.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the United States and other governments may, at any time, enact changes to law and regulation that create new avenues for challenging the validity of issued patents. For example, the America Invents Act created new administrative post-grant proceedings, including post-grant review, inter partes review, and derivation proceedings that allow third parties to challenge the validity of issued patents.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Patents are of national or regional effect. Filing, prosecuting, and defending patents on tildacerfont, any future product candidates, and other proprietary technologies we develop in all countries throughout the world would be prohibitively expensive. In addition, the laws of some foreign countries do not protect intellectual property rights in the same manner and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products and our patents or other intellectual property rights may not be effective or sufficient to prevent them from competing.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requirements for patentability may differ in certain countries. For example, unlike other countries, China has a heightened requirement for patentability, and specifically requires a detailed description of medical uses of a claimed drug. In India, unlike the United States, there is no link between regulatory approval for a drug and its patent status. In addition to India, certain countries in Europe and developing countries, including China, have compulsory licensing laws under which a patent owner may be compelled to grant licenses to third parties. In addition, some countries limit the enforceability of patents against government agencies or government contractors.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before="12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or pharmaceutical products, which could make it difficult for us to stop the infringement of our patents or marketing of competing products in violation of our proprietary rights generally. In Europe, no earlier than October 1, 2022, European applications have the option, upon grant of a patent, of becoming a Unitary Patent which will be subject to the jurisdiction of the Unitary Patent Court (</w:t>
      </w:r>
      <w:r>
        <w:rPr>
          <w:rFonts w:ascii="Times New Roman" w:hAnsi="Times New Roman"/>
          <w:sz w:val="20"/>
        </w:rPr>
        <w:t>“</w:t>
      </w:r>
      <w:r>
        <w:rPr>
          <w:rFonts w:ascii="Times New Roman;serif" w:hAnsi="Times New Roman;serif"/>
          <w:b w:val="false"/>
          <w:sz w:val="20"/>
        </w:rPr>
        <w:t>UPC</w:t>
      </w:r>
      <w:r>
        <w:rPr>
          <w:rFonts w:ascii="Times New Roman" w:hAnsi="Times New Roman"/>
          <w:sz w:val="20"/>
        </w:rPr>
        <w:t>”</w:t>
      </w:r>
      <w:r>
        <w:rPr>
          <w:rFonts w:ascii="Times New Roman;serif" w:hAnsi="Times New Roman;serif"/>
          <w:b w:val="false"/>
          <w:sz w:val="20"/>
        </w:rPr>
        <w:t>). This is a significant change in European patent practice. As the UPC is a new court system, there is no precedent for the court, increasing the uncertainty of any litigation. In advance of June 1, 2023, European applications and patents had the option to opt-out of the UPC. We have opted-out all company owned European applications and patents from the UPC before the deadline. Also, for the licensed European applications and patents, the licensor has opted-out the licensed European applications and patents from the UPC except for EP1869049. Opted-out European applications and patents can withdraw opt-out requests and opt back in the UPC in the future. Nonetheless, due the uncertainty of the UPC,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become subject to claims challenging the inventorship or ownership of our patents and other intellectual property.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be subject to claims that former employees (including former employees of our licensors), collaborators or other third parties have an interest in our patents rights, trade secrets, or other intellectual property as an inventor or co-inventor. The failure to name the proper inventors on a patent application can result in the patents issuing thereon being unenforceable. For example, we may have inventorship disputes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tildacerfont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not be successful in obtaining or maintaining necessary rights to product components and processes for our development pipeline through acquisitions and in-licenses.</w:t>
      </w:r>
    </w:p>
    <w:p>
      <w:pPr>
        <w:pStyle w:val="TextBody"/>
        <w:bidi w:val="0"/>
        <w:spacing w:before="120" w:after="0"/>
        <w:jc w:val="left"/>
        <w:rPr>
          <w:rFonts w:ascii="Times New Roman" w:hAnsi="Times New Roman"/>
          <w:sz w:val="20"/>
        </w:rPr>
      </w:pPr>
      <w:r>
        <w:rPr>
          <w:rFonts w:ascii="Times New Roman;serif" w:hAnsi="Times New Roman;serif"/>
          <w:b w:val="false"/>
          <w:sz w:val="20"/>
        </w:rPr>
        <w:t>Presently we have intellectual property rights, through licenses from third parties including Lilly, related to tildacerfont. Because our program may require the use of additional proprietary rights held by third parties, the growth of our business will likely depend in part on our ability to acquire, in-license or use these proprietary rights. In addition, tildacerfont may require specific formulations to work effectively and efficiently and these rights may be held by others. We may be unable to acquire or in-license, on reasonable terms, proprietary rights related to any compositions, formulations, methods of use, processes or other intellectual property rights from third parties that we identify as being necessary for tildacerfont. Even if we are able to obtain a license to such proprietary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Where we obtain licenses from, grant licenses to, or collaborate with third parties, we may not have the right to control the preparation, filing, and prosecution of patent applications, or to maintain the patents, covering technology that we license to or from third parties in certain countries or regions. Such activities, if controlled by us, may require the input of such third parties. Such activities, if controlled by such third parties, may require the input of us. However, in either case, such third parties may not cooperate with us even where such third parties are obligated to do so. We may not align on strategies for prosecuting the relevant patent applications or maintaining the relevant patents. For example, such third-party may not cooperate with us and may decide to prosecute the patent application in a manner that is inconsistent with the best interests of our business, or fails to comply with applicable laws and regulations. The validity and enforceability of such patents or any patents that may issue from such patent applications may be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also require the cooperation of our licensors, licensees, and collaborators to enforce any licensed patent rights, and such cooperation may not be provided. Therefore, these patents and patent applications may not be prosecuted, maintained, and/or enforced in a manner consistent with the best interests of our business, or in compliance with applicable laws and regulations, which may affect the validity and enforceability of such patents or any patents that may issue from such patent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could have a material adverse impact on our business. Our business would suffer if any such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or similar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tildacerfont. More established companies may have a competitive advantage over us due to their size, cash resources and greater clinical development and commercialization capabilities.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example, we may collaborate with U.S. and foreign academic institutions to accelerate our preclinical research or development under written agreements with these institutions. Typically, these institutions provide us with an option to negotiate an exclusive license to any of the institution’s proprietary rights in technology resulting from the collaboration. Regardless of such option to negotiate a license, we may be unable to negotiate a license within the specified time frame or under terms that are acceptable to us. If we are unable to do so, the institution may offer, on an exclusive basis, their proprietary rights to other parties, potentially blocking our ability to pursue our program.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products, and our business, financial condition, and prospects for growth, could suffer.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Third-party claims alleging intellectual property infringement may prevent or delay our drug discovery and development efforts.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depends in part on our avoiding infringement of the patents and proprietary rights of third parties. There is a substantial amount of litigation, both within and outside the United States, involving patents and other intellectual property rights in the biotechnology and pharmaceutical industries, as well as administrative proceedings for challenging patents, including inter partes review, interference and reexamination proceedings before the USPTO, or oppositions and other comparable proceedings in foreign jurisdictions. The America Invents Act introduced new procedures including inter partes review and post grant review. The implementation of these procedures brings uncertainty to the possibility of challenges to our patents in the future and the outcome of such challenges. Numerous U.S. and foreign issued patents and pending patent applications, which are owned by third parties, exist in the fields in which we are developing tildacerfont. As the biotechnology and pharmaceutical industries expand and more patents are issued, the risk increases that our activities related to tildacerfont may give rise to claims of infringement of the patent rights of others.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you that any of our current or future product candidates will not infringe existing or future patents. We may not be aware of patents that have already issued that a third party might assert are infringed by one of our current or future product candidates. Nevertheless, we are not aware of any issued patents that will prevent us from marketing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 parties may assert that we are employing their proprietary technology without authorization. There may be third-party patents of which we are currently unaware with claims to materials, formulations, methods of manufacture or methods for treatment related to the use or manufacture of tildacerfont. Because patent applications can take many years to issue and may be confidential for 18 months or more after filing, there may be currently pending third-party patent applications which may later result in issued patents that tildacerfont, any future product candidates, and other proprietary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tildacerfont or future product candidates. Defense of these claims, regardless of their merit, could involve substantial expenses and could be a substantial diversion of management and other employee resources from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claims of patent infringement asserted by third parties would be time-consuming and could: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result in costly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divert the time and attention of our technical personnel and management;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cause development delays;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prevent us from commercializing tildacerfont or any future product candidates until the asserted patent expires or is finally held invalid, unenforceable, or not infringed in a court of law;</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require us to develop non-infringing technology, which may not be possible on a cost-effective basis;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require us to pay the attorney’s fees and costs of litigation to the party whose intellectual property rights we may be found to be willfully infringing; and/or</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require us to enter into royalty or license agreements, which may not be available on commercially reasonable terms, or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sued for patent infringement, we would need to demonstrate that our products or methods either do not infringe the patent claims of the relevant patent or that the patent claims are invalid or unenforceable, and we may not be able to do either. Proving invalidity or unenforceability is difficult. For example, in the United States, proving invalidity before federal courts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or enforceability of the patents in court. Patent litigation is costly and time-consuming. We may not have sufficient resources to bring these actions to a successful conclusion. In addition, if we do not obtain a license, develop or obtain non-infringing technology, fail to defend an infringement action successfully or have infringed patents declared invalid or unenforceable, we may incur substantial monetary damages, encounter significant delays in bringing tildacerfont to market and be precluded from developing, manufacturing or selling tildacerfont.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always conduct independent reviews of pending patent applications of and patents issued to third parties. We cannot be certain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Europe and elsewhere that is relevant to or necessary for the commercialization of our product candidates in any jurisdiction, because: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patent applications in the United States may be maintained in secrecy until the patents are issued;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 applications in the United States and elsewhere can be pending for many years before issuance, or unintentionally abandoned patents or applications can be revived;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pending patent applications that have been published can, subject to certain limitations, be later amended in a manner that could cover our technologies, tildacerfont, and any future product candidates or the use of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patent applications in the United States are typically not published until 18 months after the priority date;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publications in the scientific literature often lag behind actual discoveries.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Further, we may incorrectly determine that our technologies, products,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products or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competitors may have filed, and may in the future file, patent applications covering technology similar to ours, and others may have or obtain patents or proprietary rights that could limit our ability to make, use, sell, offer for sale or import tildacerfont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tildacerfont.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a third party prevails in a patent infringement lawsuit against us, we may have to stop making and selling the infringing product,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tildacerfont. We may fail to obtain any of these licenses at a reasonable cost or on reasonable terms, if at all. In that event, we would be unable to further develop and commercialize tildacerfont, which could harm our business significantly. Even if we were able to obtain a license, the rights may be nonexclusive, which may give our competitors access to the same intellectual property.</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120" w:after="0"/>
        <w:jc w:val="left"/>
        <w:rPr>
          <w:rFonts w:ascii="Times New Roman" w:hAnsi="Times New Roman"/>
          <w:sz w:val="20"/>
        </w:rPr>
      </w:pPr>
      <w:r>
        <w:rPr>
          <w:rFonts w:ascii="Times New Roman;serif" w:hAnsi="Times New Roman;serif"/>
          <w:b w:val="false"/>
          <w:sz w:val="20"/>
        </w:rPr>
        <w:t>As is common in the biotechnology and pharmaceutical industries, in addition to our employees, we engage the services of consultants to assist us in the development of tildacerfont, any future product candidates,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may be involved in lawsuits to protect or enforce our patents or the patents of our licensors, which could be expensive, time-consuming, and unsuccessful. Further, our issued patents could be found invalid or unenforceable if challenged in court, and we may incur substantial costs as a result of litigation or other proceedings relating to patent and other intellectual property rights*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 parties including competitors may infringe, misappropriate or otherwise violate our patents, patents that may issue to us in the future, or the patents of our licensors that are licensed to us. To counter infringement or unauthorized use, we may need to or choose to file infringement claims, which can be expensive and time-consuming. We may not be able to prevent, alone or with our licensors, infringement, misappropriation, or other violation of our intellectual property, particularly in countries where the laws may not protect those rights as fully as in the United States.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we choose to go to court to stop another party from using the inventions claimed in our patents, that individual or company has the right to ask the court to rule that such patents are invalid, unenforceable, or should not be enforced against that third party for any number of reasons. In patent litigation in the United States, defendant counterclaims alleging invalidity and/or unenforceability are commonplace. Grounds for a validity challenge include an alleged failure to meet any of several statutory requirements for patentability, including, but not limited to, lack of novelty, obviousness, lack of written description, indefiniteness, or non-enablement. Grounds for an unenforceability assertion could include an allegation that someone connected with prosecution of the patent withheld relevant information from the USPTO or made a misleading statement during prosecution, i.e., committed inequitable conduct. Third parties may also raise similar claims before the USPTO, even outside the context of litigation. For example, in May 2021, Neurocrine filed a petition requesting the USPTO to institute an administrative proceeding involving the post-grant review of the patentability of United States Patent 10,849,908. In December 2021, the USPTO denied Neurocrine’s request for post-grant review. In January 2022, Neurocrine requested a rehearing of the USPTO’s decision to deny the post-grant review and also filed a request that the Procedural Opinion Panel (“POP”) review the case. Additionally, in February 2022, Neurocrine filed a petition requesting the USPTO to institute an administrative proceeding involving the post-grant review of the patentability of United States Patent 11,007,201. In September 2022, the USPTO denied Neurocrine’s request for post-grant review. In October 2022, Neurocrine requested a rehearing of the USPTO’s decision to deny the post-grant review and also filed a request that the POP review the case. In July 2023, the USPTO dismissed the rehearing and POP requests and granted </w:t>
      </w:r>
      <w:r>
        <w:rPr>
          <w:rFonts w:ascii="Times New Roman;serif" w:hAnsi="Times New Roman;serif"/>
          <w:b w:val="false"/>
          <w:i/>
          <w:sz w:val="20"/>
        </w:rPr>
        <w:t>sua sponte</w:t>
      </w:r>
      <w:r>
        <w:rPr>
          <w:rFonts w:ascii="Times New Roman" w:hAnsi="Times New Roman"/>
          <w:sz w:val="20"/>
        </w:rPr>
        <w:t xml:space="preserve"> </w:t>
      </w:r>
      <w:r>
        <w:rPr>
          <w:rFonts w:ascii="Times New Roman;serif" w:hAnsi="Times New Roman;serif"/>
          <w:b w:val="false"/>
          <w:sz w:val="20"/>
        </w:rPr>
        <w:t>Director Review of the Board’s decisions. In August 2023, the USPTO issued a Director Review decision addressing the standards for inherent anticipation and written description and remanded for a new decision about institution from the Board. Similar mechanisms for challenging the validity and enforceability of a patent exist in foreign patent offices and courts and may result in the revocation, cancellation, or amendment of any foreign patents we or our licensors hold now or in the future.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tildacerfont and any future product candidates to market.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enforce our patent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We may not prevail in any lawsuits that we initiate and the damages or other remedies awarded if we were to prevail may not be commercially meaningful.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Because of the expense and uncertainty of litigation, we may not be in a position to enforce our intellectual property rights against third parties.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we are unable to protect the confidentiality of our trade secrets, our business and competitive position would be harmed. Our reliance on third parties requires us to share our trade secrets, which increases the possibility that a competitor will discover them or that our trade secrets will be misappropriated or disclosed.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and inventions agreements with employees, consultants, and advisors, to protect our trade secrets and other proprietary information. In addition to contractual measures, we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Trade secrets will over time be disseminated within the industry through independent development, the publication of journal articles, and the movement of personnel skilled in the art from company to company or academic to industry scientific positions. Though our agreements with third parties typically restrict the ability of our advisors, employees, collaborators, licensors, suppliers, third-party contractors, and consultants to publish data potentially relating to our trade secrets, our agreements may contain certain limited publication rights. If any of our trade secrets were to be lawfully obtained or independently developed by a competitor,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Despite employing the contractual and other security precautions described above, the need to share trade secrets increases the risk that such trade secrets become known by our competitors, are inadvertently incorporated into the technology of others, or are disclosed or used in violation of these agreements.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future trademarks or trade names may be unable to be obtained,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Moreover, any name we have proposed to use with tildacerfont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Similar requirements exist in Europe.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Any collaboration arrangements that we may enter into in the future may not be successful, which could adversely affect our ability to develop and commercialize our products.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collaborations;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could grant exclusive rights to our collaborators that would prevent us from collaborating with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current or future products;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own or co-own intellectual property covering our products that results from our collaborating with them, and in such cases, we would not have the exclusive right to develop or commercialize such intellectual property;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not be able to obtain intellectual property rights in technologies or products resulting from the collaboration; under certain situations, the collaborators may provide us with an option to negotiate a license to such developed technologies or products, however, we may not be able to negotiate such license;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 collaborator’s sales and marketing activities or other operations may not be in compliance with applicable laws resulting in civil or criminal proceedings.</w:t>
      </w:r>
    </w:p>
    <w:p>
      <w:pPr>
        <w:pStyle w:val="TextBody"/>
        <w:bidi w:val="0"/>
        <w:spacing w:before="120" w:after="0"/>
        <w:jc w:val="left"/>
        <w:rPr>
          <w:rFonts w:ascii="Times New Roman;serif" w:hAnsi="Times New Roman;serif"/>
          <w:b/>
          <w:sz w:val="20"/>
        </w:rPr>
      </w:pPr>
      <w:r>
        <w:rPr>
          <w:rFonts w:ascii="Times New Roman;serif" w:hAnsi="Times New Roman;serif"/>
          <w:b/>
          <w:sz w:val="20"/>
        </w:rPr>
        <w:t>Risks Related to Ownership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 active, liquid and orderly trading market for our common stock may not be sustained.*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the closing of our IPO in October 2020, there was no public market for shares of our common stock. An active trading market for our shares may not be sustained. You may not be able to sell your shares quickly or at the market price if trading in shares of our common stock is not active. As a result of these and other factors, you may be unable to resell your shares of our common stock. Further, an inactive market may also impair our ability to raise capital by selling shares of our common stock and may impair our ability to enter into strategic partnerships or acquire companies or products by using our shares of common stock as consideration.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trading price of our common stock may be volatile, and you could lose all or part of your investment.*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price of our common stock is likely to be highly volatile and could be subject to wide fluctuations in response to various factors, some of which are beyond our control, including limited trading volume. For example, the closing price of our common stock from January 1, 2023 to August 10, 2023 has ranged from a low of $1.15 to a high of $3.37. In addition to the factors discussed in this “Risk Factors” section and elsewhere in this Quarterly Report on Form 10-Q, these factors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commencement, enrollment or results of our ongoing and planned clinical trials of tildacerfont or any future clinical trials we may conduct of tildacerfont and any future product candidates, or changes in the development status of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acceptance by the FDA and EMA of the clinical trial design of our planned and ongoing clinical trials of tildacerfont;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acceptance by the FDA and EMA of data from our two Phase 2b clinical trials or any future clinical trials we conduct;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delay in our regulatory filings for tildacerfont and any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results or delays in clinical trials as a result of public health pandemics (such as COVID-19), patient engagement, protocol amendments or otherwise;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decision to initiate a clinical trial, not to initiate a clinical trial, or to terminate an existing clinical trial;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regulatory decisions, including failure to receive regulatory approval for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laws or regulations applicable to tildacerfont and any future product candidates, including but not limited to clinical trial requirements for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failure to obtain coverage and adequate reimbursement of tildacerfont and any future product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on the structure of healthcare payment systems;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adverse developments concerning our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obtain adequate product supply for any approved drug product or inability to do so at acceptable prices;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inability to establish collaborations if needed;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to commercialize tildacerfont and any future product candidates;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additions or departures of key scientific or executive management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unanticipated serious safety concerns related to the use of tildacerfont and any future product candidates;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introduction of new products or services offered by us or our competitors, or the release or publication of clinical trial results from competing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announcements of significant acquisitions, strategic partnerships, joint ventures, or capital commitments by us or our competitors;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effectively manage our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and growth, if any, of the markets for classic CAH in adult and pediatric patients and females with PCOS, and other rare endocrine disorders that we may target;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actual or anticipated variations in quarterly or annual operating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cash position;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failure to meet the estimates and projections of the investment community or that we may otherwise provide to the public;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publication of research reports about us or our industry or positive or negative recommendations or withdrawal of research coverage by securities analysts;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the market valuations of similar companies;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overall performance of the equity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issuances of debt or equity securities;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our common stock by us or our stockholders in the future;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trading volume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accounting practices;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ineffectiveness of our internal controls;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disputes or other developments relating to proprietary rights, including patents, litigation matters, and our ability to obtain patent protection for our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lawsuits, including patent or stockholder litigation;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geopolitical and macroeconomic conditions, including relating to contagious disease outbreaks, the military conflict in Ukraine and Russia, and recent and potential future disruptions in access to bank deposits or lending commitments due to bank failures;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events or factors, many of which are beyond our control.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do not intend to pay dividends on our common stock so any returns will be limited to the value of our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pursuant to the Loan Agreement, we are prohibited from paying cash dividends without the prior written consent of SVB, and future debt instruments may materially restrict our ability to pay dividends on our common stock. Any return to stockholders would therefore be limited to the appreciation, if any, of their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principal stockholders and management own a significant percentage of our stock and are able to exert significant control over matters subject to stockholder approval.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executive officers and directors, combined with our stockholders who own more than 5% of our outstanding capital stock, beneficially own shares representing a significant percentage of our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are an emerging growth company and a smaller reporting company, and the reduced reporting requirements applicable to emerging growth companies and smaller reporting companies may make our common stock less attractive to investors.*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an “emerging growth company” as defined in the JOBS Act. For as long as we continue to be an emerging growth company, we may take advantage of certain exemptions from various public company reporting requirements, including being permitted to provide only two years of audited financial statements, in addition to any required financial statements with correspondingly reduced “Management’s Discussion and Analysis of Financial Condition and Results of Operations” disclosure in this Quarterly Report on Form 10-Q,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December 31, 2025,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exceed $1.235 billion or we issue more than $1.0 billion of non-convertible debt in any three-year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also a “smaller reporting company” as defined in the Exchange Act. We may continue to be a smaller reporting company even after we are no longer an emerging growth company, which would allow us to take advantage of many of the same exemptions available to emerging growth companies, including not being required to comply with the auditor attestation requirements of Section 404 of the Sarbanes-Oxley Act of 2002 (“Sarbanes-Oxley Act”),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Investors may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subject to the reporting requirements of the Exchange Act, the Sarbanes-Oxley Act, and the rules and regulations of Nasdaq. The Sarbanes-Oxley Act requires, among other things, that we maintain effective disclosure controls and procedures and internal controls over financial reporting. We must perform system and process evaluation and testing of our internal controls over financial reporting to allow management to report on the effectiveness of our internal controls over financial reporting in this Quarterly Report on Form 10-Q, as required by Section 404 of the Sarbanes-Oxley Act. This will require that we incur substantial additional professional fees and internal costs to expand our accounting and finance functions and that we expend significant management efforts. Prior to our IPO, we have never been required to test our internal controls within a specified period, and, as a result, we may experience difficulty in meeting these reporting requirements in a timely manner.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Nasdaq, the SEC or other regulatory authorities.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have incurred and will continue to incur significant increased costs as a result of operating as a public company, and our management will be required to devote substantial time to new compliance initiatives.*</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have incurred and will continue to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the rules and regulations applicable to public companies to continue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could cause our stock price to fall.*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2023, there were 40,710,692 shares of our common stock outstanding.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shares of common stock that are either subject to outstanding options or reserved for future issuance under our employee benefit plans will become eligible for sale in the public market to the extent permitted by the provisions of various vesting schedules, Rule 144 and Rule 701 under the Securities Act of 1933, as amended (“Securities Act”). If these additional shares of common stock are sold, or if it is perceived that they will be sold, in the public market, the trading price of our common stock could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2023, we entered into a securities purchase agreement with several institutional and accredited investors, including holders of more than 5% of our total common stock outstanding on the date of the securities purchase agreement, pursuant to which we issued and sold 16,116,000 shares of common stock, pre-funded warrants to purchase 800,000 shares of common stock, and warrants to purchase 12,687,000 shares of common stock. During the three months ended June 30, 2023, all of the pre-funded warrants were exercised. Pursuant to the securities purchase agreement, we have registered for resale such securities. If these additional shares of common stock, and the shares of common stock issuable pursuant to such pre-funded warrants and warrants, are resold, or if it is perceived that they will be resold, in the public market, the trading price of our common stock could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Further, certain holders of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Future sales and issuances of our common stock or rights to purchase common stock, including pursuant to the Shelf Registration, Sales Agreement and our equity incentive plans, could result in additional dilution of the percentage ownership of our stockholders and could cause our stock price to fall.*</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we will need significant additional capital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including through the registration statement on Form S-3, as amended, declared effective in February 2022, covering the sale of up to $200.0 million of our securities (the “Shelf Registration”). For example, in February 2022, we entered into an Open Market Sales Agreement</w:t>
      </w:r>
      <w:r>
        <w:rPr>
          <w:rFonts w:ascii="Times New Roman;serif" w:hAnsi="Times New Roman;serif"/>
          <w:b w:val="false"/>
          <w:sz w:val="13"/>
        </w:rPr>
        <w:t>SM</w:t>
      </w:r>
      <w:r>
        <w:rPr>
          <w:rFonts w:ascii="Times New Roman" w:hAnsi="Times New Roman"/>
          <w:sz w:val="20"/>
        </w:rPr>
        <w:t xml:space="preserve"> </w:t>
      </w:r>
      <w:r>
        <w:rPr>
          <w:rFonts w:ascii="Times New Roman;serif" w:hAnsi="Times New Roman;serif"/>
          <w:b w:val="false"/>
          <w:sz w:val="20"/>
        </w:rPr>
        <w:t>(the “Sales Agreement”) with Jefferies, LLC (“Jefferies”), pursuant to which we may elect to issue and sell, from time to time, shares of common stock having an aggregate offering price of up to $21.0 million under the Shelf Registration through Jefferies acting as the sales agent and/or principal. As of June 30, 2023, we have not issued any shares of common stock pursuant to the Sales Agreement. In addition, in February 2023, we entered into a securities purchase agreement with several institutional and accredited investors, including holders of more than 5% of our total common stock outstanding on the date of the securities purchase agreement, pursuant to which we issued and sold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16,116,000 shares of common stock, pre-funded warrants to purchase 800,000 shares of common stock, all of which were exercised during the three months ended June 30, 2023, and warrants to purchase 12,687,000 shares of common stock. If these additional shares of common stock, and the shares of common stock issuable pursuant to such pre-funded warrants and warrants, are resold, or if it is perceived that they will be resold, in the public market, the trading price of our common stock could decline.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our 2020 Plan, our management is authorized to grant stock options and other stock awards to our employees, directors and consultants. Additionally, the number of shares of our common stock reserved for issuance under our 2020 Plan will automatically increase on January 1 of each year continuing through and including January 1, 2030, by 5% of the total number of shares of our capital stock outstanding on December 31 of the preceding calendar year, or a lesser number of shares determined by our board of directors. In addition, pursuant to our 2020 Employee Stock Purchase Plan, the number of shares of our common stock reserved for issuance will automatically increase on January 1 of each calendar year continuing through January 1, 2030, by the lesser of (i) 1% of the total number of shares of our common stock outstanding on the last day of the calendar month before the date of the automatic increase, and (ii) 441,280 shares; provided that before the date of any such increase, our board of directors may determine that such increase will be less than the amount set forth in clauses (i) and (ii). Unless our board of directors elects not to increase the number of shares available for future grant each year, our stockholders may experience additional dilution, which could cause our stock price to fall.</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board of directors divided into three classes serving staggered three-year terms, such that not all members of the board will be elected at one time;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prohibition on stockholder action through written consent, which requires that all stockholder actions be taken at a meeting of our stockholders;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requirement that special meetings of stockholders be called only by the chairman of the board of directors, the chief executive officer, the president, or by a majority of the total number of authorized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advance notice requirements for stockholder proposals and nominations for election to our board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amended and restated certificate of incorporation and amended and restated bylaws provide that the Court of Chancery of the State of Delaware (and any appellate court therefrom) is the sole and exclusive forum for the following types of actions or proceedings under Delaware statutory or common law: (i) any derivative claim or cause of action brought on our behalf; (ii) any claim or cause of action for breach of a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 each case as may be amended from time to time); (v) any claim or cause of action as to which the Delaware General Corporation Law confers jurisdiction to the Court of Chancery of the State of Delaware; and (vi) any claim or cause of action against us or any of our current or former directors, officers, or other employees governed by the internal affairs doctrine, in all cases to the fullest extent permitted by law and subject to the court’s having personal jurisdiction over the indispensable parties named as defendants. These provisions would not apply to claims or causes of action brought to enforce a duty or liability created by the Securities Act and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further provide that, to the fullest extent permitted by law, the federal district courts of the United States of America is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pStyle w:val="TextBody"/>
        <w:bidi w:val="0"/>
        <w:spacing w:before="12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Our failure to meet Nasdaq’s continued listing requirements could result in a delisting of our common stock.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If securities or industry analysts do not publish research or publish inaccurate or unfavorable research about our business, our stock price and trading volume could decline.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Business disruptions could seriously harm our future revenues and financial condition and increase our costs and expenses.</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and those of our CROs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tildacerfont. Our ability to obtain clinical supplies of tildacerfont and any future product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candidates could be disrupted if the operations of these suppliers are affected by a man-made or natural disaster or other business interruption. Our corporate headquarters is located in California near major earthquake faults and fire zones. The ultimate impact on us, our suppliers and our general infrastructure of being located near major earthquake faults and fire zones and being consolidated in certain geographical areas is unknown, but our operations and financial condition could suffer in the event of a major earthquake, fire or other natural disaster.</w:t>
      </w:r>
    </w:p>
    <w:p>
      <w:pPr>
        <w:pStyle w:val="TextBody"/>
        <w:bidi w:val="0"/>
        <w:spacing w:before="120" w:after="0"/>
        <w:jc w:val="left"/>
        <w:rPr>
          <w:rFonts w:ascii="Times New Roman;serif" w:hAnsi="Times New Roman;serif"/>
          <w:b/>
          <w:i/>
          <w:sz w:val="20"/>
        </w:rPr>
      </w:pPr>
      <w:r>
        <w:rPr>
          <w:rFonts w:ascii="Times New Roman;serif" w:hAnsi="Times New Roman;serif"/>
          <w:b/>
          <w:i/>
          <w:sz w:val="20"/>
        </w:rPr>
        <w:t>We could be subject to securities class action litigation.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17" w:name="item_2_unregistered_sales_equity_securit"/>
      <w:bookmarkEnd w:id="17"/>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sz w:val="20"/>
        </w:rPr>
      </w:pPr>
      <w:r>
        <w:rPr>
          <w:rFonts w:ascii="Times New Roman;serif" w:hAnsi="Times New Roman;serif"/>
          <w:b/>
          <w:sz w:val="20"/>
        </w:rPr>
        <w:t>Working Capital Restrictions and Limitations Upon the Payment of Dividends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Loan Agreement, we are prohibited from paying cash dividends without the prior written consent of Silicon Valley Bank.</w:t>
      </w:r>
    </w:p>
    <w:p>
      <w:pPr>
        <w:pStyle w:val="TextBody"/>
        <w:bidi w:val="0"/>
        <w:spacing w:before="240" w:after="0"/>
        <w:jc w:val="left"/>
        <w:rPr>
          <w:rFonts w:ascii="Times New Roman;serif" w:hAnsi="Times New Roman;serif"/>
          <w:b/>
          <w:sz w:val="20"/>
        </w:rPr>
      </w:pPr>
      <w:bookmarkStart w:id="18" w:name="item_3_defaults_upon_senior_securities"/>
      <w:bookmarkEnd w:id="18"/>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serif" w:hAnsi="Times New Roman;serif"/>
          <w:b/>
          <w:sz w:val="20"/>
        </w:rPr>
      </w:pPr>
      <w:bookmarkStart w:id="19" w:name="item_4_mine_safety_disclosures"/>
      <w:bookmarkEnd w:id="19"/>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left"/>
        <w:rPr>
          <w:rFonts w:ascii="Times New Roman" w:hAnsi="Times New Roman"/>
          <w:sz w:val="20"/>
        </w:rPr>
      </w:pPr>
      <w:bookmarkStart w:id="20" w:name="item_5_or_information"/>
      <w:bookmarkEnd w:id="20"/>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bookmarkStart w:id="21" w:name="item_6_exhibits"/>
      <w:bookmarkEnd w:id="21"/>
      <w:r>
        <w:rPr>
          <w:rFonts w:ascii="Times New Roman;serif" w:hAnsi="Times New Roman;serif"/>
          <w:b/>
          <w:sz w:val="20"/>
        </w:rPr>
        <w:t>Item 6.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531"/>
        <w:gridCol w:w="146"/>
        <w:gridCol w:w="526"/>
        <w:gridCol w:w="146"/>
        <w:gridCol w:w="833"/>
        <w:gridCol w:w="146"/>
        <w:gridCol w:w="631"/>
        <w:gridCol w:w="146"/>
        <w:gridCol w:w="120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7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001-39594</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October 14, 2020</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w:t>
              </w:r>
            </w:hyperlink>
            <w:hyperlink r:id="rId4">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001-39594</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October 14, 2020</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Form of Common Stock Certificate</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333-248924</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October 5, 2020</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Form of Pre-Funded Warrant to Purchase Common Stock</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001-39594</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9, 2023</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Form of Common Stock Purchase Warrant</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001-39594</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February 9, 2023</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Amended and Restated Investors’ Rights Agreement, dated February 19, 2020</w:t>
              </w:r>
            </w:hyperlink>
            <w:hyperlink r:id="rId9">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333-248924</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18, 2020</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531" w:type="dxa"/>
            <w:tcBorders/>
            <w:vAlign w:val="center"/>
          </w:tcPr>
          <w:p>
            <w:pPr>
              <w:pStyle w:val="TableContents"/>
              <w:bidi w:val="0"/>
              <w:spacing w:before="0" w:after="0"/>
              <w:ind w:left="0" w:right="0" w:hanging="0"/>
              <w:jc w:val="left"/>
              <w:rPr/>
            </w:pPr>
            <w:hyperlink w:anchor="sprb-ex31_1.htm">
              <w:r>
                <w:rPr>
                  <w:rStyle w:val="InternetLink"/>
                  <w:rFonts w:ascii="Times New Roman;serif" w:hAnsi="Times New Roman;serif"/>
                  <w:b w:val="false"/>
                  <w:sz w:val="20"/>
                  <w:u w:val="single"/>
                </w:rPr>
                <w:t>Certification of Principal Executive Officer pursuant to Rules 13a-14(a) and 15d-14(a) under the Securities Exchange Act of 1934, as amended, as adopted pursuant to Section 302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531" w:type="dxa"/>
            <w:tcBorders/>
            <w:vAlign w:val="center"/>
          </w:tcPr>
          <w:p>
            <w:pPr>
              <w:pStyle w:val="TableContents"/>
              <w:bidi w:val="0"/>
              <w:spacing w:before="0" w:after="0"/>
              <w:ind w:left="0" w:right="0" w:hanging="0"/>
              <w:jc w:val="left"/>
              <w:rPr/>
            </w:pPr>
            <w:hyperlink w:anchor="sprb-ex31_2.htm">
              <w:r>
                <w:rPr>
                  <w:rStyle w:val="InternetLink"/>
                  <w:rFonts w:ascii="Times New Roman;serif" w:hAnsi="Times New Roman;serif"/>
                  <w:b w:val="false"/>
                  <w:sz w:val="20"/>
                  <w:u w:val="single"/>
                </w:rPr>
                <w:t>Certification of Principal Financial Officer pursuant to Rules 13a-14(a) and 15d-14(a) under the Securities Exchange Act of 1934, as amended, as adopted pursuant to Section 302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531" w:type="dxa"/>
            <w:tcBorders/>
            <w:vAlign w:val="center"/>
          </w:tcPr>
          <w:p>
            <w:pPr>
              <w:pStyle w:val="TableContents"/>
              <w:bidi w:val="0"/>
              <w:spacing w:before="0" w:after="0"/>
              <w:ind w:left="0" w:right="0" w:hanging="0"/>
              <w:jc w:val="left"/>
              <w:rPr/>
            </w:pPr>
            <w:hyperlink w:anchor="sprb-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531" w:type="dxa"/>
            <w:tcBorders/>
            <w:vAlign w:val="center"/>
          </w:tcPr>
          <w:p>
            <w:pPr>
              <w:pStyle w:val="TableContents"/>
              <w:bidi w:val="0"/>
              <w:spacing w:before="0" w:after="0"/>
              <w:ind w:left="0" w:right="0" w:hanging="0"/>
              <w:jc w:val="left"/>
              <w:rPr/>
            </w:pPr>
            <w:hyperlink w:anchor="sprb-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r>
        <w:trPr/>
        <w:tc>
          <w:tcPr>
            <w:tcW w:w="74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tcBorders/>
            <w:vAlign w:val="center"/>
          </w:tcPr>
          <w:p>
            <w:pPr>
              <w:pStyle w:val="TableContents"/>
              <w:bidi w:val="0"/>
              <w:spacing w:before="0" w:after="0"/>
              <w:ind w:left="0" w:right="0" w:hanging="0"/>
              <w:jc w:val="center"/>
              <w:rPr/>
            </w:pPr>
            <w:r>
              <w:rPr/>
              <w:t> </w:t>
            </w:r>
          </w:p>
        </w:tc>
      </w:tr>
      <w:tr>
        <w:trPr/>
        <w:tc>
          <w:tcPr>
            <w:tcW w:w="74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55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c>
          <w:tcPr>
            <w:tcW w:w="146" w:type="dxa"/>
            <w:tcBorders/>
            <w:vAlign w:val="center"/>
          </w:tcPr>
          <w:p>
            <w:pPr>
              <w:pStyle w:val="TableContents"/>
              <w:bidi w:val="0"/>
              <w:spacing w:before="0" w:after="0"/>
              <w:ind w:left="0" w:right="0" w:hanging="0"/>
              <w:jc w:val="center"/>
              <w:rPr/>
            </w:pPr>
            <w:r>
              <w:rPr/>
              <w:t> </w:t>
            </w:r>
          </w:p>
        </w:tc>
        <w:tc>
          <w:tcPr>
            <w:tcW w:w="3634" w:type="dxa"/>
            <w:gridSpan w:val="7"/>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Filed herewith</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 information in Exhibits 32.1 and 32.2 shall not be deemed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(including this Quarterly Report on Form 10-Q), unless the Registrant specifically incorporates the foregoing information into those documents by reference.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sz w:val="20"/>
        </w:rPr>
      </w:pPr>
      <w:bookmarkStart w:id="22" w:name="signatures"/>
      <w:bookmarkEnd w:id="22"/>
      <w:r>
        <w:rPr>
          <w:rFonts w:ascii="Times New Roman;serif" w:hAnsi="Times New Roman;serif"/>
          <w:b/>
          <w:sz w:val="20"/>
        </w:rPr>
        <w:t>SIGNATURES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t> </w:t>
      </w:r>
    </w:p>
    <w:tbl>
      <w:tblPr>
        <w:tblW w:w="6232" w:type="dxa"/>
        <w:jc w:val="left"/>
        <w:tblInd w:w="0" w:type="dxa"/>
        <w:tblLayout w:type="fixed"/>
        <w:tblCellMar>
          <w:top w:w="28" w:type="dxa"/>
          <w:left w:w="28" w:type="dxa"/>
          <w:bottom w:w="28" w:type="dxa"/>
          <w:right w:w="28" w:type="dxa"/>
        </w:tblCellMar>
      </w:tblPr>
      <w:tblGrid>
        <w:gridCol w:w="1951"/>
        <w:gridCol w:w="109"/>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SPRUCE BIOSCIENCES, INC.</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Javier Szwarcberg M.D., MPH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Javier Szwarcberg, M.D., MPH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Samir Gharib</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Samir Gharib</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President and Chief Financial Officer</w:t>
            </w:r>
          </w:p>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3" w:name="sprb-ex31_1.htm"/>
      <w:bookmarkStart w:id="24" w:name="kssprbex31_1"/>
      <w:bookmarkEnd w:id="23"/>
      <w:bookmarkEnd w:id="24"/>
      <w:r>
        <w:rPr/>
        <w:t> </w:t>
      </w:r>
      <w:r>
        <w:br w:type="page"/>
      </w:r>
    </w:p>
    <w:p>
      <w:pPr>
        <w:pStyle w:val="TextBody"/>
        <w:bidi w:val="0"/>
        <w:spacing w:before="0" w:after="0"/>
        <w:jc w:val="right"/>
        <w:rPr>
          <w:rFonts w:ascii="Times New Roman;serif" w:hAnsi="Times New Roman;serif"/>
          <w:b/>
          <w:sz w:val="20"/>
        </w:rPr>
      </w:pPr>
      <w:bookmarkStart w:id="25" w:name="exhibit_index"/>
      <w:bookmarkEnd w:id="25"/>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Javier Szwarcberg,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Spruce Biosciences, Inc.;</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5362" w:type="dxa"/>
        <w:jc w:val="left"/>
        <w:tblInd w:w="0" w:type="dxa"/>
        <w:tblLayout w:type="fixed"/>
        <w:tblCellMar>
          <w:top w:w="28" w:type="dxa"/>
          <w:left w:w="28" w:type="dxa"/>
          <w:bottom w:w="28" w:type="dxa"/>
          <w:right w:w="28" w:type="dxa"/>
        </w:tblCellMar>
      </w:tblPr>
      <w:tblGrid>
        <w:gridCol w:w="1951"/>
        <w:gridCol w:w="109"/>
        <w:gridCol w:w="406"/>
        <w:gridCol w:w="28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8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Javier Szwarcberg, M.D., MPH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Javier Szwarcberg, M.D., MPH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sprb-ex31_2.htm"/>
      <w:bookmarkStart w:id="27" w:name="kssprbex31_2"/>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 Samir Gharib, certify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Spruce Biosciences, Inc.;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Samir Gharib</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Samir Gharib</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and 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sprb-ex32_1.htm"/>
      <w:bookmarkStart w:id="29" w:name="kssprbex32_1"/>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Spruce Biosciences, Inc. (the “Company”) on Form 10-Q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Section 15(d) of the Securities Exchange Act of 1934, as amended;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5362" w:type="dxa"/>
        <w:jc w:val="left"/>
        <w:tblInd w:w="0" w:type="dxa"/>
        <w:tblLayout w:type="fixed"/>
        <w:tblCellMar>
          <w:top w:w="28" w:type="dxa"/>
          <w:left w:w="28" w:type="dxa"/>
          <w:bottom w:w="28" w:type="dxa"/>
          <w:right w:w="28" w:type="dxa"/>
        </w:tblCellMar>
      </w:tblPr>
      <w:tblGrid>
        <w:gridCol w:w="1951"/>
        <w:gridCol w:w="109"/>
        <w:gridCol w:w="406"/>
        <w:gridCol w:w="289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8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Javier Szwarcberg, M.D., MPH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Javier Szwarcberg, M.D., MPH</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sprb-ex32_2.htm"/>
      <w:bookmarkStart w:id="31" w:name="kssprbex32_2"/>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Spruce Biosciences, Inc. (the “Company”) on Form 10-Q for the period ended June 30, 2023 as filed with the Securities and Exchange Commission on the date hereof (the “Report”), I certify, pursuant to 18 U.S.C. § 1350, as adopted pursuant to § 906 of the Sarbanes-Oxley Act of 2002, that:</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Section 15(d) of the Securities Exchange Act of 1934, as amended; and</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p>
      <w:pPr>
        <w:pStyle w:val="TextBody"/>
        <w:bidi w:val="0"/>
        <w:spacing w:before="0" w:after="0"/>
        <w:jc w:val="left"/>
        <w:rPr/>
      </w:pPr>
      <w:r>
        <w:rPr/>
        <w:t> </w:t>
      </w:r>
    </w:p>
    <w:tbl>
      <w:tblPr>
        <w:tblW w:w="6397" w:type="dxa"/>
        <w:jc w:val="left"/>
        <w:tblInd w:w="0" w:type="dxa"/>
        <w:tblLayout w:type="fixed"/>
        <w:tblCellMar>
          <w:top w:w="28" w:type="dxa"/>
          <w:left w:w="28" w:type="dxa"/>
          <w:bottom w:w="28" w:type="dxa"/>
          <w:right w:w="28" w:type="dxa"/>
        </w:tblCellMar>
      </w:tblPr>
      <w:tblGrid>
        <w:gridCol w:w="1951"/>
        <w:gridCol w:w="109"/>
        <w:gridCol w:w="406"/>
        <w:gridCol w:w="39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93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i/>
                <w:sz w:val="20"/>
              </w:rPr>
            </w:pPr>
            <w:r>
              <w:rPr>
                <w:rFonts w:ascii="Times New Roman;serif" w:hAnsi="Times New Roman;serif"/>
                <w:b w:val="false"/>
                <w:i/>
                <w:sz w:val="20"/>
              </w:rPr>
              <w:t>/s/ Samir Gharib</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Samir Gharib</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President and Chief Financial Officer</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3553/000119312520269344/d12372dex31.htm" TargetMode="External"/><Relationship Id="rId3" Type="http://schemas.openxmlformats.org/officeDocument/2006/relationships/hyperlink" Target="https://www.sec.gov/Archives/edgar/data/1683553/000119312520269344/d12372dex32.htm" TargetMode="External"/><Relationship Id="rId4" Type="http://schemas.openxmlformats.org/officeDocument/2006/relationships/hyperlink" Target="https://www.sec.gov/Archives/edgar/data/1683553/000119312520269344/d12372dex32.htm" TargetMode="External"/><Relationship Id="rId5" Type="http://schemas.openxmlformats.org/officeDocument/2006/relationships/hyperlink" Target="https://www.sec.gov/Archives/edgar/data/1683553/000119312520263195/d902020dex41.htm" TargetMode="External"/><Relationship Id="rId6" Type="http://schemas.openxmlformats.org/officeDocument/2006/relationships/hyperlink" Target="https://www.sec.gov/Archives/edgar/data/1683553/000095017023002369/sprb-ex4_1.htm" TargetMode="External"/><Relationship Id="rId7" Type="http://schemas.openxmlformats.org/officeDocument/2006/relationships/hyperlink" Target="https://www.sec.gov/Archives/edgar/data/1683553/000095017023002369/sprb-ex4_2.htm" TargetMode="External"/><Relationship Id="rId8" Type="http://schemas.openxmlformats.org/officeDocument/2006/relationships/hyperlink" Target="https://www.sec.gov/Archives/edgar/data/1683553/000119312520249221/d902020dex42.htm" TargetMode="External"/><Relationship Id="rId9" Type="http://schemas.openxmlformats.org/officeDocument/2006/relationships/hyperlink" Target="https://www.sec.gov/Archives/edgar/data/1683553/000119312520249221/d902020dex4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62117</Words>
  <Characters>347872</Characters>
  <CharactersWithSpaces>410063</CharactersWithSpaces>
  <Paragraphs>5240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