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163830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ind w:left="480" w:hanging="459"/>
        <w:spacing w:after="0" w:line="199" w:lineRule="auto"/>
        <w:tabs>
          <w:tab w:leader="none" w:pos="480" w:val="left"/>
        </w:tabs>
        <w:numPr>
          <w:ilvl w:val="0"/>
          <w:numId w:val="1"/>
        </w:numPr>
        <w:rPr>
          <w:rFonts w:ascii="MS PGothic" w:cs="MS PGothic" w:eastAsia="MS PGothic" w:hAnsi="MS PGothic"/>
          <w:sz w:val="34"/>
          <w:szCs w:val="34"/>
          <w:color w:val="auto"/>
          <w:highlight w:val="black"/>
          <w:vertAlign w:val="superscript"/>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 to ____________</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Spruce Biosciences, Inc.</w:t>
      </w:r>
    </w:p>
    <w:p>
      <w:pPr>
        <w:sectPr>
          <w:pgSz w:w="11900" w:h="16838" w:orient="portrait"/>
          <w:cols w:equalWidth="0" w:num="1">
            <w:col w:w="11240"/>
          </w:cols>
          <w:pgMar w:left="320" w:top="225" w:right="339" w:bottom="1440" w:gutter="0" w:footer="0" w:header="0"/>
        </w:sectPr>
      </w:pPr>
    </w:p>
    <w:p>
      <w:pPr>
        <w:spacing w:after="0" w:line="4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7"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81-2154263</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2" w:lineRule="exact"/>
        <w:rPr>
          <w:sz w:val="24"/>
          <w:szCs w:val="24"/>
          <w:color w:val="auto"/>
        </w:rPr>
      </w:pPr>
    </w:p>
    <w:p>
      <w:pPr>
        <w:sectPr>
          <w:pgSz w:w="11900" w:h="16838" w:orient="portrait"/>
          <w:cols w:equalWidth="0" w:num="2">
            <w:col w:w="7620" w:space="320"/>
            <w:col w:w="3300"/>
          </w:cols>
          <w:pgMar w:left="320" w:top="225" w:right="3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8"/>
          <w:szCs w:val="18"/>
          <w:b w:val="1"/>
          <w:bCs w:val="1"/>
          <w:color w:val="auto"/>
        </w:rPr>
        <w:t>2001 Junipero Serra Boulevard, Suite 640</w:t>
      </w:r>
    </w:p>
    <w:p>
      <w:pPr>
        <w:ind w:left="200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Daly City, California</w:t>
      </w:r>
      <w:r>
        <w:rPr>
          <w:sz w:val="20"/>
          <w:szCs w:val="20"/>
          <w:color w:val="auto"/>
        </w:rPr>
        <w:tab/>
      </w:r>
      <w:r>
        <w:rPr>
          <w:rFonts w:ascii="Times New Roman" w:cs="Times New Roman" w:eastAsia="Times New Roman" w:hAnsi="Times New Roman"/>
          <w:sz w:val="18"/>
          <w:szCs w:val="18"/>
          <w:b w:val="1"/>
          <w:bCs w:val="1"/>
          <w:color w:val="auto"/>
        </w:rPr>
        <w:t>94014</w:t>
      </w:r>
    </w:p>
    <w:p>
      <w:pPr>
        <w:spacing w:after="0" w:line="17" w:lineRule="exact"/>
        <w:rPr>
          <w:sz w:val="24"/>
          <w:szCs w:val="24"/>
          <w:color w:val="auto"/>
        </w:r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655-4168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4960" w:type="dxa"/>
            <w:vAlign w:val="bottom"/>
            <w:gridSpan w:val="3"/>
            <w:vMerge w:val="restart"/>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00" w:type="dxa"/>
            <w:vAlign w:val="bottom"/>
          </w:tcPr>
          <w:p>
            <w:pPr>
              <w:spacing w:after="0"/>
              <w:rPr>
                <w:sz w:val="24"/>
                <w:szCs w:val="24"/>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960" w:type="dxa"/>
            <w:vAlign w:val="bottom"/>
            <w:gridSpan w:val="3"/>
            <w:vMerge w:val="continue"/>
          </w:tcPr>
          <w:p>
            <w:pPr>
              <w:spacing w:after="0"/>
              <w:rPr>
                <w:sz w:val="20"/>
                <w:szCs w:val="20"/>
                <w:color w:val="auto"/>
              </w:rPr>
            </w:pPr>
          </w:p>
        </w:tc>
        <w:tc>
          <w:tcPr>
            <w:tcW w:w="18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0"/>
                <w:szCs w:val="20"/>
                <w:color w:val="auto"/>
              </w:rPr>
            </w:pPr>
          </w:p>
        </w:tc>
        <w:tc>
          <w:tcPr>
            <w:tcW w:w="4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SPRB</w:t>
            </w:r>
          </w:p>
        </w:tc>
        <w:tc>
          <w:tcPr>
            <w:tcW w:w="10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368" w:lineRule="exact"/>
        <w:rPr>
          <w:sz w:val="24"/>
          <w:szCs w:val="24"/>
          <w:color w:val="auto"/>
        </w:rPr>
      </w:pPr>
    </w:p>
    <w:p>
      <w:pPr>
        <w:ind w:right="60" w:firstLine="509"/>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40" w:firstLine="509"/>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1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13"/>
        </w:trPr>
        <w:tc>
          <w:tcPr>
            <w:tcW w:w="2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1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8" w:lineRule="exact"/>
        <w:rPr>
          <w:sz w:val="24"/>
          <w:szCs w:val="24"/>
          <w:color w:val="auto"/>
        </w:rPr>
      </w:pPr>
    </w:p>
    <w:p>
      <w:pPr>
        <w:ind w:firstLine="509"/>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160"/>
        <w:spacing w:after="0" w:line="25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8, 2022, the registrant had 23,560,250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580" w:type="dxa"/>
            <w:vAlign w:val="bottom"/>
            <w:gridSpan w:val="20"/>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SUMMARY OF RISKS ASSOCIATED WITH OUR BUSINESS</w:t>
            </w: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0"/>
        </w:trPr>
        <w:tc>
          <w:tcPr>
            <w:tcW w:w="10580" w:type="dxa"/>
            <w:vAlign w:val="bottom"/>
            <w:gridSpan w:val="20"/>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PART I.</w:t>
            </w:r>
          </w:p>
        </w:tc>
        <w:tc>
          <w:tcPr>
            <w:tcW w:w="9420" w:type="dxa"/>
            <w:vAlign w:val="bottom"/>
            <w:gridSpan w:val="19"/>
          </w:tcPr>
          <w:p>
            <w:pPr>
              <w:spacing w:after="0" w:line="198" w:lineRule="exact"/>
              <w:rPr>
                <w:sz w:val="20"/>
                <w:szCs w:val="20"/>
                <w:color w:val="auto"/>
              </w:rPr>
            </w:pPr>
            <w:r>
              <w:rPr>
                <w:rFonts w:ascii="Times New Roman" w:cs="Times New Roman" w:eastAsia="Times New Roman" w:hAnsi="Times New Roman"/>
                <w:sz w:val="18"/>
                <w:szCs w:val="18"/>
                <w:color w:val="0000FF"/>
              </w:rPr>
              <w:t>FINANCIAL INFORMATION</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100" w:type="dxa"/>
            <w:vAlign w:val="bottom"/>
            <w:gridSpan w:val="9"/>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0000FF"/>
              </w:rPr>
              <w:t>Statements for the Three and Six Months Ended June 30, 2022 and 2021:</w:t>
            </w: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26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6"/>
              </w:rPr>
              <w:t>Unaudited Condensed Financial</w:t>
            </w:r>
          </w:p>
        </w:tc>
        <w:tc>
          <w:tcPr>
            <w:tcW w:w="60" w:type="dxa"/>
            <w:vAlign w:val="bottom"/>
            <w:vMerge w:val="continue"/>
          </w:tcPr>
          <w:p>
            <w:pPr>
              <w:spacing w:after="0"/>
              <w:rPr>
                <w:sz w:val="15"/>
                <w:szCs w:val="15"/>
                <w:color w:val="auto"/>
              </w:rPr>
            </w:pPr>
          </w:p>
        </w:tc>
        <w:tc>
          <w:tcPr>
            <w:tcW w:w="7100" w:type="dxa"/>
            <w:vAlign w:val="bottom"/>
            <w:gridSpan w:val="9"/>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800" w:type="dxa"/>
            <w:vAlign w:val="bottom"/>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762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Condensed Balance Sheets</w:t>
            </w:r>
          </w:p>
        </w:tc>
        <w:tc>
          <w:tcPr>
            <w:tcW w:w="18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94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Operations and Comprehensive Loss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4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 of Stockholders’ Equity</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100" w:type="dxa"/>
            <w:vAlign w:val="bottom"/>
            <w:gridSpan w:val="2"/>
            <w:vMerge w:val="restart"/>
          </w:tcPr>
          <w:p>
            <w:pPr>
              <w:spacing w:after="0" w:line="20" w:lineRule="exact"/>
              <w:rPr>
                <w:sz w:val="1"/>
                <w:szCs w:val="1"/>
                <w:color w:val="auto"/>
              </w:rPr>
            </w:pPr>
          </w:p>
        </w:tc>
        <w:tc>
          <w:tcPr>
            <w:tcW w:w="2960" w:type="dxa"/>
            <w:vAlign w:val="bottom"/>
            <w:gridSpan w:val="2"/>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332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Condensed Statements of Cash Flows</w:t>
            </w:r>
          </w:p>
        </w:tc>
        <w:tc>
          <w:tcPr>
            <w:tcW w:w="7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296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700" w:type="dxa"/>
            <w:vAlign w:val="bottom"/>
            <w:gridSpan w:val="8"/>
            <w:vMerge w:val="restart"/>
          </w:tcPr>
          <w:p>
            <w:pPr>
              <w:spacing w:after="0" w:line="202" w:lineRule="exact"/>
              <w:rPr>
                <w:sz w:val="20"/>
                <w:szCs w:val="20"/>
                <w:color w:val="auto"/>
              </w:rPr>
            </w:pPr>
            <w:r>
              <w:rPr>
                <w:rFonts w:ascii="Times New Roman" w:cs="Times New Roman" w:eastAsia="Times New Roman" w:hAnsi="Times New Roman"/>
                <w:sz w:val="18"/>
                <w:szCs w:val="18"/>
                <w:color w:val="0000FF"/>
              </w:rPr>
              <w:t>Financial Statements</w:t>
            </w: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2720" w:type="dxa"/>
            <w:vAlign w:val="bottom"/>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Notes to the Unaudited Condensed</w:t>
            </w:r>
          </w:p>
        </w:tc>
        <w:tc>
          <w:tcPr>
            <w:tcW w:w="6700" w:type="dxa"/>
            <w:vAlign w:val="bottom"/>
            <w:gridSpan w:val="8"/>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942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960" w:type="dxa"/>
            <w:vAlign w:val="bottom"/>
            <w:gridSpan w:val="2"/>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646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96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60" w:type="dxa"/>
            <w:vAlign w:val="bottom"/>
            <w:gridSpan w:val="4"/>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4360" w:type="dxa"/>
            <w:vAlign w:val="bottom"/>
            <w:gridSpan w:val="15"/>
          </w:tcPr>
          <w:p>
            <w:pPr>
              <w:spacing w:after="0" w:line="182" w:lineRule="exact"/>
              <w:rPr>
                <w:sz w:val="20"/>
                <w:szCs w:val="20"/>
                <w:color w:val="auto"/>
              </w:rPr>
            </w:pPr>
            <w:r>
              <w:rPr>
                <w:rFonts w:ascii="Times New Roman" w:cs="Times New Roman" w:eastAsia="Times New Roman" w:hAnsi="Times New Roman"/>
                <w:sz w:val="18"/>
                <w:szCs w:val="18"/>
                <w:color w:val="0000FF"/>
              </w:rPr>
              <w:t>Controls and Procedures</w:t>
            </w:r>
          </w:p>
        </w:tc>
        <w:tc>
          <w:tcPr>
            <w:tcW w:w="5060" w:type="dxa"/>
            <w:vAlign w:val="bottom"/>
            <w:gridSpan w:val="4"/>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vMerge w:val="continue"/>
          </w:tcPr>
          <w:p>
            <w:pPr>
              <w:spacing w:after="0"/>
              <w:rPr>
                <w:sz w:val="24"/>
                <w:szCs w:val="24"/>
                <w:color w:val="auto"/>
              </w:rPr>
            </w:pPr>
          </w:p>
        </w:tc>
        <w:tc>
          <w:tcPr>
            <w:tcW w:w="9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gridSpan w:val="3"/>
            <w:vMerge w:val="restart"/>
          </w:tcPr>
          <w:p>
            <w:pPr>
              <w:spacing w:after="0" w:line="20" w:lineRule="exact"/>
              <w:rPr>
                <w:sz w:val="1"/>
                <w:szCs w:val="1"/>
                <w:color w:val="auto"/>
              </w:rPr>
            </w:pPr>
          </w:p>
        </w:tc>
        <w:tc>
          <w:tcPr>
            <w:tcW w:w="2020" w:type="dxa"/>
            <w:vAlign w:val="bottom"/>
            <w:gridSpan w:val="4"/>
            <w:vMerge w:val="restart"/>
          </w:tcPr>
          <w:p>
            <w:pPr>
              <w:spacing w:after="0" w:line="20" w:lineRule="exact"/>
              <w:rPr>
                <w:sz w:val="1"/>
                <w:szCs w:val="1"/>
                <w:color w:val="auto"/>
              </w:rPr>
            </w:pPr>
          </w:p>
        </w:tc>
        <w:tc>
          <w:tcPr>
            <w:tcW w:w="5080" w:type="dxa"/>
            <w:vAlign w:val="bottom"/>
            <w:gridSpan w:val="5"/>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88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Legal Proceedings</w:t>
            </w:r>
          </w:p>
        </w:tc>
        <w:tc>
          <w:tcPr>
            <w:tcW w:w="440" w:type="dxa"/>
            <w:vAlign w:val="bottom"/>
            <w:gridSpan w:val="3"/>
            <w:vMerge w:val="continue"/>
          </w:tcPr>
          <w:p>
            <w:pPr>
              <w:spacing w:after="0"/>
              <w:rPr>
                <w:sz w:val="15"/>
                <w:szCs w:val="15"/>
                <w:color w:val="auto"/>
              </w:rPr>
            </w:pPr>
          </w:p>
        </w:tc>
        <w:tc>
          <w:tcPr>
            <w:tcW w:w="2020" w:type="dxa"/>
            <w:vAlign w:val="bottom"/>
            <w:gridSpan w:val="4"/>
            <w:vMerge w:val="continue"/>
          </w:tcPr>
          <w:p>
            <w:pPr>
              <w:spacing w:after="0"/>
              <w:rPr>
                <w:sz w:val="15"/>
                <w:szCs w:val="15"/>
                <w:color w:val="auto"/>
              </w:rPr>
            </w:pPr>
          </w:p>
        </w:tc>
        <w:tc>
          <w:tcPr>
            <w:tcW w:w="5080" w:type="dxa"/>
            <w:vAlign w:val="bottom"/>
            <w:gridSpan w:val="5"/>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5"/>
            <w:vMerge w:val="restart"/>
          </w:tcPr>
          <w:p>
            <w:pPr>
              <w:spacing w:after="0" w:line="20" w:lineRule="exact"/>
              <w:rPr>
                <w:sz w:val="1"/>
                <w:szCs w:val="1"/>
                <w:color w:val="auto"/>
              </w:rPr>
            </w:pPr>
          </w:p>
        </w:tc>
        <w:tc>
          <w:tcPr>
            <w:tcW w:w="2020" w:type="dxa"/>
            <w:vAlign w:val="bottom"/>
            <w:gridSpan w:val="4"/>
            <w:vMerge w:val="restart"/>
          </w:tcPr>
          <w:p>
            <w:pPr>
              <w:spacing w:after="0" w:line="20" w:lineRule="exact"/>
              <w:rPr>
                <w:sz w:val="1"/>
                <w:szCs w:val="1"/>
                <w:color w:val="auto"/>
              </w:rPr>
            </w:pPr>
          </w:p>
        </w:tc>
        <w:tc>
          <w:tcPr>
            <w:tcW w:w="5080" w:type="dxa"/>
            <w:vAlign w:val="bottom"/>
            <w:gridSpan w:val="5"/>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32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Risk Factors</w:t>
            </w:r>
          </w:p>
        </w:tc>
        <w:tc>
          <w:tcPr>
            <w:tcW w:w="1000" w:type="dxa"/>
            <w:vAlign w:val="bottom"/>
            <w:gridSpan w:val="5"/>
            <w:vMerge w:val="continue"/>
          </w:tcPr>
          <w:p>
            <w:pPr>
              <w:spacing w:after="0"/>
              <w:rPr>
                <w:sz w:val="15"/>
                <w:szCs w:val="15"/>
                <w:color w:val="auto"/>
              </w:rPr>
            </w:pPr>
          </w:p>
        </w:tc>
        <w:tc>
          <w:tcPr>
            <w:tcW w:w="2020" w:type="dxa"/>
            <w:vAlign w:val="bottom"/>
            <w:gridSpan w:val="4"/>
            <w:vMerge w:val="continue"/>
          </w:tcPr>
          <w:p>
            <w:pPr>
              <w:spacing w:after="0"/>
              <w:rPr>
                <w:sz w:val="15"/>
                <w:szCs w:val="15"/>
                <w:color w:val="auto"/>
              </w:rPr>
            </w:pPr>
          </w:p>
        </w:tc>
        <w:tc>
          <w:tcPr>
            <w:tcW w:w="5080" w:type="dxa"/>
            <w:vAlign w:val="bottom"/>
            <w:gridSpan w:val="5"/>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8500" w:type="dxa"/>
            <w:vAlign w:val="bottom"/>
            <w:gridSpan w:val="16"/>
            <w:vMerge w:val="restart"/>
          </w:tcPr>
          <w:p>
            <w:pPr>
              <w:ind w:left="40"/>
              <w:spacing w:after="0" w:line="20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9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4"/>
              </w:rPr>
              <w:t>Unregistered</w:t>
            </w:r>
          </w:p>
        </w:tc>
        <w:tc>
          <w:tcPr>
            <w:tcW w:w="8500" w:type="dxa"/>
            <w:vAlign w:val="bottom"/>
            <w:gridSpan w:val="16"/>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080" w:type="dxa"/>
            <w:vAlign w:val="bottom"/>
            <w:gridSpan w:val="5"/>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4340" w:type="dxa"/>
            <w:vAlign w:val="bottom"/>
            <w:gridSpan w:val="14"/>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080" w:type="dxa"/>
            <w:vAlign w:val="bottom"/>
            <w:gridSpan w:val="5"/>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7100" w:type="dxa"/>
            <w:vAlign w:val="bottom"/>
            <w:gridSpan w:val="9"/>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32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7100" w:type="dxa"/>
            <w:vAlign w:val="bottom"/>
            <w:gridSpan w:val="9"/>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660" w:type="dxa"/>
            <w:vAlign w:val="bottom"/>
            <w:gridSpan w:val="13"/>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76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660" w:type="dxa"/>
            <w:vAlign w:val="bottom"/>
            <w:gridSpan w:val="13"/>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120" w:type="dxa"/>
            <w:vAlign w:val="bottom"/>
            <w:gridSpan w:val="15"/>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30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8120" w:type="dxa"/>
            <w:vAlign w:val="bottom"/>
            <w:gridSpan w:val="15"/>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660" w:type="dxa"/>
            <w:vAlign w:val="bottom"/>
            <w:gridSpan w:val="17"/>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6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0000FF"/>
                <w:w w:val="76"/>
              </w:rPr>
              <w:t>Signatures</w:t>
            </w:r>
          </w:p>
        </w:tc>
        <w:tc>
          <w:tcPr>
            <w:tcW w:w="140" w:type="dxa"/>
            <w:vAlign w:val="bottom"/>
            <w:vMerge w:val="continue"/>
          </w:tcPr>
          <w:p>
            <w:pPr>
              <w:spacing w:after="0"/>
              <w:rPr>
                <w:sz w:val="15"/>
                <w:szCs w:val="15"/>
                <w:color w:val="auto"/>
              </w:rPr>
            </w:pPr>
          </w:p>
        </w:tc>
        <w:tc>
          <w:tcPr>
            <w:tcW w:w="8660" w:type="dxa"/>
            <w:vAlign w:val="bottom"/>
            <w:gridSpan w:val="17"/>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0"/>
        </w:trPr>
        <w:tc>
          <w:tcPr>
            <w:tcW w:w="116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RISKS ASSOCIATED WITH OUR BUSINESSES</w:t>
      </w:r>
    </w:p>
    <w:p>
      <w:pPr>
        <w:spacing w:after="0" w:line="10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face risks and uncertainties associated with our business, many of which are beyond our control. Some of the material risks associated with our business include the following:</w:t>
      </w:r>
    </w:p>
    <w:p>
      <w:pPr>
        <w:spacing w:after="0" w:line="68" w:lineRule="exact"/>
        <w:rPr>
          <w:sz w:val="20"/>
          <w:szCs w:val="20"/>
          <w:color w:val="auto"/>
        </w:rPr>
      </w:pPr>
    </w:p>
    <w:p>
      <w:pPr>
        <w:ind w:left="1260" w:right="100" w:hanging="368"/>
        <w:spacing w:after="0" w:line="250"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incurred significant net losses since our inception, and anticipate that we will continue to incur significant net losses for the foreseeable future. We expect these losses to increase as we continue our clinical development of, and seek regulatory approvals for, tildacerfont and any future product candidates.</w:t>
      </w:r>
    </w:p>
    <w:p>
      <w:pPr>
        <w:spacing w:after="0" w:line="82" w:lineRule="exact"/>
        <w:rPr>
          <w:rFonts w:ascii="Times New Roman" w:cs="Times New Roman" w:eastAsia="Times New Roman" w:hAnsi="Times New Roman"/>
          <w:sz w:val="18"/>
          <w:szCs w:val="18"/>
          <w:color w:val="auto"/>
        </w:rPr>
      </w:pPr>
    </w:p>
    <w:p>
      <w:pPr>
        <w:jc w:val="both"/>
        <w:ind w:left="1260" w:right="400" w:hanging="368"/>
        <w:spacing w:after="0" w:line="250"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financing to develop tildacerfont and any future product candidates and implement our operating plans. If we fail to obtain additional financing, we may be forced to delay, reduce or eliminate our product development programs or commercialization efforts.</w:t>
      </w:r>
    </w:p>
    <w:p>
      <w:pPr>
        <w:spacing w:after="0" w:line="68" w:lineRule="exact"/>
        <w:rPr>
          <w:rFonts w:ascii="Times New Roman" w:cs="Times New Roman" w:eastAsia="Times New Roman" w:hAnsi="Times New Roman"/>
          <w:sz w:val="18"/>
          <w:szCs w:val="18"/>
          <w:color w:val="auto"/>
        </w:rPr>
      </w:pPr>
    </w:p>
    <w:p>
      <w:pPr>
        <w:jc w:val="both"/>
        <w:ind w:left="1260" w:right="80" w:hanging="368"/>
        <w:spacing w:after="0" w:line="258"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spacing w:after="0" w:line="61" w:lineRule="exact"/>
        <w:rPr>
          <w:rFonts w:ascii="Times New Roman" w:cs="Times New Roman" w:eastAsia="Times New Roman" w:hAnsi="Times New Roman"/>
          <w:sz w:val="18"/>
          <w:szCs w:val="18"/>
          <w:color w:val="auto"/>
        </w:rPr>
      </w:pPr>
    </w:p>
    <w:p>
      <w:pPr>
        <w:ind w:left="1260" w:right="400" w:hanging="368"/>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fail to adequately demonstrate the safety and efficacy of tildacerfont, which could prevent or delay regulatory approval and commercialization.</w:t>
      </w:r>
    </w:p>
    <w:p>
      <w:pPr>
        <w:spacing w:after="0" w:line="40" w:lineRule="exact"/>
        <w:rPr>
          <w:rFonts w:ascii="Times New Roman" w:cs="Times New Roman" w:eastAsia="Times New Roman" w:hAnsi="Times New Roman"/>
          <w:sz w:val="18"/>
          <w:szCs w:val="18"/>
          <w:color w:val="auto"/>
        </w:rPr>
      </w:pPr>
    </w:p>
    <w:p>
      <w:pPr>
        <w:ind w:left="1260" w:right="160" w:hanging="368"/>
        <w:spacing w:after="0" w:line="266"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the commencement or completion, or termination or suspension, of our clinical trials could result in increased costs to us, delay or limit our ability to generate revenue, and adversely affect our commercial prospects.</w:t>
      </w:r>
    </w:p>
    <w:p>
      <w:pPr>
        <w:spacing w:after="0" w:line="67" w:lineRule="exact"/>
        <w:rPr>
          <w:rFonts w:ascii="Times New Roman" w:cs="Times New Roman" w:eastAsia="Times New Roman" w:hAnsi="Times New Roman"/>
          <w:sz w:val="18"/>
          <w:szCs w:val="18"/>
          <w:color w:val="auto"/>
        </w:rPr>
      </w:pPr>
    </w:p>
    <w:p>
      <w:pPr>
        <w:ind w:left="1260" w:right="40" w:hanging="368"/>
        <w:spacing w:after="0" w:line="250"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Food and Drug Administration, or FDA, and comparable foreign regulatory authorities may require us to initiate one or more additional clinical trials for tildacerfont in adult patients with classic congenital adrenal hyperplasia, or CAH, including a Phase 3 clinical trial or trials. The estimated timing or scope of any such future clinical trials is not currently ascertainable. Even if regulatory approvals are obtained, we may never be able to successfully commercialize tildacerfont.</w:t>
      </w:r>
    </w:p>
    <w:p>
      <w:pPr>
        <w:spacing w:after="0" w:line="69" w:lineRule="exact"/>
        <w:rPr>
          <w:rFonts w:ascii="Times New Roman" w:cs="Times New Roman" w:eastAsia="Times New Roman" w:hAnsi="Times New Roman"/>
          <w:sz w:val="18"/>
          <w:szCs w:val="18"/>
          <w:color w:val="auto"/>
        </w:rPr>
      </w:pPr>
    </w:p>
    <w:p>
      <w:pPr>
        <w:ind w:left="1260" w:hanging="368"/>
        <w:spacing w:after="0" w:line="258"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spacing w:after="0" w:line="61" w:lineRule="exact"/>
        <w:rPr>
          <w:rFonts w:ascii="Times New Roman" w:cs="Times New Roman" w:eastAsia="Times New Roman" w:hAnsi="Times New Roman"/>
          <w:sz w:val="18"/>
          <w:szCs w:val="18"/>
          <w:color w:val="auto"/>
        </w:rPr>
      </w:pPr>
    </w:p>
    <w:p>
      <w:pPr>
        <w:ind w:left="1260" w:right="460" w:hanging="368"/>
        <w:spacing w:after="0" w:line="266"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difficulties enrolling patients in our clinical trials, our clinical development activities could be delayed or otherwise adversely affected.</w:t>
      </w:r>
    </w:p>
    <w:p>
      <w:pPr>
        <w:spacing w:after="0" w:line="54" w:lineRule="exact"/>
        <w:rPr>
          <w:rFonts w:ascii="Times New Roman" w:cs="Times New Roman" w:eastAsia="Times New Roman" w:hAnsi="Times New Roman"/>
          <w:sz w:val="18"/>
          <w:szCs w:val="18"/>
          <w:color w:val="auto"/>
        </w:rPr>
      </w:pPr>
    </w:p>
    <w:p>
      <w:pPr>
        <w:ind w:left="1260" w:right="20" w:hanging="368"/>
        <w:spacing w:after="0" w:line="250"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has been and could continue to be adversely affected by the evolving and ongoing COVID-19 global pandemic in regions where we or third parties on which we rely have significant manufacturing facilities, concentrations of clinical trial sites or other business operations. The COVID-19 pandemic could adversely affect our operations, as well as the business or operations of our manufacturers, clinical research organizations, or CROs, or other third parties with whom we conduct business.</w:t>
      </w:r>
    </w:p>
    <w:p>
      <w:pPr>
        <w:spacing w:after="0" w:line="82" w:lineRule="exact"/>
        <w:rPr>
          <w:rFonts w:ascii="Times New Roman" w:cs="Times New Roman" w:eastAsia="Times New Roman" w:hAnsi="Times New Roman"/>
          <w:sz w:val="18"/>
          <w:szCs w:val="18"/>
          <w:color w:val="auto"/>
        </w:rPr>
      </w:pPr>
    </w:p>
    <w:p>
      <w:pPr>
        <w:ind w:left="1260" w:right="240" w:hanging="368"/>
        <w:spacing w:after="0" w:line="250"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spacing w:after="0" w:line="82" w:lineRule="exact"/>
        <w:rPr>
          <w:rFonts w:ascii="Times New Roman" w:cs="Times New Roman" w:eastAsia="Times New Roman" w:hAnsi="Times New Roman"/>
          <w:sz w:val="18"/>
          <w:szCs w:val="18"/>
          <w:color w:val="auto"/>
        </w:rPr>
      </w:pPr>
    </w:p>
    <w:p>
      <w:pPr>
        <w:ind w:left="1260" w:hanging="368"/>
        <w:spacing w:after="0" w:line="266"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tildacerfont and any future product candidates are smaller than we believe they are, our future revenue may be adversely affected, and our business may suffer.</w:t>
      </w:r>
    </w:p>
    <w:p>
      <w:pPr>
        <w:spacing w:after="0" w:line="54" w:lineRule="exact"/>
        <w:rPr>
          <w:rFonts w:ascii="Times New Roman" w:cs="Times New Roman" w:eastAsia="Times New Roman" w:hAnsi="Times New Roman"/>
          <w:sz w:val="18"/>
          <w:szCs w:val="18"/>
          <w:color w:val="auto"/>
        </w:rPr>
      </w:pPr>
    </w:p>
    <w:p>
      <w:pPr>
        <w:ind w:left="1260" w:hanging="368"/>
        <w:spacing w:after="0" w:line="250"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expand our pipeline by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spacing w:after="0" w:line="82" w:lineRule="exact"/>
        <w:rPr>
          <w:rFonts w:ascii="Times New Roman" w:cs="Times New Roman" w:eastAsia="Times New Roman" w:hAnsi="Times New Roman"/>
          <w:sz w:val="18"/>
          <w:szCs w:val="18"/>
          <w:color w:val="auto"/>
        </w:rPr>
      </w:pPr>
    </w:p>
    <w:p>
      <w:pPr>
        <w:ind w:left="1260" w:right="20" w:hanging="368"/>
        <w:spacing w:after="0" w:line="250"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spacing w:after="0" w:line="68" w:lineRule="exact"/>
        <w:rPr>
          <w:rFonts w:ascii="Times New Roman" w:cs="Times New Roman" w:eastAsia="Times New Roman" w:hAnsi="Times New Roman"/>
          <w:sz w:val="18"/>
          <w:szCs w:val="18"/>
          <w:color w:val="auto"/>
        </w:rPr>
      </w:pPr>
    </w:p>
    <w:p>
      <w:pPr>
        <w:ind w:left="1260" w:right="20" w:hanging="368"/>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not successful in attracting and retaining highly qualified personnel, we may not be able to successfully implement our business strategy.</w:t>
      </w:r>
    </w:p>
    <w:p>
      <w:pPr>
        <w:spacing w:after="0" w:line="40" w:lineRule="exact"/>
        <w:rPr>
          <w:rFonts w:ascii="Times New Roman" w:cs="Times New Roman" w:eastAsia="Times New Roman" w:hAnsi="Times New Roman"/>
          <w:sz w:val="18"/>
          <w:szCs w:val="18"/>
          <w:color w:val="auto"/>
        </w:rPr>
      </w:pPr>
    </w:p>
    <w:p>
      <w:pPr>
        <w:ind w:left="1260" w:right="240" w:hanging="368"/>
        <w:spacing w:after="0" w:line="266"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If these third parties do not successfully carry out their contractual duties or meet expected deadlines, we may not be able to obtain regulatory approval for or commercialize tildacerfont.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left="1260" w:hanging="368"/>
        <w:spacing w:after="0" w:line="250" w:lineRule="auto"/>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and any future product candidates, and other proprietary technologies if approved, may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ind w:left="4400"/>
        <w:spacing w:after="0"/>
        <w:rPr>
          <w:sz w:val="20"/>
          <w:szCs w:val="20"/>
          <w:color w:val="auto"/>
        </w:rPr>
      </w:pPr>
      <w:r>
        <w:rPr>
          <w:rFonts w:ascii="Times New Roman" w:cs="Times New Roman" w:eastAsia="Times New Roman" w:hAnsi="Times New Roman"/>
          <w:sz w:val="18"/>
          <w:szCs w:val="18"/>
          <w:b w:val="1"/>
          <w:bCs w:val="1"/>
          <w:color w:val="auto"/>
        </w:rPr>
        <w:t>SPRUCE BIOSCIENCES, INC.</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47,210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42,748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96,506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91,895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32,459</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104,515</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126,486</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loan, current portion</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net of current portion</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liability, net of current portion</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15,394</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1"/>
        </w:trPr>
        <w:tc>
          <w:tcPr>
            <w:tcW w:w="772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 or outstanding as</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June 30, 2022 and December 31, 2021</w:t>
            </w:r>
          </w:p>
        </w:tc>
        <w:tc>
          <w:tcPr>
            <w:tcW w:w="320" w:type="dxa"/>
            <w:vAlign w:val="bottom"/>
          </w:tcPr>
          <w:p>
            <w:pPr>
              <w:spacing w:after="0"/>
              <w:rPr>
                <w:sz w:val="20"/>
                <w:szCs w:val="20"/>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72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$0.0001 par value, 200,000,000 shares authorized, 23,560,250 and 23,491,881 shares</w:t>
            </w:r>
          </w:p>
        </w:tc>
        <w:tc>
          <w:tcPr>
            <w:tcW w:w="3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issued and outstanding as of June 30, 2022 and December 31, 2021, respectively</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216,731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214,685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(845 )</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(184 )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(126,768 )</w:t>
            </w: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(103,133 )</w:t>
            </w:r>
          </w:p>
        </w:tc>
      </w:tr>
      <w:tr>
        <w:trPr>
          <w:trHeight w:val="210"/>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89,121</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104,515</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126,486</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-3222625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-1525270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SPRUCE BIOSCIENCES,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20" w:type="dxa"/>
            <w:vAlign w:val="bottom"/>
            <w:gridSpan w:val="5"/>
          </w:tcPr>
          <w:p>
            <w:pPr>
              <w:jc w:val="right"/>
              <w:ind w:right="82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440" w:type="dxa"/>
            <w:vAlign w:val="bottom"/>
            <w:gridSpan w:val="5"/>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17,568</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11,882</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11,714</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23,616</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(11,882</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(11,714</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(23,616</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(94 )</w:t>
            </w:r>
          </w:p>
        </w:tc>
        <w:tc>
          <w:tcPr>
            <w:tcW w:w="220" w:type="dxa"/>
            <w:vAlign w:val="bottom"/>
          </w:tcPr>
          <w:p>
            <w:pPr>
              <w:spacing w:after="0"/>
              <w:rPr>
                <w:sz w:val="18"/>
                <w:szCs w:val="18"/>
                <w:color w:val="auto"/>
              </w:rPr>
            </w:pP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(80 )</w:t>
            </w:r>
          </w:p>
        </w:tc>
        <w:tc>
          <w:tcPr>
            <w:tcW w:w="200" w:type="dxa"/>
            <w:vAlign w:val="bottom"/>
          </w:tcPr>
          <w:p>
            <w:pPr>
              <w:spacing w:after="0"/>
              <w:rPr>
                <w:sz w:val="18"/>
                <w:szCs w:val="18"/>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(181 )</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(11,872 )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(11,774 )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(23,635 )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(21,661 )</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Unrealized loss on available for sale securities</w:t>
            </w: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(661</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(12,024 )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(11,803 )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(24,296 )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(21,690 )</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76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51"/>
        </w:trPr>
        <w:tc>
          <w:tcPr>
            <w:tcW w:w="5760" w:type="dxa"/>
            <w:vAlign w:val="bottom"/>
          </w:tcPr>
          <w:p>
            <w:pPr>
              <w:ind w:left="20"/>
              <w:spacing w:after="0" w:line="151" w:lineRule="exact"/>
              <w:rPr>
                <w:sz w:val="20"/>
                <w:szCs w:val="20"/>
                <w:color w:val="auto"/>
              </w:rPr>
            </w:pPr>
            <w:r>
              <w:rPr>
                <w:rFonts w:ascii="Times New Roman" w:cs="Times New Roman" w:eastAsia="Times New Roman" w:hAnsi="Times New Roman"/>
                <w:sz w:val="17"/>
                <w:szCs w:val="17"/>
                <w:color w:val="auto"/>
              </w:rPr>
              <w:t>Weighted-average shares of common stock outstanding, basic and</w:t>
            </w:r>
          </w:p>
        </w:tc>
        <w:tc>
          <w:tcPr>
            <w:tcW w:w="2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23,493,613</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23,329,756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23,492,960</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23,306,708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7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-1464945</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-1464945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-1464945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-899795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-899795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-899795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-591185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-591185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-591185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-282575</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-264795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-282575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-264795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-282575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-264795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SPRUCE BIOSCIENCES,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 OF STOCKHOLDERS’ EQUITY</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1900" w:type="dxa"/>
            <w:vAlign w:val="bottom"/>
            <w:gridSpan w:val="3"/>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5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1900" w:type="dxa"/>
            <w:vAlign w:val="bottom"/>
            <w:tcBorders>
              <w:bottom w:val="single" w:sz="8" w:color="auto"/>
            </w:tcBorders>
            <w:gridSpan w:val="3"/>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9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4"/>
        </w:trPr>
        <w:tc>
          <w:tcPr>
            <w:tcW w:w="390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920" w:type="dxa"/>
            <w:vAlign w:val="bottom"/>
            <w:tcBorders>
              <w:top w:val="single" w:sz="8" w:color="auto"/>
            </w:tcBorders>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23,492,87</w:t>
            </w:r>
          </w:p>
        </w:tc>
        <w:tc>
          <w:tcPr>
            <w:tcW w:w="280" w:type="dxa"/>
            <w:vAlign w:val="bottom"/>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gridSpan w:val="2"/>
            <w:shd w:val="clear" w:color="auto" w:fill="CFF0FC"/>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215,828</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(693 )</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(114,895 )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100,243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390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Issuance of common stock related to employee</w:t>
            </w:r>
          </w:p>
        </w:tc>
        <w:tc>
          <w:tcPr>
            <w:tcW w:w="9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purchase plan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25,545</w:t>
            </w: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90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Issuance of common stock related to vesting of</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units, net of tax withholdings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41,832</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(40 )</w:t>
            </w:r>
          </w:p>
        </w:tc>
        <w:tc>
          <w:tcPr>
            <w:tcW w:w="14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on available for sale securities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(152 )</w:t>
            </w: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(11,872 )</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(11,872 )</w:t>
            </w:r>
          </w:p>
        </w:tc>
        <w:tc>
          <w:tcPr>
            <w:tcW w:w="0" w:type="dxa"/>
            <w:vAlign w:val="bottom"/>
          </w:tcPr>
          <w:p>
            <w:pPr>
              <w:spacing w:after="0"/>
              <w:rPr>
                <w:sz w:val="1"/>
                <w:szCs w:val="1"/>
                <w:color w:val="auto"/>
              </w:rPr>
            </w:pPr>
          </w:p>
        </w:tc>
      </w:tr>
      <w:tr>
        <w:trPr>
          <w:trHeight w:val="164"/>
        </w:trPr>
        <w:tc>
          <w:tcPr>
            <w:tcW w:w="3900" w:type="dxa"/>
            <w:vAlign w:val="bottom"/>
            <w:tcBorders>
              <w:top w:val="single" w:sz="8" w:color="CFF0FC"/>
            </w:tcBorders>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92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23,560,25</w:t>
            </w:r>
          </w:p>
        </w:tc>
        <w:tc>
          <w:tcPr>
            <w:tcW w:w="280" w:type="dxa"/>
            <w:vAlign w:val="bottom"/>
            <w:tcBorders>
              <w:top w:val="single" w:sz="8" w:color="CFF0FC"/>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20"/>
                <w:szCs w:val="20"/>
                <w:color w:val="auto"/>
              </w:rPr>
            </w:pPr>
          </w:p>
        </w:tc>
        <w:tc>
          <w:tcPr>
            <w:tcW w:w="700" w:type="dxa"/>
            <w:vAlign w:val="bottom"/>
          </w:tcPr>
          <w:p>
            <w:pPr>
              <w:jc w:val="right"/>
              <w:ind w:right="522"/>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216,731</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(845 )</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(126,768 )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3"/>
        </w:trPr>
        <w:tc>
          <w:tcPr>
            <w:tcW w:w="3900" w:type="dxa"/>
            <w:vAlign w:val="bottom"/>
          </w:tcPr>
          <w:p>
            <w:pPr>
              <w:spacing w:after="0"/>
              <w:rPr>
                <w:sz w:val="24"/>
                <w:szCs w:val="24"/>
                <w:color w:val="auto"/>
              </w:rPr>
            </w:pPr>
          </w:p>
        </w:tc>
        <w:tc>
          <w:tcPr>
            <w:tcW w:w="1900" w:type="dxa"/>
            <w:vAlign w:val="bottom"/>
            <w:gridSpan w:val="3"/>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5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1900" w:type="dxa"/>
            <w:vAlign w:val="bottom"/>
            <w:tcBorders>
              <w:bottom w:val="single" w:sz="8" w:color="auto"/>
            </w:tcBorders>
            <w:gridSpan w:val="3"/>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9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4"/>
        </w:trPr>
        <w:tc>
          <w:tcPr>
            <w:tcW w:w="390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920" w:type="dxa"/>
            <w:vAlign w:val="bottom"/>
            <w:tcBorders>
              <w:top w:val="single" w:sz="8" w:color="auto"/>
            </w:tcBorders>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23,491,88</w:t>
            </w:r>
          </w:p>
        </w:tc>
        <w:tc>
          <w:tcPr>
            <w:tcW w:w="280" w:type="dxa"/>
            <w:vAlign w:val="bottom"/>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shd w:val="clear" w:color="auto" w:fill="CFF0FC"/>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214,685</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(184 )</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(103,133 )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111,371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90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Issuance of common stock related to employee</w:t>
            </w:r>
          </w:p>
        </w:tc>
        <w:tc>
          <w:tcPr>
            <w:tcW w:w="9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purchase plan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25,545</w:t>
            </w: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90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Issuance of common stock related to vesting of</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units, net of tax withholdings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41,832</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(40 )</w:t>
            </w:r>
          </w:p>
        </w:tc>
        <w:tc>
          <w:tcPr>
            <w:tcW w:w="14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on available for sale securities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(661 )</w:t>
            </w: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(661 )</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(23,635 )</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(23,635 )</w:t>
            </w:r>
          </w:p>
        </w:tc>
        <w:tc>
          <w:tcPr>
            <w:tcW w:w="0" w:type="dxa"/>
            <w:vAlign w:val="bottom"/>
          </w:tcPr>
          <w:p>
            <w:pPr>
              <w:spacing w:after="0"/>
              <w:rPr>
                <w:sz w:val="1"/>
                <w:szCs w:val="1"/>
                <w:color w:val="auto"/>
              </w:rPr>
            </w:pPr>
          </w:p>
        </w:tc>
      </w:tr>
      <w:tr>
        <w:trPr>
          <w:trHeight w:val="164"/>
        </w:trPr>
        <w:tc>
          <w:tcPr>
            <w:tcW w:w="3900" w:type="dxa"/>
            <w:vAlign w:val="bottom"/>
            <w:tcBorders>
              <w:top w:val="single" w:sz="8" w:color="CFF0FC"/>
            </w:tcBorders>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92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23,560,25</w:t>
            </w:r>
          </w:p>
        </w:tc>
        <w:tc>
          <w:tcPr>
            <w:tcW w:w="280" w:type="dxa"/>
            <w:vAlign w:val="bottom"/>
            <w:tcBorders>
              <w:top w:val="single" w:sz="8" w:color="CFF0FC"/>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216,731</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(845 )</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(126,768 )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-2682240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-2682240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-2682240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-2682240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-2682240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-290830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-290830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-290830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-290830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-290830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SPRUCE BIOSCIENCES,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 OF STOCKHOLDERS’ EQUITY</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2180" w:type="dxa"/>
            <w:vAlign w:val="bottom"/>
            <w:gridSpan w:val="4"/>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6"/>
                <w:szCs w:val="16"/>
                <w:color w:val="auto"/>
              </w:rPr>
            </w:pPr>
          </w:p>
        </w:tc>
        <w:tc>
          <w:tcPr>
            <w:tcW w:w="152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700" w:type="dxa"/>
            <w:vAlign w:val="bottom"/>
          </w:tcPr>
          <w:p>
            <w:pPr>
              <w:spacing w:after="0"/>
              <w:rPr>
                <w:sz w:val="15"/>
                <w:szCs w:val="15"/>
                <w:color w:val="auto"/>
              </w:rPr>
            </w:pPr>
          </w:p>
        </w:tc>
        <w:tc>
          <w:tcPr>
            <w:tcW w:w="2180" w:type="dxa"/>
            <w:vAlign w:val="bottom"/>
            <w:tcBorders>
              <w:bottom w:val="single" w:sz="8" w:color="auto"/>
            </w:tcBorders>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6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4"/>
                <w:szCs w:val="14"/>
                <w:color w:val="auto"/>
              </w:rPr>
            </w:pPr>
          </w:p>
        </w:tc>
        <w:tc>
          <w:tcPr>
            <w:tcW w:w="980" w:type="dxa"/>
            <w:vAlign w:val="bottom"/>
            <w:gridSpan w:val="2"/>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2021</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23,301,872</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211,449</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(70,728</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70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Issuance of common stock related to</w:t>
            </w:r>
          </w:p>
        </w:tc>
        <w:tc>
          <w:tcPr>
            <w:tcW w:w="9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on available for sale securities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(29 )</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16"/>
        </w:trPr>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(11,774 )</w:t>
            </w: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(11,774 )</w:t>
            </w:r>
          </w:p>
        </w:tc>
        <w:tc>
          <w:tcPr>
            <w:tcW w:w="0" w:type="dxa"/>
            <w:vAlign w:val="bottom"/>
          </w:tcPr>
          <w:p>
            <w:pPr>
              <w:spacing w:after="0"/>
              <w:rPr>
                <w:sz w:val="1"/>
                <w:szCs w:val="1"/>
                <w:color w:val="auto"/>
              </w:rPr>
            </w:pPr>
          </w:p>
        </w:tc>
      </w:tr>
      <w:tr>
        <w:trPr>
          <w:trHeight w:val="249"/>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2021</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23,370,070</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212,634</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(82,502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130,106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09"/>
        </w:trPr>
        <w:tc>
          <w:tcPr>
            <w:tcW w:w="3700" w:type="dxa"/>
            <w:vAlign w:val="bottom"/>
          </w:tcPr>
          <w:p>
            <w:pPr>
              <w:spacing w:after="0"/>
              <w:rPr>
                <w:sz w:val="24"/>
                <w:szCs w:val="24"/>
                <w:color w:val="auto"/>
              </w:rPr>
            </w:pPr>
          </w:p>
        </w:tc>
        <w:tc>
          <w:tcPr>
            <w:tcW w:w="2180" w:type="dxa"/>
            <w:vAlign w:val="bottom"/>
            <w:gridSpan w:val="4"/>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24"/>
                <w:szCs w:val="24"/>
                <w:color w:val="auto"/>
              </w:rPr>
            </w:pPr>
          </w:p>
        </w:tc>
        <w:tc>
          <w:tcPr>
            <w:tcW w:w="152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700" w:type="dxa"/>
            <w:vAlign w:val="bottom"/>
          </w:tcPr>
          <w:p>
            <w:pPr>
              <w:spacing w:after="0"/>
              <w:rPr>
                <w:sz w:val="15"/>
                <w:szCs w:val="15"/>
                <w:color w:val="auto"/>
              </w:rPr>
            </w:pPr>
          </w:p>
        </w:tc>
        <w:tc>
          <w:tcPr>
            <w:tcW w:w="2180" w:type="dxa"/>
            <w:vAlign w:val="bottom"/>
            <w:tcBorders>
              <w:bottom w:val="single" w:sz="8" w:color="auto"/>
            </w:tcBorders>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6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4"/>
                <w:szCs w:val="14"/>
                <w:color w:val="auto"/>
              </w:rPr>
            </w:pPr>
          </w:p>
        </w:tc>
        <w:tc>
          <w:tcPr>
            <w:tcW w:w="980" w:type="dxa"/>
            <w:vAlign w:val="bottom"/>
            <w:gridSpan w:val="2"/>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700" w:type="dxa"/>
            <w:vAlign w:val="bottom"/>
            <w:vMerge w:val="continue"/>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23,260,399</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210,266</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(60,841</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99,544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70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Issuance of common stock related to</w:t>
            </w: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on available for sale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(29 )</w:t>
            </w:r>
          </w:p>
        </w:tc>
        <w:tc>
          <w:tcPr>
            <w:tcW w:w="180" w:type="dxa"/>
            <w:vAlign w:val="bottom"/>
          </w:tcPr>
          <w:p>
            <w:pPr>
              <w:spacing w:after="0"/>
              <w:rPr>
                <w:sz w:val="18"/>
                <w:szCs w:val="18"/>
                <w:color w:val="auto"/>
              </w:rPr>
            </w:pP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(21,661 )</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(21,661 )</w:t>
            </w:r>
          </w:p>
        </w:tc>
        <w:tc>
          <w:tcPr>
            <w:tcW w:w="0" w:type="dxa"/>
            <w:vAlign w:val="bottom"/>
          </w:tcPr>
          <w:p>
            <w:pPr>
              <w:spacing w:after="0"/>
              <w:rPr>
                <w:sz w:val="1"/>
                <w:szCs w:val="1"/>
                <w:color w:val="auto"/>
              </w:rPr>
            </w:pPr>
          </w:p>
        </w:tc>
      </w:tr>
      <w:tr>
        <w:trPr>
          <w:trHeight w:val="20"/>
        </w:trPr>
        <w:tc>
          <w:tcPr>
            <w:tcW w:w="37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23,370,070</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212,634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(29 )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(82,502 )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-2331085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-2313940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-2331085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-2313940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-2331085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-2313940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-2331085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-2313940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-2331085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-2313940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-788035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-788035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-788035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-788035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-788035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SPRUCE BIOSCIENCES,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(23,635 )</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(21,661 )</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discount on investments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(285 )</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(209 )</w:t>
            </w: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9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(582 )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9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(131 )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0"/>
        </w:trPr>
        <w:tc>
          <w:tcPr>
            <w:tcW w:w="77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(21,367 )</w:t>
            </w: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(18,481 )</w:t>
            </w: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(6 )</w:t>
            </w: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investments</w:t>
            </w:r>
          </w:p>
        </w:tc>
        <w:tc>
          <w:tcPr>
            <w:tcW w:w="9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(12,978 )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(60,828 )</w:t>
            </w: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maturities of investments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26,016</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(60,850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9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(227 )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related to employee stock purchase plan</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long-term debt, net of issuance costs of $10</w:t>
            </w:r>
          </w:p>
        </w:tc>
        <w:tc>
          <w:tcPr>
            <w:tcW w:w="9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Repayment of term loan</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(4,770 )</w:t>
            </w:r>
          </w:p>
        </w:tc>
      </w:tr>
      <w:tr>
        <w:trPr>
          <w:trHeight w:val="20"/>
        </w:trPr>
        <w:tc>
          <w:tcPr>
            <w:tcW w:w="77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(187 )</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8"/>
                <w:szCs w:val="18"/>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28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(78,872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42,964</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157,366</w:t>
            </w:r>
          </w:p>
        </w:tc>
        <w:tc>
          <w:tcPr>
            <w:tcW w:w="10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80" w:type="dxa"/>
            <w:vAlign w:val="bottom"/>
            <w:tcBorders>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47,426</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data:</w:t>
            </w: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980" w:type="dxa"/>
            <w:vAlign w:val="bottom"/>
            <w:tcBorders>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6"/>
        </w:trPr>
        <w:tc>
          <w:tcPr>
            <w:tcW w:w="7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withholding payments on restricted stock units</w:t>
            </w:r>
          </w:p>
        </w:tc>
        <w:tc>
          <w:tcPr>
            <w:tcW w:w="980" w:type="dxa"/>
            <w:vAlign w:val="bottom"/>
            <w:shd w:val="clear" w:color="auto" w:fill="CFF0FC"/>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(40 )</w:t>
            </w:r>
          </w:p>
        </w:tc>
        <w:tc>
          <w:tcPr>
            <w:tcW w:w="96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offering costs included in accounts payable and accrued expenses</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Pr>
          <w:p>
            <w:pPr>
              <w:spacing w:after="0"/>
              <w:rPr>
                <w:sz w:val="18"/>
                <w:szCs w:val="18"/>
                <w:color w:val="auto"/>
              </w:rPr>
            </w:pP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-3016885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-3016885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-2167890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-1336675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-744855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-762000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-462280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-445135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SPRUCE BIOSCIENCES,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p>
      <w:pPr>
        <w:ind w:right="8160" w:firstLine="8"/>
        <w:spacing w:after="0" w:line="346"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Description of Business</w:t>
      </w:r>
    </w:p>
    <w:p>
      <w:pPr>
        <w:spacing w:after="0" w:line="1"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Spruce Biosciences, Inc. (the Company) is a late-stage biopharmaceutical company focused on developing and commercializing novel therapies for rare endocrine disorders with significant unmet medical need. The Company is initially developing its wholly-owned product candidate, tildacerfont, as the potential first non-steroidal therapy for patients suffering from classic congenital adrenal hyperplasia (CAH). The Company is also developing tildacerfont for females suffering from polycystic ovary syndrome (PCOS) with adrenal dysfunction. The Company is located in Daly City, California and was incorporated in the state of Delaware in April 2016.</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June 30, 2022, the Company had cash, cash equivalents and investments of $99.1 million, which management believes is sufficient to fund its planned operations for a period of at least twelve months following the issuance of the accompanying condensed financial statements.</w:t>
      </w:r>
    </w:p>
    <w:p>
      <w:pPr>
        <w:spacing w:after="0" w:line="68" w:lineRule="exact"/>
        <w:rPr>
          <w:sz w:val="20"/>
          <w:szCs w:val="20"/>
          <w:color w:val="auto"/>
        </w:rPr>
      </w:pPr>
    </w:p>
    <w:p>
      <w:pPr>
        <w:jc w:val="both"/>
        <w:ind w:right="160" w:firstLine="509"/>
        <w:spacing w:after="0" w:line="265" w:lineRule="auto"/>
        <w:rPr>
          <w:sz w:val="20"/>
          <w:szCs w:val="20"/>
          <w:color w:val="auto"/>
        </w:rPr>
      </w:pPr>
      <w:r>
        <w:rPr>
          <w:rFonts w:ascii="Times New Roman" w:cs="Times New Roman" w:eastAsia="Times New Roman" w:hAnsi="Times New Roman"/>
          <w:sz w:val="17"/>
          <w:szCs w:val="17"/>
          <w:color w:val="auto"/>
        </w:rPr>
        <w:t>The Company has incurred significant losses and negative cash flows from operations. During the six months ended June 30, 2022, the Company incurred a net loss of $23.6 million and used $21.4 million of cash in operations. As of June 30, 2022, the Company had an accumulated deficit of $126.8 million and does not expect positive cash flows from operations in the foreseeable future. The Company has funded its operations primarily through the</w:t>
      </w:r>
    </w:p>
    <w:p>
      <w:pPr>
        <w:spacing w:after="0"/>
        <w:rPr>
          <w:sz w:val="20"/>
          <w:szCs w:val="20"/>
          <w:color w:val="auto"/>
        </w:rPr>
      </w:pPr>
      <w:r>
        <w:rPr>
          <w:rFonts w:ascii="Times New Roman" w:cs="Times New Roman" w:eastAsia="Times New Roman" w:hAnsi="Times New Roman"/>
          <w:sz w:val="18"/>
          <w:szCs w:val="18"/>
          <w:color w:val="auto"/>
        </w:rPr>
        <w:t>issuance and sale of equity securities and debt.</w:t>
      </w:r>
    </w:p>
    <w:p>
      <w:pPr>
        <w:spacing w:after="0" w:line="11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 Company anticipates that it will need to raise substantial additional financing in the future to fund its operations. In order to meet these additional cash requirements, the Company may seek to sell additional equity or issue debt, convertible debt or other securities that may result in dilution to its stockholders. If the Company raises additional funds through the issuance of debt or convertible debt securities, these securities could have rights senior to those of its shares of common stock and could contain covenants that restrict its operations. There can be no assurance that the Company will be able to obtain additional equity or debt financing on terms acceptable to it, if at all. Additional debt financing, if available, would result in increased fixed payment obligations and may involve agreements that include covenants limiting or restricting the Company’s ability to take specific actions such as incurring debt, making capital expenditures or declaring dividends. The Company’s failure to obtain sufficient funds on acceptable terms when needed could have a material adverse effect on its business, results of operations, and financial condition.</w:t>
      </w:r>
    </w:p>
    <w:p>
      <w:pPr>
        <w:spacing w:after="0" w:line="61" w:lineRule="exact"/>
        <w:rPr>
          <w:sz w:val="20"/>
          <w:szCs w:val="20"/>
          <w:color w:val="auto"/>
        </w:rPr>
      </w:pPr>
    </w:p>
    <w:p>
      <w:pPr>
        <w:ind w:right="7660" w:firstLine="8"/>
        <w:spacing w:after="0" w:line="383" w:lineRule="auto"/>
        <w:tabs>
          <w:tab w:leader="none" w:pos="18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Interim Condensed Financial Statements</w:t>
      </w:r>
    </w:p>
    <w:p>
      <w:pPr>
        <w:spacing w:after="0" w:line="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 financial statements have been prepared in accordance with accounting principles generally accepted in the United States of America (U.S. GAAP) and applicable rules and regulations of the U.S. Securities and Exchange Commission (SEC) for interim reporting. As permitted under those rules and regulations, certain notes or other financial information normally included in financial statements prepared in accordance with U.S. GAAP have been condensed or omitted. The condensed balance sheet as of June 30, 2022, the condensed statements of operations and comprehensive loss for the three and six months ended June 30, 2022 and 2021, the condensed statement of stockholders’ equity for the three and six months ended June 30, 2022 and 2021, and the condensed statements of cash flows for the six months ended June 30, 2022 and 2021 are unaudited. The interim condensed financial statements have been prepared on the same basis as the annual financial statements and, in the opinion of management, reflect all adjustments, which include only normal, recurring adjustments that are necessary to present fairly the Company’s results for the interim periods presented. The condensed balance sheet as of December 31, 2021, is derived from the Company’s audited financial statements. The results of operations for the three and six months ended June 30, 2022, are not necessarily indicative of the results to be expected for the year ending December 31, 2022, or for any other future annual or interim period.</w:t>
      </w:r>
    </w:p>
    <w:p>
      <w:pPr>
        <w:spacing w:after="0" w:line="7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These interim condensed financial statements should be read in conjunction with the Company’s Annual Report on Form 10-K for the year ended December 31, 2021 filed with the SEC on March 14, 2022 (Annual Report).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0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and expenses as well as related disclosure of contingent assets and liabilities. Significant estimates and assumptions reflected in these financial statements include, but are not limited to, accrued research and development expenses, stock-based compensation and uncertain tax positions. The Company bases its estimates on its historical experience and on assumptions that it believes are reasonable; however, actual results could significantly differ from those estimates.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0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Any product candidates developed by the Company will require approvals from the U.S. Food and Drug Administration (FDA) or foreign regulatory agencies prior to commercial sales. There can be no assurance that the Company’s current and future product candidates will meet desired efficacy and safety requirements to obtain the necessary approvals. If approval is denied or delayed, it may have a material adverse impact on the Company’s business and its financial statements.</w:t>
      </w:r>
    </w:p>
    <w:p>
      <w:pPr>
        <w:spacing w:after="0" w:line="69"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late-stage biopharmaceutical companies including, but not limited to, dependency on the clinical success of the Company’s product candidate, tildacerfont, ability to obtain regulatory approval of tildacerfont, the need for substantial additional financing to achieve its goals, uncertainty of broad adoption of its approved products, if any, by physicians and consumers, significant competition, untested manufacturing capabilities, and dependence on key individuals and sole source suppliers.</w:t>
      </w:r>
    </w:p>
    <w:p>
      <w:pPr>
        <w:spacing w:after="0" w:line="69"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The Company’s business has been and could continue to be adversely affected by the evolving COVID-19 pandemic. For example, the COVID-19 pandemic has resulted in and could result in delays to the Company’s clinical trials for numerous reasons including additional delays or difficulties in enrolling patients, diversion of healthcare resources away from the conduct of clinical trials, interruption or delays in the operations of the FDA or other regulatory authorities, and delays in clinical sites receiving the supplies and materials to conduct our clinical trials. At this time, the extent to which the</w:t>
      </w:r>
    </w:p>
    <w:p>
      <w:pPr>
        <w:spacing w:after="0" w:line="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COVID-19 pandemic impacts the Company’s business will depend on future developments, which are highly uncertain. While vaccines have become widely available in certain countries, and businesses and economies have reopened, the status of global economic recovery remains uncertain and unpredictable and will continue to be impacted by developments in the pandemic including any subsequent waves of outbreak or new variant strains of the COVID-19 virus which may require re-closures or other preventative measures. The Company will continue to evaluate the impact that these events could have on its future operations, financial position, results of operations and cash flows.</w:t>
      </w:r>
    </w:p>
    <w:p>
      <w:pPr>
        <w:spacing w:after="0" w:line="6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Further, following the recent invasion of Ukraine by Russia, the U.S. and global financial markets experienced volatility, which has led to additional disruptions to trade, commerce, pricing stability, credit availability and supply chain continuity globally. It is uncertain what the long-term impact of the ongoing military conflict between Ukraine and Russia and related sanctions may have on the Company’s business.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ind w:right="60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to the accounting policies during the six months ended June 30, 2022, as compared to the significant accounting policies described in the Annual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Company has cash in a collateral account related to a letter of credit issued on behalf of the Company for the security deposit on the non-cancelable operating lease for an office facility. The collateralized cash in connection with the letter of credit was classified as restricted cash on the balance sheet as of June 30, 2022 and December 31, 2021 based on the terms of the lease agreement, which expires in 2025, unless extended.</w:t>
      </w:r>
    </w:p>
    <w:p>
      <w:pPr>
        <w:spacing w:after="0" w:line="6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statements of cash flows (in thousands):</w:t>
      </w:r>
    </w:p>
    <w:p>
      <w:pPr>
        <w:spacing w:after="0" w:line="14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47,210</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78,278</w:t>
            </w:r>
          </w:p>
        </w:tc>
        <w:tc>
          <w:tcPr>
            <w:tcW w:w="8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18"/>
                <w:szCs w:val="18"/>
                <w:color w:val="auto"/>
              </w:rPr>
            </w:pPr>
          </w:p>
        </w:tc>
      </w:tr>
      <w:tr>
        <w:trPr>
          <w:trHeight w:val="250"/>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47,426</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78,494</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08" w:lineRule="exact"/>
        <w:rPr>
          <w:sz w:val="20"/>
          <w:szCs w:val="20"/>
          <w:color w:val="auto"/>
        </w:rPr>
      </w:pPr>
    </w:p>
    <w:p>
      <w:pPr>
        <w:ind w:right="40" w:firstLine="869"/>
        <w:spacing w:after="0" w:line="250"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Company has elected to use the extended transition period for complying with new or revised accounting standards.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119" w:lineRule="exact"/>
        <w:rPr>
          <w:sz w:val="20"/>
          <w:szCs w:val="20"/>
          <w:color w:val="auto"/>
        </w:rPr>
      </w:pPr>
    </w:p>
    <w:p>
      <w:pPr>
        <w:ind w:right="760" w:firstLine="509"/>
        <w:spacing w:after="0" w:line="251"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ASU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of Credit Losses on Financial Instruments </w:t>
      </w:r>
      <w:r>
        <w:rPr>
          <w:rFonts w:ascii="Times New Roman" w:cs="Times New Roman" w:eastAsia="Times New Roman" w:hAnsi="Times New Roman"/>
          <w:sz w:val="18"/>
          <w:szCs w:val="18"/>
          <w:color w:val="auto"/>
        </w:rPr>
        <w:t>(ASU 2016-13). ASU 2016-13 requires companies to measure credit losses utilizing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methodology that reflects expected credit losses and requires a consideration of a broader range of reasonable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color w:val="auto"/>
        </w:rPr>
        <w:t>and supportable information to inform credit loss estimates. ASU 2016-13 is effective for non-EGC’s electing to use the extended transition period for complying with new or revised accounting standards for fiscal years beginning after December 15, 2019, and for EGC’s for fiscal years beginning after December 15, 2022, with early adoption permitted. The Company expects to adopt this ASU on January 1, 2023. The Company is currently assessing the impact of adopting this standard, but based on a preliminary assessment, does not expect the adoption of this guidance to have a material impact on its financial statements.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Cash Equivalents and Investments</w:t>
      </w:r>
    </w:p>
    <w:p>
      <w:pPr>
        <w:spacing w:after="0" w:line="108" w:lineRule="exact"/>
        <w:rPr>
          <w:sz w:val="20"/>
          <w:szCs w:val="20"/>
          <w:color w:val="auto"/>
        </w:rPr>
      </w:pPr>
    </w:p>
    <w:p>
      <w:pPr>
        <w:ind w:right="840" w:firstLine="509"/>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remaining maturities at the date of purchase of three months or less to be cash equivalents. Cash equivalents consist of amounts invested in money market funds and are stated at fair value.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Investments are comprised of U.S. treasury securities, commercial paper, and corporate bonds.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is a summary of amortized cost, gross unrealized gains and losses, and fair value (in thousands):</w:t>
      </w:r>
    </w:p>
    <w:p>
      <w:pPr>
        <w:spacing w:after="0" w:line="313" w:lineRule="exact"/>
        <w:rPr>
          <w:sz w:val="20"/>
          <w:szCs w:val="20"/>
          <w:color w:val="auto"/>
        </w:rPr>
      </w:pPr>
    </w:p>
    <w:tbl>
      <w:tblPr>
        <w:tblLayout w:type="fixed"/>
        <w:tblInd w:w="1200" w:type="dxa"/>
        <w:tblCellMar>
          <w:top w:w="0" w:type="dxa"/>
          <w:left w:w="0" w:type="dxa"/>
          <w:bottom w:w="0" w:type="dxa"/>
          <w:right w:w="0" w:type="dxa"/>
        </w:tblCellMar>
      </w:tblPr>
      <w:tr>
        <w:trPr>
          <w:trHeight w:val="187"/>
        </w:trPr>
        <w:tc>
          <w:tcPr>
            <w:tcW w:w="4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44"/>
        </w:trPr>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jc w:val="center"/>
              <w:ind w:right="416"/>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jc w:val="center"/>
              <w:ind w:right="41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7"/>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center"/>
              <w:ind w:right="3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r>
      <w:tr>
        <w:trPr>
          <w:trHeight w:val="209"/>
        </w:trPr>
        <w:tc>
          <w:tcPr>
            <w:tcW w:w="4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44,320</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cash equivalents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44,320</w:t>
            </w:r>
          </w:p>
        </w:tc>
        <w:tc>
          <w:tcPr>
            <w:tcW w:w="80" w:type="dxa"/>
            <w:vAlign w:val="bottom"/>
          </w:tcPr>
          <w:p>
            <w:pPr>
              <w:spacing w:after="0"/>
              <w:rPr>
                <w:sz w:val="18"/>
                <w:szCs w:val="18"/>
                <w:color w:val="auto"/>
              </w:rPr>
            </w:pPr>
          </w:p>
        </w:tc>
      </w:tr>
      <w:tr>
        <w:trPr>
          <w:trHeight w:val="20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14,662</w:t>
            </w:r>
          </w:p>
        </w:tc>
        <w:tc>
          <w:tcPr>
            <w:tcW w:w="2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14,471</w:t>
            </w:r>
          </w:p>
        </w:tc>
        <w:tc>
          <w:tcPr>
            <w:tcW w:w="80" w:type="dxa"/>
            <w:vAlign w:val="bottom"/>
            <w:shd w:val="clear" w:color="auto" w:fill="CFF0F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(466 )</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31,614</w:t>
            </w:r>
          </w:p>
        </w:tc>
        <w:tc>
          <w:tcPr>
            <w:tcW w:w="80" w:type="dxa"/>
            <w:vAlign w:val="bottom"/>
          </w:tcPr>
          <w:p>
            <w:pPr>
              <w:spacing w:after="0"/>
              <w:rPr>
                <w:sz w:val="18"/>
                <w:szCs w:val="18"/>
                <w:color w:val="auto"/>
              </w:rPr>
            </w:pPr>
          </w:p>
        </w:tc>
      </w:tr>
      <w:tr>
        <w:trPr>
          <w:trHeight w:val="210"/>
        </w:trPr>
        <w:tc>
          <w:tcPr>
            <w:tcW w:w="410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46,742</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46,085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(189 )</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80" w:type="dxa"/>
            <w:vAlign w:val="bottom"/>
          </w:tcPr>
          <w:p>
            <w:pPr>
              <w:spacing w:after="0"/>
              <w:rPr>
                <w:sz w:val="18"/>
                <w:szCs w:val="18"/>
                <w:color w:val="auto"/>
              </w:rPr>
            </w:pPr>
          </w:p>
        </w:tc>
      </w:tr>
      <w:tr>
        <w:trPr>
          <w:trHeight w:val="209"/>
        </w:trPr>
        <w:tc>
          <w:tcPr>
            <w:tcW w:w="410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97,056</w:t>
            </w: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14"/>
                <w:szCs w:val="14"/>
                <w:color w:val="auto"/>
              </w:rPr>
              <w:t xml:space="preserve">(845 ) </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96,210</w:t>
            </w:r>
          </w:p>
        </w:tc>
        <w:tc>
          <w:tcPr>
            <w:tcW w:w="80" w:type="dxa"/>
            <w:vAlign w:val="bottom"/>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-1036320</wp:posOffset>
            </wp:positionV>
            <wp:extent cx="596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-1036320</wp:posOffset>
            </wp:positionV>
            <wp:extent cx="514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-1036320</wp:posOffset>
            </wp:positionV>
            <wp:extent cx="514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-1036320</wp:posOffset>
            </wp:positionV>
            <wp:extent cx="514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-462280</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-462280</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-462280</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-462280</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-170815</wp:posOffset>
            </wp:positionV>
            <wp:extent cx="596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-170815</wp:posOffset>
            </wp:positionV>
            <wp:extent cx="514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-170815</wp:posOffset>
            </wp:positionV>
            <wp:extent cx="514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-170815</wp:posOffset>
            </wp:positionV>
            <wp:extent cx="514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Gross Unrealized Losses in the table above does not recalculate due to rounding.</w:t>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2022, $135 thousand of accrued interest on investments was recorded to other assets on the condensed balance sheets.</w:t>
      </w:r>
    </w:p>
    <w:p>
      <w:pPr>
        <w:spacing w:after="0" w:line="307" w:lineRule="exact"/>
        <w:rPr>
          <w:sz w:val="20"/>
          <w:szCs w:val="20"/>
          <w:color w:val="auto"/>
        </w:rPr>
      </w:pPr>
    </w:p>
    <w:tbl>
      <w:tblPr>
        <w:tblLayout w:type="fixed"/>
        <w:tblInd w:w="1200" w:type="dxa"/>
        <w:tblCellMar>
          <w:top w:w="0" w:type="dxa"/>
          <w:left w:w="0" w:type="dxa"/>
          <w:bottom w:w="0" w:type="dxa"/>
          <w:right w:w="0" w:type="dxa"/>
        </w:tblCellMar>
      </w:tblPr>
      <w:tr>
        <w:trPr>
          <w:trHeight w:val="187"/>
        </w:trPr>
        <w:tc>
          <w:tcPr>
            <w:tcW w:w="3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53"/>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right"/>
              <w:ind w:right="23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1"/>
                <w:szCs w:val="11"/>
                <w:color w:val="auto"/>
              </w:rPr>
            </w:pPr>
          </w:p>
        </w:tc>
        <w:tc>
          <w:tcPr>
            <w:tcW w:w="82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38,067</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equivalents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33,973</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33,973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(114 )</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32,607</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32,459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116,931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-1310640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-1310640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-1310640</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-1310640</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-744855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-744855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-744855</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-744855</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-170815</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-170815</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-170815</wp:posOffset>
            </wp:positionV>
            <wp:extent cx="514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-170815</wp:posOffset>
            </wp:positionV>
            <wp:extent cx="514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-24765</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-7620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-24765</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514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514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8"/>
          <w:szCs w:val="18"/>
          <w:color w:val="auto"/>
        </w:rPr>
        <w:t>As of December 31, 2021, $135 thousand of accrued interest on investments was recorded to other assets on the condensed balance sheets.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2022, the weighted-average remaining contractual maturities of investments was approximately eight months.</w:t>
      </w:r>
    </w:p>
    <w:p>
      <w:pPr>
        <w:spacing w:after="0" w:line="104"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There have been no realized gains or losses on available for sale securities for the periods presented. No available for sale securities held as of June 30, 2022 have been in a continuous unrealized loss position for more than 12 months, and unrealized gains and losses are included in “accumulated other comprehensive loss” within stockholders' equity on the condensed balance sheets. As of June 30, 2022, unrealized losses on available for sale securities are not attributed to credit risk and are considered temporary. The Company believes that it is more-likely-than-not that investments in an unrealized loss position will be held until maturity or the cost basis of the investment will be recovered. The Company believes it has no other-than-temporary impairments on its securities as it does not intend to sell these securities and does not believe it is more likely than not that it will be required to sell these securities before the recovery of their amortized cost basis. To date, the Company has not recorded any impairment charges on securities related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other-than-temporary declines in fair value. The Company’s short-term investments are securities with contractual maturities of less than one year.</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measures and reports certain financial instruments as assets at fair value.</w:t>
      </w:r>
    </w:p>
    <w:p>
      <w:pPr>
        <w:spacing w:after="0" w:line="117"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spacing w:after="0" w:line="6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the fair value of financial assets and liabilities using the fair value hierarchy that describes three levels of inputs that may be used to measure fair value, as follows: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17" w:lineRule="exact"/>
        <w:rPr>
          <w:sz w:val="20"/>
          <w:szCs w:val="20"/>
          <w:color w:val="auto"/>
        </w:rPr>
      </w:pPr>
    </w:p>
    <w:p>
      <w:pPr>
        <w:ind w:left="520" w:right="140"/>
        <w:spacing w:after="0" w:line="250" w:lineRule="auto"/>
        <w:rPr>
          <w:sz w:val="20"/>
          <w:szCs w:val="20"/>
          <w:color w:val="auto"/>
        </w:rPr>
      </w:pPr>
      <w:r>
        <w:rPr>
          <w:rFonts w:ascii="Times New Roman" w:cs="Times New Roman" w:eastAsia="Times New Roman" w:hAnsi="Times New Roman"/>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104" w:lineRule="exact"/>
        <w:rPr>
          <w:sz w:val="20"/>
          <w:szCs w:val="20"/>
          <w:color w:val="auto"/>
        </w:rPr>
      </w:pPr>
    </w:p>
    <w:p>
      <w:pPr>
        <w:ind w:right="680" w:firstLine="509"/>
        <w:spacing w:after="0" w:line="297" w:lineRule="auto"/>
        <w:rPr>
          <w:sz w:val="20"/>
          <w:szCs w:val="20"/>
          <w:color w:val="auto"/>
        </w:rPr>
      </w:pPr>
      <w:r>
        <w:rPr>
          <w:rFonts w:ascii="Times New Roman" w:cs="Times New Roman" w:eastAsia="Times New Roman" w:hAnsi="Times New Roman"/>
          <w:sz w:val="18"/>
          <w:szCs w:val="18"/>
          <w:color w:val="auto"/>
        </w:rPr>
        <w:t>The carrying value of cash and cash equivalents, prepaid expenses, accounts payable, and accrued expenses are generally considered to be representative of their respective fair values because of the short-term nature of those instruments.</w:t>
      </w:r>
    </w:p>
    <w:p>
      <w:pPr>
        <w:spacing w:after="0" w:line="5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measured at fair value on a recurring basis by level within the fair value hierarchy (in thousands):</w:t>
      </w:r>
    </w:p>
    <w:p>
      <w:pPr>
        <w:spacing w:after="0" w:line="277" w:lineRule="exact"/>
        <w:rPr>
          <w:sz w:val="20"/>
          <w:szCs w:val="20"/>
          <w:color w:val="auto"/>
        </w:rPr>
      </w:pPr>
    </w:p>
    <w:tbl>
      <w:tblPr>
        <w:tblLayout w:type="fixed"/>
        <w:tblInd w:w="1080" w:type="dxa"/>
        <w:tblCellMar>
          <w:top w:w="0" w:type="dxa"/>
          <w:left w:w="0" w:type="dxa"/>
          <w:bottom w:w="0" w:type="dxa"/>
          <w:right w:w="0" w:type="dxa"/>
        </w:tblCellMar>
      </w:tblPr>
      <w:tr>
        <w:trPr>
          <w:trHeight w:val="187"/>
        </w:trPr>
        <w:tc>
          <w:tcPr>
            <w:tcW w:w="4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4"/>
                <w:szCs w:val="14"/>
                <w:color w:val="auto"/>
              </w:rPr>
            </w:pPr>
          </w:p>
        </w:tc>
      </w:tr>
      <w:tr>
        <w:trPr>
          <w:trHeight w:val="209"/>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44,320</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44,320</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4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cash equivalents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44,320</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44,320</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r>
      <w:tr>
        <w:trPr>
          <w:trHeight w:val="20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14,471</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31,614</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31,614</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r>
      <w:tr>
        <w:trPr>
          <w:trHeight w:val="210"/>
        </w:trPr>
        <w:tc>
          <w:tcPr>
            <w:tcW w:w="45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46,085</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46,085</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r>
      <w:tr>
        <w:trPr>
          <w:trHeight w:val="210"/>
        </w:trPr>
        <w:tc>
          <w:tcPr>
            <w:tcW w:w="45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96,210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96,210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-1022350</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-1022350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-1022350</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-1022350</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-448310</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-448310</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-448310</wp:posOffset>
            </wp:positionV>
            <wp:extent cx="514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-448310</wp:posOffset>
            </wp:positionV>
            <wp:extent cx="514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-156845</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-156845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-156845</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-156845</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-10795</wp:posOffset>
            </wp:positionV>
            <wp:extent cx="28460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ind w:left="1020"/>
        <w:spacing w:after="0"/>
        <w:rPr>
          <w:sz w:val="20"/>
          <w:szCs w:val="20"/>
          <w:color w:val="auto"/>
        </w:rPr>
      </w:pPr>
      <w:r>
        <w:rPr>
          <w:rFonts w:ascii="Times New Roman" w:cs="Times New Roman" w:eastAsia="Times New Roman" w:hAnsi="Times New Roman"/>
          <w:sz w:val="18"/>
          <w:szCs w:val="18"/>
          <w:color w:val="auto"/>
        </w:rPr>
        <w:t>As of June 30, 2022, $135 thousand of accrued interest on investments was recorded to other assets on the condensed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-127635</wp:posOffset>
            </wp:positionV>
            <wp:extent cx="28460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85" w:lineRule="exact"/>
        <w:rPr>
          <w:sz w:val="20"/>
          <w:szCs w:val="20"/>
          <w:color w:val="auto"/>
        </w:rPr>
      </w:pPr>
    </w:p>
    <w:tbl>
      <w:tblPr>
        <w:tblLayout w:type="fixed"/>
        <w:tblInd w:w="1080" w:type="dxa"/>
        <w:tblCellMar>
          <w:top w:w="0" w:type="dxa"/>
          <w:left w:w="0" w:type="dxa"/>
          <w:bottom w:w="0" w:type="dxa"/>
          <w:right w:w="0" w:type="dxa"/>
        </w:tblCellMar>
      </w:tblPr>
      <w:tr>
        <w:trPr>
          <w:trHeight w:val="187"/>
        </w:trPr>
        <w:tc>
          <w:tcPr>
            <w:tcW w:w="4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4"/>
                <w:szCs w:val="14"/>
                <w:color w:val="auto"/>
              </w:rPr>
            </w:pPr>
          </w:p>
        </w:tc>
      </w:tr>
      <w:tr>
        <w:trPr>
          <w:trHeight w:val="210"/>
        </w:trPr>
        <w:tc>
          <w:tcPr>
            <w:tcW w:w="4180" w:type="dxa"/>
            <w:vAlign w:val="bottom"/>
            <w:tcBorders>
              <w:bottom w:val="single" w:sz="8" w:color="CFF0FF"/>
            </w:tcBorders>
            <w:shd w:val="clear" w:color="auto" w:fill="CFF0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Borders>
              <w:bottom w:val="single" w:sz="8" w:color="auto"/>
            </w:tcBorders>
            <w:shd w:val="clear" w:color="auto" w:fill="CFF0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38,067</w:t>
            </w:r>
          </w:p>
        </w:tc>
        <w:tc>
          <w:tcPr>
            <w:tcW w:w="220" w:type="dxa"/>
            <w:vAlign w:val="bottom"/>
            <w:tcBorders>
              <w:bottom w:val="single" w:sz="8" w:color="CFF0FF"/>
            </w:tcBorders>
            <w:shd w:val="clear" w:color="auto" w:fill="CFF0FF"/>
          </w:tcPr>
          <w:p>
            <w:pPr>
              <w:spacing w:after="0"/>
              <w:rPr>
                <w:sz w:val="18"/>
                <w:szCs w:val="18"/>
                <w:color w:val="auto"/>
              </w:rPr>
            </w:pPr>
          </w:p>
        </w:tc>
        <w:tc>
          <w:tcPr>
            <w:tcW w:w="18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38,067</w:t>
            </w:r>
          </w:p>
        </w:tc>
        <w:tc>
          <w:tcPr>
            <w:tcW w:w="220" w:type="dxa"/>
            <w:vAlign w:val="bottom"/>
            <w:tcBorders>
              <w:bottom w:val="single" w:sz="8" w:color="CFF0FF"/>
            </w:tcBorders>
            <w:shd w:val="clear" w:color="auto" w:fill="CFF0FF"/>
          </w:tcPr>
          <w:p>
            <w:pPr>
              <w:spacing w:after="0"/>
              <w:rPr>
                <w:sz w:val="18"/>
                <w:szCs w:val="18"/>
                <w:color w:val="auto"/>
              </w:rPr>
            </w:pPr>
          </w:p>
        </w:tc>
        <w:tc>
          <w:tcPr>
            <w:tcW w:w="180" w:type="dxa"/>
            <w:vAlign w:val="bottom"/>
            <w:tcBorders>
              <w:bottom w:val="single" w:sz="8" w:color="auto"/>
            </w:tcBorders>
            <w:shd w:val="clear" w:color="auto" w:fill="CFF0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F"/>
            </w:tcBorders>
            <w:shd w:val="clear" w:color="auto" w:fill="CFF0FF"/>
          </w:tcPr>
          <w:p>
            <w:pPr>
              <w:spacing w:after="0"/>
              <w:rPr>
                <w:sz w:val="18"/>
                <w:szCs w:val="18"/>
                <w:color w:val="auto"/>
              </w:rPr>
            </w:pPr>
          </w:p>
        </w:tc>
        <w:tc>
          <w:tcPr>
            <w:tcW w:w="200" w:type="dxa"/>
            <w:vAlign w:val="bottom"/>
            <w:tcBorders>
              <w:bottom w:val="single" w:sz="8" w:color="auto"/>
            </w:tcBorders>
            <w:shd w:val="clear" w:color="auto" w:fill="CFF0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F"/>
            </w:tcBorders>
            <w:shd w:val="clear" w:color="auto" w:fill="CFF0FF"/>
          </w:tcPr>
          <w:p>
            <w:pPr>
              <w:spacing w:after="0"/>
              <w:rPr>
                <w:sz w:val="18"/>
                <w:szCs w:val="18"/>
                <w:color w:val="auto"/>
              </w:rPr>
            </w:pPr>
          </w:p>
        </w:tc>
      </w:tr>
      <w:tr>
        <w:trPr>
          <w:trHeight w:val="210"/>
        </w:trPr>
        <w:tc>
          <w:tcPr>
            <w:tcW w:w="4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cash equivalents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38,067</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38,067</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0"/>
        </w:trPr>
        <w:tc>
          <w:tcPr>
            <w:tcW w:w="4180" w:type="dxa"/>
            <w:vAlign w:val="bottom"/>
            <w:shd w:val="clear" w:color="auto" w:fill="CFF0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FF0FF"/>
          </w:tcPr>
          <w:p>
            <w:pPr>
              <w:spacing w:after="0"/>
              <w:rPr>
                <w:sz w:val="18"/>
                <w:szCs w:val="18"/>
                <w:color w:val="auto"/>
              </w:rPr>
            </w:pPr>
          </w:p>
        </w:tc>
        <w:tc>
          <w:tcPr>
            <w:tcW w:w="8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33,973</w:t>
            </w:r>
          </w:p>
        </w:tc>
        <w:tc>
          <w:tcPr>
            <w:tcW w:w="220" w:type="dxa"/>
            <w:vAlign w:val="bottom"/>
            <w:shd w:val="clear" w:color="auto" w:fill="CFF0FF"/>
          </w:tcPr>
          <w:p>
            <w:pPr>
              <w:spacing w:after="0"/>
              <w:rPr>
                <w:sz w:val="18"/>
                <w:szCs w:val="18"/>
                <w:color w:val="auto"/>
              </w:rPr>
            </w:pPr>
          </w:p>
        </w:tc>
        <w:tc>
          <w:tcPr>
            <w:tcW w:w="180" w:type="dxa"/>
            <w:vAlign w:val="bottom"/>
            <w:shd w:val="clear" w:color="auto" w:fill="CFF0FF"/>
          </w:tcPr>
          <w:p>
            <w:pPr>
              <w:spacing w:after="0"/>
              <w:rPr>
                <w:sz w:val="18"/>
                <w:szCs w:val="18"/>
                <w:color w:val="auto"/>
              </w:rPr>
            </w:pPr>
          </w:p>
        </w:tc>
        <w:tc>
          <w:tcPr>
            <w:tcW w:w="8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F"/>
          </w:tcPr>
          <w:p>
            <w:pPr>
              <w:spacing w:after="0"/>
              <w:rPr>
                <w:sz w:val="18"/>
                <w:szCs w:val="18"/>
                <w:color w:val="auto"/>
              </w:rPr>
            </w:pPr>
          </w:p>
        </w:tc>
        <w:tc>
          <w:tcPr>
            <w:tcW w:w="180" w:type="dxa"/>
            <w:vAlign w:val="bottom"/>
            <w:shd w:val="clear" w:color="auto" w:fill="CFF0FF"/>
          </w:tcPr>
          <w:p>
            <w:pPr>
              <w:spacing w:after="0"/>
              <w:rPr>
                <w:sz w:val="18"/>
                <w:szCs w:val="18"/>
                <w:color w:val="auto"/>
              </w:rPr>
            </w:pPr>
          </w:p>
        </w:tc>
        <w:tc>
          <w:tcPr>
            <w:tcW w:w="8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33,973</w:t>
            </w:r>
          </w:p>
        </w:tc>
        <w:tc>
          <w:tcPr>
            <w:tcW w:w="200" w:type="dxa"/>
            <w:vAlign w:val="bottom"/>
            <w:shd w:val="clear" w:color="auto" w:fill="CFF0FF"/>
          </w:tcPr>
          <w:p>
            <w:pPr>
              <w:spacing w:after="0"/>
              <w:rPr>
                <w:sz w:val="18"/>
                <w:szCs w:val="18"/>
                <w:color w:val="auto"/>
              </w:rPr>
            </w:pPr>
          </w:p>
        </w:tc>
        <w:tc>
          <w:tcPr>
            <w:tcW w:w="200" w:type="dxa"/>
            <w:vAlign w:val="bottom"/>
            <w:shd w:val="clear" w:color="auto" w:fill="CFF0FF"/>
          </w:tcPr>
          <w:p>
            <w:pPr>
              <w:spacing w:after="0"/>
              <w:rPr>
                <w:sz w:val="18"/>
                <w:szCs w:val="18"/>
                <w:color w:val="auto"/>
              </w:rPr>
            </w:pPr>
          </w:p>
        </w:tc>
        <w:tc>
          <w:tcPr>
            <w:tcW w:w="9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F"/>
          </w:tcPr>
          <w:p>
            <w:pPr>
              <w:spacing w:after="0"/>
              <w:rPr>
                <w:sz w:val="18"/>
                <w:szCs w:val="18"/>
                <w:color w:val="auto"/>
              </w:rPr>
            </w:pPr>
          </w:p>
        </w:tc>
      </w:tr>
      <w:tr>
        <w:trPr>
          <w:trHeight w:val="21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4180" w:type="dxa"/>
            <w:vAlign w:val="bottom"/>
            <w:tcBorders>
              <w:bottom w:val="single" w:sz="8" w:color="CFF0FF"/>
            </w:tcBorders>
            <w:shd w:val="clear" w:color="auto" w:fill="CFF0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Borders>
              <w:bottom w:val="single" w:sz="8" w:color="auto"/>
            </w:tcBorders>
            <w:shd w:val="clear" w:color="auto" w:fill="CFF0FF"/>
          </w:tcPr>
          <w:p>
            <w:pPr>
              <w:spacing w:after="0"/>
              <w:rPr>
                <w:sz w:val="18"/>
                <w:szCs w:val="18"/>
                <w:color w:val="auto"/>
              </w:rPr>
            </w:pPr>
          </w:p>
        </w:tc>
        <w:tc>
          <w:tcPr>
            <w:tcW w:w="82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220" w:type="dxa"/>
            <w:vAlign w:val="bottom"/>
            <w:tcBorders>
              <w:bottom w:val="single" w:sz="8" w:color="CFF0FF"/>
            </w:tcBorders>
            <w:shd w:val="clear" w:color="auto" w:fill="CFF0FF"/>
          </w:tcPr>
          <w:p>
            <w:pPr>
              <w:spacing w:after="0"/>
              <w:rPr>
                <w:sz w:val="18"/>
                <w:szCs w:val="18"/>
                <w:color w:val="auto"/>
              </w:rPr>
            </w:pPr>
          </w:p>
        </w:tc>
        <w:tc>
          <w:tcPr>
            <w:tcW w:w="180" w:type="dxa"/>
            <w:vAlign w:val="bottom"/>
            <w:tcBorders>
              <w:bottom w:val="single" w:sz="8" w:color="auto"/>
            </w:tcBorders>
            <w:shd w:val="clear" w:color="auto" w:fill="CFF0FF"/>
          </w:tcPr>
          <w:p>
            <w:pPr>
              <w:spacing w:after="0"/>
              <w:rPr>
                <w:sz w:val="18"/>
                <w:szCs w:val="18"/>
                <w:color w:val="auto"/>
              </w:rPr>
            </w:pPr>
          </w:p>
        </w:tc>
        <w:tc>
          <w:tcPr>
            <w:tcW w:w="86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220" w:type="dxa"/>
            <w:vAlign w:val="bottom"/>
            <w:tcBorders>
              <w:bottom w:val="single" w:sz="8" w:color="CFF0FF"/>
            </w:tcBorders>
            <w:shd w:val="clear" w:color="auto" w:fill="CFF0FF"/>
          </w:tcPr>
          <w:p>
            <w:pPr>
              <w:spacing w:after="0"/>
              <w:rPr>
                <w:sz w:val="18"/>
                <w:szCs w:val="18"/>
                <w:color w:val="auto"/>
              </w:rPr>
            </w:pPr>
          </w:p>
        </w:tc>
        <w:tc>
          <w:tcPr>
            <w:tcW w:w="180" w:type="dxa"/>
            <w:vAlign w:val="bottom"/>
            <w:tcBorders>
              <w:bottom w:val="single" w:sz="8" w:color="auto"/>
            </w:tcBorders>
            <w:shd w:val="clear" w:color="auto" w:fill="CFF0FF"/>
          </w:tcPr>
          <w:p>
            <w:pPr>
              <w:spacing w:after="0"/>
              <w:rPr>
                <w:sz w:val="18"/>
                <w:szCs w:val="18"/>
                <w:color w:val="auto"/>
              </w:rPr>
            </w:pPr>
          </w:p>
        </w:tc>
        <w:tc>
          <w:tcPr>
            <w:tcW w:w="84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F"/>
            </w:tcBorders>
            <w:shd w:val="clear" w:color="auto" w:fill="CFF0FF"/>
          </w:tcPr>
          <w:p>
            <w:pPr>
              <w:spacing w:after="0"/>
              <w:rPr>
                <w:sz w:val="18"/>
                <w:szCs w:val="18"/>
                <w:color w:val="auto"/>
              </w:rPr>
            </w:pPr>
          </w:p>
        </w:tc>
        <w:tc>
          <w:tcPr>
            <w:tcW w:w="200" w:type="dxa"/>
            <w:vAlign w:val="bottom"/>
            <w:tcBorders>
              <w:bottom w:val="single" w:sz="8" w:color="auto"/>
            </w:tcBorders>
            <w:shd w:val="clear" w:color="auto" w:fill="CFF0FF"/>
          </w:tcPr>
          <w:p>
            <w:pPr>
              <w:spacing w:after="0"/>
              <w:rPr>
                <w:sz w:val="18"/>
                <w:szCs w:val="18"/>
                <w:color w:val="auto"/>
              </w:rPr>
            </w:pPr>
          </w:p>
        </w:tc>
        <w:tc>
          <w:tcPr>
            <w:tcW w:w="90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F"/>
            </w:tcBorders>
            <w:shd w:val="clear" w:color="auto" w:fill="CFF0FF"/>
          </w:tcPr>
          <w:p>
            <w:pPr>
              <w:spacing w:after="0"/>
              <w:rPr>
                <w:sz w:val="18"/>
                <w:szCs w:val="18"/>
                <w:color w:val="auto"/>
              </w:rPr>
            </w:pPr>
          </w:p>
        </w:tc>
      </w:tr>
      <w:tr>
        <w:trPr>
          <w:trHeight w:val="210"/>
        </w:trPr>
        <w:tc>
          <w:tcPr>
            <w:tcW w:w="4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12,248</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33,973</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0"/>
        </w:trPr>
        <w:tc>
          <w:tcPr>
            <w:tcW w:w="4180" w:type="dxa"/>
            <w:vAlign w:val="bottom"/>
            <w:shd w:val="clear" w:color="auto" w:fill="CFF0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FF0FF"/>
          </w:tcPr>
          <w:p>
            <w:pPr>
              <w:spacing w:after="0"/>
              <w:rPr>
                <w:sz w:val="18"/>
                <w:szCs w:val="18"/>
                <w:color w:val="auto"/>
              </w:rPr>
            </w:pPr>
          </w:p>
        </w:tc>
        <w:tc>
          <w:tcPr>
            <w:tcW w:w="8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8,436</w:t>
            </w:r>
          </w:p>
        </w:tc>
        <w:tc>
          <w:tcPr>
            <w:tcW w:w="220" w:type="dxa"/>
            <w:vAlign w:val="bottom"/>
            <w:shd w:val="clear" w:color="auto" w:fill="CFF0FF"/>
          </w:tcPr>
          <w:p>
            <w:pPr>
              <w:spacing w:after="0"/>
              <w:rPr>
                <w:sz w:val="18"/>
                <w:szCs w:val="18"/>
                <w:color w:val="auto"/>
              </w:rPr>
            </w:pPr>
          </w:p>
        </w:tc>
        <w:tc>
          <w:tcPr>
            <w:tcW w:w="180" w:type="dxa"/>
            <w:vAlign w:val="bottom"/>
            <w:shd w:val="clear" w:color="auto" w:fill="CFF0FF"/>
          </w:tcPr>
          <w:p>
            <w:pPr>
              <w:spacing w:after="0"/>
              <w:rPr>
                <w:sz w:val="18"/>
                <w:szCs w:val="18"/>
                <w:color w:val="auto"/>
              </w:rPr>
            </w:pPr>
          </w:p>
        </w:tc>
        <w:tc>
          <w:tcPr>
            <w:tcW w:w="8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8,436</w:t>
            </w:r>
          </w:p>
        </w:tc>
        <w:tc>
          <w:tcPr>
            <w:tcW w:w="220" w:type="dxa"/>
            <w:vAlign w:val="bottom"/>
            <w:shd w:val="clear" w:color="auto" w:fill="CFF0FF"/>
          </w:tcPr>
          <w:p>
            <w:pPr>
              <w:spacing w:after="0"/>
              <w:rPr>
                <w:sz w:val="18"/>
                <w:szCs w:val="18"/>
                <w:color w:val="auto"/>
              </w:rPr>
            </w:pPr>
          </w:p>
        </w:tc>
        <w:tc>
          <w:tcPr>
            <w:tcW w:w="180" w:type="dxa"/>
            <w:vAlign w:val="bottom"/>
            <w:shd w:val="clear" w:color="auto" w:fill="CFF0FF"/>
          </w:tcPr>
          <w:p>
            <w:pPr>
              <w:spacing w:after="0"/>
              <w:rPr>
                <w:sz w:val="18"/>
                <w:szCs w:val="18"/>
                <w:color w:val="auto"/>
              </w:rPr>
            </w:pPr>
          </w:p>
        </w:tc>
        <w:tc>
          <w:tcPr>
            <w:tcW w:w="8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F"/>
          </w:tcPr>
          <w:p>
            <w:pPr>
              <w:spacing w:after="0"/>
              <w:rPr>
                <w:sz w:val="18"/>
                <w:szCs w:val="18"/>
                <w:color w:val="auto"/>
              </w:rPr>
            </w:pPr>
          </w:p>
        </w:tc>
        <w:tc>
          <w:tcPr>
            <w:tcW w:w="200" w:type="dxa"/>
            <w:vAlign w:val="bottom"/>
            <w:shd w:val="clear" w:color="auto" w:fill="CFF0FF"/>
          </w:tcPr>
          <w:p>
            <w:pPr>
              <w:spacing w:after="0"/>
              <w:rPr>
                <w:sz w:val="18"/>
                <w:szCs w:val="18"/>
                <w:color w:val="auto"/>
              </w:rPr>
            </w:pPr>
          </w:p>
        </w:tc>
        <w:tc>
          <w:tcPr>
            <w:tcW w:w="9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F"/>
          </w:tcPr>
          <w:p>
            <w:pPr>
              <w:spacing w:after="0"/>
              <w:rPr>
                <w:sz w:val="18"/>
                <w:szCs w:val="18"/>
                <w:color w:val="auto"/>
              </w:rPr>
            </w:pPr>
          </w:p>
        </w:tc>
      </w:tr>
      <w:tr>
        <w:trPr>
          <w:trHeight w:val="21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24,023</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24,023</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0"/>
        </w:trPr>
        <w:tc>
          <w:tcPr>
            <w:tcW w:w="4180" w:type="dxa"/>
            <w:vAlign w:val="bottom"/>
            <w:tcBorders>
              <w:bottom w:val="single" w:sz="8" w:color="CFF0FF"/>
            </w:tcBorders>
            <w:shd w:val="clear" w:color="auto" w:fill="CFF0FF"/>
          </w:tcPr>
          <w:p>
            <w:pPr>
              <w:ind w:left="28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220" w:type="dxa"/>
            <w:vAlign w:val="bottom"/>
            <w:tcBorders>
              <w:bottom w:val="single" w:sz="8" w:color="auto"/>
            </w:tcBorders>
            <w:shd w:val="clear" w:color="auto" w:fill="CFF0FF"/>
          </w:tcPr>
          <w:p>
            <w:pPr>
              <w:spacing w:after="0"/>
              <w:rPr>
                <w:sz w:val="18"/>
                <w:szCs w:val="18"/>
                <w:color w:val="auto"/>
              </w:rPr>
            </w:pPr>
          </w:p>
        </w:tc>
        <w:tc>
          <w:tcPr>
            <w:tcW w:w="82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32,459</w:t>
            </w:r>
          </w:p>
        </w:tc>
        <w:tc>
          <w:tcPr>
            <w:tcW w:w="220" w:type="dxa"/>
            <w:vAlign w:val="bottom"/>
            <w:tcBorders>
              <w:bottom w:val="single" w:sz="8" w:color="CFF0FF"/>
            </w:tcBorders>
            <w:shd w:val="clear" w:color="auto" w:fill="CFF0FF"/>
          </w:tcPr>
          <w:p>
            <w:pPr>
              <w:spacing w:after="0"/>
              <w:rPr>
                <w:sz w:val="18"/>
                <w:szCs w:val="18"/>
                <w:color w:val="auto"/>
              </w:rPr>
            </w:pPr>
          </w:p>
        </w:tc>
        <w:tc>
          <w:tcPr>
            <w:tcW w:w="180" w:type="dxa"/>
            <w:vAlign w:val="bottom"/>
            <w:tcBorders>
              <w:bottom w:val="single" w:sz="8" w:color="auto"/>
            </w:tcBorders>
            <w:shd w:val="clear" w:color="auto" w:fill="CFF0FF"/>
          </w:tcPr>
          <w:p>
            <w:pPr>
              <w:spacing w:after="0"/>
              <w:rPr>
                <w:sz w:val="18"/>
                <w:szCs w:val="18"/>
                <w:color w:val="auto"/>
              </w:rPr>
            </w:pPr>
          </w:p>
        </w:tc>
        <w:tc>
          <w:tcPr>
            <w:tcW w:w="86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32,459</w:t>
            </w:r>
          </w:p>
        </w:tc>
        <w:tc>
          <w:tcPr>
            <w:tcW w:w="220" w:type="dxa"/>
            <w:vAlign w:val="bottom"/>
            <w:tcBorders>
              <w:bottom w:val="single" w:sz="8" w:color="CFF0FF"/>
            </w:tcBorders>
            <w:shd w:val="clear" w:color="auto" w:fill="CFF0FF"/>
          </w:tcPr>
          <w:p>
            <w:pPr>
              <w:spacing w:after="0"/>
              <w:rPr>
                <w:sz w:val="18"/>
                <w:szCs w:val="18"/>
                <w:color w:val="auto"/>
              </w:rPr>
            </w:pPr>
          </w:p>
        </w:tc>
        <w:tc>
          <w:tcPr>
            <w:tcW w:w="180" w:type="dxa"/>
            <w:vAlign w:val="bottom"/>
            <w:tcBorders>
              <w:bottom w:val="single" w:sz="8" w:color="auto"/>
            </w:tcBorders>
            <w:shd w:val="clear" w:color="auto" w:fill="CFF0FF"/>
          </w:tcPr>
          <w:p>
            <w:pPr>
              <w:spacing w:after="0"/>
              <w:rPr>
                <w:sz w:val="18"/>
                <w:szCs w:val="18"/>
                <w:color w:val="auto"/>
              </w:rPr>
            </w:pPr>
          </w:p>
        </w:tc>
        <w:tc>
          <w:tcPr>
            <w:tcW w:w="84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F"/>
            </w:tcBorders>
            <w:shd w:val="clear" w:color="auto" w:fill="CFF0FF"/>
          </w:tcPr>
          <w:p>
            <w:pPr>
              <w:spacing w:after="0"/>
              <w:rPr>
                <w:sz w:val="18"/>
                <w:szCs w:val="18"/>
                <w:color w:val="auto"/>
              </w:rPr>
            </w:pPr>
          </w:p>
        </w:tc>
        <w:tc>
          <w:tcPr>
            <w:tcW w:w="200" w:type="dxa"/>
            <w:vAlign w:val="bottom"/>
            <w:tcBorders>
              <w:bottom w:val="single" w:sz="8" w:color="auto"/>
            </w:tcBorders>
            <w:shd w:val="clear" w:color="auto" w:fill="CFF0FF"/>
          </w:tcPr>
          <w:p>
            <w:pPr>
              <w:spacing w:after="0"/>
              <w:rPr>
                <w:sz w:val="18"/>
                <w:szCs w:val="18"/>
                <w:color w:val="auto"/>
              </w:rPr>
            </w:pPr>
          </w:p>
        </w:tc>
        <w:tc>
          <w:tcPr>
            <w:tcW w:w="90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F"/>
            </w:tcBorders>
            <w:shd w:val="clear" w:color="auto" w:fill="CFF0FF"/>
          </w:tcPr>
          <w:p>
            <w:pPr>
              <w:spacing w:after="0"/>
              <w:rPr>
                <w:sz w:val="18"/>
                <w:szCs w:val="18"/>
                <w:color w:val="auto"/>
              </w:rPr>
            </w:pPr>
          </w:p>
        </w:tc>
      </w:tr>
      <w:tr>
        <w:trPr>
          <w:trHeight w:val="21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116,747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82,774</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33,973</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-1310640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-1310640</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-1310640</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-1310640</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-745490</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-745490</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-745490</wp:posOffset>
            </wp:positionV>
            <wp:extent cx="514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-745490</wp:posOffset>
            </wp:positionV>
            <wp:extent cx="514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-170815</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-170815</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-170815</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ind w:left="1020"/>
        <w:spacing w:after="0"/>
        <w:rPr>
          <w:sz w:val="20"/>
          <w:szCs w:val="20"/>
          <w:color w:val="auto"/>
        </w:rPr>
      </w:pPr>
      <w:r>
        <w:rPr>
          <w:rFonts w:ascii="Times New Roman" w:cs="Times New Roman" w:eastAsia="Times New Roman" w:hAnsi="Times New Roman"/>
          <w:sz w:val="18"/>
          <w:szCs w:val="18"/>
          <w:color w:val="auto"/>
        </w:rPr>
        <w:t>As of December 31, 2021, $135 thousand of accrued interest on investments was recorded to other assets on the condensed balance sheets.</w:t>
      </w:r>
    </w:p>
    <w:p>
      <w:pPr>
        <w:spacing w:after="0" w:line="19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The Company's assets and liabilities that are recorded at fair value on a recurring or non-recurring basis as of June 30, 2022 are described below.</w:t>
      </w: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For Level 1 investments, the Company uses quoted prices in active markets for identical assets to determine the fair value. For Level 2 investments, the Company uses quoted prices for similar assets sourced from certain third-party pricing services. The third-party pricing services generally utilize industry standard valuation models for which all significant inputs are observable, either directly or indirectly, to estimate the price or fair value of the securities. The primary input generally includes reported trades of or quotes on the same or similar securities. The Company does not make additional judgments or assumptions made to the pricing data sourced from the third-party pricing services.</w:t>
      </w:r>
    </w:p>
    <w:p>
      <w:pPr>
        <w:spacing w:after="0" w:line="73"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estimated fair value of the term loan was $4.7 million as of June 30, 2022 and was based on estimated interest rates currently available to the Company for debt with similar terms, a Level 3 input.</w:t>
      </w:r>
    </w:p>
    <w:p>
      <w:pPr>
        <w:spacing w:after="0" w:line="36" w:lineRule="exact"/>
        <w:rPr>
          <w:sz w:val="20"/>
          <w:szCs w:val="20"/>
          <w:color w:val="auto"/>
        </w:rPr>
      </w:pPr>
    </w:p>
    <w:p>
      <w:pPr>
        <w:jc w:val="both"/>
        <w:ind w:right="8880" w:firstLine="8"/>
        <w:spacing w:after="0" w:line="396"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Components Property and equipment, net</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05" w:lineRule="exact"/>
        <w:rPr>
          <w:sz w:val="20"/>
          <w:szCs w:val="20"/>
          <w:color w:val="auto"/>
        </w:rPr>
      </w:pPr>
    </w:p>
    <w:tbl>
      <w:tblPr>
        <w:tblLayout w:type="fixed"/>
        <w:tblInd w:w="158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15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3360" w:type="dxa"/>
            <w:vAlign w:val="bottom"/>
          </w:tcPr>
          <w:p>
            <w:pPr>
              <w:spacing w:after="0"/>
              <w:rPr>
                <w:sz w:val="14"/>
                <w:szCs w:val="14"/>
                <w:color w:val="auto"/>
              </w:rPr>
            </w:pPr>
          </w:p>
        </w:tc>
        <w:tc>
          <w:tcPr>
            <w:tcW w:w="15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580" w:type="dxa"/>
            <w:vAlign w:val="bottom"/>
            <w:shd w:val="clear" w:color="auto" w:fill="CFF0FC"/>
          </w:tcPr>
          <w:p>
            <w:pPr>
              <w:jc w:val="right"/>
              <w:ind w:right="13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FF0FC"/>
          </w:tcPr>
          <w:p>
            <w:pPr>
              <w:spacing w:after="0"/>
              <w:rPr>
                <w:sz w:val="18"/>
                <w:szCs w:val="18"/>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1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r>
      <w:tr>
        <w:trPr>
          <w:trHeight w:val="216"/>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Manufacturing machinery and equipment</w:t>
            </w:r>
          </w:p>
        </w:tc>
        <w:tc>
          <w:tcPr>
            <w:tcW w:w="15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FF0FC"/>
          </w:tcPr>
          <w:p>
            <w:pPr>
              <w:spacing w:after="0"/>
              <w:rPr>
                <w:sz w:val="18"/>
                <w:szCs w:val="18"/>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r>
      <w:tr>
        <w:trPr>
          <w:trHeight w:val="216"/>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5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FF0FC"/>
          </w:tcPr>
          <w:p>
            <w:pPr>
              <w:spacing w:after="0"/>
              <w:rPr>
                <w:sz w:val="18"/>
                <w:szCs w:val="18"/>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5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49"/>
        </w:trPr>
        <w:tc>
          <w:tcPr>
            <w:tcW w:w="3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80" w:type="dxa"/>
            <w:vAlign w:val="bottom"/>
            <w:tcBorders>
              <w:top w:val="single" w:sz="8" w:color="auto"/>
              <w:bottom w:val="single" w:sz="8" w:color="auto"/>
            </w:tcBorders>
            <w:shd w:val="clear" w:color="auto" w:fill="CFF0FC"/>
          </w:tcPr>
          <w:p>
            <w:pPr>
              <w:jc w:val="right"/>
              <w:ind w:right="13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-25400</wp:posOffset>
            </wp:positionV>
            <wp:extent cx="514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431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431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Property and equipment, net is included in other assets on the condensed balance sheets. Depreciation expense was $9 thousand and $18 thousand for the three and six months ended June 30, 2022, respectively. Depreciation expense was $5 thousand and $9 thousand for the three and six months ended June 30, 2021,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06"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r>
      <w:tr>
        <w:trPr>
          <w:trHeight w:val="187"/>
        </w:trPr>
        <w:tc>
          <w:tcPr>
            <w:tcW w:w="5140" w:type="dxa"/>
            <w:vAlign w:val="bottom"/>
          </w:tcPr>
          <w:p>
            <w:pPr>
              <w:spacing w:after="0"/>
              <w:rPr>
                <w:sz w:val="16"/>
                <w:szCs w:val="16"/>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0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10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80" w:type="dxa"/>
            <w:vAlign w:val="bottom"/>
            <w:shd w:val="clear" w:color="auto" w:fill="CFF0FC"/>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general and administrative expenses</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Pr>
          <w:p>
            <w:pPr>
              <w:spacing w:after="0"/>
              <w:rPr>
                <w:sz w:val="18"/>
                <w:szCs w:val="18"/>
                <w:color w:val="auto"/>
              </w:rPr>
            </w:pPr>
          </w:p>
        </w:tc>
      </w:tr>
      <w:tr>
        <w:trPr>
          <w:trHeight w:val="216"/>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11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80" w:type="dxa"/>
            <w:vAlign w:val="bottom"/>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-170815</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research and development expenses were primarily related to clinical trials and manufacturing of clinical drug supply.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0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leases space under non-cancelable operating lease, which requires the Company to pay base rent, real estate taxes, insurance, general repairs, and maintenance. The Company does not have financing leases.</w:t>
      </w:r>
    </w:p>
    <w:p>
      <w:pPr>
        <w:spacing w:after="0" w:line="54" w:lineRule="exact"/>
        <w:rPr>
          <w:sz w:val="20"/>
          <w:szCs w:val="20"/>
          <w:color w:val="auto"/>
        </w:rPr>
      </w:pPr>
    </w:p>
    <w:p>
      <w:pPr>
        <w:jc w:val="both"/>
        <w:ind w:right="40" w:firstLine="509"/>
        <w:spacing w:after="0" w:line="247" w:lineRule="auto"/>
        <w:rPr>
          <w:sz w:val="20"/>
          <w:szCs w:val="20"/>
          <w:color w:val="auto"/>
        </w:rPr>
      </w:pPr>
      <w:r>
        <w:rPr>
          <w:rFonts w:ascii="Times New Roman" w:cs="Times New Roman" w:eastAsia="Times New Roman" w:hAnsi="Times New Roman"/>
          <w:sz w:val="18"/>
          <w:szCs w:val="18"/>
          <w:color w:val="auto"/>
        </w:rPr>
        <w:t>In February 2020, the Company entered into a non-cancelable operating lease for office space with a commencement date of September 2020. The monthly payments escalate over the 63-month term with total gross commitments of $2.3 million. The lease includes an option to renew the lease term for an additional period of 60 months. The renewal option is not included in the lease term as the Company is not reasonably certain to exercise the option.</w:t>
      </w:r>
    </w:p>
    <w:p>
      <w:pPr>
        <w:spacing w:after="0" w:line="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Lease incentives, which relate to rent abatement, were considered in the calculation of the lease liability and right-of-use asset. Lease expense for the three and six months ended June 30, 2022 was $0.1 million and $0.2 million, respectively. Lease expense for the three and six months ended June 30, 2021 was $0.1 million and $0.2 million, respectively.</w:t>
      </w:r>
    </w:p>
    <w:p>
      <w:pPr>
        <w:spacing w:after="0" w:line="51"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Lease right-of-use assets and liabilities are recognized at the commencement date based on the present value of the remaining minimum lease payments over the lease term, with certain adjustments. As the leases do not provide an implicit rate, the Company uses a collateralized incremental borrowing rate based on the information available at the commencement date to determine the lease liability. As of June 30, 2022, the weighted-average remaining lease term for operating leases was 3.4 years and the weighted-average discount rate was 7.0%. Cash paid for amounts included in the measurement of lease liabilities was $0.1 million and $0.2 million for</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three and six months ended June 30, 2022, respectively. Cash paid for amounts included in the measurement of lease liabilities was $0.1 million and $0.1 million for the three and six months ended June 30, 2021, respectively.</w:t>
      </w:r>
    </w:p>
    <w:p>
      <w:pPr>
        <w:spacing w:after="0" w:line="54"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8"/>
          <w:szCs w:val="18"/>
          <w:color w:val="auto"/>
        </w:rPr>
        <w:t>The Company recognizes monthly operating lease expense on a straight-line basis over the term of the lease. Variable lease expense relates primarily to office lease common area maintenance, insurance, and property taxes, is expensed as incurred, and is excluded from the calculation of the lease liability and right-of-use-asset.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Term Loan</w:t>
      </w:r>
    </w:p>
    <w:p>
      <w:pPr>
        <w:spacing w:after="0" w:line="121"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In September 2019, the Company entered into a Loan and Security Agreement (the Loan Agreement) with Silicon Valley Bank (SVB) providing for a term loan (the Term Loan). In April 2020, the Company and SVB entered into an agreement (the Deferral Agreement) whereby the parties agreed to extend the interest-only period and repayment dates of all monthly payments of principal due and the maturity date with respect to the Term Loan by six months. All other terms under the Loan Agreement remained unchanged at that time. The Deferral Agreement was determined to be a debt modification, resulting in a prospective yield adjustment based on the revised terms.</w:t>
      </w:r>
    </w:p>
    <w:p>
      <w:pPr>
        <w:spacing w:after="0" w:line="73" w:lineRule="exact"/>
        <w:rPr>
          <w:sz w:val="20"/>
          <w:szCs w:val="20"/>
          <w:color w:val="auto"/>
        </w:rPr>
      </w:pPr>
    </w:p>
    <w:p>
      <w:pPr>
        <w:jc w:val="both"/>
        <w:ind w:right="12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Loan Agreement, the Company issued a warrant to purchase up to an aggregate of 49,609 shares of common stock at $1.44 per share. The Company determined the initial fair value of the warrant to be $0.1 million using the Black-Scholes option-pricing model. The fair value of the warrant was recorded to equity and as a debt discount, which was being amortized to interest expense using the effective interest method over the term of the Term Loan. In November 2020, the warrant was net-exercised for 46,358 shares of common stock.</w:t>
      </w:r>
    </w:p>
    <w:p>
      <w:pPr>
        <w:spacing w:after="0" w:line="69"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In March 2021, the Company entered into a First Amendment to Loan and Security Agreement (the First Amendment), pursuant to which the Company and SVB amended the Loan Agreement. The First Amendment increased the aggregate principal amount of the Term Loan commitment by SVB to up to $30.0 million. Up to $20.0 million was available under the first tranche of the Term Loan (First Tranche), $5.0 million of which was advanced immediately to repay the outstanding obligations under the Term Loan prior to the First Amendment with the remainder of the First Tranche commitment available through December 31, 2021, and up to $10.0 million is available under the second tranche (Second Tranche), subject to the completion of certain clinical or financial milestones, which Second Tranche commitment is available through December 31, 2022. Pursuant to the First Amendment, the Term Loan will mature on January 1, 2026. The First Amendment was determined to be a debt modification.</w:t>
      </w:r>
    </w:p>
    <w:p>
      <w:pPr>
        <w:spacing w:after="0" w:line="87"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Pursuant to the First Amendment, the Company is required to make monthly payments of interest only commencing on the first day of the month following the funding date of each respective tranche and continuing thereafter through December 31, 2022 to the extent that the Company does not borrow any part of the Second Tranche or December 31, 2023 if the Company has borrowed some or all of the Second Tranche. Outstanding principal balances under the Term Loan, as amended by the First Amendment, bear interest at a floating per annum rate equal to (A) if the Company does not borrow under the Second Tranche, the greater of (x) 1% above the prime rate or (y) 4.25%; or (B) if the Company does borrow under the Second Tranche, the greater of (x) 3% above the prime rate or (y) 6.25%.</w:t>
      </w:r>
    </w:p>
    <w:p>
      <w:pPr>
        <w:spacing w:after="0" w:line="74"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In May 2022, the Company entered into a Second Amendment to Loan and Security Agreement (the Second Amendment), which amended the milestones upon which the Second Tranche commitment of $10.0 million would become available. The Second Amendment was determined to be a debt modification.</w:t>
      </w:r>
    </w:p>
    <w:p>
      <w:pPr>
        <w:spacing w:after="0" w:line="61"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Second Amendment reduced the interest rate on the outstanding First Tranche Term Loan of $5.0 million and any advances that occur under the Second Tranche to a floating per annum rate equal to the greater of (A) one-half of one percent (0.50%) above the Prime Rate (as defined in the Loan Agreement) or (B) three and three-quarters of one percent (3.75%), and, in the event that the Supplemental Term Loans (as defined in the Loan Agreement) under the Second Tranche become available and the Company obtains an advance thereunder, the interest only period for all Term Loans (as defined in the Loan Agreement) will be extended from December 31, 2022, to June 30, 2023.</w:t>
      </w:r>
    </w:p>
    <w:p>
      <w:pPr>
        <w:spacing w:after="0" w:line="69"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Further, in the event that the Supplemental Term Loans under the Second Tranche become available and the Company obtains an advance thereunder, the Company will be required to comply with a new liquidity covenant of at least $50.0 million at all times. If the Company does not comply with the foregoing liquidity covenant, a springing cash pledge will occur, pursuant to which the Company must maintain a cash secured blocked account with SVB with a cash balance in an amount equal to the outstanding SVB obligations at such time (excluding Bank Services (as defined in the Loan Agreement)). The foregoing cash collateral requirement will terminate upon a certain additional equity raise, which must occur on or before September 30, 2024.</w:t>
      </w:r>
    </w:p>
    <w:p>
      <w:pPr>
        <w:spacing w:after="0" w:line="180" w:lineRule="exact"/>
        <w:rPr>
          <w:sz w:val="20"/>
          <w:szCs w:val="20"/>
          <w:color w:val="auto"/>
        </w:rPr>
      </w:pPr>
    </w:p>
    <w:p>
      <w:pPr>
        <w:ind w:right="280" w:firstLine="509"/>
        <w:spacing w:after="0" w:line="250" w:lineRule="auto"/>
        <w:rPr>
          <w:sz w:val="20"/>
          <w:szCs w:val="20"/>
          <w:color w:val="auto"/>
        </w:rPr>
      </w:pPr>
      <w:r>
        <w:rPr>
          <w:rFonts w:ascii="Times New Roman" w:cs="Times New Roman" w:eastAsia="Times New Roman" w:hAnsi="Times New Roman"/>
          <w:sz w:val="18"/>
          <w:szCs w:val="18"/>
          <w:color w:val="auto"/>
        </w:rPr>
        <w:t>The Loan Agreement, as amended by the Deferral Agreement, the First Amendment, and the Second Amendment, provides for monthly cash interest-only payments following the funding date of each respective tranche and continuing thereafter through December 31, 2022 to the extent that the Company does not borrow any part of the Second Tranche or June 30, 2023 if the Company has borrowed some or all of the Second Tranche.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Following the interest-only period, the outstanding Term Loan balance will be payable in (i) 37 consecutive monthly payments (or 31 if the Company borrows under the Second Tranche) after the end of the interest-only period and continuing on the same day of each month thereafter, in amounts that would fully amortize such Term Loan balance, as of the first business day of the first month following the amended interest-only period, over the repayment period, plus (ii) monthly payments of accrued but unpaid interest. The Second Amendment amended the Second Tranche Final Payment due on the maturity date, which payments shall include all outstanding principal and all accrued unpaid interest and an end of term payment totaling (x) 6.0% of the original funded principal amount of the First Tranche, and (y) 4.0% of the total original funded principal amount under the Second Tranche if the Company does borrow under the Second Tranche (the Supplemental Final Payment). The Second Amendment also amended the prepayment amounts, so that the Company may prepay amounts outstanding under the Term Loan at any time provided certain notification conditions are met, in which case, all outstanding principal plus accrued and unpaid interest, the Supplemental Final Payment, a prepayment fee of 1% or 2% of the principal amount of the first and second tranches, and any bank expenses become due and payable.</w:t>
      </w:r>
    </w:p>
    <w:p>
      <w:pPr>
        <w:spacing w:after="0" w:line="95"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The Company incurred $10.0 thousand of debt issuance costs in connection with the First Amendment and $15.6 thousand of debt issuance costs in connection with the Second Amendment. The Company recorded these costs, including the unaccreted portion of the final payment obligation under the Loan Agreement as a discount from the carrying value of the Term Loan, which are being amortized using the effective interest method over the life of the First Amendment. The unamortized debt issuance costs and debt discount balance was $0.1 million as of June 30, 2022.</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Term Loan and unamortized discount and debt issuance costs balances as of June 30, 2022 are shown below (in thousands):</w:t>
      </w:r>
    </w:p>
    <w:p>
      <w:pPr>
        <w:spacing w:after="0" w:line="206"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5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20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Term Loan debt</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20" w:type="dxa"/>
            <w:vAlign w:val="bottom"/>
          </w:tcPr>
          <w:p>
            <w:pPr>
              <w:spacing w:after="0"/>
              <w:rPr>
                <w:sz w:val="18"/>
                <w:szCs w:val="18"/>
                <w:color w:val="auto"/>
              </w:rPr>
            </w:pPr>
          </w:p>
        </w:tc>
      </w:tr>
      <w:tr>
        <w:trPr>
          <w:trHeight w:val="20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Term Loan, net</w:t>
            </w:r>
          </w:p>
        </w:tc>
        <w:tc>
          <w:tcPr>
            <w:tcW w:w="2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20" w:type="dxa"/>
            <w:vAlign w:val="bottom"/>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Term Loan, current portion</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(811 )</w:t>
            </w:r>
          </w:p>
        </w:tc>
        <w:tc>
          <w:tcPr>
            <w:tcW w:w="20" w:type="dxa"/>
            <w:vAlign w:val="bottom"/>
          </w:tcPr>
          <w:p>
            <w:pPr>
              <w:spacing w:after="0"/>
              <w:rPr>
                <w:sz w:val="18"/>
                <w:szCs w:val="18"/>
                <w:color w:val="auto"/>
              </w:rPr>
            </w:pPr>
          </w:p>
        </w:tc>
      </w:tr>
      <w:tr>
        <w:trPr>
          <w:trHeight w:val="249"/>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net of current portion</w:t>
            </w: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342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342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72" w:lineRule="exact"/>
        <w:rPr>
          <w:sz w:val="20"/>
          <w:szCs w:val="20"/>
          <w:color w:val="auto"/>
        </w:rPr>
      </w:pPr>
    </w:p>
    <w:p>
      <w:pPr>
        <w:ind w:right="160" w:firstLine="509"/>
        <w:spacing w:after="0" w:line="280" w:lineRule="auto"/>
        <w:rPr>
          <w:sz w:val="20"/>
          <w:szCs w:val="20"/>
          <w:color w:val="auto"/>
        </w:rPr>
      </w:pPr>
      <w:r>
        <w:rPr>
          <w:rFonts w:ascii="Times New Roman" w:cs="Times New Roman" w:eastAsia="Times New Roman" w:hAnsi="Times New Roman"/>
          <w:sz w:val="17"/>
          <w:szCs w:val="17"/>
          <w:color w:val="auto"/>
        </w:rPr>
        <w:t>The Company is subject to customary affirmative and restrictive covenants under the Loan Agreement, as amended. The Company’s obligations under the Loan Agreement, as amended, are secured by a first priority security interest in substantially all of its current and future assets, other than intellectual property. The Company also agreed not to encumber its intellectual property assets, except as permitted by the Loan Agreement, as amended.</w:t>
      </w:r>
    </w:p>
    <w:p>
      <w:pPr>
        <w:spacing w:after="0" w:line="45"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The Loan Agreement, as amended, also contains customary indemnification obligations and customary events of default, including, among other things, the Company’s failure to fulfill certain obligations under the Loan Agreement, as amended, and the occurrence of a material adverse change in its business, operations, or condition (financial or otherwise), a material impairment of the prospect of repayment of any portion of the loan, or a material impairment in the perfection or priority of lender’s lien in the collateral or in the value of such collateral. In the event of default by the Company under the Loan Agreement, as amended, the lender would be entitled to exercise their remedies thereunder, including the right to accelerate the debt, upon which the Company may be required to repay all amounts then outstanding under the Loan Agreement, as amended. As of June 30, 2022, management believes that the Company was in compliance with all financial covenants under the Loan Agreement, as amended, and there had been no material adverse change.</w:t>
      </w:r>
    </w:p>
    <w:p>
      <w:pPr>
        <w:spacing w:after="0" w:line="100" w:lineRule="exact"/>
        <w:rPr>
          <w:sz w:val="20"/>
          <w:szCs w:val="20"/>
          <w:color w:val="auto"/>
        </w:rPr>
      </w:pPr>
    </w:p>
    <w:p>
      <w:pPr>
        <w:jc w:val="both"/>
        <w:ind w:right="80" w:firstLine="509"/>
        <w:spacing w:after="0" w:line="305" w:lineRule="auto"/>
        <w:rPr>
          <w:sz w:val="20"/>
          <w:szCs w:val="20"/>
          <w:color w:val="auto"/>
        </w:rPr>
      </w:pPr>
      <w:r>
        <w:rPr>
          <w:rFonts w:ascii="Times New Roman" w:cs="Times New Roman" w:eastAsia="Times New Roman" w:hAnsi="Times New Roman"/>
          <w:sz w:val="18"/>
          <w:szCs w:val="18"/>
          <w:color w:val="auto"/>
        </w:rPr>
        <w:t>The Company made interest payments on the Term Loan of $57 thousand and $110 thousand during the three and six months ended June 30, 2022, respectively. The Company made interest payments on the Term Loan of $43 thousand and $97 thousand during the three and six months ended June 30, 2021, respectively.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21"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business. The Company evaluates the likelihood of an unfavorable outcome in legal or regulatory proceedings to which it is a party and records a loss contingency on an undiscounted basis when it is probable that a liability has been incurred and the amount of the loss can be reasonably estimated. These judgments are subjective and based on the status of such legal proceedings, the merits of the Company’s defenses, and consultation with legal counsel. Actual outcomes of these legal proceedings may differ materially from the Company’s estimates.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w:t>
      </w:r>
    </w:p>
    <w:p>
      <w:pPr>
        <w:spacing w:after="0" w:line="108" w:lineRule="exact"/>
        <w:rPr>
          <w:sz w:val="20"/>
          <w:szCs w:val="20"/>
          <w:color w:val="auto"/>
        </w:rPr>
      </w:pPr>
    </w:p>
    <w:p>
      <w:pPr>
        <w:jc w:val="both"/>
        <w:ind w:right="40" w:firstLine="509"/>
        <w:spacing w:after="0" w:line="262" w:lineRule="auto"/>
        <w:rPr>
          <w:sz w:val="20"/>
          <w:szCs w:val="20"/>
          <w:color w:val="auto"/>
        </w:rPr>
      </w:pPr>
      <w:r>
        <w:rPr>
          <w:rFonts w:ascii="Times New Roman" w:cs="Times New Roman" w:eastAsia="Times New Roman" w:hAnsi="Times New Roman"/>
          <w:sz w:val="17"/>
          <w:szCs w:val="17"/>
          <w:color w:val="auto"/>
        </w:rPr>
        <w:t>In May 2016, the Company entered into a license agreement (the License Agreement), with Eli Lilly and Company (Lilly). Pursuant to the terms of the License Agreement, Lilly granted the Company an exclusive, worldwide, royalty bearing, sublicensable license under certain technology, patent rights, know-how and proprietary materials related to certain compounds, to research, develop, and commercialize such compounds for all pharmaceutical uses.</w:t>
      </w:r>
    </w:p>
    <w:p>
      <w:pPr>
        <w:spacing w:after="0" w:line="1"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The Company is also required to pay Lilly up to an aggregate of $23.0 million upon the achievement, during the time the License Agreement remains in effect, of certain milestones relating to the clinical development and commercial sales of products licensed under the License Agreement. Such payments are for predetermined fixed amounts, are paid only upon the first occurrence of each event and are due shortly after achieving the applicable milestone. In addition, the Company is required to pay Lilly tiered royalties on annual worldwide net sales with rates ranging from mid-single digits to sub-teens. No additional amounts were paid by the Company to Lilly during any of the periods presented, nor were due as of such dates pursuant to the License Agreement.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08" w:lineRule="exact"/>
        <w:rPr>
          <w:sz w:val="20"/>
          <w:szCs w:val="20"/>
          <w:color w:val="auto"/>
        </w:rPr>
      </w:pPr>
    </w:p>
    <w:p>
      <w:pPr>
        <w:jc w:val="both"/>
        <w:ind w:right="500" w:firstLine="509"/>
        <w:spacing w:after="0" w:line="250" w:lineRule="auto"/>
        <w:rPr>
          <w:sz w:val="20"/>
          <w:szCs w:val="20"/>
          <w:color w:val="auto"/>
        </w:rPr>
      </w:pPr>
      <w:r>
        <w:rPr>
          <w:rFonts w:ascii="Times New Roman" w:cs="Times New Roman" w:eastAsia="Times New Roman" w:hAnsi="Times New Roman"/>
          <w:sz w:val="18"/>
          <w:szCs w:val="18"/>
          <w:color w:val="auto"/>
        </w:rPr>
        <w:t>The Company’s industry is characterized by frequent claims and litigation, including claims regarding intellectual property. As a result, the Company may be subject to various legal proceedings from time to time. The results of any future litigation cannot be predicted with certainty, and regardless of the outcome, litigation can have an adverse impact on the Company because of defense and settlement costs, diversion of management resources and other factors. The Company was not subject to any material legal proceedings during the six months ended June 30, 2022.</w:t>
      </w:r>
    </w:p>
    <w:p>
      <w:pPr>
        <w:spacing w:after="0" w:line="65" w:lineRule="exact"/>
        <w:rPr>
          <w:sz w:val="20"/>
          <w:szCs w:val="20"/>
          <w:color w:val="auto"/>
        </w:rPr>
      </w:pPr>
    </w:p>
    <w:p>
      <w:pPr>
        <w:ind w:right="9640" w:firstLine="8"/>
        <w:spacing w:after="0" w:line="370" w:lineRule="auto"/>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Structure Common Stock</w:t>
      </w:r>
    </w:p>
    <w:p>
      <w:pPr>
        <w:ind w:right="340" w:firstLine="509"/>
        <w:spacing w:after="0" w:line="250" w:lineRule="auto"/>
        <w:rPr>
          <w:sz w:val="20"/>
          <w:szCs w:val="20"/>
          <w:color w:val="auto"/>
        </w:rPr>
      </w:pPr>
      <w:r>
        <w:rPr>
          <w:rFonts w:ascii="Times New Roman" w:cs="Times New Roman" w:eastAsia="Times New Roman" w:hAnsi="Times New Roman"/>
          <w:sz w:val="18"/>
          <w:szCs w:val="18"/>
          <w:color w:val="auto"/>
        </w:rPr>
        <w:t>As of June 30, 2022 and December 31, 2021, the Company was authorized to issue 200,000,000 shares of common stock $0.0001 par value per share. Holders of the Company’s common stock are entitled to dividends if and when declared by the Board of Directors of the Company (Board of Directors). The holder of each share of common stock is entitled to one vote. As of June 30, 2022, no dividends were declared.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reserved for future issuance</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Common stock reserved for future issuance, on an as converted basis, consisted of the following:</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1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r>
      <w:tr>
        <w:trPr>
          <w:trHeight w:val="187"/>
        </w:trPr>
        <w:tc>
          <w:tcPr>
            <w:tcW w:w="5320" w:type="dxa"/>
            <w:vAlign w:val="bottom"/>
          </w:tcPr>
          <w:p>
            <w:pPr>
              <w:spacing w:after="0"/>
              <w:rPr>
                <w:sz w:val="16"/>
                <w:szCs w:val="16"/>
                <w:color w:val="auto"/>
              </w:rPr>
            </w:pPr>
          </w:p>
        </w:tc>
        <w:tc>
          <w:tcPr>
            <w:tcW w:w="11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20" w:type="dxa"/>
            <w:vAlign w:val="bottom"/>
            <w:gridSpan w:val="2"/>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3,954,980</w:t>
            </w:r>
          </w:p>
        </w:tc>
        <w:tc>
          <w:tcPr>
            <w:tcW w:w="20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2,215,942</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and performance stock units, issued and outstanding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425,853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460,000</w:t>
            </w:r>
          </w:p>
        </w:tc>
        <w:tc>
          <w:tcPr>
            <w:tcW w:w="8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available for future issuance under 2020 Equity Incentive Plan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2,815,275</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2,636,506</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 available for future issuance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642,573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433,200</w:t>
            </w:r>
          </w:p>
        </w:tc>
        <w:tc>
          <w:tcPr>
            <w:tcW w:w="80" w:type="dxa"/>
            <w:vAlign w:val="bottom"/>
          </w:tcPr>
          <w:p>
            <w:pPr>
              <w:spacing w:after="0"/>
              <w:rPr>
                <w:sz w:val="18"/>
                <w:szCs w:val="18"/>
                <w:color w:val="auto"/>
              </w:rPr>
            </w:pPr>
          </w:p>
        </w:tc>
      </w:tr>
      <w:tr>
        <w:trPr>
          <w:trHeight w:val="250"/>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shares reserved</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7,838,681</w:t>
            </w: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5,745,648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-24765</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514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72"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In February 2022, the SEC declared effective a registration statement on Form S-3 (Shelf Registration) covering the sale of up to $200.0 million of the Company's securities. Also, in February 2022, the Company entered into an Open Market Sales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with Jefferies LLC (Jefferies), pursuant to which the Company may elect to issue and sell, from time to time, shares of common stock having an aggregate offering price of up to $21.0 million under the Shelf Registration through Jefferies acting as the sales agent and/or principal. As of June 30, 2022, the Company has issued no shares of common stock pursuant to the Sales Agreement.</w:t>
      </w:r>
    </w:p>
    <w:p>
      <w:pPr>
        <w:spacing w:after="0" w:line="90" w:lineRule="exact"/>
        <w:rPr>
          <w:sz w:val="20"/>
          <w:szCs w:val="20"/>
          <w:color w:val="auto"/>
        </w:rPr>
      </w:pPr>
    </w:p>
    <w:p>
      <w:pPr>
        <w:ind w:right="6000" w:firstLine="8"/>
        <w:spacing w:after="0" w:line="362" w:lineRule="auto"/>
        <w:tabs>
          <w:tab w:leader="none" w:pos="27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 and Stock-Based Compensation Expense Equity Incentive Plans</w:t>
      </w:r>
    </w:p>
    <w:p>
      <w:pPr>
        <w:spacing w:after="0" w:line="1"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The Company adopted the 2020 Equity Incentive Plan (the 2020 Plan) in October 2020. The 2020 Plan is a successor to and continuation of the Amended and Restated 2016 Equity Incentive Plan (the 2016 Plan) and provides for the granting of stock options, stock appreciation rights, restricted stock, restricted stock units, and other stock or cash-based awards to individuals who are then employees, officers, directors or consultants. A total of 2,647,684 shares of common stock were approved to be initially reserved for issuance under the 2020 Plan, inclusive of the shares that remained available for issuance under the 2016 Plan at the time the 2020 Plan became effective. In addition, the number of shares of common stock available for issuance under the 2020 Plan will be automatically increased on the first day of each calendar year during the ten-year term of the 2020 Plan, beginning with January 1,</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2021 and ending with January 1, 2030, by an amount equal to 5% of the outstanding number of shares of the Company’s common stock on December 31st of the preceding calendar year or such lesser amount as determined by the Company’s Board of Directors. No further grants will be made under the 2016 Plan; however, shares subject to awards granted under the 2016 Plan will continue to be governed by the 2016 Plan.</w:t>
      </w:r>
    </w:p>
    <w:p>
      <w:pPr>
        <w:spacing w:after="0" w:line="82"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Under the 2020 Plan and the 2016 Plan, individuals can be granted the ability to early exercise their options. There were no shares, related to the early exercise of options, subject to repurchase by the Company as of June 30, 2022. As of June 30, 2022, a total of 4,985,297 shares were authorized for issuance under the 2020 Plan and 2,815,275 shares remained available for issuance, and a total of 1,275,158 shares were authorized for issuance under the 2016 Plan and no shares remained available for issuance.</w:t>
      </w: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 summary of the Company’s stock option activity and related information is as follows (in thousands, except share and per share amounts):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36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2,215,942</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2,143,125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(992 )</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(403,095 )</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3,954,980</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3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Vested and expected to vest as of June 30, 2022</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3,814,980</w:t>
            </w:r>
          </w:p>
        </w:tc>
        <w:tc>
          <w:tcPr>
            <w:tcW w:w="22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3.59</w:t>
            </w:r>
          </w:p>
        </w:tc>
        <w:tc>
          <w:tcPr>
            <w:tcW w:w="1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6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Vested and exercisable as of June 30, 2022</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1,461,195</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3.57</w:t>
            </w:r>
          </w:p>
        </w:tc>
        <w:tc>
          <w:tcPr>
            <w:tcW w:w="130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34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-350520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-333375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Stock options vested and expected to vest differs from total stock options outstanding as it excludes performance-based stock options for which the performance criteria have not been achieved and achievement is not expected as of June 30, 2022.</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aggregate intrinsic values of options outstanding and exercisable were calculated as the difference between the exercise price of the options and the estimated fair value of the Company’s common stock as of the respective balance sheet date. The total intrinsic value of options exercised was $1 thousand for the six months ended June 30, 2022. There were no options exercised during the three months ended June 30, 2022.</w:t>
      </w:r>
    </w:p>
    <w:p>
      <w:pPr>
        <w:spacing w:after="0" w:line="6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2022, the weighted-average fair value of options granted was $1.47 per share and $2.56 per share, respectively.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Company’s RSU activity and related information is as follows:</w:t>
      </w:r>
    </w:p>
    <w:p>
      <w:pPr>
        <w:spacing w:after="0" w:line="327"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4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RSUs</w:t>
            </w:r>
          </w:p>
        </w:tc>
        <w:tc>
          <w:tcPr>
            <w:tcW w:w="1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1"/>
        </w:trPr>
        <w:tc>
          <w:tcPr>
            <w:tcW w:w="5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Weight-Average Grant</w:t>
            </w:r>
          </w:p>
        </w:tc>
        <w:tc>
          <w:tcPr>
            <w:tcW w:w="80" w:type="dxa"/>
            <w:vAlign w:val="bottom"/>
          </w:tcPr>
          <w:p>
            <w:pPr>
              <w:spacing w:after="0"/>
              <w:rPr>
                <w:sz w:val="11"/>
                <w:szCs w:val="11"/>
                <w:color w:val="auto"/>
              </w:rPr>
            </w:pPr>
          </w:p>
        </w:tc>
      </w:tr>
      <w:tr>
        <w:trPr>
          <w:trHeight w:val="148"/>
        </w:trPr>
        <w:tc>
          <w:tcPr>
            <w:tcW w:w="5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 Per</w:t>
            </w:r>
          </w:p>
        </w:tc>
        <w:tc>
          <w:tcPr>
            <w:tcW w:w="80" w:type="dxa"/>
            <w:vAlign w:val="bottom"/>
          </w:tcPr>
          <w:p>
            <w:pPr>
              <w:spacing w:after="0"/>
              <w:rPr>
                <w:sz w:val="12"/>
                <w:szCs w:val="12"/>
                <w:color w:val="auto"/>
              </w:rPr>
            </w:pPr>
          </w:p>
        </w:tc>
      </w:tr>
      <w:tr>
        <w:trPr>
          <w:trHeight w:val="200"/>
        </w:trPr>
        <w:tc>
          <w:tcPr>
            <w:tcW w:w="5420" w:type="dxa"/>
            <w:vAlign w:val="bottom"/>
          </w:tcPr>
          <w:p>
            <w:pPr>
              <w:spacing w:after="0"/>
              <w:rPr>
                <w:sz w:val="17"/>
                <w:szCs w:val="17"/>
                <w:color w:val="auto"/>
              </w:rPr>
            </w:pPr>
          </w:p>
        </w:tc>
        <w:tc>
          <w:tcPr>
            <w:tcW w:w="100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0" w:type="dxa"/>
            <w:vAlign w:val="bottom"/>
          </w:tcPr>
          <w:p>
            <w:pPr>
              <w:spacing w:after="0"/>
              <w:rPr>
                <w:sz w:val="17"/>
                <w:szCs w:val="17"/>
                <w:color w:val="auto"/>
              </w:rPr>
            </w:pPr>
          </w:p>
        </w:tc>
      </w:tr>
      <w:tr>
        <w:trPr>
          <w:trHeight w:val="216"/>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balance as of December 31, 2021</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460,000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shd w:val="clear" w:color="auto" w:fill="CFF0FC"/>
          </w:tcPr>
          <w:p>
            <w:pPr>
              <w:spacing w:after="0"/>
              <w:rPr>
                <w:sz w:val="18"/>
                <w:szCs w:val="18"/>
                <w:color w:val="auto"/>
              </w:rPr>
            </w:pPr>
          </w:p>
        </w:tc>
      </w:tr>
      <w:tr>
        <w:trPr>
          <w:trHeight w:val="216"/>
        </w:trPr>
        <w:tc>
          <w:tcPr>
            <w:tcW w:w="6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Pr>
          <w:p>
            <w:pPr>
              <w:spacing w:after="0"/>
              <w:rPr>
                <w:sz w:val="18"/>
                <w:szCs w:val="18"/>
                <w:color w:val="auto"/>
              </w:rPr>
            </w:pPr>
          </w:p>
        </w:tc>
      </w:tr>
      <w:tr>
        <w:trPr>
          <w:trHeight w:val="216"/>
        </w:trPr>
        <w:tc>
          <w:tcPr>
            <w:tcW w:w="64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6"/>
              </w:rPr>
              <w:t>(64,347 )</w:t>
            </w: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FF0FC"/>
          </w:tcPr>
          <w:p>
            <w:pPr>
              <w:spacing w:after="0"/>
              <w:rPr>
                <w:sz w:val="18"/>
                <w:szCs w:val="18"/>
                <w:color w:val="auto"/>
              </w:rPr>
            </w:pPr>
          </w:p>
        </w:tc>
      </w:tr>
      <w:tr>
        <w:trPr>
          <w:trHeight w:val="216"/>
        </w:trPr>
        <w:tc>
          <w:tcPr>
            <w:tcW w:w="6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(62,000 )</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18"/>
                <w:szCs w:val="18"/>
                <w:color w:val="auto"/>
              </w:rPr>
            </w:pPr>
          </w:p>
        </w:tc>
      </w:tr>
      <w:tr>
        <w:trPr>
          <w:trHeight w:val="250"/>
        </w:trPr>
        <w:tc>
          <w:tcPr>
            <w:tcW w:w="5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balance as of June 30, 2022</w:t>
            </w:r>
          </w:p>
        </w:tc>
        <w:tc>
          <w:tcPr>
            <w:tcW w:w="1000" w:type="dxa"/>
            <w:vAlign w:val="bottom"/>
            <w:tcBorders>
              <w:top w:val="single" w:sz="8" w:color="auto"/>
              <w:bottom w:val="single" w:sz="8" w:color="auto"/>
            </w:tcBorders>
            <w:shd w:val="clear" w:color="auto" w:fill="CFF0FC"/>
          </w:tcPr>
          <w:p>
            <w:pPr>
              <w:spacing w:after="0"/>
              <w:rPr>
                <w:sz w:val="21"/>
                <w:szCs w:val="21"/>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425,853</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-24765</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80" w:lineRule="exact"/>
        <w:rPr>
          <w:sz w:val="20"/>
          <w:szCs w:val="20"/>
          <w:color w:val="auto"/>
        </w:rPr>
      </w:pPr>
    </w:p>
    <w:p>
      <w:pPr>
        <w:ind w:right="620" w:firstLine="509"/>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2022, the Company granted 92,200 RSUs, including 68,775 RSUs subject to time-based vesting in installments through June 30, 2023, and 23,425 RSUs subject to performance-based vesting conditions related to the satisfaction of certain clinical development milestones.</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0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 Board of Directors adopted and the Company’s stockholders approved the 2020 Employee Stock Purchase Plan (the ESPP) in October 2020. The ESPP allows eligible employees to purchase shares of the Company’s common stock at a discount through payroll deductions of up to 15% of their eligible compensation. At the end of each purchase period, employees are able to purchase shares at 85% of the lower of the fair market value of the Company’s common stock as of the offering date or the applicable purchase date. A total of 220,640 shares of common stock were approved to be initially reserved for issuance under the ESPP. In addition, the number of shares of common stock available for issuance under the ESPP will be automatically increased on the first day of each calendar year during the first ten-years of the term of the ESPP, beginning with January 1, 2021 and ending with January 1, 2030, by an amount equal to the lesser of (i) 1% of the outstanding number of shares of the Company’s common stock on December 31st of the preceding calendar year, (ii) 441,280 shares of common stock or (iii) such lesser amount as determined by the Board of Directors.</w:t>
      </w:r>
    </w:p>
    <w:p>
      <w:pPr>
        <w:spacing w:after="0" w:line="78"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25,545 shares were issued under the ESPP. As of June 30, 2022, 642,573 shares of common stock remained available for issuance under the ESPP.</w:t>
      </w:r>
    </w:p>
    <w:p>
      <w:pPr>
        <w:spacing w:after="0" w:line="1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08"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expense recognized in the Company’s condensed statements of operations and comprehensive loss during the three and six months ended June 30, 2022 and 2021 (in thousands):</w:t>
      </w:r>
    </w:p>
    <w:p>
      <w:pPr>
        <w:spacing w:after="0" w:line="359"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2020" w:type="dxa"/>
            <w:vAlign w:val="bottom"/>
            <w:gridSpan w:val="5"/>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13"/>
                <w:szCs w:val="13"/>
                <w:color w:val="auto"/>
              </w:rPr>
            </w:pPr>
          </w:p>
        </w:tc>
      </w:tr>
      <w:tr>
        <w:trPr>
          <w:trHeight w:val="187"/>
        </w:trPr>
        <w:tc>
          <w:tcPr>
            <w:tcW w:w="44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40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245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shd w:val="clear" w:color="auto" w:fill="CFF0FC"/>
          </w:tcPr>
          <w:p>
            <w:pPr>
              <w:spacing w:after="0"/>
              <w:rPr>
                <w:sz w:val="18"/>
                <w:szCs w:val="18"/>
                <w:color w:val="auto"/>
              </w:rPr>
            </w:pP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660</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80" w:type="dxa"/>
            <w:vAlign w:val="bottom"/>
          </w:tcPr>
          <w:p>
            <w:pPr>
              <w:spacing w:after="0"/>
              <w:rPr>
                <w:sz w:val="18"/>
                <w:szCs w:val="18"/>
                <w:color w:val="auto"/>
              </w:rPr>
            </w:pPr>
          </w:p>
        </w:tc>
      </w:tr>
      <w:tr>
        <w:trPr>
          <w:trHeight w:val="250"/>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600" w:type="dxa"/>
            <w:vAlign w:val="bottom"/>
            <w:tcBorders>
              <w:bottom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905</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-24765</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51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6"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As of June 30, 2022, there was approximately $7.4 million of unrecognized stock-based compensation expense related to stock options, which is expected to be recognized over a weighted-average vesting term of 2.9 years.</w:t>
      </w:r>
    </w:p>
    <w:p>
      <w:pPr>
        <w:spacing w:after="0" w:line="5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As of June 30, 2022, there was approximately $0.6 million of unrecognized stock-based compensation expense related to RSUs, which is expected to be recognized over an estimated weighted-average vesting term of 1.3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16"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Company accounts for income taxes under ASC Topic 740, Income Taxes. Under this standard, deferred tax assets and liabilities are recognized for future tax benefits or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w:t>
      </w:r>
    </w:p>
    <w:p>
      <w:pPr>
        <w:spacing w:after="0" w:line="177"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A valuation allowance is provided for significant deferred tax assets when it is more likely than not that such assets will not be realized through future operations. No provision for income taxes has been recorded due to losses incurred to date. Future tax benefits which may arise as a result of these losses have not been recognized in these financial statements, as their realization is determined not likely to occur and accordingly, the Company has recorded a full valuation allowance for deferred tax assets.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(in thousands, except share and per share amounts):</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5"/>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420" w:type="dxa"/>
            <w:vAlign w:val="bottom"/>
            <w:gridSpan w:val="5"/>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(11,872 )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(11,774 )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(23,635 )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(21,661 )</w:t>
            </w:r>
          </w:p>
        </w:tc>
      </w:tr>
      <w:tr>
        <w:trPr>
          <w:trHeight w:val="20"/>
        </w:trPr>
        <w:tc>
          <w:tcPr>
            <w:tcW w:w="5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23,493,613</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23,329,756</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23,492,960</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23,306,708</w:t>
            </w:r>
          </w:p>
        </w:tc>
        <w:tc>
          <w:tcPr>
            <w:tcW w:w="1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20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-25400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-8255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-25400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-8255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0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03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-25400</wp:posOffset>
            </wp:positionV>
            <wp:extent cx="596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-8255</wp:posOffset>
            </wp:positionV>
            <wp:extent cx="596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9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Basic net loss per share was the same as diluted net loss per share for all periods as the inclusion of potentially dilutive securities would have been anti-dilutive. Potentially dilutive securities that were not included in the diluted per share calculations were as follows:</w:t>
      </w:r>
    </w:p>
    <w:p>
      <w:pPr>
        <w:spacing w:after="0" w:line="14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660" w:type="dxa"/>
            <w:vAlign w:val="bottom"/>
          </w:tcPr>
          <w:p>
            <w:pPr>
              <w:spacing w:after="0"/>
              <w:rPr>
                <w:sz w:val="16"/>
                <w:szCs w:val="16"/>
                <w:color w:val="auto"/>
              </w:rPr>
            </w:pPr>
          </w:p>
        </w:tc>
        <w:tc>
          <w:tcPr>
            <w:tcW w:w="136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660" w:type="dxa"/>
            <w:vAlign w:val="bottom"/>
          </w:tcPr>
          <w:p>
            <w:pPr>
              <w:spacing w:after="0"/>
              <w:rPr>
                <w:sz w:val="14"/>
                <w:szCs w:val="14"/>
                <w:color w:val="auto"/>
              </w:rPr>
            </w:pPr>
          </w:p>
        </w:tc>
        <w:tc>
          <w:tcPr>
            <w:tcW w:w="9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subject to outstanding common stock options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3,954,980</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2,612,963</w:t>
            </w:r>
          </w:p>
        </w:tc>
        <w:tc>
          <w:tcPr>
            <w:tcW w:w="8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outstanding RSUs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425,853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shares issuable under the ESPP</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138,365</w:t>
            </w:r>
          </w:p>
        </w:tc>
        <w:tc>
          <w:tcPr>
            <w:tcW w:w="1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32,255</w:t>
            </w:r>
          </w:p>
        </w:tc>
        <w:tc>
          <w:tcPr>
            <w:tcW w:w="80" w:type="dxa"/>
            <w:vAlign w:val="bottom"/>
            <w:shd w:val="clear" w:color="auto" w:fill="CFF0FC"/>
          </w:tcPr>
          <w:p>
            <w:pPr>
              <w:spacing w:after="0"/>
              <w:rPr>
                <w:sz w:val="18"/>
                <w:szCs w:val="18"/>
                <w:color w:val="auto"/>
              </w:rPr>
            </w:pPr>
          </w:p>
        </w:tc>
      </w:tr>
      <w:tr>
        <w:trPr>
          <w:trHeight w:val="21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4,519,198</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2,645,218</w:t>
            </w:r>
          </w:p>
        </w:tc>
        <w:tc>
          <w:tcPr>
            <w:tcW w:w="8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unaudited condensed financial statements and the related notes to those statements included elsewhere in this Quarterly Report on Form 10-Q and our audited financial statements and notes thereto and the related Management’s Discussion and Analysis of Financial Condition and Results of Operations included in our Annual Report on Form 10-K for the year ended December 31, 2021 filed with the Securities and Exchange Commission, or SEC, on March 14, 2022, or the Annual Report. Unless otherwise indicated, all references in this Quarterly Report on Form 10-Q to “Spruce,” the “company,” “we,” “our,” “us” or similar terms refer to Spruce Biosciences, Inc.</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6" w:lineRule="exact"/>
        <w:rPr>
          <w:sz w:val="20"/>
          <w:szCs w:val="20"/>
          <w:color w:val="auto"/>
        </w:rPr>
      </w:pPr>
    </w:p>
    <w:p>
      <w:pPr>
        <w:ind w:right="80" w:firstLine="578"/>
        <w:spacing w:after="0" w:line="247" w:lineRule="auto"/>
        <w:rPr>
          <w:sz w:val="20"/>
          <w:szCs w:val="20"/>
          <w:color w:val="auto"/>
        </w:rPr>
      </w:pPr>
      <w:r>
        <w:rPr>
          <w:rFonts w:ascii="Times New Roman" w:cs="Times New Roman" w:eastAsia="Times New Roman" w:hAnsi="Times New Roman"/>
          <w:sz w:val="18"/>
          <w:szCs w:val="18"/>
          <w:i w:val="1"/>
          <w:iCs w:val="1"/>
          <w:color w:val="auto"/>
        </w:rPr>
        <w:t>In addition to historical financial information, this discussion contains forward-looking statements based upon current expectations that involve risks and uncertainties. Our actual results could differ materially from those anticipated in these forward-looking statements as a result of various factors, including those set forth in the section titled “Risk Factors” under Part II, Item 1A below. In some cases, you can identify forward-looking statements by terminology such as “anticipate,” “believe,” “continue,” “could,” “estimate,” “expect,” “intend,” “may,” “plan,” “potentially,” “predict,” “should,” “will” or the negative of these terms or other similar expressions.</w:t>
      </w:r>
    </w:p>
    <w:p>
      <w:pPr>
        <w:spacing w:after="0" w:line="190"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r>
        <w:rPr>
          <w:rFonts w:ascii="Times New Roman" w:cs="Times New Roman" w:eastAsia="Times New Roman" w:hAnsi="Times New Roman"/>
          <w:sz w:val="18"/>
          <w:szCs w:val="18"/>
          <w:i w:val="1"/>
          <w:iCs w:val="1"/>
          <w:color w:val="32406B"/>
        </w:rPr>
        <w: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515"/>
        <w:spacing w:after="0" w:line="242" w:lineRule="auto"/>
        <w:rPr>
          <w:sz w:val="20"/>
          <w:szCs w:val="20"/>
          <w:color w:val="auto"/>
        </w:rPr>
      </w:pPr>
      <w:r>
        <w:rPr>
          <w:rFonts w:ascii="Times New Roman" w:cs="Times New Roman" w:eastAsia="Times New Roman" w:hAnsi="Times New Roman"/>
          <w:sz w:val="18"/>
          <w:szCs w:val="18"/>
          <w:color w:val="auto"/>
        </w:rPr>
        <w:t>We are a late-stage biopharmaceutical company focused on developing and commercializing novel therapies for rare endocrine disorders with significant unmet medical need. We are initially developing our wholly-owned product candidate, tildacerfont, as the potential first non-steroidal therapy to offer markedly improved disease control and reduce steroid burden for patients suffering from CAH. Classic CAH is a serious and life-threatening disease with no known novel therapies approved in approximately 50 years. In a 12-week Phase 2a proof-of-concept clinical trial, tildacerfont-treated adult patients suffering from classic CAH who had poor disease control despite being on standard of care therapy achieved approximately 80% reductions in hormones that are key indicators of poor disease control. Furthermore, over 200 subjects across eight completed clinical trials to date have been administered tildacerfont with no drug-related serious adverse events, or SAEs, reported.</w:t>
      </w:r>
    </w:p>
    <w:p>
      <w:pPr>
        <w:spacing w:after="0" w:line="200" w:lineRule="exact"/>
        <w:rPr>
          <w:sz w:val="20"/>
          <w:szCs w:val="20"/>
          <w:color w:val="auto"/>
        </w:rPr>
      </w:pPr>
    </w:p>
    <w:p>
      <w:pPr>
        <w:ind w:right="100" w:firstLine="515"/>
        <w:spacing w:after="0" w:line="243" w:lineRule="auto"/>
        <w:rPr>
          <w:sz w:val="20"/>
          <w:szCs w:val="20"/>
          <w:color w:val="auto"/>
        </w:rPr>
      </w:pPr>
      <w:r>
        <w:rPr>
          <w:rFonts w:ascii="Times New Roman" w:cs="Times New Roman" w:eastAsia="Times New Roman" w:hAnsi="Times New Roman"/>
          <w:sz w:val="18"/>
          <w:szCs w:val="18"/>
          <w:color w:val="auto"/>
        </w:rPr>
        <w:t>We have initiated CAHmelia-203, a placebo-controlled, double-blind Phase 2b clinical trial in adult patients with classic CAH with poor disease control and anticipate topline results in the second half of 2023. We have also initiated CAHmelia-204, a second Phase 2b clinical trial in adult patients with classic CAH with good disease control focused on glucocorticoid reduction and anticipate topline results in the second half of 2024. Based on post-hoc analyses of our clinical data to date, we have chosen to target two distinct groups of classic CAH patients with either good disease control or poor disease control. These two groups, which together make up the entire classic CAH patient population, have differing disease challenges centered on excessive adrenal androgen levels or excessive glucocorticoid usage, both of which have the potential to be addressed by treatment with tildacerfont, if approved. We believe our strategy to study CAH patients in these two enriched sub-populations may enable us to observe clinically meaningful outcomes. Additionally, we believe these two clinical trials will provide sufficient patient exposures for our registrational safety database, which are designed to potentially support registration in the United States and Europe. Assuming positive results from these clinical trials, we plan to meet with the FDA and certain comparable foreign regulatory authorities to discuss registration.</w:t>
      </w:r>
    </w:p>
    <w:p>
      <w:pPr>
        <w:spacing w:after="0" w:line="186" w:lineRule="exact"/>
        <w:rPr>
          <w:sz w:val="20"/>
          <w:szCs w:val="20"/>
          <w:color w:val="auto"/>
        </w:rPr>
      </w:pPr>
    </w:p>
    <w:p>
      <w:pPr>
        <w:ind w:right="20" w:firstLine="515"/>
        <w:spacing w:after="0" w:line="242" w:lineRule="auto"/>
        <w:rPr>
          <w:sz w:val="20"/>
          <w:szCs w:val="20"/>
          <w:color w:val="auto"/>
        </w:rPr>
      </w:pPr>
      <w:r>
        <w:rPr>
          <w:rFonts w:ascii="Times New Roman" w:cs="Times New Roman" w:eastAsia="Times New Roman" w:hAnsi="Times New Roman"/>
          <w:sz w:val="18"/>
          <w:szCs w:val="18"/>
          <w:color w:val="auto"/>
        </w:rPr>
        <w:t>We are also investigating tildacerfont for the treatment of classic CAH in children. We believe there is a significant medical need to provide androgen-lowering and glucocorticoid-sparing therapies to pediatric classic CAH patients to reduce the risk of premature puberty and the adverse effects of glucocorticoids, including growth inhibition and short-stature as adults. We have initiated a Phase 2 open-label clinical trial, which will utilize a sequential three cohort design, to evaluate the safety and pharmacokinetics of tildacerfont in children six to 17 years of age with classic CAH. We anticipate topline safety results from cohort 1 of the Phase 2 open-label clinical trial in the first half of 2023. We have also submitted a pediatric investigational plan, or PIP, to the Pediatric Committee, or PDCO, of the European Medicines Agency, or EMA, regarding a registrational program in children with classic CAH. PDCO issued an opinion on its agreement with the proposed PIP of tildacerfont for the treatment of CAH which endorsed the clinical program to evaluate the safety, tolerability and efficacy of tildacerfont for the treatment of CAH in patients from one year of age to less than 18 years of age. PDCO also granted a waiver for the treatment of CAH in patients less than one year of age.</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120" w:firstLine="509"/>
        <w:spacing w:after="0" w:line="241" w:lineRule="auto"/>
        <w:rPr>
          <w:sz w:val="20"/>
          <w:szCs w:val="20"/>
          <w:color w:val="auto"/>
        </w:rPr>
      </w:pPr>
      <w:r>
        <w:rPr>
          <w:rFonts w:ascii="Times New Roman" w:cs="Times New Roman" w:eastAsia="Times New Roman" w:hAnsi="Times New Roman"/>
          <w:sz w:val="18"/>
          <w:szCs w:val="18"/>
          <w:color w:val="auto"/>
        </w:rPr>
        <w:t>Beyond classic CAH, we believe tildacerfont has potential utility in polycystic ovary syndrome, or PCOS, and in a range of diseases where the underlying biology supports a need to reduce excess secretion of or hyperresponsiveness to adrenocorticotropic hormone, or ACTH. PCOS is a hormonal disorder common among females of reproductive age affecting nearly five million females in the United States and approximately 115 million females worldwide. PCOS is characterized by elevated levels of androgens, cysts in the ovaries, and irregular periods. We have identified a subpopulation of patients where elevated levels of adrenal androgens are the cause of disease. We believe that tildacerfont may present a novel mechanism to reduce ACTH and provide a therapeutic option for females with PCOS. By leveraging our existing Phase 1 program, which includes safety, tolerability, and pharmacokinetics of tildacerfont, we have initiated a Phase 2 proof-of-concept clinical trial. The Phase 2 proof-of-concept clinical trial is a randomized, placebo-controlled, dose escalation trial which will evaluate the safety and efficacy of tildacerfont titrated to 200 mg QD compared to placebo over 12 weeks of treatment in subjects with PCOS and elevated adrenal androgens as measured by dehydroepiandrosterone sulfate, or DHEAS, levels at baseline. We anticipate topline results from the Phase 2 proof-of-concept clinical trial in the first half of 2023.</w:t>
      </w:r>
    </w:p>
    <w:p>
      <w:pPr>
        <w:spacing w:after="0" w:line="203"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Since our inception in November 2014, we have focused primarily on raising capital, establishing and protecting our intellectual property portfolio, organizing and staffing our company, business planning, and conducting preclinical and clinical development of, and manufacturing development for, our product candidate, tildacerfont. We have no products approved for commercial sale and have not generated any revenue to date, and we continue to incur significant research and development and other expenses related to our ongoing operations. Our ability to generate product revenue sufficient to achieve profitability, if ever, will depend on the successful development of tildacerfont and any future product candidates. We intend to build a highly specialized commercial organization to support the commercialization of tildacerfont, if approved, in the United States and Europe. Given a relatively small number of endocrinologists and specialists treat a large proportion of patients with classic CAH, we believe this market can be effectively addressed with a modest-sized targeted commercial sales force, alongside various high-touch patient initiatives. If tildacerfont is approved for additional indications, we plan to leverage our rare disorder commercial infrastructure and expertise to efficiently address those patient populations. We may also either build a commercial infrastructure or opportunistically seek strategic collaborations to benefit from the resources of biopharmaceutical companies specialized in either relevant disease areas or geographies.</w:t>
      </w:r>
    </w:p>
    <w:p>
      <w:pPr>
        <w:spacing w:after="0" w:line="188" w:lineRule="exact"/>
        <w:rPr>
          <w:sz w:val="20"/>
          <w:szCs w:val="20"/>
          <w:color w:val="auto"/>
        </w:rPr>
      </w:pPr>
    </w:p>
    <w:p>
      <w:pPr>
        <w:ind w:right="280" w:firstLine="509"/>
        <w:spacing w:after="0" w:line="246" w:lineRule="auto"/>
        <w:rPr>
          <w:sz w:val="20"/>
          <w:szCs w:val="20"/>
          <w:color w:val="auto"/>
        </w:rPr>
      </w:pPr>
      <w:r>
        <w:rPr>
          <w:rFonts w:ascii="Times New Roman" w:cs="Times New Roman" w:eastAsia="Times New Roman" w:hAnsi="Times New Roman"/>
          <w:sz w:val="18"/>
          <w:szCs w:val="18"/>
          <w:color w:val="auto"/>
        </w:rPr>
        <w:t>We rely, and expect to continue to rely, on third parties for the manufacture of tildacerfont for preclinical studies and clinical trials, as well as for commercial manufacture if tildacerfont obtains marketing approval. We also rely, and expect to continue to rely, on third parties to package, label, store, and distribute tildacerfont,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tildacerfont.</w:t>
      </w:r>
    </w:p>
    <w:p>
      <w:pPr>
        <w:spacing w:after="0" w:line="195"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Since inception, we have incurred significant losses and negative cash flows from operations. During the six months ended June 30, 2022, we incurred a net loss of $23.6 million and used $21.3 million of cash in operations. As of June 30, 2022, we had an accumulated deficit of $126.8 million, compared to $103.1 million as of December 31, 2021, and we do not expect positive cash flows from operations for the foreseeable future. We expect to continue to incur significant and increasing losses for the foreseeable future, and our net losses may fluctuate significantly from period to period, depending on the timing of expenditures on our planned research and development activities.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October 2020, we consummated our initial public offering, or IPO, and issued 6,900,000 shares of common stock for net proceeds of $93.4</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after deducting underwriting discounts, commissions and offering expenses. Since inception through June 30, 2022, we have raised aggregate gross</w:t>
      </w:r>
    </w:p>
    <w:p>
      <w:pPr>
        <w:spacing w:after="0" w:line="234" w:lineRule="auto"/>
        <w:rPr>
          <w:sz w:val="20"/>
          <w:szCs w:val="20"/>
          <w:color w:val="auto"/>
        </w:rPr>
      </w:pPr>
      <w:r>
        <w:rPr>
          <w:rFonts w:ascii="Times New Roman" w:cs="Times New Roman" w:eastAsia="Times New Roman" w:hAnsi="Times New Roman"/>
          <w:sz w:val="18"/>
          <w:szCs w:val="18"/>
          <w:color w:val="auto"/>
        </w:rPr>
        <w:t>proceeds of $224.5 million, including $103.5 million from our IPO in October 2020, $116.0 million from the sale of our redeemable convertible preferred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and $5.0 million from the issuance of debt. As of June 30, 2022, we had cash, cash equivalents and investments of $99.1 million, compared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$121.4 million as of December 31, 2021. We believe, based on our current operating plan, that our cash, cash equivalents and investments as of June 30,</w:t>
      </w:r>
    </w:p>
    <w:p>
      <w:pPr>
        <w:spacing w:after="0" w:line="234" w:lineRule="auto"/>
        <w:rPr>
          <w:sz w:val="20"/>
          <w:szCs w:val="20"/>
          <w:color w:val="auto"/>
        </w:rPr>
      </w:pPr>
      <w:r>
        <w:rPr>
          <w:rFonts w:ascii="Times New Roman" w:cs="Times New Roman" w:eastAsia="Times New Roman" w:hAnsi="Times New Roman"/>
          <w:sz w:val="18"/>
          <w:szCs w:val="18"/>
          <w:color w:val="auto"/>
        </w:rPr>
        <w:t>2022 will be sufficient to fund our operations for at least the next 12 months. We have based this projection on assumptions that may be inaccurate and as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we may utilize our capital resources sooner than we expect. We expect our expenses will increase significantly in connection with our ongoing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as we:</w:t>
      </w:r>
    </w:p>
    <w:p>
      <w:pPr>
        <w:spacing w:after="0" w:line="85"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tildacerfont through our ongoing Phase 2b clinical trials in adult patients with classic CAH;</w:t>
      </w:r>
    </w:p>
    <w:p>
      <w:pPr>
        <w:spacing w:after="0" w:line="10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 development of tildacerfont in additional indications, including pediatric classic CAH and a subpopulation of females with PCOS;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approvals of tildacerfont in patients with classic CAH and a subpopulation of females with PCOS;</w:t>
      </w:r>
    </w:p>
    <w:p>
      <w:pPr>
        <w:spacing w:after="0" w:line="103"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highly specialized commercial organization to support the commercialization of tildacerfont, if approved, in the United States and Europe;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04" w:lineRule="exact"/>
        <w:rPr>
          <w:sz w:val="20"/>
          <w:szCs w:val="20"/>
          <w:color w:val="auto"/>
        </w:rPr>
      </w:pPr>
    </w:p>
    <w:p>
      <w:pPr>
        <w:ind w:left="1020" w:right="58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commercial infrastructure or opportunistically seek strategic collaborations to benefit from the resources of biopharmaceutical companies specialized in either relevant disease areas or geographies, if tildacerfont is approved for additional indications;</w:t>
      </w:r>
    </w:p>
    <w:p>
      <w:pPr>
        <w:spacing w:after="0" w:line="54"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indications and formulations for which to investigate tildacerfont in the future and expand our pipeline of product candidates;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and protect our intellectual property portfolio.</w:t>
      </w:r>
    </w:p>
    <w:p>
      <w:pPr>
        <w:spacing w:after="0" w:line="212" w:lineRule="exact"/>
        <w:rPr>
          <w:sz w:val="20"/>
          <w:szCs w:val="20"/>
          <w:color w:val="auto"/>
        </w:rPr>
      </w:pPr>
    </w:p>
    <w:p>
      <w:pPr>
        <w:ind w:firstLine="509"/>
        <w:spacing w:after="0" w:line="223" w:lineRule="auto"/>
        <w:rPr>
          <w:sz w:val="20"/>
          <w:szCs w:val="20"/>
          <w:color w:val="auto"/>
        </w:rPr>
      </w:pPr>
      <w:r>
        <w:rPr>
          <w:rFonts w:ascii="Times New Roman" w:cs="Times New Roman" w:eastAsia="Times New Roman" w:hAnsi="Times New Roman"/>
          <w:sz w:val="18"/>
          <w:szCs w:val="18"/>
          <w:color w:val="auto"/>
        </w:rPr>
        <w:t>In February 2022, the U.S. Securities and Exchange Commission, or the SEC, declared effective a registration statement on Form S-3, or the Shelf Registration, covering the sale of up to $200.0 million of our securities. Also, in February 2022, we entered into an Open Market Sales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or the Sales Agreement, with Jefferies LLC, or Jefferies, pursuant to which we may elect to issue and sell, from time to time, shares of common stock having an aggregate offering price of up to $21.0 million under the Shelf Registration through Jefferies acting as the sales agent and/or principal. As of June 30, 2022, we have issued no shares of common stock pursuant to the Sales Agreement</w:t>
      </w:r>
      <w:r>
        <w:rPr>
          <w:rFonts w:ascii="Times New Roman" w:cs="Times New Roman" w:eastAsia="Times New Roman" w:hAnsi="Times New Roman"/>
          <w:sz w:val="24"/>
          <w:szCs w:val="24"/>
          <w:color w:val="auto"/>
          <w:vertAlign w:val="subscript"/>
        </w:rPr>
        <w:t>.</w:t>
      </w:r>
    </w:p>
    <w:p>
      <w:pPr>
        <w:spacing w:after="0" w:line="193"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Our business has been and could continue to be adversely affected by the evolving COVID-19 pandemic. For example, the COVID-19 pandemic has resulted in and could result in delays to our clinical trials for numerous reasons including additional delays or difficulties in enrolling patients, diversion of healthcare resources away from the conduct of clinical trials, interruption or delays in the operations of the FDA or other regulatory authorities, and delays in clinical sites receiving the supplies and materials to conduct our clinical trials. While vaccines have become widely available in certain countries, and businesses and economies have reopened, the status of global economic recovery remains uncertain and unpredictable and will continue to be impacted by developments in the pandemic including any subsequent waves of outbreak or new variant strains of the COVID-19 virus which may require re-closures or other preventative measures. At this time, the extent to which the COVID-19 pandemic impacts our business will depend on future developments, which are highly uncertain and cannot be predicted.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 with Eli Lilly and Company</w:t>
      </w:r>
    </w:p>
    <w:p>
      <w:pPr>
        <w:spacing w:after="0" w:line="10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In May 2016, we entered into a license agreement, or the License Agreement, with Eli Lilly and Company, or Lilly. Pursuant to the terms of the License Agreement, Lilly granted us an exclusive, worldwide, royalty bearing, sublicensable license under certain technology, patent rights, know-how, and proprietary materials, which we refer to collectively as the Lilly IP, and such patents, the Lilly Licensed Patents, relating to the CRF1 receptor antagonist compounds either listed in the License Agreement or covered by patent rights controlled by Lilly, which we refer to collectively as the Lilly Compounds, to research, develop, commercialize, make, have made, use, sell, offer to sell, and import the Lilly Compounds and any products containing a Lilly Compound, including any products containing a Lilly Compound and one or more additional active pharmaceutical ingredients, or APIs, other than a Lilly Compound, which we refer to collectively as the Lilly Licensed Products, for all pharmaceutical uses, including all diagnostic, therapeutic, and prophylactic uses, for human or animal administration. Lilly retained rights under the Lilly IP and the Lilly Licensed Patents for internal research purposes.</w:t>
      </w:r>
    </w:p>
    <w:p>
      <w:pPr>
        <w:spacing w:after="0" w:line="200"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As partial consideration for the rights granted to us under the License Agreement, we made a one-time upfront payment to Lilly of $0.8 million. We are also required to pay Lilly up to an aggregate of $23.0 million upon the achievement, during the time the License Agreement remains in effect, of certain milestones relating to the clinical development and commercial sales of the Lilly Licensed Products. Such payments are for predetermined fixed amounts, are paid only upon the first occurrence of each such event, and are due shortly after achieving the applicable milestone. In addition, we are required to pay Lilly tiered royalties on annual worldwide net sales of Lilly Licensed Products, with rates ranging from mid-single-digits to sub-teens, or the Lilly Royalties. The Lilly Royalties shall commence on a country-by-country basis on the date of the first commercial sale of Lilly Licensed Product in such country, and shall expire on a country-by-country basis on the latest of the following dates: (i) the tenth anniversary of the date of first commercial sale in such country, (ii) the expiration in such country of the last-to-expire Lilly Licensed Patent having a valid claim covering the manufacture, use, or sale of the Lilly Licensed Product as commercialized in such country, and (iii) the expiration of any data or regulatory exclusivity period for the Lilly Licensed Product in such country. Upon such expiration, the license granted to us with respect to such country shall become fully paid-up, royalty-free, perpetual and irrevocable. In addition, the Lilly Royalties may be reduced upon the occurrence of certain events.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classify operating expenses into two main categories: (i) research and development expenses and (ii) general and administrative expenses.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06" w:lineRule="exact"/>
        <w:rPr>
          <w:sz w:val="20"/>
          <w:szCs w:val="20"/>
          <w:color w:val="auto"/>
        </w:rPr>
      </w:pPr>
    </w:p>
    <w:p>
      <w:pPr>
        <w:ind w:right="880" w:firstLine="509"/>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consist of external and internal expenses incurred in connection with our research activities and development programs.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expenses include:</w:t>
      </w:r>
    </w:p>
    <w:p>
      <w:pPr>
        <w:spacing w:after="0" w:line="104"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expenses, consisting of:</w:t>
      </w:r>
    </w:p>
    <w:p>
      <w:pPr>
        <w:spacing w:after="0" w:line="104" w:lineRule="exact"/>
        <w:rPr>
          <w:sz w:val="20"/>
          <w:szCs w:val="20"/>
          <w:color w:val="auto"/>
        </w:rPr>
      </w:pPr>
    </w:p>
    <w:p>
      <w:pPr>
        <w:ind w:left="1440" w:right="360" w:hanging="384"/>
        <w:spacing w:after="0" w:line="266" w:lineRule="auto"/>
        <w:tabs>
          <w:tab w:leader="none" w:pos="14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development—expenses associated with clinical research organizations, or CROs, engaged to manage and conduct clinical trials and other outside services;</w:t>
      </w:r>
    </w:p>
    <w:p>
      <w:pPr>
        <w:spacing w:after="0" w:line="67" w:lineRule="exact"/>
        <w:rPr>
          <w:rFonts w:ascii="Times New Roman" w:cs="Times New Roman" w:eastAsia="Times New Roman" w:hAnsi="Times New Roman"/>
          <w:sz w:val="18"/>
          <w:szCs w:val="18"/>
          <w:color w:val="auto"/>
        </w:rPr>
      </w:pPr>
    </w:p>
    <w:p>
      <w:pPr>
        <w:ind w:left="1440" w:hanging="384"/>
        <w:spacing w:after="0"/>
        <w:tabs>
          <w:tab w:leader="none" w:pos="14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studies—expenses associated with preclinical studies performed by vendors;</w:t>
      </w:r>
    </w:p>
    <w:p>
      <w:pPr>
        <w:spacing w:after="0" w:line="103" w:lineRule="exact"/>
        <w:rPr>
          <w:rFonts w:ascii="Times New Roman" w:cs="Times New Roman" w:eastAsia="Times New Roman" w:hAnsi="Times New Roman"/>
          <w:sz w:val="18"/>
          <w:szCs w:val="18"/>
          <w:color w:val="auto"/>
        </w:rPr>
      </w:pPr>
    </w:p>
    <w:p>
      <w:pPr>
        <w:ind w:left="1440" w:right="200" w:hanging="384"/>
        <w:spacing w:after="0" w:line="266" w:lineRule="auto"/>
        <w:tabs>
          <w:tab w:leader="none" w:pos="14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manufacturing—expenses associated with contract manufacturing; labeling, packaging, and distribution of clinical trial supplies, and consulting;</w:t>
      </w:r>
    </w:p>
    <w:p>
      <w:pPr>
        <w:spacing w:after="0" w:line="67" w:lineRule="exact"/>
        <w:rPr>
          <w:rFonts w:ascii="Times New Roman" w:cs="Times New Roman" w:eastAsia="Times New Roman" w:hAnsi="Times New Roman"/>
          <w:sz w:val="18"/>
          <w:szCs w:val="18"/>
          <w:color w:val="auto"/>
        </w:rPr>
      </w:pPr>
    </w:p>
    <w:p>
      <w:pPr>
        <w:ind w:left="1440" w:hanging="384"/>
        <w:spacing w:after="0"/>
        <w:tabs>
          <w:tab w:leader="none" w:pos="14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research and development—expenses associated with quality and regulatory compliance; and</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expenses, consisting of personnel, including expenses for salaries, bonuses, benefits, stock-based compensation, as well as allocation of certain expenses.</w:t>
      </w:r>
    </w:p>
    <w:p>
      <w:pPr>
        <w:spacing w:after="0" w:line="176" w:lineRule="exact"/>
        <w:rPr>
          <w:sz w:val="20"/>
          <w:szCs w:val="20"/>
          <w:color w:val="auto"/>
        </w:rPr>
      </w:pPr>
    </w:p>
    <w:p>
      <w:pPr>
        <w:jc w:val="both"/>
        <w:ind w:right="300" w:firstLine="509"/>
        <w:spacing w:after="0" w:line="250" w:lineRule="auto"/>
        <w:rPr>
          <w:sz w:val="20"/>
          <w:szCs w:val="20"/>
          <w:color w:val="auto"/>
        </w:rPr>
      </w:pPr>
      <w:r>
        <w:rPr>
          <w:rFonts w:ascii="Times New Roman" w:cs="Times New Roman" w:eastAsia="Times New Roman" w:hAnsi="Times New Roman"/>
          <w:sz w:val="18"/>
          <w:szCs w:val="18"/>
          <w:color w:val="auto"/>
        </w:rPr>
        <w:t>To date, these expenses have been incurred to advance tildacerfont. These expenses will primarily consist of expenses for the conduct of clinical trials as well as manufacturing costs for clinical material supply. We expect that significant additional spending will be required to progress tildacerfont through clinical development and regulatory approval.</w:t>
      </w:r>
    </w:p>
    <w:p>
      <w:pPr>
        <w:spacing w:after="0" w:line="190"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are recognized as they are incurred. If deposits are required by external vendors, a portion of the deposit is included as a prepaid expense until sufficient progress has occurred to amortize the deposit to expense in the statements of operations and comprehensive loss.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06"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bonuses, benefits, and stock-based compensation expense) for personnel in executive, finance, and other administrative functions. General and administrative expenses also include legal fees, professional fees, insurance costs, facility costs not otherwise included in research and development expenses, and public company expenses such as costs associated with compliance with the rules and regulations of the SEC, and those of the Nasdaq Stock Market, Inc., or Nasdaq, listing rules.</w:t>
      </w:r>
    </w:p>
    <w:p>
      <w:pPr>
        <w:spacing w:after="0" w:line="177" w:lineRule="exact"/>
        <w:rPr>
          <w:sz w:val="20"/>
          <w:szCs w:val="20"/>
          <w:color w:val="auto"/>
        </w:rPr>
      </w:pPr>
    </w:p>
    <w:p>
      <w:pPr>
        <w:ind w:firstLine="509"/>
        <w:spacing w:after="0" w:line="296" w:lineRule="auto"/>
        <w:rPr>
          <w:sz w:val="20"/>
          <w:szCs w:val="20"/>
          <w:color w:val="auto"/>
        </w:rPr>
      </w:pPr>
      <w:r>
        <w:rPr>
          <w:rFonts w:ascii="Times New Roman" w:cs="Times New Roman" w:eastAsia="Times New Roman" w:hAnsi="Times New Roman"/>
          <w:sz w:val="17"/>
          <w:szCs w:val="17"/>
          <w:color w:val="auto"/>
        </w:rPr>
        <w:t>We expect that our general and administrative expenses will continue to increase in the foreseeable future as additional administrative personnel and services are required to manage these functions of a public company, as we advance tildacerfont through clinical development and regulatory approval.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8"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Interest expense consists of interest incurred and non-cash amortization of debt discount and issuance costs in connection with the Term Loan, provided pursuant to the Loan and Security Agreement, as amended.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primarily consists of interest income earned on our cash, cash equivalents and investments.</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Comparisons of the Three Months Ended June 30, 2022 and 2021</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 (in thousands):</w:t>
      </w:r>
    </w:p>
    <w:p>
      <w:pPr>
        <w:spacing w:after="0" w:line="200" w:lineRule="exact"/>
        <w:rPr>
          <w:sz w:val="20"/>
          <w:szCs w:val="20"/>
          <w:color w:val="auto"/>
        </w:rPr>
      </w:pPr>
    </w:p>
    <w:p>
      <w:pPr>
        <w:spacing w:after="0" w:line="20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24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2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11,882</w:t>
            </w:r>
          </w:p>
        </w:tc>
        <w:tc>
          <w:tcPr>
            <w:tcW w:w="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(11,882</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(11,714</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8"/>
                <w:szCs w:val="18"/>
                <w:color w:val="auto"/>
              </w:rPr>
            </w:pP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(94 )</w:t>
            </w:r>
          </w:p>
        </w:tc>
        <w:tc>
          <w:tcPr>
            <w:tcW w:w="54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(80 )</w:t>
            </w: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(11,872 )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(11,774 )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-736600</wp:posOffset>
            </wp:positionV>
            <wp:extent cx="603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-736600</wp:posOffset>
            </wp:positionV>
            <wp:extent cx="603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-736600</wp:posOffset>
            </wp:positionV>
            <wp:extent cx="514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-170815</wp:posOffset>
            </wp:positionV>
            <wp:extent cx="603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-170815</wp:posOffset>
            </wp:positionV>
            <wp:extent cx="603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-170815</wp:posOffset>
            </wp:positionV>
            <wp:extent cx="514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06"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Research and development expenses were $9.1 million for the three months ended June 30, 2022, compared to $9.1 million for the three months ended June 30, 2021. Decreases in preclinical studies and biometrics, manufacturing, and other research and development activities were mostly offset by increases in clinical development expenses related to progressing clinical development of tildacerfont in adult classic CAH and initiation of clinical programs in pediatric classic CAH and PCOS. The following table sets forth the primary external and internal research and development expenses for the periods presented below (in thousands).</w:t>
      </w:r>
    </w:p>
    <w:p>
      <w:pPr>
        <w:spacing w:after="0" w:line="176"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4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expenses:</w:t>
            </w:r>
          </w:p>
        </w:tc>
        <w:tc>
          <w:tcPr>
            <w:tcW w:w="8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Clinical development</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7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Manufacturing</w:t>
            </w: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Preclinical studies and biometrics</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(842 )</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expenses:</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Personnel</w:t>
            </w: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Allocated overhead</w:t>
            </w: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2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-25400</wp:posOffset>
            </wp:positionV>
            <wp:extent cx="603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-8255</wp:posOffset>
            </wp:positionV>
            <wp:extent cx="603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-25400</wp:posOffset>
            </wp:positionV>
            <wp:extent cx="603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603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-25400</wp:posOffset>
            </wp:positionV>
            <wp:extent cx="514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-8255</wp:posOffset>
            </wp:positionV>
            <wp:extent cx="514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0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$2.8 million for the three months ended June 30, 2022, compared to $2.6 million for the three months ended June 30, 2021. The overall increase in general and administrative expenses was primarily related to an increase in professional service fees of $0.2 million primarily related to operating as a public company.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was $0.1 million for the three months ended June 30, 2022, compared to $0.1 million for the three months ended June 30,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incurred related to the Term Loan with Silicon Valley Bank.</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Other income, net was $0.1 million for the three months ended June 30, 2022, compared to $20 thousand for the three months ended June 30,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due to higher yield earned on investment balances in 2022.</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Comparisons of the Six Months Ended June 30, 2022 and 2021</w:t>
      </w:r>
    </w:p>
    <w:p>
      <w:pPr>
        <w:sectPr>
          <w:pgSz w:w="11900" w:h="16838" w:orient="portrait"/>
          <w:cols w:equalWidth="0" w:num="1">
            <w:col w:w="11140"/>
          </w:cols>
          <w:pgMar w:left="320" w:top="117" w:right="4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17,568</w:t>
            </w:r>
          </w:p>
        </w:tc>
        <w:tc>
          <w:tcPr>
            <w:tcW w:w="26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15,833</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23,616</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21,531</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(23,616</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(21,531</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(181 )</w:t>
            </w:r>
          </w:p>
        </w:tc>
        <w:tc>
          <w:tcPr>
            <w:tcW w:w="480" w:type="dxa"/>
            <w:vAlign w:val="bottom"/>
          </w:tcPr>
          <w:p>
            <w:pPr>
              <w:spacing w:after="0"/>
              <w:rPr>
                <w:sz w:val="18"/>
                <w:szCs w:val="18"/>
                <w:color w:val="auto"/>
              </w:rPr>
            </w:pP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(169 )</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(23,635 )</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(21,661 )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(1,974 )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-736600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-736600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322"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Research and development expenses were $17.6 million for the six months ended June 30, 2022, compared to $15.8 million for the six months ended June 30, 2021. The overall increase in research and development expenses was primarily related to an increase in clinical development activities associated with progressing clinical development, partially offset by decreases in preclinical studies and biometrics, manufacturing and other research and development activities. The following table sets forth the primary external and internal research and development expenses for the periods presented below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expenses:</w:t>
            </w:r>
          </w:p>
        </w:tc>
        <w:tc>
          <w:tcPr>
            <w:tcW w:w="8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Clinical development</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11,935</w:t>
            </w:r>
          </w:p>
        </w:tc>
        <w:tc>
          <w:tcPr>
            <w:tcW w:w="7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Manufacturing</w:t>
            </w: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(491 )</w:t>
            </w: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Preclinical studies and biometrics</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(814 )</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(334 )</w:t>
            </w: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expenses:</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Personnel</w:t>
            </w: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Allocated overhead</w:t>
            </w: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research and development expenses</w:t>
            </w:r>
          </w:p>
        </w:tc>
        <w:tc>
          <w:tcPr>
            <w:tcW w:w="820" w:type="dxa"/>
            <w:vAlign w:val="bottom"/>
            <w:tcBorders>
              <w:bottom w:val="single" w:sz="8" w:color="auto"/>
            </w:tcBorders>
            <w:shd w:val="clear" w:color="auto" w:fill="CFF0FC"/>
          </w:tcPr>
          <w:p>
            <w:pPr>
              <w:jc w:val="right"/>
              <w:ind w:right="63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17,568</w:t>
            </w:r>
          </w:p>
        </w:tc>
        <w:tc>
          <w:tcPr>
            <w:tcW w:w="2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15,833</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1,735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-24765</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308"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were $6.0 million for the six months ended June 30, 2022, compared to $5.7 million for the six months ended June 30, 2021. The overall increase in general and administrative expenses was primarily related to an increase of $0.1 million in personnel-related expenses, $0.1 million in directors’ and officers’ liability insurance premiums, and $0.1 million in legal and professional service fees primarily related to operating as a public company.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0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Interest expense was $0.2 million for the six months ended June 30, 2022, compared to $0.2 million interest expense for the six months ended June 30, 2021. Interest expense incurred related to the Term Loan with Silicon Valley Bank.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0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Other income, net was $0.2 million for the six months ended June 30, 2022, compared to $39 thousand for the six months ended June 30, 2021. The increase was primarily due to higher yield earned on investment balances in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08"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operations. We anticipate that we will continue to incur net losses for the foreseeable future. As of June 30, 2022, we had an accumulated deficit of $126.8 million, compared to $103.1 million as of December 31, 2021. As of June 30, 2022, we had cash, cash equivalents and investments of $99.1 million, compared to $121.4 million as of December 31, 2021. We believe, based on our current operating plan, that our cash, cash equivalents and investments as of June 30, 2022 will be sufficient to fund our operations for at least the next 12 months.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108" w:lineRule="exact"/>
        <w:rPr>
          <w:sz w:val="20"/>
          <w:szCs w:val="20"/>
          <w:color w:val="auto"/>
        </w:rPr>
      </w:pPr>
    </w:p>
    <w:p>
      <w:pPr>
        <w:ind w:right="40" w:firstLine="509"/>
        <w:spacing w:after="0" w:line="241" w:lineRule="auto"/>
        <w:rPr>
          <w:sz w:val="20"/>
          <w:szCs w:val="20"/>
          <w:color w:val="auto"/>
        </w:rPr>
      </w:pPr>
      <w:r>
        <w:rPr>
          <w:rFonts w:ascii="Times New Roman" w:cs="Times New Roman" w:eastAsia="Times New Roman" w:hAnsi="Times New Roman"/>
          <w:sz w:val="18"/>
          <w:szCs w:val="18"/>
          <w:color w:val="auto"/>
        </w:rPr>
        <w:t>In September 2019, we entered into a Loan and Security Agreement, or the Loan Agreement, providing for a term loan, or the Term Loan, with Silicon Valley Bank. In April 2020, we and Silicon Valley Bank entered into a deferral agreement, or the Deferral Agreement, whereby we and Silicon Valley Bank agreed to extend the repayment dates of all monthly payments of principal due and the maturity date with respect to the Term Loan by six months. In March 2021, we entered into a First Amendment to Loan and Security Agreement, or the First Amendment, with Silicon Valley Bank. The First Amendment increased the aggregate principal amount of the Term Loan commitment by Silicon Valley Bank to up to $30.0 million. Up to $20.0 million was available under the first tranche of the Term Loan, or the First Tranche, $5.0 million of which was advanced immediately to repay the outstanding obligations under the Term Loan prior to the First Amendment. The remainder of the First Tranche commitments, or $15.0 million, expired on December 31, 2021. Up to $10.0 million is available under the second tranche, or the Second Tranche, subject to the completion of certain clinical or financial milestones which Second Tranche commitment is available through December 31, 2022. Pursuant to the First Amendment, the Term Loan will mature on January 1, 2026. As of June 30, 2022, $5.0 million was outstanding under the Term Loan.</w:t>
      </w:r>
    </w:p>
    <w:p>
      <w:pPr>
        <w:spacing w:after="0" w:line="9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May 2022, we entered into a Second Amendment to Loan and Security Agreement, or the Second Amendment, with Silicon Valley Bank, which amended the milestones upon which the Second Tranche commitment of $10.0 million would become available.</w:t>
      </w:r>
    </w:p>
    <w:p>
      <w:pPr>
        <w:spacing w:after="0" w:line="54"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Second Amendment also reduced the interest rate on the outstanding First Tranche Term Loan of $5.0 million and any advances that occur under the Second Tranche to a floating per annum rate equal to the greater of (A) one-half of one percent (0.50%) above the Prime Rate (as defined in the Loan Agreement) or (B) three and three-quarters of one percent (3.75%), and, in the event that the Supplemental Term Loans (as defined in the Loan Agreement) under the Second Tranche become available and we obtain an advance thereunder, the interest only period for all Term Loans (as defined in the Loan Agreement) will be extended from December 31, 2022, to June 30, 2023.</w:t>
      </w:r>
    </w:p>
    <w:p>
      <w:pPr>
        <w:spacing w:after="0" w:line="69"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Further, in the event that the Supplemental Term Loans under the Second Tranche become available and we obtain an advance thereunder, we will be required to comply with a new liquidity covenant of at least $50.0 million at all times, and if we do not comply with the foregoing liquidity covenant, a springing cash pledge will occur, pursuant to which we must maintain a cash secured blocked account with Silicon Valley Bank with a cash balance in an amount equal to the outstanding Silicon Valley Bank obligations at such time (excluding Bank Services (as defined in the Loan Agreement)), provided that the foregoing cash collateral requirement will terminate upon a certain additional equity raise, which must occur on or before September 30, 2024.</w:t>
      </w:r>
    </w:p>
    <w:p>
      <w:pPr>
        <w:spacing w:after="0" w:line="18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Loan Agreement, as amended by the Deferral Agreement, the First Amendment, and the Second Amendment, provides for monthly cash interest-only payments following the funding date of each respective tranche and continuing thereafter through December 31, 2022 to the extent that the Company does not borrow any part of the Second Tranche or June 30, 2023 if the Company has borrowed some or all of the Second Tranche.</w:t>
      </w:r>
    </w:p>
    <w:p>
      <w:pPr>
        <w:spacing w:after="0" w:line="169"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Following the interest-only period, the outstanding Term Loan balance will be payable in (i) 37 consecutive monthly payments (or 31 if the Company borrows under the Second Tranche) after the end of the interest-only period and continuing on the same day of each month thereafter, in amounts that would fully amortize such Term Loan balance, as of the first business day of the first month following the amended interest-only period, over the repayment period, plus (ii) monthly payments of accrued but unpaid interest.</w:t>
      </w:r>
    </w:p>
    <w:p>
      <w:pPr>
        <w:spacing w:after="0" w:line="191"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The Second Amendment amended the Second Tranche Final Payment due on the maturity date, which payments shall include all outstanding principal and all accrued unpaid interest and an end of term payment, or the Supplemental Final Payment, totaling (x) 6.0% of the original funded principal amount of the First Tranche, and (y) 4.0% of the total original funded principal amount under the Second Tranche if the Company does borrow under the Second Tranche.</w:t>
      </w:r>
    </w:p>
    <w:p>
      <w:pPr>
        <w:spacing w:after="0" w:line="177"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Second Amendment also amended the prepayment amounts, so that we may prepay amounts outstanding under the Term Loan at any time provided certain notification conditions are met, in which case, all outstanding principal plus accrued and unpaid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interest, the Supplemental Final Payment, a prepayment fee of 1% or 2% of the principal amount of the first and second tranches, and any bank expenses become due and payable.</w:t>
      </w:r>
    </w:p>
    <w:p>
      <w:pPr>
        <w:spacing w:after="0" w:line="16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The Loan Agreement, as amended, contains certain covenants that limit our ability to engage in certain transactions that may be in our long-term best interest, including entering into a change in control transaction. The Loan Agreement, as amended, also contains certain covenants that limit our ability to obtain additional debt financing, including incurring debt from third parties not permitted under the Loan Agreement, as amended, or incurring liens or encumbrances on our property. While we have not previously breached and are currently in compliance with the covenants contained in the Loan Agreement, as amended, we may breach these covenants in the future. Our ability to comply with these covenants may be affected by events and factors beyond our control. In the event that we breach one or more covenants, Silicon Valley Bank may choose to declare an event of default and require that we immediately repay all amounts outstanding under the Loan Agreement, terminate any commitment to extend further credit and foreclose on the collateral. In addition, if an event of default occurs under the Loan Agreement, as amended, Silicon Valley Bank may, among other things, accelerate the Term Loan or do any acts it considers necessary or reasonable to protect its security interest in the collateral under the Term Loan. Events of default include the occurrence of a material adverse change in our business, operations, or condition (financial or otherwise). The occurrence of any of these events could have a material adverse effect on our business, financial condition, and results of operations.</w:t>
      </w:r>
    </w:p>
    <w:p>
      <w:pPr>
        <w:spacing w:after="0" w:line="202"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first and second tranches under the Loan Agreement prior to the First Amendment, we issued a warrant to purchase up to an aggregate of 49,609 shares of common stock at $1.44 per share. We determined the initial fair value of the warrant to be $0.1 million using the Black-Scholes option-pricing model. The fair value of the warrant was recorded to equity and also as a debt discount, which is amortized to interest expense using the effective interest method over the term of the Term Loan. The warrant was net-exercised for 46,358 shares of our common stock in November 2020.</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and Sales Agreement</w:t>
      </w:r>
    </w:p>
    <w:p>
      <w:pPr>
        <w:spacing w:after="0" w:line="108" w:lineRule="exact"/>
        <w:rPr>
          <w:sz w:val="20"/>
          <w:szCs w:val="20"/>
          <w:color w:val="auto"/>
        </w:rPr>
      </w:pPr>
    </w:p>
    <w:p>
      <w:pPr>
        <w:ind w:right="140" w:firstLine="509"/>
        <w:spacing w:after="0" w:line="242" w:lineRule="auto"/>
        <w:rPr>
          <w:sz w:val="20"/>
          <w:szCs w:val="20"/>
          <w:color w:val="auto"/>
        </w:rPr>
      </w:pPr>
      <w:r>
        <w:rPr>
          <w:rFonts w:ascii="Times New Roman" w:cs="Times New Roman" w:eastAsia="Times New Roman" w:hAnsi="Times New Roman"/>
          <w:sz w:val="18"/>
          <w:szCs w:val="18"/>
          <w:color w:val="auto"/>
        </w:rPr>
        <w:t>In February 2022, the SEC declared effective the Shelf Registration covering the sale of up to $200.0 million of our securities. Also, in February 2022, we entered into the Sales Agreement with Jefferies, pursuant to which we may elect to issue and sell, from time to time, shares of common stock having an aggregate offering price of up to $21.0 million under the Shelf Registration through Jefferies acting as the sales agent and/or principal, or the Offering. We have also filed a prospectus supplement with the SEC in connection with the Offering under the Shelf Registration. Upon delivery of an issuance notice and subject to the terms and conditions of the Sales Agreement, Jefferies may sell the shares at market prices by any method deemed to be an “at the market offering” as defined in Rule 415(a)(4) promulgated under the Securities Act, including sales made directly on or through The Nasdaq Global Select Market, or Nasdaq, the existing trading market for our common stock. We or Jefferies may suspend or terminate the offering of the shares upon notice to the other party, subject to certain conditions. Jefferies will act as sales agent on a commercially reasonable efforts basis consistent with its normal trading and sales practices and applicable state and federal law, rules and regulations and the rules of Nasdaq. We may instruct Jefferies to not sell the shares if the sales cannot be transacted at or above the price we designate in any issuance notice. We are not obligated to make any sales of the shares under the Sales Agreement. As of June 30, 2022, we have issued no shares of common stock pursuant to the Sales Agreement.</w:t>
      </w:r>
    </w:p>
    <w:p>
      <w:pPr>
        <w:spacing w:after="0" w:line="9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have agreed to pay Jefferies commissions for its services of acting as agent of 3.0% of the gross proceeds from the sale of the shares pursuant to the Sales Agreement. We have also agreed to provide Jefferies with customary indemnification and contribution rights.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To date, we have not generated any revenue. We do not expect to generate any meaningful revenue unless and until we obtain regulatory approval and commercialize tildacerfont or any future product candidates, and we do not know when, or if at all, that will occur. We will continue to require additional capital to develop tildacerfont and fund operations for the foreseeable future. Our primary uses of cash are to fund our operations, which consist primarily of research and development expenses related to our clinical development programs, and to a lesser extent, general and administrative expenses.</w:t>
      </w:r>
    </w:p>
    <w:p>
      <w:pPr>
        <w:spacing w:after="0" w:line="177"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development of, and obtain regulatory approval for, tildacerfont or any of our future product candidates. We expect our research and development expenses to increase significantly in the foreseeable future as we continue to invest in research and development activities related to developing tildacerfont, as tildacerfont continues advancing in late stage studies for the treatment of classic CAH in adult patients, as we conduct clinical trials of tildacerfont in additional indications beyond classic CAH in adult patients, as we seek regulatory approvals for tildacerfont, and incur expenses associated with hiring additional personnel to support our research and development efforts. The process of conducting the necessary clinical research to obtain regulatory approval is costly</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and time-consuming, the successful development of tildacerfont is highly uncertain, and we may never succeed in achieving regulatory approval for tildacerfont in classic CAH in adult patients or other indications.</w:t>
      </w:r>
    </w:p>
    <w:p>
      <w:pPr>
        <w:spacing w:after="0" w:line="162" w:lineRule="exact"/>
        <w:rPr>
          <w:sz w:val="20"/>
          <w:szCs w:val="20"/>
          <w:color w:val="auto"/>
        </w:rPr>
      </w:pPr>
    </w:p>
    <w:p>
      <w:pPr>
        <w:jc w:val="both"/>
        <w:ind w:right="260" w:firstLine="509"/>
        <w:spacing w:after="0" w:line="250" w:lineRule="auto"/>
        <w:rPr>
          <w:sz w:val="20"/>
          <w:szCs w:val="20"/>
          <w:color w:val="auto"/>
        </w:rPr>
      </w:pPr>
      <w:r>
        <w:rPr>
          <w:rFonts w:ascii="Times New Roman" w:cs="Times New Roman" w:eastAsia="Times New Roman" w:hAnsi="Times New Roman"/>
          <w:sz w:val="18"/>
          <w:szCs w:val="18"/>
          <w:color w:val="auto"/>
        </w:rPr>
        <w:t>We may seek to raise capital through equity or debt financings, collaborative agreements or other arrangements with other companies, or through other sources of financing. Adequate additional funding may not be available to us on acceptable terms or at all. Our failure to raise capital as and when needed could have a negative impact on our financial condition and our ability to pursue our business strategies. We anticipate that we will need to raise substantial additional capital, the requirements of which will depend on many factors, including:</w:t>
      </w:r>
    </w:p>
    <w:p>
      <w:pPr>
        <w:spacing w:after="0" w:line="83"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trial design, results of, and timing of our ongoing and planned clinical trials of tildacerfont;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costs and timing of seeking and obtaining FDA and any other regulatory approvals;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may pursue;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sufficient quantities of tildacerfont;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 to expand our research and development activities;</w:t>
      </w:r>
    </w:p>
    <w:p>
      <w:pPr>
        <w:spacing w:after="0" w:line="10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tildacerfont and establishing clinical and commercial supplies and sales, marketing, and distribution capabilities;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securing and establishing clinical and commercialization;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product candidates;</w:t>
      </w:r>
    </w:p>
    <w:p>
      <w:pPr>
        <w:spacing w:after="0" w:line="103"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retain key management and hire scientific, technical, business, and medical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products and product candidates and other market developments;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from tildacerfont and any future product candidates, if approved;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other terms, timing of, and success of any collaboration, licensing, or other arrangements which we may enter in the future; and</w:t>
      </w:r>
    </w:p>
    <w:p>
      <w:pPr>
        <w:spacing w:after="0" w:line="54" w:lineRule="exact"/>
        <w:rPr>
          <w:rFonts w:ascii="Times New Roman" w:cs="Times New Roman" w:eastAsia="Times New Roman" w:hAnsi="Times New Roman"/>
          <w:sz w:val="18"/>
          <w:szCs w:val="18"/>
          <w:color w:val="auto"/>
        </w:rPr>
      </w:pPr>
    </w:p>
    <w:p>
      <w:pPr>
        <w:ind w:left="1020" w:right="38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disruptions to and volatility in the credit and financial markets in the United States and worldwide from the COVID-19 pandemic.</w:t>
      </w:r>
    </w:p>
    <w:p>
      <w:pPr>
        <w:spacing w:after="0" w:line="176"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If we raise additional funds by issuing equity securities, our stockholders will experience dilution. If we raise additional capital through debt financing, we may be subject to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17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resulting from the COVID-19 pandemic and actions taken to slow its spread,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the pace and results of our development efforts.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cannot assure you that we will ever be profitable or generate positive cash flow from operating activities.</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Statement of Cash Flows</w:t>
      </w:r>
    </w:p>
    <w:p>
      <w:pPr>
        <w:spacing w:after="0" w:line="108" w:lineRule="exact"/>
        <w:rPr>
          <w:sz w:val="20"/>
          <w:szCs w:val="20"/>
          <w:color w:val="auto"/>
        </w:rPr>
      </w:pPr>
    </w:p>
    <w:p>
      <w:pPr>
        <w:ind w:right="62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primary sources and uses of cash, cash equivalents, and restricted cash for the periods presented below (in thousands):</w:t>
      </w:r>
    </w:p>
    <w:p>
      <w:pPr>
        <w:spacing w:after="0" w:line="169"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48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(21,367</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(18,481</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(60,850 )</w:t>
            </w: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(187 )</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shd w:val="clear" w:color="auto" w:fill="CFF0FC"/>
          </w:tcPr>
          <w:p>
            <w:pPr>
              <w:spacing w:after="0"/>
              <w:rPr>
                <w:sz w:val="18"/>
                <w:szCs w:val="18"/>
                <w:color w:val="auto"/>
              </w:rPr>
            </w:pPr>
          </w:p>
        </w:tc>
      </w:tr>
      <w:tr>
        <w:trPr>
          <w:trHeight w:val="20"/>
        </w:trPr>
        <w:tc>
          <w:tcPr>
            <w:tcW w:w="54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26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(78,872 )</w:t>
            </w:r>
          </w:p>
        </w:tc>
      </w:tr>
      <w:tr>
        <w:trPr>
          <w:trHeight w:val="20"/>
        </w:trPr>
        <w:tc>
          <w:tcPr>
            <w:tcW w:w="54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-170815</wp:posOffset>
            </wp:positionV>
            <wp:extent cx="60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106"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For the six months ended June 30, 2022, net cash used in operating activities was $21.4 million, which consisted of a net loss of $23.6 million, and a net change of $2.2 million in non-cash charges. The non-cash charges of $2.2 million consisted of stock-based compensation expense, non-cash lease expense, amortization of discount on investments and depreciation expense.</w:t>
      </w:r>
    </w:p>
    <w:p>
      <w:pPr>
        <w:spacing w:after="0" w:line="82"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For the six months ended June 30, 2021, net cash used in operating activities was $18.5 million, which consisted of a net loss of $21.7 million, partially offset by a net change of $0.9 million in our net operating assets and liabilities and by $2.3 million in non-cash charges. The net change in our operating assets and liabilities was primarily due to a decrease in prepaid expenses and other current assets of $1.2 million, offset by a decrease in accounts payable and accrued expenses of $0.2 million, and a decrease in accrued compensation and noncurrent assets and liabilities of $0.1 million. The non-cash charges of $2.3 million consisted of stock-based compensation expense, non-cash lease expense, depreciation and amortization expense.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Investing Activities</w:t>
      </w:r>
    </w:p>
    <w:p>
      <w:pPr>
        <w:spacing w:after="0" w:line="119" w:lineRule="exact"/>
        <w:rPr>
          <w:sz w:val="20"/>
          <w:szCs w:val="20"/>
          <w:color w:val="auto"/>
        </w:rPr>
      </w:pPr>
    </w:p>
    <w:p>
      <w:pPr>
        <w:ind w:right="720" w:firstLine="509"/>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cash provided by investing activities was $26.0 million, consisting of proceeds from maturities of investments of $39.0 million offset by available for sale securities purchases of $13.0 million.</w:t>
      </w:r>
    </w:p>
    <w:p>
      <w:pPr>
        <w:spacing w:after="0" w:line="5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2021, cash used in investing activities was $60.9 million, consisting of available for sale securities purchases of $60.8 million and $22.0 thousand related to the purchase of property and equipment.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Provided by Financing Activities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six months ended June 30, 2022, cash used in financing activities was $0.2 million, consisting primarily of payments of deferred offering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w:t>
      </w:r>
    </w:p>
    <w:p>
      <w:pPr>
        <w:spacing w:after="0" w:line="85"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2021, cash provided by financing activities was $0.5 million, consisting primarily of net proceeds from the issuance of long-term debt and proceeds from exercise of stock options and employee stock purchase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We are party to the Loan Agreement, as amended, with Silicon Valley Bank, and have material cash requirements thereunder. For a description of the terms of the Loan Agreement, see the section titled “Management’s Discussion and Analysis of Financial Condition and Results of Operations— Liquidity and Capital Resources—Loan Agreement”.</w:t>
      </w:r>
    </w:p>
    <w:p>
      <w:pPr>
        <w:spacing w:after="0" w:line="8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 February 2020, we entered into a non-cancelable operating lease for office space with a commencement date of September 2020. The monthly payments escalate over the 63-month term with total gross commitments of $2.3 million.</w:t>
      </w:r>
    </w:p>
    <w:p>
      <w:pPr>
        <w:spacing w:after="0" w:line="54"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third-party contract manufacturing organizations and CROs for clinical trials, non-clinical studies, drug substance and product manufacturing and other services for operating purposes. These contracts are generally cancelable by us upon prior written notice after a certain period. Payments due upon cancellation consist only of payments for services provided or expenses incurred, including noncancelable obligations of our service providers, up to the date of cancellation.</w:t>
      </w:r>
    </w:p>
    <w:p>
      <w:pPr>
        <w:spacing w:after="0" w:line="83" w:lineRule="exact"/>
        <w:rPr>
          <w:sz w:val="20"/>
          <w:szCs w:val="20"/>
          <w:color w:val="auto"/>
        </w:rPr>
      </w:pPr>
    </w:p>
    <w:p>
      <w:pPr>
        <w:jc w:val="both"/>
        <w:ind w:right="300" w:firstLine="509"/>
        <w:spacing w:after="0" w:line="250" w:lineRule="auto"/>
        <w:rPr>
          <w:sz w:val="20"/>
          <w:szCs w:val="20"/>
          <w:color w:val="auto"/>
        </w:rPr>
      </w:pPr>
      <w:r>
        <w:rPr>
          <w:rFonts w:ascii="Times New Roman" w:cs="Times New Roman" w:eastAsia="Times New Roman" w:hAnsi="Times New Roman"/>
          <w:sz w:val="18"/>
          <w:szCs w:val="18"/>
          <w:color w:val="auto"/>
        </w:rPr>
        <w:t>We have also entered into the License Agreement under which we are obligated to make aggregate milestone payments upon the achievement of specified milestones as well as royalty payments. The payment obligations under the License Agreement are contingent upon future events, such as our achievement of specified milestones or generating product sales. As of June 30, 2022, we</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were unable to estimate the timing or likelihood of achieving these milestones or generating future product sales. See the section titled “License Agreement with Lilly and Company”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Our condensed financial statements have been prepared in accordance with generally accepted accounting principles in the United States. The preparation of these condensed financial statements requires us to make estimates and assumptions that affect the reported amounts of assets, liabilities and expenses, as well as the related disclosure of contingent assets and liabilities as of the date of the financial statements.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Our actual results may differ from these estimates under different assumptions or conditions.</w:t>
      </w:r>
    </w:p>
    <w:p>
      <w:pPr>
        <w:spacing w:after="0" w:line="18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in the section titled “Management’s Discussion and Analysis of Financial Condition and Results of Operations—Critical Accounting Policies, Significant Judgments and Use of Estimates” in the Annual Report. During the three and six months ended June 30, 2022, there were no material changes to our critical accounting policies from those discussed in the Annual Report.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21"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JOBS Act. The JOBS Act permits emerging growth companies to take advantage of an extended transition period to comply with new or revised accounting standards, delaying the adoption of these accounting standards until they would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95"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could be an emerging growth company until December 31, 2025, although circumstances could cause us to lose that status earlier, including if we become a “large accelerated filer” as defined in Rule 12b-2 under the Exchange Act or if we have total annual gross revenue of $1.07 billion or more during any fiscal year before that time, in which cases we would no longer be an emerging growth company as of the following December 31 or, if we issue more than $1.0 billion in non-convertible debt during any three year period before that time, we would cease to be an emerging growth company immediately.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Our cash, cash equivalents and investments as of June 30, 2022 consist of $99.1 million in bank deposits, money market funds, U.S. treasury securities, commercial papers and corporate bonds. Such interest-earning instruments carry a degree of interest rate risk. The goals of our investment policy are capital preservation, liquidity, safeguarding of capital and total return. We do not enter into investments for trading or speculative purposes and have not used any derivative financial instruments to manage our interest rate exposure. While we believe our cash, cash equivalents and investments do not contain excessive risk, we cannot provide absolute assurance that in the future our investments will not be subject to adverse changes in market value. In addition, we maintain significant amounts of cash and cash equivalents at financial institutions in excess of federally insured limits.</w:t>
      </w:r>
    </w:p>
    <w:p>
      <w:pPr>
        <w:spacing w:after="0" w:line="195" w:lineRule="exact"/>
        <w:rPr>
          <w:sz w:val="20"/>
          <w:szCs w:val="20"/>
          <w:color w:val="auto"/>
        </w:rPr>
      </w:pPr>
    </w:p>
    <w:p>
      <w:pPr>
        <w:ind w:right="360" w:firstLine="509"/>
        <w:spacing w:after="0" w:line="250" w:lineRule="auto"/>
        <w:rPr>
          <w:sz w:val="20"/>
          <w:szCs w:val="20"/>
          <w:color w:val="auto"/>
        </w:rPr>
      </w:pPr>
      <w:r>
        <w:rPr>
          <w:rFonts w:ascii="Times New Roman" w:cs="Times New Roman" w:eastAsia="Times New Roman" w:hAnsi="Times New Roman"/>
          <w:sz w:val="18"/>
          <w:szCs w:val="18"/>
          <w:color w:val="auto"/>
        </w:rPr>
        <w:t>Additionally, the interest rate for borrowings under the Loan Agreement is variable and for interest-bearing investments is fixed. A hypothetical 10% relative change in interest rates during any of the periods presented would not have had a material impact on our financial statements. We do not currently engage in hedging transactions to manage our exposure to interest rate risk.</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Foreign Currency Rate Risk</w:t>
      </w:r>
    </w:p>
    <w:p>
      <w:pPr>
        <w:spacing w:after="0" w:line="108"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Our operations include activities in the United States. In addition, we contract with vendors that are located outside of the United States and certain invoices are denominated in foreign currencies. While our operating results are exposed to changes in foreign currency exchange rates between the U.S. dollar and various foreign currencies, we do not believe that inflation, interest rate changes, or exchange rate fluctuations had a significant impact on our results of operations for any periods presented herein.</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was no material foreign currency risk for the six months ended June 30, 2022.</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08"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that inflation and changing prices had a significant impact on our results of operations for any periods presented herein. While we are seeing, and expect to continue to see, record inflation due to, among other things, the COVID-19 pandemic and other geopolitical and macroeconomic events, such as the ongoing military conflict between Ukraine and Russia and related sanctions, as of the date of this Quarterly Report on Form 10-Q, we do not expect anticipated changes in inflation to have a material effect on our business, financial condition or results of operations for future reporting periods other than general impacts on companies due to general economic and market conditions.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and our President and Chief Financial Officer, have evaluated our disclosure controls and procedures (as defined in Rules 13a-15(e) and 15d-15(e) under the Securities Exchange Act of 1934, as amended, or the Exchange Act) as of the end of the period covered by this Quarterly Report on Form 10-Q. Based on that evaluation, our Chief Executive Officer and President and Chief Financial Officer have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President and Chief Financial Officer, as appropriate, to allow timely decisions regarding required disclosure.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quarter ended June 30, 2022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the Effectiveness of Disclosure Controls and Procedures</w:t>
      </w:r>
    </w:p>
    <w:p>
      <w:pPr>
        <w:spacing w:after="0" w:line="108"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and internal control over financial reporting, our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 The design of any disclosure controls and procedures and internal control over financial reporting also are based in part upon certain assumptions about the likelihood of future events, and there can be no assurance that any design will succeed in achieving its stated goals under all potential future conditions.</w:t>
      </w:r>
    </w:p>
    <w:p>
      <w:pPr>
        <w:spacing w:after="0" w:line="1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not currently a party to any material legal proceedings. Regardless of outcome, litigation can have an adverse impact on us due to defense and settlement costs, diversion of management resources, negative publicity, reputational harm and other factors.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i w:val="1"/>
          <w:iCs w:val="1"/>
          <w:color w:val="auto"/>
        </w:rPr>
        <w:t>An investment in shares of our common stock involves a high degree of risk. You should carefully consider the risks described below, as well as the other information in this Quarterly Report on Form 10-Q, including our unaudited condensed financial statements and the related notes and “Management’s Discussion and Analysis of Financial Condition and Results of Operations” before deciding whether to purchase, hold or sell shares of our common stock. The occurrence of any of the risks described below could harm our business, financial condition, results of operations, growth prospects, and/or stock price or cause our actual results to differ materially from those contained in forward-looking statements we have made in this Quarterly Report on Form 10-Q and those we may make from time to time. You should consider all of the risk factors described when evaluating our business. We have marked with an asterisk (*) those risk factors that reflect changes from the similarly titled risk factors included in the Annual Report.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04"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incurred significant net losses since our inception, and anticipate that we will continue to incur significant net losses for the foreseeable future.*</w:t>
      </w:r>
    </w:p>
    <w:p>
      <w:pPr>
        <w:spacing w:after="0" w:line="63"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We are a late-stage biopharmaceutical company founded in 2014, and our operations to date have focused primarily on raising capital, establishing and protecting our intellectual property portfolio, organizing and staffing our company, business planning, and conducting preclinical and clinical development of, and manufacturing development for, our only product candidate, tildacerfont. Additionally, as an organization, we have not yet demonstrated an ability to successfully complete clinical development, obtain regulatory approvals, manufacture a commercial-scale product, or conduct sales and marketing activities necessary for successful commercialization. As we build our capabilities and expand our organization,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p>
    <w:p>
      <w:pPr>
        <w:spacing w:after="0" w:line="78"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Investment in biopharmaceutical product development is highly speculative because it entails substantial upfront capital expenditures and significant risk that any potential product candidate will fail to demonstrate adequate effectiveness in the targeted indication or an acceptable safety profile, gain regulatory approval and become commercially viable. We have no products approved for commercial sale and have not generated any revenue to date, and we continue to incur significant research and development and other expenses related to our ongoing operations. As a result, we are not profitable and have incurred significant net losses since our inception. If tildacerfont is not successfully developed and approved in the United States or Europe, we may never generate any revenue. For the six months ended June 30, 2022, we reported a net loss of $23.6 million. As of June 30, 2022, we had an accumulated deficit of $126.8 million.</w:t>
      </w:r>
    </w:p>
    <w:p>
      <w:pPr>
        <w:spacing w:after="0" w:line="73"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as we continue our clinical development of, seek regulatory approvals for, and commercially launch tildacerfont and any future product candidates, if approved.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net losses and expected future net losses have had and will continue to have an adverse effect on our stockholders’ equity and working capital. Because of the numerous risks and uncertainties associated with drug development, we are unable to accurately predict the timing or amount of increased expenses, or when, if at all, we will be able to achieve profitability.</w:t>
      </w:r>
    </w:p>
    <w:p>
      <w:pPr>
        <w:spacing w:after="0" w:line="83"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financing to develop tildacerfont and any future product candidates and implement our operating plan. If we fail to obtain additional financing, we may be forced to delay, reduce or eliminate our product development programs or commercialization efforts.*</w:t>
      </w:r>
    </w:p>
    <w:p>
      <w:pPr>
        <w:spacing w:after="0" w:line="50"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our inception. We expect to continue to spend substantial amounts to continue the clinical development of, and seek regulatory approval for, tildacerfont and any future product candidates. We will require significant additional amounts in order to prepare for commercialization, and, if approved, to launch and commercialize tildacerfont.</w:t>
      </w:r>
    </w:p>
    <w:p>
      <w:pPr>
        <w:spacing w:after="0" w:line="6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June 30, 2022, we had cash, cash equivalents and investments of $99.1 million. We believe, based on our current operating plan, that our cash, cash equivalents and investments as of June 30, 2022 will be sufficient to fund our operations for at least the next 12 months.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However, changing circumstances may cause us to consume capital significantly faster than we currently anticipate, and we may need to spend more money than currently expected because of circumstances beyond our control. For example, primarily as a result of the COVID-19 pandemic, enrollment in our Phase 2b clinical trials evaluating tildacerfont for the treatment of adult classic CAH has been delayed, extending the overall duration of the trials. We plan to expand the number of trial sites worldwide to provide more recruitment capabilities in an effort to accelerate enrollment. Additionally, we have amended our clinical trial protocols to enable remote visits to mitigate any potential impacts. As a result of the extended duration of the trials, increased number of trial sites, and this home health component, the overall costs of our Phase 2b clinical trials have increased and may continue to increase in the future.</w:t>
      </w:r>
    </w:p>
    <w:p>
      <w:pPr>
        <w:spacing w:after="0" w:line="7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will require additional capital for the further development and commercialization of tildacerfont and any future product candidates and may need to raise additional funds sooner if we choose to expand more rapidly than we presently anticipate.</w:t>
      </w:r>
    </w:p>
    <w:p>
      <w:pPr>
        <w:spacing w:after="0" w:line="54" w:lineRule="exact"/>
        <w:rPr>
          <w:sz w:val="20"/>
          <w:szCs w:val="20"/>
          <w:color w:val="auto"/>
        </w:rPr>
      </w:pPr>
    </w:p>
    <w:p>
      <w:pPr>
        <w:ind w:right="240" w:firstLine="509"/>
        <w:spacing w:after="0" w:line="244" w:lineRule="auto"/>
        <w:rPr>
          <w:sz w:val="20"/>
          <w:szCs w:val="20"/>
          <w:color w:val="auto"/>
        </w:rPr>
      </w:pPr>
      <w:r>
        <w:rPr>
          <w:rFonts w:ascii="Times New Roman" w:cs="Times New Roman" w:eastAsia="Times New Roman" w:hAnsi="Times New Roman"/>
          <w:sz w:val="18"/>
          <w:szCs w:val="18"/>
          <w:color w:val="auto"/>
        </w:rPr>
        <w:t>Additional funding may not be available on acceptable terms, or at all. As a result of the COVID-19 pandemic and geopolitical events such as the ongoing military conflict between Ukraine and Russia and related sanctions, the global credit and financial markets have experienced volatility and disruptions,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or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spacing w:after="0" w:line="77"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Any of the above events could significantly harm our business, prospects, financial condition, and results of operations and cause the price of our common stock to decline.</w:t>
      </w:r>
    </w:p>
    <w:p>
      <w:pPr>
        <w:spacing w:after="0" w:line="36"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spacing w:after="0" w:line="60"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We currently only have one product candidate, tildacerfont, and our business and future success depends entirely on our ability to develop, obtain regulatory approval for, and then successfully commercialize, tildacerfont, which is currently in clinical development for adult patients with classic CAH. This may make an investment in our company riskier than similar companies that have multiple product candidates in active development that may be able to better sustain failure of a lead product candidate. We have initiated CAHmelia-203, a placebo-controlled, double-blind Phase 2b clinical trial in adult patients with classic CAH with poor disease control and anticipate topline results in the second half of 2023. We have also initiated CAHmelia-204, a second Phase 2b clinical trial in adult patients with classic CAH with good disease control focused on glucocorticoid reduction and anticipate topline results in the second half of 2024.</w:t>
      </w:r>
    </w:p>
    <w:p>
      <w:pPr>
        <w:spacing w:after="0" w:line="73"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Assuming positive results, we plan to meet with the FDA and certain comparable foreign regulatory authorities to discuss registration. While we believe these two clinical trials will provide sufficient patient exposures for our registrational safety database, the FDA and comparable foreign regulatory authorities may not agree and may require us to enroll additional patients or initiate one or more additional clinical trials, including a Phase 3 clinical trial or trials. If the FDA or comparable foreign regulatory authorities require us to conduct one or more clinical trials, including a Phase 3 clinical trial or trials, the design, duration, and scope of such clinical trials will be decided upon after further discussions with the FDA or comparable foreign regulatory authorities, and at this time are not ascertainable. As a result, we are unable to predict with certainty the estimated timing or scope of any future clinical trials of tildacerfont we may be required to conduct.</w:t>
      </w:r>
    </w:p>
    <w:p>
      <w:pPr>
        <w:spacing w:after="0" w:line="73"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In addition, we are investigating tildacerfont for the treatment of classic CAH in children. We have initiated a Phase 2 open-label clinical trial, which will utilize a sequential three cohort design, to evaluate the safety and pharmacokinetics of tildacerfont in children six to 17 years of age with classic CAH. We anticipate topline safety results from cohort 1 of the Phase 2 open-label clinical trial in the first half of 2023. Additionally, by leveraging our existing Phase 1 program, which includes safety, tolerability, and pharmacokinetics of tildacerfont, we have initiated a Phase 2 proof-of-concept clinical trial in PCOS. The Phase 2 proof-of-concept clinical trial is a randomized, placebo-controlled, dose escalation trial which will evaluate the safety and efficacy of tildacerfont titrated to 200 mg QD compared to placebo over 12 weeks of treatment in subjects with PCOS and elevated adrenal androgens as measured by DHEAS levels at baseline. We anticipate topline results from the Phase 2 proof-of-concept clinical trial in the first half of 2023.</w:t>
      </w:r>
    </w:p>
    <w:p>
      <w:pPr>
        <w:spacing w:after="0" w:line="73"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COVID-19 pandemic continues to evolve and any impacts on these projected milestones are highly uncertain and cannot be predicted with confidence.</w:t>
      </w:r>
    </w:p>
    <w:p>
      <w:pPr>
        <w:spacing w:after="0" w:line="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of tildacerfont will depend on several factors, including the following:</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left="1780" w:hanging="380"/>
        <w:spacing w:after="0"/>
        <w:tabs>
          <w:tab w:leader="none" w:pos="1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site expansion and activation and patient engagement in our ongoing and planned clinical trials;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our ongoing and planned clinical trials with favorable results;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and EMA of the clinical trial design of our planned and ongoing clinical trials of tildacerfont;</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safety and efficacy to the satisfaction of applicable regulatory authorities;</w:t>
      </w:r>
    </w:p>
    <w:p>
      <w:pPr>
        <w:spacing w:after="0" w:line="103" w:lineRule="exact"/>
        <w:rPr>
          <w:rFonts w:ascii="Times New Roman" w:cs="Times New Roman" w:eastAsia="Times New Roman" w:hAnsi="Times New Roman"/>
          <w:sz w:val="18"/>
          <w:szCs w:val="18"/>
          <w:color w:val="auto"/>
        </w:rPr>
      </w:pPr>
    </w:p>
    <w:p>
      <w:pPr>
        <w:ind w:left="1780" w:right="300" w:hanging="380"/>
        <w:spacing w:after="0" w:line="266" w:lineRule="auto"/>
        <w:tabs>
          <w:tab w:leader="none" w:pos="1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EMA, and other comparable foreign regulatory authorities;</w:t>
      </w:r>
    </w:p>
    <w:p>
      <w:pPr>
        <w:spacing w:after="0" w:line="67" w:lineRule="exact"/>
        <w:rPr>
          <w:rFonts w:ascii="Times New Roman" w:cs="Times New Roman" w:eastAsia="Times New Roman" w:hAnsi="Times New Roman"/>
          <w:sz w:val="18"/>
          <w:szCs w:val="18"/>
          <w:color w:val="auto"/>
        </w:rPr>
      </w:pPr>
    </w:p>
    <w:p>
      <w:pPr>
        <w:ind w:left="1780" w:right="900" w:hanging="380"/>
        <w:spacing w:after="0" w:line="266" w:lineRule="auto"/>
        <w:tabs>
          <w:tab w:leader="none" w:pos="1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 including one or more NDAs from the FDA, and maintaining such approvals;</w:t>
      </w:r>
    </w:p>
    <w:p>
      <w:pPr>
        <w:spacing w:after="0" w:line="54" w:lineRule="exact"/>
        <w:rPr>
          <w:rFonts w:ascii="Times New Roman" w:cs="Times New Roman" w:eastAsia="Times New Roman" w:hAnsi="Times New Roman"/>
          <w:sz w:val="18"/>
          <w:szCs w:val="18"/>
          <w:color w:val="auto"/>
        </w:rPr>
      </w:pPr>
    </w:p>
    <w:p>
      <w:pPr>
        <w:ind w:left="1780" w:right="120" w:hanging="380"/>
        <w:spacing w:after="0" w:line="266" w:lineRule="auto"/>
        <w:tabs>
          <w:tab w:leader="none" w:pos="1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and receiving/importing commercial supplies approved by the FDA and other regulatory authorities from any future third-party manufacturer;</w:t>
      </w:r>
    </w:p>
    <w:p>
      <w:pPr>
        <w:spacing w:after="0" w:line="67" w:lineRule="exact"/>
        <w:rPr>
          <w:rFonts w:ascii="Times New Roman" w:cs="Times New Roman" w:eastAsia="Times New Roman" w:hAnsi="Times New Roman"/>
          <w:sz w:val="18"/>
          <w:szCs w:val="18"/>
          <w:color w:val="auto"/>
        </w:rPr>
      </w:pPr>
    </w:p>
    <w:p>
      <w:pPr>
        <w:ind w:left="1780" w:right="480" w:hanging="380"/>
        <w:spacing w:after="0" w:line="266" w:lineRule="auto"/>
        <w:tabs>
          <w:tab w:leader="none" w:pos="1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commercializing tildacerfont, if approved, whether alone or in collaboration with others;</w:t>
      </w:r>
    </w:p>
    <w:p>
      <w:pPr>
        <w:spacing w:after="0" w:line="54"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patent and trade secret protection and regulatory exclusivity for tildacerfont;</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tildacerfont following approval; and</w:t>
      </w:r>
    </w:p>
    <w:p>
      <w:pPr>
        <w:spacing w:after="0" w:line="103" w:lineRule="exact"/>
        <w:rPr>
          <w:rFonts w:ascii="Times New Roman" w:cs="Times New Roman" w:eastAsia="Times New Roman" w:hAnsi="Times New Roman"/>
          <w:sz w:val="18"/>
          <w:szCs w:val="18"/>
          <w:color w:val="auto"/>
        </w:rPr>
      </w:pPr>
    </w:p>
    <w:p>
      <w:pPr>
        <w:ind w:left="1780" w:right="40" w:hanging="380"/>
        <w:spacing w:after="0" w:line="266" w:lineRule="auto"/>
        <w:tabs>
          <w:tab w:leader="none" w:pos="1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people who can develop and, if approved, commercialize, market, and sell tildacerfont to physicians, patients, healthcare payors, and others in the medical community.</w:t>
      </w:r>
    </w:p>
    <w:p>
      <w:pPr>
        <w:spacing w:after="0" w:line="68" w:lineRule="exact"/>
        <w:rPr>
          <w:sz w:val="20"/>
          <w:szCs w:val="20"/>
          <w:color w:val="auto"/>
        </w:rPr>
      </w:pPr>
    </w:p>
    <w:p>
      <w:pPr>
        <w:ind w:right="740" w:firstLine="509"/>
        <w:spacing w:after="0" w:line="266" w:lineRule="auto"/>
        <w:rPr>
          <w:sz w:val="20"/>
          <w:szCs w:val="20"/>
          <w:color w:val="auto"/>
        </w:rPr>
      </w:pPr>
      <w:r>
        <w:rPr>
          <w:rFonts w:ascii="Times New Roman" w:cs="Times New Roman" w:eastAsia="Times New Roman" w:hAnsi="Times New Roman"/>
          <w:sz w:val="18"/>
          <w:szCs w:val="18"/>
          <w:color w:val="auto"/>
        </w:rPr>
        <w:t>If we do not achieve one or more of these factors, many of which are beyond our control, in a timely manner or at all, we could experience significant delays or an inability to obtain regulatory approvals or commercialize tildacerfont.</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Even if regulatory approvals are obtained, we may never be able to successfully commercialize tildacerfont. In addition, we will need to transition at some point from a company with a development focus to a company capable of supporting commercial activities. We may not be successful in such a transition. Accordingly, we may not be able to generate sufficient revenue through the sale of tildacerfont to continue our business.</w:t>
      </w:r>
    </w:p>
    <w:p>
      <w:pPr>
        <w:spacing w:after="0" w:line="5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adequately demonstrate the safety and efficacy of tildacerfont, which could prevent or delay regulatory approval and commercialization.</w:t>
      </w:r>
    </w:p>
    <w:p>
      <w:pPr>
        <w:spacing w:after="0" w:line="37"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 product candidate, we must demonstrate through lengthy, complex, and expensive preclinical testing and clinical trials that a product candidate is both safe and effective for use in each target indication. Clinical trials often fail to demonstrate safety and efficacy of the product candidate studied for the target indication. Most product candidates that commence clinical trials are never approved by regulatory authorities for commercialization. We are seeking to develop treatments for rare endocrine disorders for which there is limited clinical experience, and our two ongoing Phase 2b clinical trials use novel endpoints that do not have regulatory precedent in classic CAH due to the lack of clinical trials in classic CAH, which add complexity to the conduct and analysis of data from our clinical trials and may delay or prevent regulatory approval. Additionally, any safety concerns observed in any one of our clinical trials in our targeted indications could limit the prospects for regulatory approval of tildacerfont in other indications.</w:t>
      </w:r>
    </w:p>
    <w:p>
      <w:pPr>
        <w:spacing w:after="0" w:line="7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spacing w:after="0" w:line="60"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Preclinical and clinical testing is expensive and can take many years to complete, and its outcome is inherently uncertain. A failure of one or more preclinical or clinical trials can occur at any stage of testing. The results of preclinical studies and early clinical trials of tildacerfont may not be predictive of the results of later-stage clinical trials. Product candidates in later stages of clinical trials may fail to show the desired safety and efficacy traits despite having progressed through preclinical studies and initial clinical trials. For example, tildacerfont has not yet been evaluated in pediatric patients with classic CAH, and the results may not be similar to the results observed in clinical trials of adult patients. In addition, we intend to use doses in our two Phase 2b clinical trials that may not be safe or efficacious doses. As such, our hypotheses of efficacy may not show the desired clinical results. A number of companies in the biopharmaceutical industry have suffered significant setbacks in advanced clinical trials due to lack of efficacy or safety profiles, notwithstanding promising results in earlier trials. Moreover, preclinical and clinical data is often susceptible to varying interpretations and analyses. We may face significant setbacks as we conduct our two Phase 2b clinical trials in adult patients with classic CAH, which may delay or prevent regulatory approval of tildacerfont.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Further, if patients drop out of our clinical trials, miss scheduled doses or follow-up visits, or otherwise fail to follow clinical trial protocols, whether as a result of the COVID-19 pandemic, actions taken to slow the spread of COVID-19 or otherwise, the integrity of data from our clinical trials may be compromised or not accepted by the FDA or other regulatory authorities, which would represent a significant setback for the applicable program.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08"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We may not be able to initiate or continue our clinical trials for tildacerfont and any future product candidates if we are unable to identify and enroll a sufficient number of eligible patients to participate in these trials as required by the FDA and comparable foreign regulatory authorities. Patient enrollment, a significant factor in the timing of clinical trials, is affected by many factors including the size and nature of the patient population, the proximity of patients to clinical sites, the eligibility criteria for the clinical trial, the design of the clinical trial, competing clinical trials, patient engagement, and clinicians’ and patients’ perceptions as to the potential advantages of the product candidate being studied in relation to other available therapies, including any new drugs that may be approved for the indications we are investigating.</w:t>
      </w:r>
    </w:p>
    <w:p>
      <w:pPr>
        <w:spacing w:after="0" w:line="87"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In particular, each indication for which we are evaluating tildacerfont is a rare endocrine disorder with limited patient populations from which to draw participants in clinical trials. For example, we estimate the total classic CAH populations are approximately 20,000 to 30,000 people in the United States, approximately 50,000 people in the European Union, or EU, and approximately 145,000 people in China. We are and will be required to identify and enroll a sufficient number of patients with the disorder under investigation for our clinical trials of tildacerfont. Potential patients may not be adequately diagnosed or identified with the disorders which we are targeting or may not meet the entry criteria for our clinical trials. Additionally, other pharmaceutical companies with more resources and greater experience in drug development and commercialization are targeting these same endocrine disorders and are recruiting clinical trial patients from these patient populations, which may delay or make it more difficult to fully enroll our clinical trials. In addition, we have encountered difficulties in opening clinical trial sites and enrolling patients in our two ongoing Phase 2b clinical trials. Our inability to enroll a sufficient number of patients for any of our current or future clinical trials would result in significant delays or may require us to abandon one or more clinical trials altogether.</w:t>
      </w:r>
    </w:p>
    <w:p>
      <w:pPr>
        <w:spacing w:after="0" w:line="78"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Our clinical trials have been, and may in the future be, affected by the COVID-19 pandemic. For example, the COVID-19 pandemic has impacted patient enrollment in our two ongoing Phase 2b clinical trials. In particular, some sites have paused or delayed enrollment to focus on, and direct resources to, COVID-19, while at other sites, patients have chosen not to enroll or continue participating in the clinical trial as a result of the pandemic. In addition, patient visits to endocrinologists in the United States have slowed as a result of the COVID-19 pandemic. Further, according to the Centers for Disease Control and Prevention, people who have serious chronic medical conditions, including those such as classic CAH, are at higher risk of getting very sick from COVID-19. As a result, current or potential patients in our ongoing and planned clinical trials may choose to not enroll, not participate in follow-up clinical visits, or drop out of the trial as a precaution against contracting COVID-19. Further, some patients may not be able or willing to comply with clinical trial protocols if quarantines impede patient movement or interrupt healthcare services.</w:t>
      </w:r>
    </w:p>
    <w:p>
      <w:pPr>
        <w:spacing w:after="0" w:line="78"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We are unable to predict with confidence the likelihood or duration of such patient enrollment delays and difficulties, whether related to COVID-19 or otherwise. If patient enrollment is delayed for an extended period of time, our Phase 2b clinical trials could be delayed or otherwise adversely affected.</w:t>
      </w:r>
    </w:p>
    <w:p>
      <w:pPr>
        <w:spacing w:after="0" w:line="14"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Any delays in the commencement or completion, or termination or suspension, of our clinical trials could result in increased costs to us, delay or limit our ability to generate revenue, and adversely affect our commercial prospects.</w:t>
      </w:r>
    </w:p>
    <w:p>
      <w:pPr>
        <w:spacing w:after="0" w:line="63"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Before we can initiate clinical trials for tildacerfont or any future product candidates, we must submit the results of preclinical studies to the FDA, or comparable foreign regulatory authorities, along with other information, including information about chemistry, manufacturing and controls, and our proposed clinical trial protocol, as part of an IND or similar regulatory filing under which we must receive authorization to proceed with clinical development.</w:t>
      </w:r>
    </w:p>
    <w:p>
      <w:pPr>
        <w:spacing w:after="0" w:line="69"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tildacerfont or any future product candidates, we must conduct extensive clinical trials to demonstrate the safety and efficacy of tildacerfont and any future product candidates in humans. Clinical testing is expensive, time-consuming, and uncertain as to outcome. In addition, we may rely in part on preclinical, clinical and quality data generated by CROs and other third parties for regulatory submissions for tildacerfont and any future product candidates. While we have or will have agreements governing these third parties’ services, we have limited influence over their actual performance. If these third parties do not make data available to us, or, if applicable, do not make regulatory submissions in a timely manner, in each case pursuant to our agreements with them, our development programs may be significantly delayed, and we may need to conduct additional clinical trials or collect additional data independently. In either case, our development costs would increase.</w:t>
      </w:r>
    </w:p>
    <w:p>
      <w:pPr>
        <w:spacing w:after="0" w:line="7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do not know whether our current or any future clinical trials will begin on time or be completed on schedule, if at all. The commencement and completion of clinical trials can be delayed for a number of reasons, including delays related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left="1780" w:hanging="380"/>
        <w:spacing w:after="0" w:line="296" w:lineRule="auto"/>
        <w:tabs>
          <w:tab w:leader="none" w:pos="1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failure to accept our proposed manufacturing processes and suppliers and/or requirement to provide additional information regarding our manufacturing processes before providing marketing authorization;</w:t>
      </w:r>
    </w:p>
    <w:p>
      <w:pPr>
        <w:spacing w:after="0" w:line="30" w:lineRule="exact"/>
        <w:rPr>
          <w:rFonts w:ascii="Times New Roman" w:cs="Times New Roman" w:eastAsia="Times New Roman" w:hAnsi="Times New Roman"/>
          <w:sz w:val="17"/>
          <w:szCs w:val="17"/>
          <w:color w:val="auto"/>
        </w:rPr>
      </w:pPr>
    </w:p>
    <w:p>
      <w:pPr>
        <w:ind w:left="1780" w:right="20" w:hanging="380"/>
        <w:spacing w:after="0" w:line="282" w:lineRule="auto"/>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authorizations to commence a clinical trial or reaching a consensus with regulatory authorities on clinical trial design or implementation;</w:t>
      </w:r>
    </w:p>
    <w:p>
      <w:pPr>
        <w:spacing w:after="0" w:line="40" w:lineRule="exact"/>
        <w:rPr>
          <w:rFonts w:ascii="Times New Roman" w:cs="Times New Roman" w:eastAsia="Times New Roman" w:hAnsi="Times New Roman"/>
          <w:sz w:val="18"/>
          <w:szCs w:val="18"/>
          <w:color w:val="auto"/>
        </w:rPr>
      </w:pPr>
    </w:p>
    <w:p>
      <w:pPr>
        <w:ind w:left="1780" w:right="340" w:hanging="380"/>
        <w:spacing w:after="0" w:line="266" w:lineRule="auto"/>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CROs and clinical trial sites, the terms of which can be subject to extensive negotiation and may vary significantly among different CROs and clinical trial sites;</w:t>
      </w:r>
    </w:p>
    <w:p>
      <w:pPr>
        <w:spacing w:after="0" w:line="6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from one or more institutional review boards, or IRBs, or Ethics Committees, or ECs;</w:t>
      </w:r>
    </w:p>
    <w:p>
      <w:pPr>
        <w:spacing w:after="0" w:line="103" w:lineRule="exact"/>
        <w:rPr>
          <w:rFonts w:ascii="Times New Roman" w:cs="Times New Roman" w:eastAsia="Times New Roman" w:hAnsi="Times New Roman"/>
          <w:sz w:val="18"/>
          <w:szCs w:val="18"/>
          <w:color w:val="auto"/>
        </w:rPr>
      </w:pPr>
    </w:p>
    <w:p>
      <w:pPr>
        <w:ind w:left="1780" w:right="280" w:hanging="380"/>
        <w:spacing w:after="0" w:line="266" w:lineRule="auto"/>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IRBs or ECs refusing to approve, suspending or terminating the clinical trial at an investigational site, precluding enrollment of additional subjects, or withdrawing their approval of the clinical trial;</w:t>
      </w:r>
    </w:p>
    <w:p>
      <w:pPr>
        <w:spacing w:after="0" w:line="54"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protocols and related operationalization of such changes at clinical trial sites;</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and EMA of the clinical trial design of our planned and ongoing clinical trials of tildacerfont;</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sites not timely activating, delaying screening activities, or deviating from clinical trial protocols;</w:t>
      </w:r>
    </w:p>
    <w:p>
      <w:pPr>
        <w:spacing w:after="0" w:line="117" w:lineRule="exact"/>
        <w:rPr>
          <w:rFonts w:ascii="Times New Roman" w:cs="Times New Roman" w:eastAsia="Times New Roman" w:hAnsi="Times New Roman"/>
          <w:sz w:val="18"/>
          <w:szCs w:val="18"/>
          <w:color w:val="auto"/>
        </w:rPr>
      </w:pPr>
    </w:p>
    <w:p>
      <w:pPr>
        <w:ind w:left="1780" w:right="900" w:hanging="380"/>
        <w:spacing w:after="0" w:line="266" w:lineRule="auto"/>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tildacerfont or any future product candidates or obtaining sufficient quantities of combination therapies for use in clinical trials;</w:t>
      </w:r>
    </w:p>
    <w:p>
      <w:pPr>
        <w:spacing w:after="0" w:line="54"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failing to enroll or remain in our trials at the rate we expect, or failing to return for post-treatment follow-up;</w:t>
      </w:r>
    </w:p>
    <w:p>
      <w:pPr>
        <w:spacing w:after="0" w:line="117" w:lineRule="exact"/>
        <w:rPr>
          <w:rFonts w:ascii="Times New Roman" w:cs="Times New Roman" w:eastAsia="Times New Roman" w:hAnsi="Times New Roman"/>
          <w:sz w:val="18"/>
          <w:szCs w:val="18"/>
          <w:color w:val="auto"/>
        </w:rPr>
      </w:pPr>
    </w:p>
    <w:p>
      <w:pPr>
        <w:ind w:left="1780" w:right="420" w:hanging="380"/>
        <w:spacing w:after="0" w:line="266" w:lineRule="auto"/>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for the indications for which we are developing tildacerfont and any future product candidates, or participating in competing clinical trials;</w:t>
      </w:r>
    </w:p>
    <w:p>
      <w:pPr>
        <w:spacing w:after="0" w:line="54"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subject engagement in the clinical trials or subjects dropping out of a clinical trial;</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experiencing severe or unexpected drug-related adverse effects;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SAEs in clinical trials of the same class of agents conducted by other companies;</w:t>
      </w:r>
    </w:p>
    <w:p>
      <w:pPr>
        <w:spacing w:after="0" w:line="117" w:lineRule="exact"/>
        <w:rPr>
          <w:rFonts w:ascii="Times New Roman" w:cs="Times New Roman" w:eastAsia="Times New Roman" w:hAnsi="Times New Roman"/>
          <w:sz w:val="18"/>
          <w:szCs w:val="18"/>
          <w:color w:val="auto"/>
        </w:rPr>
      </w:pPr>
    </w:p>
    <w:p>
      <w:pPr>
        <w:ind w:left="1780" w:right="260" w:hanging="380"/>
        <w:spacing w:after="0" w:line="272" w:lineRule="auto"/>
        <w:tabs>
          <w:tab w:leader="none" w:pos="1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facility manufacturing tildacerfont or any of its components being ordered by the FDA or comparable foreign regulatory authorities to temporarily or permanently shut down due to violations of current good manufacturing practice, or cGMP, regulations or other applicable requirements, or infections or cross-contaminations of tildacerfont in the manufacturing process;</w:t>
      </w:r>
    </w:p>
    <w:p>
      <w:pPr>
        <w:spacing w:after="0" w:line="50" w:lineRule="exact"/>
        <w:rPr>
          <w:rFonts w:ascii="Times New Roman" w:cs="Times New Roman" w:eastAsia="Times New Roman" w:hAnsi="Times New Roman"/>
          <w:sz w:val="17"/>
          <w:szCs w:val="17"/>
          <w:color w:val="auto"/>
        </w:rPr>
      </w:pPr>
    </w:p>
    <w:p>
      <w:pPr>
        <w:ind w:left="1780" w:hanging="380"/>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suppliers or formulation that may be necessary or desired;</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vendors not performing manufacturing and distribution services in a timely manner or to sufficient quality standards;</w:t>
      </w:r>
    </w:p>
    <w:p>
      <w:pPr>
        <w:spacing w:after="0" w:line="103" w:lineRule="exact"/>
        <w:rPr>
          <w:rFonts w:ascii="Times New Roman" w:cs="Times New Roman" w:eastAsia="Times New Roman" w:hAnsi="Times New Roman"/>
          <w:sz w:val="18"/>
          <w:szCs w:val="18"/>
          <w:color w:val="auto"/>
        </w:rPr>
      </w:pPr>
    </w:p>
    <w:p>
      <w:pPr>
        <w:ind w:left="1780" w:right="140" w:hanging="380"/>
        <w:spacing w:after="0" w:line="258" w:lineRule="auto"/>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 or GCP, or other regulatory requirements;</w:t>
      </w:r>
    </w:p>
    <w:p>
      <w:pPr>
        <w:spacing w:after="0" w:line="61"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not performing data collection or analysis in a timely or accurate manner;</w:t>
      </w:r>
    </w:p>
    <w:p>
      <w:pPr>
        <w:spacing w:after="0" w:line="103" w:lineRule="exact"/>
        <w:rPr>
          <w:rFonts w:ascii="Times New Roman" w:cs="Times New Roman" w:eastAsia="Times New Roman" w:hAnsi="Times New Roman"/>
          <w:sz w:val="18"/>
          <w:szCs w:val="18"/>
          <w:color w:val="auto"/>
        </w:rPr>
      </w:pPr>
    </w:p>
    <w:p>
      <w:pPr>
        <w:ind w:left="1780" w:right="60" w:hanging="380"/>
        <w:spacing w:after="0" w:line="258" w:lineRule="auto"/>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or</w:t>
      </w:r>
    </w:p>
    <w:p>
      <w:pPr>
        <w:spacing w:after="0" w:line="61"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COVID-19 pandemic on our ongoing and planned clinical trials.</w:t>
      </w:r>
    </w:p>
    <w:p>
      <w:pPr>
        <w:spacing w:after="0" w:line="117"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In addition, disruptions caused by the COVID-19 pandemic may increase the likelihood that we encounter such difficulties or delays in initiating, enrolling, conducting, or completing our planned and ongoing clinical trials. We could also encounter delays if a clinical trial is suspended or terminated by us, by the IRBs or ECs of the institutions in which such trials are being conducted or by the FDA or comparable foreign regulatory authorities. Such authorities may impose such a suspension or termination due to a number of</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color w:val="auto"/>
        </w:rPr>
        <w:t>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have amended, and may need to further amend, clinical trial protocols to comply with these changes. Amendments may require us to resubmit our clinical trial protocols to IRBs for reexamination, which may impact the costs, timing, or successful completion of a clinical trial.</w:t>
      </w:r>
    </w:p>
    <w:p>
      <w:pPr>
        <w:spacing w:after="0" w:line="87"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Further, conducting clinical trials in foreign countries, which we are doing for tildacerfont and may do for any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86"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and have served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tildacerfont.</w:t>
      </w:r>
    </w:p>
    <w:p>
      <w:pPr>
        <w:spacing w:after="0" w:line="73"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tildacerfont or any future product candidates, the commercial prospect of tildacerfont or any future product candidates will be harmed, and our ability to generate product revenue will be delayed. Moreover, any delays in completing our clinical trials will increase our costs, slow down our product candidate development and approval process and jeopardize our ability to commence product sales and generate revenue. In addition, many of the factors that cause, or lead to, termination or suspension of, or a delay in the commencement or completion of, clinical trials may also ultimately lead to the denial of regulatory approval of tildacerfont or any future product candidates. Further, delays to our clinical trials that occur as a result could shorten any period during which we may have the exclusive right to commercialize tildacerfont and our competitors may be able to bring products to market before we do, and the commercial viability of tildacerfont could be significantly reduced. Any of these occurrences may harm our business, financial condition, and prospects significantly.</w:t>
      </w:r>
    </w:p>
    <w:p>
      <w:pPr>
        <w:spacing w:after="0" w:line="7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spacing w:after="0" w:line="60"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The clinical development, manufacturing, labeling, storage, record-keeping, advertising, promotion, import, export, marketing, and distribution of tildacerfont is subject to extensive regulation by the FDA in the United States and by comparable foreign regulatory authorities in foreign markets. In the United States, we are not permitted to market tildacerfont and any future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has substantial discretion in the drug approval process, including the ability to delay, limit, or deny approval of a product candidate for many reasons. Despite the time and expense invested in clinical development of product candidates, regulatory approval is never guaranteed. Neither we nor any future collaborator is permitted to market tildacerfont and any future product candidates in the United States until we receive approval of an NDA from the FDA. We have not previously submitted an NDA to the FDA, or similar drug approval filings to comparable foreign authorities.</w:t>
      </w:r>
    </w:p>
    <w:p>
      <w:pPr>
        <w:spacing w:after="0" w:line="91" w:lineRule="exact"/>
        <w:rPr>
          <w:sz w:val="20"/>
          <w:szCs w:val="20"/>
          <w:color w:val="auto"/>
        </w:rPr>
      </w:pPr>
    </w:p>
    <w:p>
      <w:pPr>
        <w:ind w:right="120" w:firstLine="509"/>
        <w:spacing w:after="0" w:line="242"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United States or in foreign markets,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tildacerfont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tildacerfont and any future product candidates either prior to or post-approval, or may object to elements of our clinical development program.</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Tildacerfont and any future product candidates could fail to receive regulatory approval for many reasons, including the following:</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left="1780" w:right="120" w:hanging="380"/>
        <w:spacing w:after="0" w:line="266" w:lineRule="auto"/>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by people using drugs similar to tildacerfont and any future product candidates;</w:t>
      </w:r>
    </w:p>
    <w:p>
      <w:pPr>
        <w:spacing w:after="0" w:line="54" w:lineRule="exact"/>
        <w:rPr>
          <w:rFonts w:ascii="Times New Roman" w:cs="Times New Roman" w:eastAsia="Times New Roman" w:hAnsi="Times New Roman"/>
          <w:sz w:val="18"/>
          <w:szCs w:val="18"/>
          <w:color w:val="auto"/>
        </w:rPr>
      </w:pPr>
    </w:p>
    <w:p>
      <w:pPr>
        <w:ind w:left="1780" w:right="100" w:hanging="380"/>
        <w:spacing w:after="0" w:line="282" w:lineRule="auto"/>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safety in the full population for which we seek approval;</w:t>
      </w:r>
    </w:p>
    <w:p>
      <w:pPr>
        <w:spacing w:after="0" w:line="40" w:lineRule="exact"/>
        <w:rPr>
          <w:rFonts w:ascii="Times New Roman" w:cs="Times New Roman" w:eastAsia="Times New Roman" w:hAnsi="Times New Roman"/>
          <w:sz w:val="18"/>
          <w:szCs w:val="18"/>
          <w:color w:val="auto"/>
        </w:rPr>
      </w:pPr>
    </w:p>
    <w:p>
      <w:pPr>
        <w:ind w:left="1780" w:right="460" w:hanging="380"/>
        <w:spacing w:after="0" w:line="266" w:lineRule="auto"/>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clinical data from trials which are conducted at clinical facilities or in countries where the standard of care is potentially different from that of the United States;</w:t>
      </w:r>
    </w:p>
    <w:p>
      <w:pPr>
        <w:spacing w:after="0" w:line="67" w:lineRule="exact"/>
        <w:rPr>
          <w:rFonts w:ascii="Times New Roman" w:cs="Times New Roman" w:eastAsia="Times New Roman" w:hAnsi="Times New Roman"/>
          <w:sz w:val="18"/>
          <w:szCs w:val="18"/>
          <w:color w:val="auto"/>
        </w:rPr>
      </w:pPr>
    </w:p>
    <w:p>
      <w:pPr>
        <w:ind w:left="1780" w:right="580" w:hanging="380"/>
        <w:spacing w:after="0" w:line="266" w:lineRule="auto"/>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any of its proposed indications;</w:t>
      </w:r>
    </w:p>
    <w:p>
      <w:pPr>
        <w:spacing w:after="0" w:line="54" w:lineRule="exact"/>
        <w:rPr>
          <w:rFonts w:ascii="Times New Roman" w:cs="Times New Roman" w:eastAsia="Times New Roman" w:hAnsi="Times New Roman"/>
          <w:sz w:val="18"/>
          <w:szCs w:val="18"/>
          <w:color w:val="auto"/>
        </w:rPr>
      </w:pPr>
    </w:p>
    <w:p>
      <w:pPr>
        <w:ind w:left="1780" w:right="60" w:hanging="380"/>
        <w:spacing w:after="0" w:line="266" w:lineRule="auto"/>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6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03" w:lineRule="exact"/>
        <w:rPr>
          <w:rFonts w:ascii="Times New Roman" w:cs="Times New Roman" w:eastAsia="Times New Roman" w:hAnsi="Times New Roman"/>
          <w:sz w:val="18"/>
          <w:szCs w:val="18"/>
          <w:color w:val="auto"/>
        </w:rPr>
      </w:pPr>
    </w:p>
    <w:p>
      <w:pPr>
        <w:ind w:left="1780" w:right="440" w:hanging="380"/>
        <w:spacing w:after="0" w:line="266" w:lineRule="auto"/>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67" w:lineRule="exact"/>
        <w:rPr>
          <w:rFonts w:ascii="Times New Roman" w:cs="Times New Roman" w:eastAsia="Times New Roman" w:hAnsi="Times New Roman"/>
          <w:sz w:val="18"/>
          <w:szCs w:val="18"/>
          <w:color w:val="auto"/>
        </w:rPr>
      </w:pPr>
    </w:p>
    <w:p>
      <w:pPr>
        <w:ind w:left="1780" w:right="120" w:hanging="380"/>
        <w:spacing w:after="0" w:line="250" w:lineRule="auto"/>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tildacerfont and any future product candidates may not be sufficient to satisfy the FDA or comparable foreign regulatory authorities to support the submission of an NDA or other comparable submissions in foreign jurisdictions or to obtain regulatory approval in the United States or elsewhere, requiring, in the case of adult patients with classic CAH, additional clinical trials beyond our two ongoing Phase 2b clinical trials prior to any such approval;</w:t>
      </w:r>
    </w:p>
    <w:p>
      <w:pPr>
        <w:spacing w:after="0" w:line="69" w:lineRule="exact"/>
        <w:rPr>
          <w:rFonts w:ascii="Times New Roman" w:cs="Times New Roman" w:eastAsia="Times New Roman" w:hAnsi="Times New Roman"/>
          <w:sz w:val="18"/>
          <w:szCs w:val="18"/>
          <w:color w:val="auto"/>
        </w:rPr>
      </w:pPr>
    </w:p>
    <w:p>
      <w:pPr>
        <w:ind w:left="1780" w:right="180" w:hanging="380"/>
        <w:spacing w:after="0" w:line="266" w:lineRule="auto"/>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67" w:lineRule="exact"/>
        <w:rPr>
          <w:rFonts w:ascii="Times New Roman" w:cs="Times New Roman" w:eastAsia="Times New Roman" w:hAnsi="Times New Roman"/>
          <w:sz w:val="18"/>
          <w:szCs w:val="18"/>
          <w:color w:val="auto"/>
        </w:rPr>
      </w:pPr>
    </w:p>
    <w:p>
      <w:pPr>
        <w:ind w:left="1780" w:right="60" w:hanging="380"/>
        <w:spacing w:after="0" w:line="266" w:lineRule="auto"/>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Any of the above events could prevent us from achieving market approval of tildacerfont or any future product candidates and could substantially increase the costs of commercializing tildacerfont or any future product candidates. The demand for tildacerfont or any future product candidates could also be negatively impacted by any adverse effects of a competitor’s product or treatment.</w:t>
      </w:r>
    </w:p>
    <w:p>
      <w:pPr>
        <w:spacing w:after="0" w:line="61" w:lineRule="exact"/>
        <w:rPr>
          <w:sz w:val="20"/>
          <w:szCs w:val="20"/>
          <w:color w:val="auto"/>
        </w:rPr>
      </w:pPr>
    </w:p>
    <w:p>
      <w:pPr>
        <w:jc w:val="both"/>
        <w:ind w:right="60" w:firstLine="509"/>
        <w:spacing w:after="0" w:line="250" w:lineRule="auto"/>
        <w:rPr>
          <w:sz w:val="20"/>
          <w:szCs w:val="20"/>
          <w:color w:val="auto"/>
        </w:rPr>
      </w:pPr>
      <w:r>
        <w:rPr>
          <w:rFonts w:ascii="Times New Roman" w:cs="Times New Roman" w:eastAsia="Times New Roman" w:hAnsi="Times New Roman"/>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tildacerfont and any future product candidates, which would significantly harm our business, financial condition, results of operations, and prospects.</w:t>
      </w:r>
    </w:p>
    <w:p>
      <w:pPr>
        <w:spacing w:after="0" w:line="69"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Even if we eventually complete clinical trials and receive approval of an NDA or foreign marketing application for tildacerfont and any future product candidates, the FDA or comparable foreign regulatory authority may grant approval contingent on the performance of costly additional clinical trials, including Phase 4 clinical trials, and/or the implementation of a risk evaluation and mitigation strategy, or REMS, which may be required to ensure safe use of the drug after approval. The FDA or the comparable foreign regulatory authority also may approve a product candidate for a more limited indication or patient population than we originally requested, and the FDA or comparable foreign regulatory authority may not approve the labeling that we believe is necessary or desirable for the successful commercialization of a product. Any delay in obtaining, or inability to obtain, applicable regulatory approval would delay or prevent commercialization of that product candidate and would materially adversely impact our business and prospects.</w:t>
      </w:r>
    </w:p>
    <w:p>
      <w:pPr>
        <w:spacing w:after="0" w:line="8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business has been and could continue to be adversely affected by the evolving and ongoing COVID-19 global pandemic in regions where we or third parties on which we rely have significant manufacturing facilities, concentrations of clinical trial sites or other business operations. The COVID-19 pandemic could adversely affect our operations, as well as the business or operations of our manufacturers, CROs, or other third parties with whom we conduct business.</w:t>
      </w:r>
    </w:p>
    <w:p>
      <w:pPr>
        <w:spacing w:after="0" w:line="66"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Our business has been and could continue to be adversely affected by the evolving COVID-19 pandemic, which was declared by the World Health Organization as a global pandemic. As COVID-19 and its variants continue to spread, we have experienced and may continue to experience ongoing disruptions that could severely impact our business and clinical trials, including:</w:t>
      </w:r>
    </w:p>
    <w:p>
      <w:pPr>
        <w:spacing w:after="0" w:line="82" w:lineRule="exact"/>
        <w:rPr>
          <w:sz w:val="20"/>
          <w:szCs w:val="20"/>
          <w:color w:val="auto"/>
        </w:rPr>
      </w:pPr>
    </w:p>
    <w:p>
      <w:pPr>
        <w:ind w:left="1780" w:hanging="380"/>
        <w:spacing w:after="0"/>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left="1780" w:right="280" w:hanging="380"/>
        <w:spacing w:after="0" w:line="266" w:lineRule="auto"/>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clinical trials, including interruption in global shipping that may affect the transport of clinical trial materials;</w:t>
      </w:r>
    </w:p>
    <w:p>
      <w:pPr>
        <w:spacing w:after="0" w:line="54" w:lineRule="exact"/>
        <w:rPr>
          <w:rFonts w:ascii="Times New Roman" w:cs="Times New Roman" w:eastAsia="Times New Roman" w:hAnsi="Times New Roman"/>
          <w:sz w:val="18"/>
          <w:szCs w:val="18"/>
          <w:color w:val="auto"/>
        </w:rPr>
      </w:pPr>
    </w:p>
    <w:p>
      <w:pPr>
        <w:ind w:left="1780" w:right="260" w:hanging="380"/>
        <w:spacing w:after="0" w:line="282" w:lineRule="auto"/>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COVID-19 outbreak which may require us to change the ways in which our clinical trials are conducted, which may result in unexpected costs, or to discontinue the clinical trials altogether;</w:t>
      </w:r>
    </w:p>
    <w:p>
      <w:pPr>
        <w:spacing w:after="0" w:line="40" w:lineRule="exact"/>
        <w:rPr>
          <w:rFonts w:ascii="Times New Roman" w:cs="Times New Roman" w:eastAsia="Times New Roman" w:hAnsi="Times New Roman"/>
          <w:sz w:val="18"/>
          <w:szCs w:val="18"/>
          <w:color w:val="auto"/>
        </w:rPr>
      </w:pPr>
    </w:p>
    <w:p>
      <w:pPr>
        <w:ind w:left="1780" w:right="520" w:hanging="380"/>
        <w:spacing w:after="0" w:line="266" w:lineRule="auto"/>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7" w:lineRule="exact"/>
        <w:rPr>
          <w:rFonts w:ascii="Times New Roman" w:cs="Times New Roman" w:eastAsia="Times New Roman" w:hAnsi="Times New Roman"/>
          <w:sz w:val="18"/>
          <w:szCs w:val="18"/>
          <w:color w:val="auto"/>
        </w:rPr>
      </w:pPr>
    </w:p>
    <w:p>
      <w:pPr>
        <w:ind w:left="1780" w:right="520" w:hanging="380"/>
        <w:spacing w:after="0" w:line="250" w:lineRule="auto"/>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68" w:lineRule="exact"/>
        <w:rPr>
          <w:rFonts w:ascii="Times New Roman" w:cs="Times New Roman" w:eastAsia="Times New Roman" w:hAnsi="Times New Roman"/>
          <w:sz w:val="18"/>
          <w:szCs w:val="18"/>
          <w:color w:val="auto"/>
        </w:rPr>
      </w:pPr>
    </w:p>
    <w:p>
      <w:pPr>
        <w:ind w:left="1780" w:right="580" w:hanging="380"/>
        <w:spacing w:after="0" w:line="282" w:lineRule="auto"/>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the operations of the FDA or other regulatory authorities, which may impact review and approval timelines;</w:t>
      </w:r>
    </w:p>
    <w:p>
      <w:pPr>
        <w:spacing w:after="0" w:line="40" w:lineRule="exact"/>
        <w:rPr>
          <w:rFonts w:ascii="Times New Roman" w:cs="Times New Roman" w:eastAsia="Times New Roman" w:hAnsi="Times New Roman"/>
          <w:sz w:val="18"/>
          <w:szCs w:val="18"/>
          <w:color w:val="auto"/>
        </w:rPr>
      </w:pPr>
    </w:p>
    <w:p>
      <w:pPr>
        <w:ind w:left="1780" w:right="220" w:hanging="380"/>
        <w:spacing w:after="0" w:line="266" w:lineRule="auto"/>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6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accept data from clinical trials in affected geographies; and</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relating to mitigating the impact of COVID-19 on any of the foregoing factors.</w:t>
      </w:r>
    </w:p>
    <w:p>
      <w:pPr>
        <w:spacing w:after="0" w:line="104"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These and other disruptions in our operations and the global economy could negatively impact our business, operating results and financial condition.</w:t>
      </w:r>
    </w:p>
    <w:p>
      <w:pPr>
        <w:spacing w:after="0" w:line="40"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Our clinical trials have been, and may in the future be, affected by the COVID-19 pandemic. For example, the COVID-19 pandemic has impacted patient enrollment in our two ongoing Phase 2b clinical trials. In particular, some sites have paused enrollment to focus on, and direct resources to, COVID-19, while at other sites, patients have chosen not to enroll or continue participating in the clinical trial as a result of the pandemic. Further, we are aware of delays in site activations for our CAHmelia-203 and -204 trials due to COVID-19-related closures and delays. In addition, patient visits to endocrinologists in the United States have slowed as a result of the COVID-19 pandemic. Further, according to the Centers for Disease Control and Prevention, people who have serious chronic medical conditions, including those such as classic CAH, are at higher risk of getting very sick from COVID-</w:t>
      </w:r>
    </w:p>
    <w:p>
      <w:pPr>
        <w:spacing w:after="0" w:line="5" w:lineRule="exact"/>
        <w:rPr>
          <w:sz w:val="20"/>
          <w:szCs w:val="20"/>
          <w:color w:val="auto"/>
        </w:rPr>
      </w:pPr>
    </w:p>
    <w:p>
      <w:pPr>
        <w:ind w:right="360" w:firstLine="8"/>
        <w:spacing w:after="0" w:line="239" w:lineRule="auto"/>
        <w:tabs>
          <w:tab w:leader="none" w:pos="27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current or potential patients in our ongoing and planned clinical trials may continue to choose to not enroll, not participate in follow-up clinical visits, or drop out of the trial as a precaution against contracting COVID-19. Further, some patients may continue to not be able or willing to comply with clinical trial protocols if quarantines impede patient movement or interrupts healthcare services.</w:t>
      </w:r>
    </w:p>
    <w:p>
      <w:pPr>
        <w:spacing w:after="0" w:line="91"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If patient enrollment is delayed for an extended period of time, our ongoing and planned clinical trials could be significantly delayed or otherwise adversely affected. Similarly, our ability to recruit and retain principal investigators and site staff who, as healthcare providers, may have heightened exposure to COVID-19, may be adversely impacted.</w:t>
      </w:r>
    </w:p>
    <w:p>
      <w:pPr>
        <w:spacing w:after="0" w:line="82"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In addition, ongoing or planned clinical trials may also be impacted by interruptions or delays in the operations of the FDA and comparable foreign regulatory agencies. For example, we and our CROs have also made certain adjustments to the operation of our trials in an effort to ensure the monitoring and safety of patients and minimize risks to trial integrity during the pandemic in accordance with the guidance issued by the FDA and may need to make further adjustments in the future. For example, we have amended our clinical trial protocols to enable remote visits to mitigate any potential impacts as a result of the COVID-19 pandemic. As a result of this home health component, the overall costs of our Phase 2b clinical trials have increased and may continue to increase in the future. Many of these adjustments are new and untested, may not be effective, may affect the integrity of data collected, and may have unforeseen effects on the progress and completion of our clinical trials and the findings from such clinical trials.</w:t>
      </w:r>
    </w:p>
    <w:p>
      <w:pPr>
        <w:spacing w:after="0" w:line="73"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In addition, we may encounter a shortage in supplies of, or in delays in shipping, our study drug or other components of the clinical trial vital for successful conduct of the trial. For example, in our two ongoing Phase 2b clinical trials, patients will continue to use their steroid regimen for the duration of the clinical trial. In particular, we have experienced a shortage of supply of hydrocortisone as a result of the COVID-19 pandemic, which if continued indefinitely, could adversely affect the timing and ultimately success of our clinical trials. Further, the successful conduct of our clinical trials depends on retrieving laboratory data from patients. Any failure by the laboratories with which we work to send us such data could impair the progress of such clinical trials. These events could delay our clinical trials, increase the cost of completing our clinical trials, and negatively impact the integrity, reliability, or robustness of the data from our clinical trials.</w:t>
      </w:r>
    </w:p>
    <w:p>
      <w:pPr>
        <w:spacing w:after="0" w:line="73"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addition, quarantines, shelter-in-place, and similar government orders, or the perception that such orders, shutdowns, or other restrictions on the conduct of business operations could occur, related to COVID-19 or other infectious diseases could impact personnel at our CROs or third-party manufacturing facilities upon which we rely, or the availability or cost of materials, which could</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disrupt the supply chain for tildacerfont. To the extent our suppliers and service providers are unable to comply with their obligations under our agreements with them or they are otherwise unable to deliver or are delayed in delivering goods and services to us due to the COVID-19 pandemic, our ability to continue meeting clinical supply demand for tildacerfont or otherwise advancing development of tildacerfont may become impaired.</w:t>
      </w:r>
    </w:p>
    <w:p>
      <w:pPr>
        <w:spacing w:after="0" w:line="82"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The spread of COVID-19 and actions taken to reduce its spread may also materially affect us economically. While the potential economic impact brought by, and the duration of, the COVID-19 pandemic may be difficult to assess or predict, there could be a significant disruption of global financial markets, reducing our ability to access capital, which could in the future negatively affect our liquidity and financial position. In addition, the trading prices for other companies have been highly volatile as a result of the COVID-19 pandemic. As a result, we may face difficulties raising capital through sales of our common stock or such sales may be on unfavorable terms.</w:t>
      </w:r>
    </w:p>
    <w:p>
      <w:pPr>
        <w:spacing w:after="0" w:line="7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COVID-19 and actions taken to reduce its spread continue to evolve. While vaccines have become widely available in certain countries, and</w:t>
      </w:r>
    </w:p>
    <w:p>
      <w:pPr>
        <w:spacing w:after="0" w:line="16"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businesses and economies have reopened, the status of global economic recovery remains uncertain and unpredictable and will continue to be impacted by developments in the pandemic including any subsequent waves of outbreak or new variant strains of the COVID-19 virus which may require re-closures or other preventative measures. The extent to which COVID-19 may impede the development of tildacerfont, reduce the productivity of our employees, disrupt our supply chains, delay our clinical trials, reduce our access to capital or limit our business development activities, will depend on future developments, which are highly uncertain and cannot be predicted with confidence.</w:t>
      </w:r>
    </w:p>
    <w:p>
      <w:pPr>
        <w:spacing w:after="0" w:line="75"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64"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0"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Interim, topline, and preliminary data also remain subject to audit and verification procedures that may result in the final data being materially different from the preliminary data we previously published. As a result, such data should be viewed with caution until the final data are available. Adverse differences between preliminary, interim, or topline data and final data could significantly harm our business prospects.</w:t>
      </w:r>
    </w:p>
    <w:p>
      <w:pPr>
        <w:spacing w:after="0" w:line="9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with the conclusions reached, our ability to obtain approval for, and commercialize, tildacerfont and any future product candidates may be harmed, which could harm our business, operating results, prospects, or financial condition.</w:t>
      </w:r>
    </w:p>
    <w:p>
      <w:pPr>
        <w:spacing w:after="0" w:line="89" w:lineRule="exact"/>
        <w:rPr>
          <w:sz w:val="20"/>
          <w:szCs w:val="20"/>
          <w:color w:val="auto"/>
        </w:rPr>
      </w:pPr>
    </w:p>
    <w:p>
      <w:pPr>
        <w:ind w:right="7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tildacerfont and any future product candidates are smaller than we believe they are, our future revenue may be adversely affected, and our business may suffer.</w:t>
      </w:r>
    </w:p>
    <w:p>
      <w:pPr>
        <w:spacing w:after="0" w:line="50"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If the size of the market opportunities in each of our target indications for tildacerfont and any future product candidates is smaller than we anticipate, we may not be able to achieve profitability and growth. We focus our clinical development of tildacerfont on treatments for rare endocrine disorders with relatively small patient populations. For example, we believe that tildacerfont has the potential to bring therapeutic benefit to patients suffering from endocrine disorders where the underlying pathophysiology supports a need to reduce excess secretion of or hyperresponsiveness to ACTH, including, but not limited to, non-classic CAH and a subpopulation of females with PCOS due to adrenal hyperandrogenism. Given the relatively small number of patients who have the disorders that we are targeting and intend to target with tildacerfont, it is critical to our ability to grow and become profitable that we continue to successfully identify patients with these rare endocrine disorders. In addition, our estimates of the patient populations for our target indications have been derived from a variety of sources, including scientific literature, surveys of clinics, patient foundations, and market research, and may prove to be incorrect. Further, new studies may change the estimated incidence or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prevalence of these disorders. The number of patients may turn out to be lower than expected. The effort to identify patients with diseases we seek to treat is in early stages, and we cannot accurately predict the number of patients for whom treatment might be possible. For example, while classic CAH is usually detected at birth through required newborn screening programs in most developed countries, new patients may become increasingly difficult to identify or gain access to, which would adversely affect our results of operations and our business. In addition, the potentially addressable patient population for classic CAH may be limited or may not be amenable to treatment with tildacerfont, if approved. Further, even if we obtain significant market share for tildacerfont in classic CAH, we may never achieve profitability despite obtaining such significant market share, as other pharmaceutical companies with more resources and greater experience in drug development and commercialization are targeting this same endocrine disorder.</w:t>
      </w:r>
    </w:p>
    <w:p>
      <w:pPr>
        <w:spacing w:after="0" w:line="69"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our pipeline by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spacing w:after="0" w:line="81"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are focused on specific indications and formulations for tildacerfont. As a result, we may fail to generate additional clinical development opportunities for tildacerfont for a number of reasons, including, tildacerfont may in certain indications, on further study, be shown to have harmful side effects, limited to no efficacy, or other characteristics that suggest it is unlikely to receive marketing approval and achieve market acceptance in such additional indications.</w:t>
      </w:r>
    </w:p>
    <w:p>
      <w:pPr>
        <w:spacing w:after="0" w:line="69"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18"/>
          <w:szCs w:val="18"/>
          <w:color w:val="auto"/>
        </w:rPr>
        <w:t>We plan to conduct several clinical trials for tildacerfont in parallel over the next several years, including multiple clinical trials in adult and pediatric patients with classic CAH and in a subpopulation of females with PCOS. As a result, we may forgo or delay pursuit of opportunities with other indications that could have had greater commercial potential or likelihood of success. However, we may focus on or pursue one or more of our target indications over other potential indications and such development efforts may not be successful, which would cause us to delay the clinical development and approval of tildacerfont. Furthermore, research programs to identify additional indications for tildacerfont require substantial technical, financial, and human resources. We may also pursue additional formulations for tildacerfont, including transitioning from a tablet formulation to a granulate formulation or oral suspension. However, we may not successfully develop these additional formulations for chemistry-related, stability-related, or other reasons. Our resource allocation decisions may cause us to fail to capitalize on viable commercial products or profitable market opportunities. Our spending on current and future research and development programs for specific indications may not yield any commercially viable products.</w:t>
      </w:r>
    </w:p>
    <w:p>
      <w:pPr>
        <w:spacing w:after="0" w:line="77"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w:t>
      </w:r>
    </w:p>
    <w:p>
      <w:pPr>
        <w:spacing w:after="0" w:line="6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64" w:lineRule="exact"/>
        <w:rPr>
          <w:sz w:val="20"/>
          <w:szCs w:val="20"/>
          <w:color w:val="auto"/>
        </w:rPr>
      </w:pPr>
    </w:p>
    <w:p>
      <w:pPr>
        <w:ind w:right="5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for a product candidate in one jurisdiction does not mean that we will be successful in obtaining regulatory approval for that product candidate in other jurisdictions.</w:t>
      </w:r>
    </w:p>
    <w:p>
      <w:pPr>
        <w:spacing w:after="0" w:line="50"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Obtaining and maintaining regulatory approval for a product candidate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for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including a number of countries in the EU, a product candidate must be approved for reimbursement before it can be approved for sale in that jurisdiction. In some cases, the price that we intend to charge for tildacerfont is also subject to approval.</w:t>
      </w:r>
    </w:p>
    <w:p>
      <w:pPr>
        <w:spacing w:after="0" w:line="77"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We expect to submit a Marketing Authorization Application, or MAA, to the EMA for approval of tildacerfont in the EU for the treatment of classic CAH. As with the FDA, obtaining approval of an MAA from the European Commission, which acts on the recommendation of the Committee for Medicinal Products for Human Use, is a similarly lengthy and expensive process and the EMA has its own procedures for assessing product candidates. Regulatory authorities in jurisdictions outside of the United States and the EU also have requirements for approval for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tildacerfont in certain countries. If we fail to comply with</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jc w:val="both"/>
        <w:ind w:right="360"/>
        <w:spacing w:after="0" w:line="250" w:lineRule="auto"/>
        <w:rPr>
          <w:sz w:val="20"/>
          <w:szCs w:val="20"/>
          <w:color w:val="auto"/>
        </w:rPr>
      </w:pPr>
      <w:r>
        <w:rPr>
          <w:rFonts w:ascii="Times New Roman" w:cs="Times New Roman" w:eastAsia="Times New Roman" w:hAnsi="Times New Roman"/>
          <w:sz w:val="18"/>
          <w:szCs w:val="18"/>
          <w:color w:val="auto"/>
        </w:rPr>
        <w:t>the regulatory requirements in international markets and/or receive applicable marketing approvals, our target market will be reduced and our ability to realize the full market potential of tildacerfont will be harmed, which would adversely affect our business, prospects, financial condition, and results of operations.</w:t>
      </w:r>
    </w:p>
    <w:p>
      <w:pPr>
        <w:spacing w:after="0" w:line="78" w:lineRule="exact"/>
        <w:rPr>
          <w:sz w:val="20"/>
          <w:szCs w:val="20"/>
          <w:color w:val="auto"/>
        </w:rPr>
      </w:pPr>
    </w:p>
    <w:p>
      <w:pPr>
        <w:ind w:right="3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spacing w:after="0" w:line="81" w:lineRule="exact"/>
        <w:rPr>
          <w:sz w:val="20"/>
          <w:szCs w:val="20"/>
          <w:color w:val="auto"/>
        </w:rPr>
      </w:pPr>
    </w:p>
    <w:p>
      <w:pPr>
        <w:ind w:right="260" w:firstLine="509"/>
        <w:spacing w:after="0" w:line="245" w:lineRule="auto"/>
        <w:rPr>
          <w:sz w:val="20"/>
          <w:szCs w:val="20"/>
          <w:color w:val="auto"/>
        </w:rPr>
      </w:pPr>
      <w:r>
        <w:rPr>
          <w:rFonts w:ascii="Times New Roman" w:cs="Times New Roman" w:eastAsia="Times New Roman" w:hAnsi="Times New Roman"/>
          <w:sz w:val="18"/>
          <w:szCs w:val="18"/>
          <w:color w:val="auto"/>
        </w:rPr>
        <w:t>We currently do not have a commercial organization for the marketing, sales, and distribution of pharmaceutical products. To commercialize tildacerfont and any future product candidates, we must build our marketing, sales, distribution, managerial and other non-technical capabilities or make arrangements with third parties to perform these services. We intend to build a highly specialized commercial organization to support the commercialization of tildacerfont, if approved, in the United States and Europe.</w:t>
      </w:r>
    </w:p>
    <w:p>
      <w:pPr>
        <w:spacing w:after="0" w:line="86" w:lineRule="exact"/>
        <w:rPr>
          <w:sz w:val="20"/>
          <w:szCs w:val="20"/>
          <w:color w:val="auto"/>
        </w:rPr>
      </w:pPr>
    </w:p>
    <w:p>
      <w:pPr>
        <w:ind w:right="140" w:firstLine="509"/>
        <w:spacing w:after="0" w:line="243" w:lineRule="auto"/>
        <w:rPr>
          <w:sz w:val="20"/>
          <w:szCs w:val="20"/>
          <w:color w:val="auto"/>
        </w:rPr>
      </w:pPr>
      <w:r>
        <w:rPr>
          <w:rFonts w:ascii="Times New Roman" w:cs="Times New Roman" w:eastAsia="Times New Roman" w:hAnsi="Times New Roman"/>
          <w:sz w:val="18"/>
          <w:szCs w:val="18"/>
          <w:color w:val="auto"/>
        </w:rPr>
        <w:t>The establishment and development of our own sales force or the establishment of a contract sales force to market tildacerfont and any future product candidates will be expensive and time-consuming and could delay any commercial launch. Moreover, we may not be able to successfully develop this capability. We will have to compete with other pharmaceutical and biotechnology companies to recruit, hire, train, and retain marketing and sales personnel. We also face competition in our search for third parties to assist us with the sales and marketing efforts of tildacerfont. To the extent we rely on third parties to commercialize tildacerfont, if approved, we may have little or no control over the marketing and sales efforts of such third parties and our revenues from product sales may be lower than if we had commercialized tildacerfont and any future product candidates ourselves. In the event we are unable to develop our own marketing and sales force or collaborate with a third-party marketing and sales organization, we would not be able to commercialize tildacerfont or any future product candidates.</w:t>
      </w:r>
    </w:p>
    <w:p>
      <w:pPr>
        <w:spacing w:after="0" w:line="7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and retaining highly qualified personnel, we may not be able to successfully implement our business strategy.</w:t>
      </w:r>
    </w:p>
    <w:p>
      <w:pPr>
        <w:spacing w:after="0" w:line="37"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pharmaceuticals industries depends upon our ability to attract and retain highly qualified managerial, scientific, and medical personnel. We are highly dependent on our management, scientific, and medical personnel. The loss of the services of any of our executive officers or other key employees and our inability to find suitable replacements could potentially harm our business, prospects, financial condition or results of operations.</w:t>
      </w:r>
    </w:p>
    <w:p>
      <w:pPr>
        <w:spacing w:after="0" w:line="69" w:lineRule="exact"/>
        <w:rPr>
          <w:sz w:val="20"/>
          <w:szCs w:val="20"/>
          <w:color w:val="auto"/>
        </w:rPr>
      </w:pPr>
    </w:p>
    <w:p>
      <w:pPr>
        <w:jc w:val="both"/>
        <w:ind w:right="220" w:firstLine="509"/>
        <w:spacing w:after="0" w:line="258" w:lineRule="auto"/>
        <w:rPr>
          <w:sz w:val="20"/>
          <w:szCs w:val="20"/>
          <w:color w:val="auto"/>
        </w:rPr>
      </w:pPr>
      <w:r>
        <w:rPr>
          <w:rFonts w:ascii="Times New Roman" w:cs="Times New Roman" w:eastAsia="Times New Roman" w:hAnsi="Times New Roman"/>
          <w:sz w:val="18"/>
          <w:szCs w:val="18"/>
          <w:color w:val="auto"/>
        </w:rPr>
        <w:t>We conduct our operations in Daly City, California. This region serves as the headquarters to many other biopharmaceutical companies and many academic and research institutions. Competition for skilled personnel in our market is intense and may limit our ability to hire and retain highly qualified personnel on acceptable terms or at all.</w:t>
      </w:r>
    </w:p>
    <w:p>
      <w:pPr>
        <w:spacing w:after="0" w:line="6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and/or offer letters with our key employees, these arrangements provide for at-will employment, which means that any of our employees could leave our employment at any time, with or without notice. We do not maintain “key man”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spacing w:after="0" w:line="92"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Many of the other biotechnology and pharmaceutical companies that we compete against for qualified personnel have greater financial and other resources, different risk profiles, and a longer history in the industry than we do. They may also provide more diverse opportunities and better chances for career advancement. Some of these characteristics are more appealing to high quality candidates than what we can offer. If we are unable to continue to attract and retain high quality personnel, the rate and success at which we can discover, develop and commercialize product candidates will be limited.</w:t>
      </w:r>
    </w:p>
    <w:p>
      <w:pPr>
        <w:spacing w:after="0" w:line="6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Use of tildacerfont or any future product candidates could be associated with side effects, adverse events or other properties that could delay or prevent regulatory approval or result in significant negative consequences following marketing approval, if any.</w:t>
      </w:r>
    </w:p>
    <w:p>
      <w:pPr>
        <w:spacing w:after="0" w:line="50"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As is the case with biopharmaceuticals generally, it is likely that there may be side effects and adverse events associated with the use of tildacerfont and any future product candidates. Results of our clinical trials could reveal a high and unacceptable severity and prevalence of side effects or unexpected characteristics. Undesirable side effects caused by tildacerfont and any future product candidates could cause us or regulatory authorities to interrupt, delay or halt clinical trials and could result in a more restrictive label or the delay or denial of regulatory approval by the FDA or other comparable foreign authorities. For example, although tildacerfont has been assessed in over 200 subjects across eight completed clinical trials in which it has been well tolerated with no drug-related SAEs, in our proof-of-concept, dose-escalating Phase 2a clinical trial in adults with classic CAH, one patient experienced a grade one liver-related adverse event after 14 days of treatment at 1,000mg once daily. This patient had elevated levels of alanine transaminase, or ALT, between five and nine times the upper limit of normal, or ULN, elevations in aspartate aminotransferase, or AST, less than</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five times the ULN, and no increases in bilirubin. The event resolved on its own without additional medical intervention. No cases of liver enzyme elevations above three times the ULN were observed in any patient receiving total daily doses of 600mg, which is approximately three times the proposed therapeutic dose for adults with classic CAH, and below. If drug-related SAEs are observed, our trials could be suspended or terminated and the FDA or comparable foreign regulatory authorities could order us to cease further development of or deny approval for tildacerfont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87"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Furthermore, only adults have been treated with tildacerfont, and the safety profile in pediatric patients is unknown and may be different than that observed in previous clinical trials. Results of our trials could reveal a high and unacceptable severity and prevalence of side effects.</w:t>
      </w:r>
    </w:p>
    <w:p>
      <w:pPr>
        <w:spacing w:after="0" w:line="54"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Additionally, if tildacerfont and any future product candidates receive marketing approval, and we or others later identify undesirable side effects caused by such product candidate, a number of potentially significant negative consequences could result, including:</w:t>
      </w:r>
    </w:p>
    <w:p>
      <w:pPr>
        <w:spacing w:after="0" w:line="68" w:lineRule="exact"/>
        <w:rPr>
          <w:sz w:val="20"/>
          <w:szCs w:val="20"/>
          <w:color w:val="auto"/>
        </w:rPr>
      </w:pPr>
    </w:p>
    <w:p>
      <w:pPr>
        <w:ind w:left="1780" w:hanging="380"/>
        <w:spacing w:after="0"/>
        <w:tabs>
          <w:tab w:leader="none" w:pos="1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suspend marketing of that product, or decide to remove the product form the marketplace;</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or change their approvals of such product;</w:t>
      </w:r>
    </w:p>
    <w:p>
      <w:pPr>
        <w:spacing w:after="0" w:line="103" w:lineRule="exact"/>
        <w:rPr>
          <w:rFonts w:ascii="Times New Roman" w:cs="Times New Roman" w:eastAsia="Times New Roman" w:hAnsi="Times New Roman"/>
          <w:sz w:val="18"/>
          <w:szCs w:val="18"/>
          <w:color w:val="auto"/>
        </w:rPr>
      </w:pPr>
    </w:p>
    <w:p>
      <w:pPr>
        <w:jc w:val="both"/>
        <w:ind w:left="1780" w:right="160" w:hanging="380"/>
        <w:spacing w:after="0" w:line="258" w:lineRule="auto"/>
        <w:tabs>
          <w:tab w:leader="none" w:pos="1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spacing w:after="0" w:line="61"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w:t>
      </w:r>
    </w:p>
    <w:p>
      <w:pPr>
        <w:spacing w:after="0" w:line="103" w:lineRule="exact"/>
        <w:rPr>
          <w:rFonts w:ascii="Times New Roman" w:cs="Times New Roman" w:eastAsia="Times New Roman" w:hAnsi="Times New Roman"/>
          <w:sz w:val="18"/>
          <w:szCs w:val="18"/>
          <w:color w:val="auto"/>
        </w:rPr>
      </w:pPr>
    </w:p>
    <w:p>
      <w:pPr>
        <w:ind w:left="1780" w:right="60" w:hanging="380"/>
        <w:spacing w:after="0" w:line="266" w:lineRule="auto"/>
        <w:tabs>
          <w:tab w:leader="none" w:pos="1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fines, injunctions, or the imposition of criminal or civil penalties, or to sued and held liable for harm caused to subjects or patients;</w:t>
      </w:r>
    </w:p>
    <w:p>
      <w:pPr>
        <w:spacing w:after="0" w:line="6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 our reputation may suffer.</w:t>
      </w:r>
    </w:p>
    <w:p>
      <w:pPr>
        <w:spacing w:after="0" w:line="104"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tildacerfont and any future product candidates, if approved, and could significantly harm our business, results of operations, and prospects.</w:t>
      </w:r>
    </w:p>
    <w:p>
      <w:pPr>
        <w:spacing w:after="0" w:line="3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receive regulatory approval for tildacerfont and any future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any product.</w:t>
      </w:r>
    </w:p>
    <w:p>
      <w:pPr>
        <w:spacing w:after="0" w:line="81"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Any regulatory approvals that we receive may be subject to limitations on the approved indicated uses for which the product may be marketed or to the conditions of approval, or contain requirements for potentially costly post-marketing testing, including post-market studies or clinical trials, and surveillance to monitor safety and effectiveness. The FDA may also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w:t>
      </w:r>
    </w:p>
    <w:p>
      <w:pPr>
        <w:spacing w:after="0" w:line="78" w:lineRule="exact"/>
        <w:rPr>
          <w:sz w:val="20"/>
          <w:szCs w:val="20"/>
          <w:color w:val="auto"/>
        </w:rPr>
      </w:pPr>
    </w:p>
    <w:p>
      <w:pPr>
        <w:ind w:right="140" w:firstLine="509"/>
        <w:spacing w:after="0" w:line="247" w:lineRule="auto"/>
        <w:rPr>
          <w:sz w:val="20"/>
          <w:szCs w:val="20"/>
          <w:color w:val="auto"/>
        </w:rPr>
      </w:pPr>
      <w:r>
        <w:rPr>
          <w:rFonts w:ascii="Times New Roman" w:cs="Times New Roman" w:eastAsia="Times New Roman" w:hAnsi="Times New Roman"/>
          <w:sz w:val="18"/>
          <w:szCs w:val="18"/>
          <w:color w:val="auto"/>
        </w:rPr>
        <w:t>In addition, if the FDA or a comparable foreign regulatory authority approves a product candidate, the manufacturing, quality control, labeling, packaging, distribution, adverse event reporting, storage, advertising, promotion, import, export, and recordkeeping for the approved product will be subject to extensive and ongoing regulatory requirements. The FDA also requires submissions of safety and other post-marketing information and reports, registration, as well as continued compliance with cGMP requirements and GCP for any clinical trials that we conduct post-approval. Later discovery of previously unknown problems with a product candidate, including adverse events of unanticipated severity or frequency, or with our third-party manufacturers or manufacturing processes, or failure to comply with regulatory requirements, may result in, among other things:</w:t>
      </w:r>
    </w:p>
    <w:p>
      <w:pPr>
        <w:spacing w:after="0" w:line="72" w:lineRule="exact"/>
        <w:rPr>
          <w:sz w:val="20"/>
          <w:szCs w:val="20"/>
          <w:color w:val="auto"/>
        </w:rPr>
      </w:pPr>
    </w:p>
    <w:p>
      <w:pPr>
        <w:ind w:left="1780" w:hanging="380"/>
        <w:spacing w:after="0"/>
        <w:tabs>
          <w:tab w:leader="none" w:pos="1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103" w:lineRule="exact"/>
        <w:rPr>
          <w:rFonts w:ascii="Times New Roman" w:cs="Times New Roman" w:eastAsia="Times New Roman" w:hAnsi="Times New Roman"/>
          <w:sz w:val="18"/>
          <w:szCs w:val="18"/>
          <w:color w:val="auto"/>
        </w:rPr>
      </w:pPr>
    </w:p>
    <w:p>
      <w:pPr>
        <w:ind w:left="1780" w:right="460" w:hanging="380"/>
        <w:spacing w:after="0" w:line="282" w:lineRule="auto"/>
        <w:tabs>
          <w:tab w:leader="none" w:pos="1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provide corrective information to healthcare practitioners, or require other restrictions on the labeling or marketing of such products;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left="1780" w:right="460" w:hanging="380"/>
        <w:spacing w:after="0" w:line="266" w:lineRule="auto"/>
        <w:tabs>
          <w:tab w:leader="none" w:pos="1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4"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withdraw or modify regulatory approval;</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modify any ongoing clinical trials;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filed by us;</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require us to initiate a product recall.</w:t>
      </w:r>
    </w:p>
    <w:p>
      <w:pPr>
        <w:spacing w:after="0" w:line="10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tildacerfont and any future product candidates and generate revenue and could require us to expend significant time and resources in response and could generate negative publicity.</w:t>
      </w:r>
    </w:p>
    <w:p>
      <w:pPr>
        <w:spacing w:after="0" w:line="68"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U.S. Federal Trade Commission, the Department of Justice, or the DOJ, the Office of Inspector General of the U.S. Department of Health and Human Services, or HHS, state attorneys general, members of the U.S. Congress, and the public. Additionally, advertising and promotion of any product candidate that obtains approval outside of the United States will be heavily scrutinized by comparable foreign entities and stakeholders. Violations, including actual or alleged promotion of our products for unapproved or off-label uses, are subject to enforcement letters, inquiries, and investigations, and civil and criminal sanctions by the FDA, DOJ, or comparable foreign bodies. Any actual or alleged failure to comply with labeling and promotion requirements may result in fines, warning letters, mandates to corrective information to healthcare practitioners, injunctions, or civil or criminal penalties.</w:t>
      </w:r>
    </w:p>
    <w:p>
      <w:pPr>
        <w:spacing w:after="0" w:line="73"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for tildacerfont and any future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83"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2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69"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69"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Separately, in response to the global COVID-19 pandemic, in March 2020 the FDA announced its intention to postpone most foreign inspections of manufacturing facilities. In July 2020, the FDA restarted inspections of domestic and international manufacturing facilities on a risk-based basis. Regulatory authorities outside the United States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68"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tildacerfont and any future product candidates, tildacerfont and any future product candidates may not gain market acceptance among physicians, patients, healthcare payors and others in the medical community.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jc w:val="both"/>
        <w:ind w:right="200" w:firstLine="509"/>
        <w:spacing w:after="0" w:line="250" w:lineRule="auto"/>
        <w:rPr>
          <w:sz w:val="20"/>
          <w:szCs w:val="20"/>
          <w:color w:val="auto"/>
        </w:rPr>
      </w:pPr>
      <w:r>
        <w:rPr>
          <w:rFonts w:ascii="Times New Roman" w:cs="Times New Roman" w:eastAsia="Times New Roman" w:hAnsi="Times New Roman"/>
          <w:sz w:val="18"/>
          <w:szCs w:val="18"/>
          <w:color w:val="auto"/>
        </w:rPr>
        <w:t>Tildacerfont and any future product candidates may not be commercially successful. The commercial success of tildacerfont or any future product candidates, if approved, will depend significantly on the broad adoption and use of such product by physicians and patients for approved indications. The degree of market acceptance of tildacerfont or any future products, if approved, will depend on a number of factors, including:</w:t>
      </w:r>
    </w:p>
    <w:p>
      <w:pPr>
        <w:spacing w:after="0" w:line="82" w:lineRule="exact"/>
        <w:rPr>
          <w:sz w:val="20"/>
          <w:szCs w:val="20"/>
          <w:color w:val="auto"/>
        </w:rPr>
      </w:pPr>
    </w:p>
    <w:p>
      <w:pPr>
        <w:ind w:left="1780" w:hanging="380"/>
        <w:spacing w:after="0"/>
        <w:tabs>
          <w:tab w:leader="none" w:pos="1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such product candidate is approved;</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and patients considering the product as a safe and effective treatment;</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over alternative treatments;</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by the FDA or other regulatory authorities;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as well as competitive products;</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by third-party payors and government authorities;</w:t>
      </w:r>
    </w:p>
    <w:p>
      <w:pPr>
        <w:spacing w:after="0" w:line="103" w:lineRule="exact"/>
        <w:rPr>
          <w:rFonts w:ascii="Times New Roman" w:cs="Times New Roman" w:eastAsia="Times New Roman" w:hAnsi="Times New Roman"/>
          <w:sz w:val="18"/>
          <w:szCs w:val="18"/>
          <w:color w:val="auto"/>
        </w:rPr>
      </w:pPr>
    </w:p>
    <w:p>
      <w:pPr>
        <w:ind w:left="1780" w:right="140" w:hanging="380"/>
        <w:spacing w:after="0" w:line="282" w:lineRule="auto"/>
        <w:tabs>
          <w:tab w:leader="none" w:pos="1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coverage and adequate reimbursement by third-party payors and government authorities;</w:t>
      </w:r>
    </w:p>
    <w:p>
      <w:pPr>
        <w:spacing w:after="0" w:line="40"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including as compared to alternative treatments and competitive therapies; and</w:t>
      </w:r>
    </w:p>
    <w:p>
      <w:pPr>
        <w:spacing w:after="0" w:line="103" w:lineRule="exact"/>
        <w:rPr>
          <w:rFonts w:ascii="Times New Roman" w:cs="Times New Roman" w:eastAsia="Times New Roman" w:hAnsi="Times New Roman"/>
          <w:sz w:val="18"/>
          <w:szCs w:val="18"/>
          <w:color w:val="auto"/>
        </w:rPr>
      </w:pPr>
    </w:p>
    <w:p>
      <w:pPr>
        <w:ind w:left="1780" w:hanging="380"/>
        <w:spacing w:after="0" w:line="282" w:lineRule="auto"/>
        <w:tabs>
          <w:tab w:leader="none" w:pos="1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 those of any collaboration or distribution partner on whom we rely for sales in foreign jurisdictions.</w:t>
      </w:r>
    </w:p>
    <w:p>
      <w:pPr>
        <w:spacing w:after="0" w:line="40"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If tildacerfont and any future product candidate is approved but fails to achieve market acceptance among physicians, patients, healthcare payors or others in the medical community, we will not be able to generate significant revenues, which would have a material adverse effect on our business, prospects, financial condition, and results of operations. In addition, even if tildacerfont and any future product candidate gains acceptance, the markets for the treatment of patients with our target indications may not be as significant as we estimate.</w:t>
      </w:r>
    </w:p>
    <w:p>
      <w:pPr>
        <w:spacing w:after="0" w:line="6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tildacerfont and any future product candidate is approved for marketing, and we are found to have improperly promoted off-label uses, or if physicians prescribe or use tildacerfont and any future product candidates off-label, we may become subject to prohibitions on the sale or marketing of tildacerfont and any future product candidates, significant fines, penalties, sanctions, or product liability claims, and our image and reputation within the industry and marketplace could be harmed.</w:t>
      </w:r>
    </w:p>
    <w:p>
      <w:pPr>
        <w:spacing w:after="0" w:line="66"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The FDA, DOJ, and comparable foreign authorities strictly regulate the marketing and promotional claims that are made about pharmaceutical products, such as tildacerfont, if approved. In particular, a product may not be promoted for uses or indications that are not approved by the FDA or comparable foreign authorities as reflected in the product’s approved labeling. However, if we receive marketing approval for tildacerfont and any future product candidates, physicians can prescribe such product to their patients in a manner that is inconsistent with the approved label based on the physician’s independent medical judgement. If we are found to have promoted such off-label uses, we may receive warning letters from the FDA and comparable foreign authorities and become subject to significant liability, which would materially harm our business.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and other governmental authorities have also required that companies enter into consent decrees or permanent injunctions under which specified promotional conduct is changed or curtailed in order to resolve enforcement actions. If we are deemed by the FDA, DOJ, or other governmental authorities to have engaged in the promotion of tildacerfont or any future product candidate for off-label use, we could be subject to certain prohibitions or other restrictions on the sale or marketing and other operations or significant fines and penalties, and the imposition of these sanctions could also affect our reputation and position within the industry.</w:t>
      </w:r>
    </w:p>
    <w:p>
      <w:pPr>
        <w:spacing w:after="0" w:line="72"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tildacerfont and any future product candidates, which could make it difficult for us to sell tildacerfont and any future product candidates profitably.</w:t>
      </w:r>
    </w:p>
    <w:p>
      <w:pPr>
        <w:spacing w:after="0" w:line="50"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Successful sales of tildacerfont and any future product candidates, if approved, depend on the availability of coverage and adequate reimbursement from third-party payors. Patients who are prescribed medicine for the treatment of their conditions generally rely on third-party payors to reimburse all or part of the costs associated with their prescription drugs. Coverage and adequate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reimbursement from governmental healthcare programs, such as Medicare and Medicaid, and commercial payors is critical to new product acceptance, and we may not obtain such coverage or adequate reimbursement. Moreover, we focus our clinical development of tildacerfont on treatments for rare endocrine disorders with relatively small patient populations. As a result, we must rely on obtaining appropriate coverage and reimbursement for these populations.</w:t>
      </w:r>
    </w:p>
    <w:p>
      <w:pPr>
        <w:spacing w:after="0" w:line="64"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Government authorities and third-party payors, such as private health insurers and health maintenance organizations, decide which drugs they will cover and the amount of reimbursement they will provide. Reimbursement by a third-party payor may depend upon a number of factors, including, but not limited to, the third-party payor’s determination that use of a product is:</w:t>
      </w:r>
    </w:p>
    <w:p>
      <w:pPr>
        <w:spacing w:after="0" w:line="82" w:lineRule="exact"/>
        <w:rPr>
          <w:sz w:val="20"/>
          <w:szCs w:val="20"/>
          <w:color w:val="auto"/>
        </w:rPr>
      </w:pPr>
    </w:p>
    <w:p>
      <w:pPr>
        <w:ind w:left="1780" w:hanging="380"/>
        <w:spacing w:after="0"/>
        <w:tabs>
          <w:tab w:leader="none" w:pos="1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04"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third-party payor is a time-consuming and costly process that could require us to provide to the payor supporting scientific, clinical and cost-effectiveness data for the use of our products. We may not be able to provide data sufficient to obtain coverage and adequate reimbursement. Assuming we obtain coverage for a given product, the resulting reimbursement payment rates might not be adequate or may require co-payments that patients find unacceptably high. Patients are unlikely to use tildacerfont or any future product candidate unless coverage is provided and reimbursement is adequate to cover a significant portion of the cost. Additionally, the reimbursement rates and coverage amounts may be affected by the approved label for tildacerfont or any future product candidate. If coverage and reimbursement of our future products are unavailable or limited in scope or amount, or if pricing is set at unsatisfactory levels, we may be unable to achieve or sustain profitability.</w:t>
      </w:r>
    </w:p>
    <w:p>
      <w:pPr>
        <w:spacing w:after="0" w:line="92"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In addition, the market for tildacerfont and any future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through formulary controls or otherwise to a branded drug when a less costly generic equivalent or other alternative is available.</w:t>
      </w:r>
    </w:p>
    <w:p>
      <w:pPr>
        <w:spacing w:after="0" w:line="73"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drug products exists among third-party payors. Third-party payors often rely upon Medicare coverage policy and payment limitations in setting their own reimbursement rates, but also have their own methods and approval process apart from Medicare determinations. Therefore, coverage and reimbursement for drug products can differ significantly from payor to payor. As a result, the coverage determination process is often a time-consuming and costly process that will require us to provide scientific and clinical support for the use of tildacerfont and any future product candidates to each payor separately, with no assurance that coverage and adequate reimbursement will be obtained. Further, coverage policies and third-party reimbursement rates may change at any time. Therefore, even if favorable coverage and reimbursement status is attained, less favorable coverage policies and reimbursement rates may be implemented in the future.</w:t>
      </w:r>
    </w:p>
    <w:p>
      <w:pPr>
        <w:spacing w:after="0" w:line="73"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We intend to seek approval to market tildacerfont in the United States and in selected foreign jurisdictions. If we obtain approval in one or more foreign jurisdictions for tildacerfont, we will be subject to rules and regulations in those jurisdictions. In some foreign countries, particularly those in the EU, the pricing of prescription pharmaceuticals and biologics is subject to governmental control. In these countries, pricing negotiations with governmental authorities can take considerable time after obtaining marketing approval for a drug candidate. In addition, market acceptance and sales of a product will depend significantly on the availability of coverage and adequate reimbursement from third-party payors for a product and may be affected by existing and future health care reform measures.</w:t>
      </w:r>
    </w:p>
    <w:p>
      <w:pPr>
        <w:spacing w:after="0" w:line="68"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legislation, future legislation and healthcare reform measures may increase the difficulty and cost for us to obtain marketing approval for and commercialize tildacerfont and any future product candidates and may affect the prices we may set.*</w:t>
      </w:r>
    </w:p>
    <w:p>
      <w:pPr>
        <w:spacing w:after="0" w:line="3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6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as amended by the Health Care and Education Reconciliation Act, or collectively, the Affordable Care Act, was enacted in the United States. Among the provisions of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8"/>
          <w:szCs w:val="18"/>
          <w:color w:val="auto"/>
        </w:rPr>
        <w:t>Affordable Care Act of importance to our potential product candidates are that it established an annual, nondeductible fee on any entity that manufactures or imports specified branded prescription drugs and biologic agents; expands eligibility criteria for Medicaid programs; increased the statutory minimum rebates a manufacturer must pay under the Medicaid Drug Rebate Program; created a new Medicare Part D coverage gap discount program; established a new Patient-Centered Outcomes Research Institute to oversee, identify priorities in and conduct comparative clinical effectiveness research, along with funding for such research; and established a Center for Medicare and Medicaid Innovation at the Centers for Medicare &amp; Medicaid Services, or CMS, to test innovative payment and service delivery models to lower Medicare and Medicaid spending.</w:t>
      </w:r>
    </w:p>
    <w:p>
      <w:pPr>
        <w:spacing w:after="0" w:line="87"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to certain aspects of the Affordable Care Act. By way of example, legislation enacted in 2017, informally titled the Tax Cuts and Jobs Act, or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For example, on June 17, 2021, the United States Supreme Court dismissed a challenge on procedural grounds that argued the Affordable Care Act is unconstitutional in its entirety because the "individual mandate" was repealed by Congress. Thus, the Affordable Care Act will remain in effect in its current form. Moreover, prior to the United Supreme Court ruling, on January 28, 2021, President Biden issued an executive order that initiated a special enrollment period for purposes of obtaining health insurance coverage through the Affordable Care Act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possible that the Affordable Care Act will be subject to judicial or Congressional challenges in the future. It is unclear how any such challenges and the healthcare reform measures of the Biden administration will impact the Affordable Care Act and our business.</w:t>
      </w:r>
    </w:p>
    <w:p>
      <w:pPr>
        <w:spacing w:after="0" w:line="92" w:lineRule="exact"/>
        <w:rPr>
          <w:sz w:val="20"/>
          <w:szCs w:val="20"/>
          <w:color w:val="auto"/>
        </w:rPr>
      </w:pPr>
    </w:p>
    <w:p>
      <w:pPr>
        <w:jc w:val="both"/>
        <w:ind w:right="180" w:firstLine="509"/>
        <w:spacing w:after="0" w:line="258"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since the Affordable Care Act was enacted. On August 2, 2011, the Budget Control Act of 2011 was signed into law, which, among other things, included reductions to Medicare payments to providers of 2% per fiscal year, which went into effect on April 1, 2013 and, due to subsequent legislative amendments to the statute, will remain in effect through 2031, with the exception of a temporary suspension from May 1, 2020 through March 31, 2022 due to COVID-19 relief legislation, unless additional Congressional action is taken.</w:t>
      </w:r>
    </w:p>
    <w:p>
      <w:pPr>
        <w:spacing w:after="0" w:line="3"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Under current legislation, the actual reduction in Medicare payments will vary from 1% in 2022 to up to 4% in the final fiscal year of this sequester. In addition,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Further, Congress is considering additional health reform measures.</w:t>
      </w:r>
    </w:p>
    <w:p>
      <w:pPr>
        <w:spacing w:after="0" w:line="77"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Further, there has been heightened governmental scrutiny in the United States of pharmaceutical pricing practices in light of the rising cost of prescription drugs.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69"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At the federal level, the previous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drug pricing that attempted to implement several of the Trump administration’s proposals. As a result, the FDA concurrently released a final rule and guidance in September 2020 providing pathways for states to build and submit importation plans for drugs from Canada.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rule also creates a new safe harbor for price reductions reflected at the point-of-sale, as well as a new safe harbor for certain fixed fee arrangements between pharmacy benefit managers and manufacturers. The implementation of the rule has been delayed until January 1, 2027. On November 20, 2020, CMS issued an interim final rule implementing the Trump administration’s Most Favored Nation, or MFN, executive order, which would tie Medicare Part B payments for certain physician-administered drugs to the lowest price paid in other economically advanced countries, effective January 1, 2021. As a result of litigation challenging the MFN model, on December 27, 2021, CMS published a final rule that rescinds the MFN Model interim final rule.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jc w:val="both"/>
        <w:ind w:right="240" w:firstLine="509"/>
        <w:spacing w:after="0" w:line="247" w:lineRule="auto"/>
        <w:rPr>
          <w:sz w:val="20"/>
          <w:szCs w:val="20"/>
          <w:color w:val="auto"/>
        </w:rPr>
      </w:pPr>
      <w:r>
        <w:rPr>
          <w:rFonts w:ascii="Times New Roman" w:cs="Times New Roman" w:eastAsia="Times New Roman" w:hAnsi="Times New Roman"/>
          <w:sz w:val="18"/>
          <w:szCs w:val="18"/>
          <w:color w:val="auto"/>
        </w:rPr>
        <w:t>At the state level, 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ind w:right="180"/>
        <w:spacing w:after="0" w:line="241" w:lineRule="auto"/>
        <w:rPr>
          <w:sz w:val="20"/>
          <w:szCs w:val="20"/>
          <w:color w:val="auto"/>
        </w:rPr>
      </w:pPr>
      <w:r>
        <w:rPr>
          <w:rFonts w:ascii="Times New Roman" w:cs="Times New Roman" w:eastAsia="Times New Roman" w:hAnsi="Times New Roman"/>
          <w:sz w:val="18"/>
          <w:szCs w:val="18"/>
          <w:color w:val="auto"/>
        </w:rPr>
        <w:t>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tildacerfont, if approved, or put pressure on our product pricing, which could negatively affect our business, results of operations, financial condition, and prospects.</w:t>
      </w:r>
    </w:p>
    <w:p>
      <w:pPr>
        <w:spacing w:after="0" w:line="76"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We expect that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third-party payors. The implementation of cost containment measures or other healthcare reforms may prevent us from being able to generate revenue, attain profitability or commercialize tildacerfont, if approved.</w:t>
      </w:r>
    </w:p>
    <w:p>
      <w:pPr>
        <w:spacing w:after="0" w:line="83"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marketing tildacerfont and any future product candidates internationally could materially adversely affect our business.</w:t>
      </w:r>
    </w:p>
    <w:p>
      <w:pPr>
        <w:spacing w:after="0" w:line="50"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plan to seek regulatory approval for tildacerfont and any future product candidates internationally and, accordingly, we expect that we will be subject to additional risks related to operating in foreign countries if we obtain the necessary approvals, including:</w:t>
      </w:r>
    </w:p>
    <w:p>
      <w:pPr>
        <w:spacing w:after="0" w:line="40" w:lineRule="exact"/>
        <w:rPr>
          <w:sz w:val="20"/>
          <w:szCs w:val="20"/>
          <w:color w:val="auto"/>
        </w:rPr>
      </w:pPr>
    </w:p>
    <w:p>
      <w:pPr>
        <w:ind w:left="1780" w:hanging="380"/>
        <w:spacing w:after="0"/>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 including differing reimbursement, pricing and insurance regimes;</w:t>
      </w:r>
    </w:p>
    <w:p>
      <w:pPr>
        <w:spacing w:after="0" w:line="103" w:lineRule="exact"/>
        <w:rPr>
          <w:rFonts w:ascii="Times New Roman" w:cs="Times New Roman" w:eastAsia="Times New Roman" w:hAnsi="Times New Roman"/>
          <w:sz w:val="18"/>
          <w:szCs w:val="18"/>
          <w:color w:val="auto"/>
        </w:rPr>
      </w:pPr>
    </w:p>
    <w:p>
      <w:pPr>
        <w:ind w:left="1780" w:hanging="380"/>
        <w:spacing w:after="0" w:line="282" w:lineRule="auto"/>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40"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internationally;</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03" w:lineRule="exact"/>
        <w:rPr>
          <w:rFonts w:ascii="Times New Roman" w:cs="Times New Roman" w:eastAsia="Times New Roman" w:hAnsi="Times New Roman"/>
          <w:sz w:val="18"/>
          <w:szCs w:val="18"/>
          <w:color w:val="auto"/>
        </w:rPr>
      </w:pPr>
    </w:p>
    <w:p>
      <w:pPr>
        <w:ind w:left="1780" w:right="420" w:hanging="380"/>
        <w:spacing w:after="0" w:line="266" w:lineRule="auto"/>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6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U.S. Foreign Corrupt Practices Act of 1977, or FCPA, or comparable foreign regulations;</w:t>
      </w:r>
    </w:p>
    <w:p>
      <w:pPr>
        <w:spacing w:after="0" w:line="117" w:lineRule="exact"/>
        <w:rPr>
          <w:rFonts w:ascii="Times New Roman" w:cs="Times New Roman" w:eastAsia="Times New Roman" w:hAnsi="Times New Roman"/>
          <w:sz w:val="18"/>
          <w:szCs w:val="18"/>
          <w:color w:val="auto"/>
        </w:rPr>
      </w:pPr>
    </w:p>
    <w:p>
      <w:pPr>
        <w:ind w:left="1780" w:right="220" w:hanging="380"/>
        <w:spacing w:after="0" w:line="266" w:lineRule="auto"/>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4"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internationally; and</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104" w:lineRule="exact"/>
        <w:rPr>
          <w:sz w:val="20"/>
          <w:szCs w:val="20"/>
          <w:color w:val="auto"/>
        </w:rPr>
      </w:pPr>
    </w:p>
    <w:p>
      <w:pPr>
        <w:ind w:right="660" w:firstLine="509"/>
        <w:spacing w:after="0" w:line="266" w:lineRule="auto"/>
        <w:rPr>
          <w:sz w:val="20"/>
          <w:szCs w:val="20"/>
          <w:color w:val="auto"/>
        </w:rPr>
      </w:pPr>
      <w:r>
        <w:rPr>
          <w:rFonts w:ascii="Times New Roman" w:cs="Times New Roman" w:eastAsia="Times New Roman" w:hAnsi="Times New Roman"/>
          <w:sz w:val="18"/>
          <w:szCs w:val="18"/>
          <w:color w:val="auto"/>
        </w:rPr>
        <w:t>These and other risks associated with our international operations may materially adversely affect our ability to attain or maintain profitable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and commercialize additional product candidates, we may be unable to grow our business.</w:t>
      </w:r>
    </w:p>
    <w:p>
      <w:pPr>
        <w:spacing w:after="0" w:line="108" w:lineRule="exact"/>
        <w:rPr>
          <w:sz w:val="20"/>
          <w:szCs w:val="20"/>
          <w:color w:val="auto"/>
        </w:rPr>
      </w:pPr>
    </w:p>
    <w:p>
      <w:pPr>
        <w:ind w:right="400" w:firstLine="509"/>
        <w:spacing w:after="0" w:line="246" w:lineRule="auto"/>
        <w:rPr>
          <w:sz w:val="20"/>
          <w:szCs w:val="20"/>
          <w:color w:val="auto"/>
        </w:rPr>
      </w:pPr>
      <w:r>
        <w:rPr>
          <w:rFonts w:ascii="Times New Roman" w:cs="Times New Roman" w:eastAsia="Times New Roman" w:hAnsi="Times New Roman"/>
          <w:sz w:val="18"/>
          <w:szCs w:val="18"/>
          <w:color w:val="auto"/>
        </w:rPr>
        <w:t>We may seek to in-license or acquire development-stage product candidates in endocrine disorders that have the potential to complement our existing portfolio. If we decide to pursue the development and commercialization of any additional product candidates, we may be required to invest significant resources to acquire or in-license the rights to such product candidates or to conduct drug discovery activities. We do not currently have the necessary drug discovery personnel or expertise adequate to discover and develop an additional product candidate on our own. Any other product candidates will require additional, time-consuming</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development efforts, and significant financial resources, prior to commercial sale, including preclinical studies, extensive clinical trials, and approval by the FDA and applicable foreign regulatory authorities. All product candidates are prone to the risks of failure that are inherent in pharmaceutical product development, including the possibility that the product candidate will not be shown to be sufficiently safe and/or effective for approval by regulatory authorities. In addition, we may not be able to acquire, discover, or develop any additional product candidates, and any additional product candidates we may develop may not be approved, manufactured, or produced economically, successfully commercialized or widely accepted in the marketplace, or be more effective than other commercially available alternatives. Research programs to identify new product candidates require substantial technical, financial, and human resources whether or not we ultimately identify any candidates. If we are unable to develop or commercialize any other product candidates, our business and prospects will suffer.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tildacerfont for additional indications, our commercial opportunity may be limited.</w:t>
      </w:r>
    </w:p>
    <w:p>
      <w:pPr>
        <w:spacing w:after="0" w:line="108"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One of our strategies is to pursue clinical development of tildacerfont in additional endocrine disorders, including, but not limited to, pediatric classic CAH and a subpopulation of females with PCOS. The endocrine disorders we are targeting are all rare disorders and, as a result, the market size for the treatment of patients with such disorders is limited. In addition, CRF1 receptor antagonism may not be an appropriate or effective mechanism in indications where disease biology supports a need to reduce ACTH. Due to these factors, our ability to grow revenue may be dependent on our ability to successfully develop and commercialize tildacerfont for the treatment of additional indications. Developing, obtaining regulatory approval and commercializing tildacerfont for additional indications will require substantial additional funding and is prone to the risks of failure inherent in drug development. We may not be able to successfully advance any of these indications through the development process. Even if we receive regulatory approval to market tildacerfont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tildacerfont for these additional indications, our commercial opportunity may be limited.</w:t>
      </w:r>
    </w:p>
    <w:p>
      <w:pPr>
        <w:spacing w:after="0" w:line="87"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50"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The biopharmaceutical industry is characterized by intense competition and rapid innovation. Although we believe that we hold a leading position in our focus on rare endocrine disorders,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tildacerfont. We believe the key competitive factors that will affect the development and commercial success of tildacerfont are efficacy, safety and tolerability profile, reliability, convenience of dosing, price and reimbursement.</w:t>
      </w:r>
    </w:p>
    <w:p>
      <w:pPr>
        <w:spacing w:after="0" w:line="94"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Although classic CAH is part of the newborn screening program in most developed countries, there are no known novel therapies that have been approved in approximately 50 years. We are aware of other companies actively developing treatments for patients with classic CAH. Neurocrine Biosciences, Inc., or Neurocrine, is developing a CRF1 receptor antagonist and has completed a two-week Phase 2 clinical trial in adults with classic CAH and a 2-week Phase 2 clinical trial in adolescents aged 14 to 17 years with classic CAH. Neurocrine has initiated registrational trials for adult and pediatric patients with classic CAH. BridgeBio Pharma, Inc. is evaluating an AAV5 gene therapy product candidate to treat classic CAH in a Phase 1/2 proof of concept clinical trial. In addition, Crinetics Pharmaceuticals, Inc. reported findings from a Phase 1 clinical trial that evaluated the ability of an oral ACTH antagonist to suppress ACTH-stimulated secretion in healthy volunteers and plans to initiate a Phase 2 program in the second half of 2022.</w:t>
      </w:r>
    </w:p>
    <w:p>
      <w:pPr>
        <w:spacing w:after="0" w:line="73"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addition, while tildacerfont ultimately seeks to significantly reduce steroid use for patients with classic CAH, patients will continue use of their steroid regimen. As corticosteroids are the current standard of care for the treatment of classic CAH, in the United States alone, there are more than two dozen companies manufacturing steroid-based products. One such company is Diurnal Group PLC, or Diurnal, which is developing an exogenous cortisol treatment with a modified release intended to more closely match the physiological release profile of cortisol but announced a failed Phase 3 clinical trial in 2018. Diurnal submitted a MAA to the EMA in December of 2019. In March 2021, the EMA announced a positive opinion from the Committee for Medicinal Products for Human Use, or CHMP, on granting marketing approval for its exogenous cortisol treatment with a modified release for the treatment of adults and adolescents aged 12 and over with CAH. Diurnal announced that it has launched in the EU. Diurnal also announced that the FDA agreed to a special protocol assessment for a Phase 3 trial of its exogenous cortisol treatment with a modified release for the treatments of patients aged 16 and over with CAH and has initiated the study in the United States.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We believe the key competitive factors affecting the success of tildacerfont are likely to be efficacy, safety, and convenience.</w:t>
      </w:r>
    </w:p>
    <w:p>
      <w:pPr>
        <w:spacing w:after="0" w:line="6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though we have obtained orphan drug designation for tildacerfont for the treatment of CAH, we may not be able to obtain or maintain the benefits associated with orphan drug status, including market exclusivity.</w:t>
      </w:r>
    </w:p>
    <w:p>
      <w:pPr>
        <w:spacing w:after="0" w:line="37"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the EU, may designate drugs for relatively small patient populations as orphan drugs. Under the Orphan Drug Act, the FDA may designate a drug as an orphan drug if it is intended to treat a rare disease or condition, which is generally defined as a patient population of fewer than 200,000 people in the United States, or a patient population of greater than 200,000 people in the United States, but for which there is no reasonable expectation that the cost of developing the drug will be recovered from sales in the United States. In the EU, the European Commission, on the basis of the opinion of the EMA Committee for Orphan Medicinal Products, grants orphan drug designation for medicines to be developed for the diagnosis, prevention or treatment of diseases that are life-threatening or chronically debilitating, for which either no satisfactory method of diagnosis, prevention, or treatment exists, or if such method exists, the medicine is of significant benefit to those affected by such condition. To benefit from such designation, either the prevalence of such condition must not be more than five in 10,000 people across the EU or, if more prevalent, it must be unlikely that the marketing of the medicine would generate sufficient returns to justify the investment needed for its development.</w:t>
      </w:r>
    </w:p>
    <w:p>
      <w:pPr>
        <w:spacing w:after="0" w:line="93"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We have received orphan drug designation for tildacerfont for the treatment of patients with CAH in both the US and EU. Generally, if a drug with an orphan drug designation subsequently receives the first marketing approval for the indication for which it has such designation, the drug may be entitled to a period of marketing exclusivity, which precludes the FDA or the European Commission from approving another marketing application for the same drug (or, in the case of the European Commission, a similar drug) and same indication for that time period. The applicable period is seven years in the United States and ten years in the EU, which may be extended by six months and two years, respectively, in the case of product candidates that have complied with the respective regulatory agency’s agreed upon pediatric investigation plan. The exclusivity period in the EU can be reduced to six years if, at the end of the fifth year, it is established that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even after a drug is granted orphan exclusivity and approved, the FDA and the European Commission can subsequently approve a different drug for the same condition or the same drug for a different condition, which may subject the orphan-exclusive product to off-label competition. As well, before the expiration of the orphan exclusivity period, the FDA or European Commission may grant approval to a competitor if it concludes that a subsequent application for the same drug for the same indication is clinically superior in that it is shown to be safer, more effective or makes a major contribution to patient care. In the EU, the EMA may deny marketing approval for a product candidate if it determines such product candidate is structurally similar to an approved product for the same indication. In addition, if an orphan designated product receives marketing approval for an indication broader than or different from what is designated, such product may not be entitled to orphan exclusivity. Even though the FDA has granted orphan drug designation to tildacerfont for the treatment of classic CAH, if we receive approval for tildacerfont for a modified or different indication, our current orphan designations may not provide us with exclusivity.</w:t>
      </w:r>
    </w:p>
    <w:p>
      <w:pPr>
        <w:spacing w:after="0" w:line="79" w:lineRule="exact"/>
        <w:rPr>
          <w:sz w:val="20"/>
          <w:szCs w:val="20"/>
          <w:color w:val="auto"/>
        </w:rPr>
      </w:pPr>
    </w:p>
    <w:p>
      <w:pPr>
        <w:jc w:val="both"/>
        <w:ind w:right="180" w:firstLine="509"/>
        <w:spacing w:after="0" w:line="258" w:lineRule="auto"/>
        <w:rPr>
          <w:sz w:val="20"/>
          <w:szCs w:val="20"/>
          <w:color w:val="auto"/>
        </w:rPr>
      </w:pPr>
      <w:r>
        <w:rPr>
          <w:rFonts w:ascii="Times New Roman" w:cs="Times New Roman" w:eastAsia="Times New Roman" w:hAnsi="Times New Roman"/>
          <w:sz w:val="18"/>
          <w:szCs w:val="18"/>
          <w:color w:val="auto"/>
        </w:rPr>
        <w:t>Orphan drug designation does not convey any advantage in, or shorten the duration of, the regulatory review or approval process. Also, regulatory approval for any product candidate may be withdrawn, and other product candidates may obtain approval before us and receive orphan drug exclusivity, which could block us from entering the market.</w:t>
      </w:r>
    </w:p>
    <w:p>
      <w:pPr>
        <w:spacing w:after="0" w:line="6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Even if we obtain orphan drug exclusivity for tildacerfont, that exclusivity may not effectively protect us from competition because different drugs can be approved for the same condition before the expiration of the orphan drug exclusivity period.</w:t>
      </w:r>
    </w:p>
    <w:p>
      <w:pPr>
        <w:spacing w:after="0" w:line="3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pursue orphan drug designation for tildacerfont for the treatment of a subpopulation of females with PCOS. The incidence and prevalence of this target patient population is based on our estimates and third-party data. If the market opportunity for this target population is larger than we estimate, we may be unable to receive orphan drug designation. Additionally, if orphan drug designation is granted, we may be unable to maintain any benefits associated with orphan drug designation, including market exclusivity.</w:t>
      </w:r>
    </w:p>
    <w:p>
      <w:pPr>
        <w:spacing w:after="0" w:line="66"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Periodically, we make estimates regarding the incidence and prevalence of target patient populations based on various third-party sources and internally generated analysis. Our estimates may be inaccurate or based on imprecise data. As described above, under the Orphan Drug Act, the FDA may designate a drug as an orphan drug if it is intended to treat a rare disease or condition, which is generally defined as a patient population of fewer than 200,000 people in the United States, or a patient population of greater</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than 200,000 people in the United States, but for which there is no reasonable expectation that the cost of developing the drug will be recovered from sales in the United States. If our incidence or prevalence estimates for the subpopulation of females with PCOS are incorrect, we may be unable to receive orphan drug designation.</w:t>
      </w:r>
    </w:p>
    <w:p>
      <w:pPr>
        <w:spacing w:after="0" w:line="8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Even if the FDA grants orphan drug designation for tildacerfont for the treatment of a subpopulation of females with PCOS, exclusive marketing rights in the United States may be limited if we seek FDA marketing approval for an indication broader than the orphan designated indication. Additionally, any product candidate that initially receives orphan drug status designation, may lose such designation if the FDA later determines that the request for designation was materially defective or if the manufacturer is unable to assure sufficient quantities of the product to meet the needs of patients with the rare disease or condition. In addition, others may obtain orphan drug status for products addressing the same diseases or conditions as products we are developing, thus limiting our ability to compete in the markets addressing such diseases or conditions for a significant period of time. As a result, our business and prospects could suffer.</w:t>
      </w:r>
    </w:p>
    <w:p>
      <w:pPr>
        <w:spacing w:after="0" w:line="88"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form or seek strategic alliances or enter into additional licensing arrangements in the future, and we may not realize the benefits of such alliances or licensing arrangements.</w:t>
      </w:r>
    </w:p>
    <w:p>
      <w:pPr>
        <w:spacing w:after="0" w:line="50"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may form or seek strategic alliances, create joint ventures or collaborations or enter into additional licensing arrangements with third parties that we believe will complement or augment our development and commercialization efforts with respect to tildacerfont and any future product candidates that we may develop. We intend to establish commercial partnerships outside of the United States in selected foreign markets. Any of these relationships may require us to incur non-recurring and other charges, increase our near-and long-term expenditures, issue securities that dilute our existing stockholders, or disrupt our management and business. In addition, we face significant competition in seeking appropriate strategic partners and the negotiation process is time-consuming and complex. If we license products or businesses, we may not be able to realize the benefit of such transactions if we are unable to successfully integrate them with our existing operations and company culture. Following a strategic transaction or license, we may not achieve the revenues or cash flows that justifies such transaction. Any delays in entering into new strategic partnership agreements related to tildacerfont could delay the development and commercialization of tildacerfont in certain geographies for certain indications, which would harm our business prospects, financial condition, and results of operations.</w:t>
      </w:r>
    </w:p>
    <w:p>
      <w:pPr>
        <w:spacing w:after="0" w:line="87"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failure to successfully in-license, acquire, develop, and market additional product candidates or approved products would impair our ability to grow our business.</w:t>
      </w:r>
    </w:p>
    <w:p>
      <w:pPr>
        <w:spacing w:after="0" w:line="50"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Although a substantial amount of our efforts are focused on the clinical development, potential regulatory approval and commercialization of tildacerfont, a key element of our long-term strategy is to in-license, acquire, develop, market, and commercialize a portfolio of products to treat patients with endocrine disorders. Because we do not have the necessary internal research and development capabilities, unless we build such capabilities internally, we will be dependent upon pharmaceutical companies, academic scientists, and other researchers to sell or license products or technology to us. The success of this strategy depends partly upon our ability to identify and select promising biopharmaceutical product candidates and products, negotiate licensing or acquisition agreements with their current owners, and finance these arrangements. The process of proposing, negotiating, and implementing a license or acquisition of a product candidate or approved product is lengthy and complex. Other companies, including some with substantially greater financial, marketing, sales, and other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licensing opportunities that are never completed, or we may fail to realize the anticipated benefits of such efforts. We may not be able to acquire the rights to additional product candidates on terms that we find acceptable, or at all. Further, any product candidate that we acquire may require additional development efforts prior to commercial sale, including preclinical or clinical testing and approval by the FDA, the EMA and other similar regulatory authorities. All product candidates are prone to risks of failure during biopharmaceutical product development, including the possibility that a product candidate will not be shown to be sufficiently safe and effective for approval by regulatory authorities. In addition, any approved products that we acquire may not be manufactured or sold profitably or achieve market acceptance.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of our organization, and we may experience difficulties in managing this growth.*</w:t>
      </w:r>
    </w:p>
    <w:p>
      <w:pPr>
        <w:spacing w:after="0" w:line="10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of June 30, 2022, we had 17 employees, all of whom are full-time. As our development and commercialization plans and strategies develop, and as we transition into operating as a public company, we expect to need additional development, managerial, operational, financial, sales, marketing, and other personnel. Future growth would impose significant added responsibilities on members of management, including:</w:t>
      </w:r>
    </w:p>
    <w:p>
      <w:pPr>
        <w:spacing w:after="0" w:line="61" w:lineRule="exact"/>
        <w:rPr>
          <w:sz w:val="20"/>
          <w:szCs w:val="20"/>
          <w:color w:val="auto"/>
        </w:rPr>
      </w:pPr>
    </w:p>
    <w:p>
      <w:pPr>
        <w:ind w:left="1780" w:hanging="380"/>
        <w:spacing w:after="0"/>
        <w:tabs>
          <w:tab w:leader="none" w:pos="1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ind w:left="1780" w:right="40" w:hanging="380"/>
        <w:spacing w:after="0" w:line="266" w:lineRule="auto"/>
        <w:tabs>
          <w:tab w:leader="none" w:pos="1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regulatory review process for tildacerfont and any future product candidates, while complying with our contractual obligations to contractors and other third parties;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left="1780" w:hanging="380"/>
        <w:spacing w:after="0"/>
        <w:tabs>
          <w:tab w:leader="none" w:pos="1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104" w:lineRule="exact"/>
        <w:rPr>
          <w:sz w:val="20"/>
          <w:szCs w:val="20"/>
          <w:color w:val="auto"/>
        </w:rPr>
      </w:pPr>
    </w:p>
    <w:p>
      <w:pPr>
        <w:ind w:right="60" w:firstLine="509"/>
        <w:spacing w:after="0" w:line="241" w:lineRule="auto"/>
        <w:rPr>
          <w:sz w:val="20"/>
          <w:szCs w:val="20"/>
          <w:color w:val="auto"/>
        </w:rPr>
      </w:pPr>
      <w:r>
        <w:rPr>
          <w:rFonts w:ascii="Times New Roman" w:cs="Times New Roman" w:eastAsia="Times New Roman" w:hAnsi="Times New Roman"/>
          <w:sz w:val="18"/>
          <w:szCs w:val="18"/>
          <w:color w:val="auto"/>
        </w:rPr>
        <w:t>In addition, we initiated enrollment in CAHmelia-203, our ongoing placebo-controlled, double-blind Phase 2b clinical trial in adult patients with classic CAH with poor disease control, and in CAHmelia-204, our second Phase 2b clinical trial in adult patients with classic CAH with good disease control focused on glucocorticoid reduction. We also initiated a Phase 2 open-label clinical trial in pediatric patients between six and 17 years of age with classic CAH and a Phase 2 proof-of-concept clinical trial in females with PCOS. Our future financial performance and our ability to commercialize tildacerfont will depend, in part, on our ability to effectively manage any future growth, and our management may also have to divert a disproportionate amount of its attention away from day-to-day activities in order to devote a substantial amount of time to managing these growth activities. To date, we have used the services of outside vendors to perform tasks including clinical trial management, manufacturing, statistics and analysis, regulatory affairs, formulation development, and other drug development functions. Our growth strategy may also entail expanding our group of contractors or consultants to implement these tasks going forward. Because we rely on numerous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tildacerfont and any future product candidates or otherwise advance our business. We may not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tildacerfont and any future product candidates and, accordingly, may not achieve our research, development and commercialization goals.</w:t>
      </w:r>
    </w:p>
    <w:p>
      <w:pPr>
        <w:spacing w:after="0" w:line="8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indebtedness to Silicon Valley Bank may limit our flexibility in operating our business and adversely affect our financial health and competitive position, and our obligations to Silicon Valley Bank are secured by substantially all of our assets, excluding our intellectual property assets. If we default on these obligations, Silicon Valley Bank could foreclose on our assets.*</w:t>
      </w:r>
    </w:p>
    <w:p>
      <w:pPr>
        <w:spacing w:after="0" w:line="60"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In September 2019, we entered into the Loan Agreement, providing for the Term Loan, with Silicon Valley Bank. In April 2020, we entered into the Deferral Agreement, whereby we and Silicon Valley Bank agreed to extend the repayment dates of all monthly payments of principal due and the maturity date with respect to the Term Loan by six months. In March 2021, we entered into the First Amendment, which increased the aggregate principal amount of the Term Loan commitment by Silicon Valley Bank to up to $30.0 million. In May 2022, we entered into the Second Amendment, which amended the milestone upon which the Second Tranche commitment of $10.0 million would become available. As of June 30, 2022, we had $5.0 million outstanding under the Loan Agreement and $10.0 million of principal commitment available for withdrawal in 2022, subject to the satisfaction of certain clinical development and financial conditions.</w:t>
      </w:r>
    </w:p>
    <w:p>
      <w:pPr>
        <w:spacing w:after="0" w:line="73" w:lineRule="exact"/>
        <w:rPr>
          <w:sz w:val="20"/>
          <w:szCs w:val="20"/>
          <w:color w:val="auto"/>
        </w:rPr>
      </w:pPr>
    </w:p>
    <w:p>
      <w:pPr>
        <w:ind w:right="100" w:firstLine="509"/>
        <w:spacing w:after="0" w:line="247" w:lineRule="auto"/>
        <w:rPr>
          <w:sz w:val="20"/>
          <w:szCs w:val="20"/>
          <w:color w:val="auto"/>
        </w:rPr>
      </w:pPr>
      <w:r>
        <w:rPr>
          <w:rFonts w:ascii="Times New Roman" w:cs="Times New Roman" w:eastAsia="Times New Roman" w:hAnsi="Times New Roman"/>
          <w:sz w:val="18"/>
          <w:szCs w:val="18"/>
          <w:color w:val="auto"/>
        </w:rPr>
        <w:t>All obligations under the Term Loan are secured by a first priority lien on substantially all of our assets, excluding intellectual property assets. We have agreed with Silicon Valley Bank not to encumber our intellectual property assets without its prior written consent unless a security interest in the underlying intellectual property is necessary to have a security interest in the accounts and proceeds that are part of the assets securing the Term Loan, in which case our intellectual property shall automatically be included within the assets securing the Term Loan. As a result, if we default on any of our obligations under the Loan Agreement, Silicon Valley Bank could foreclose on its security interest and liquidate some or all of the collateral, which would harm our business, financial condition, and results of operations and could require us to reduce or cease operations.</w:t>
      </w:r>
    </w:p>
    <w:p>
      <w:pPr>
        <w:spacing w:after="0" w:line="72"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Our business may not be able to generate sufficient cash flow from operations, and future borrowings or other financings may not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could place us at a competitive disadvantage compared to our competitors that have less indebtedness.</w:t>
      </w:r>
    </w:p>
    <w:p>
      <w:pPr>
        <w:spacing w:after="0" w:line="73"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The Loan Agreement contains certain covenants that limit our ability to engage in certain transactions that may be in our long-term best interest, including entering into a change in control transaction. The Loan Agreement also contains certain covenants that limit our ability to obtain additional debt financing, including incurring debt from third parties not permitted under the Loan Agreement or incurring liens or encumbrances on our property. While we have not previously breached and are currently in compliance with the covenants contained in the Loan Agreement, we may breach these covenants in the future. Our ability to comply with these covenants may be affected by events and factors beyond our control. In the event that we breach one or more covenants, Silicon Valley Bank may choose to declare an event of default and require that we immediately repay all amounts outstanding under the Loan Agreement, terminate any commitment to extend further credit and foreclose on the collateral. In addition, if an event of default occurs under the Loan Agreement, Silicon Valley Bank may, among other things, accelerate the Term Loan or do any acts it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considers necessary or reasonable to protect its security interest in the collateral under the Term Loan. Events of default include the occurrence of a material adverse change in our business, operations, or condition (financial or otherwise). The occurrence of any of these events could have a material adverse effect on our business, financial condition, and results of operations.</w:t>
      </w:r>
    </w:p>
    <w:p>
      <w:pPr>
        <w:spacing w:after="0" w:line="82" w:lineRule="exact"/>
        <w:rPr>
          <w:sz w:val="20"/>
          <w:szCs w:val="20"/>
          <w:color w:val="auto"/>
        </w:rPr>
      </w:pPr>
    </w:p>
    <w:p>
      <w:pPr>
        <w:ind w:right="320" w:firstLine="509"/>
        <w:spacing w:after="0" w:line="250" w:lineRule="auto"/>
        <w:rPr>
          <w:sz w:val="20"/>
          <w:szCs w:val="20"/>
          <w:color w:val="auto"/>
        </w:rPr>
      </w:pPr>
      <w:r>
        <w:rPr>
          <w:rFonts w:ascii="Times New Roman" w:cs="Times New Roman" w:eastAsia="Times New Roman" w:hAnsi="Times New Roman"/>
          <w:sz w:val="18"/>
          <w:szCs w:val="18"/>
          <w:color w:val="auto"/>
        </w:rPr>
        <w:t>For a more detailed description of the terms of the Loan Agreement, see the section titled “Management’s Discussion and Analysis of Financial Condition and Results of Operations—Liquidity and Capital Resources—Loan Agreement” and Note 7 to our financial statements, each included elsewhere in this Quarterly Report on Form 10-Q.</w:t>
      </w:r>
    </w:p>
    <w:p>
      <w:pPr>
        <w:spacing w:after="0" w:line="7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 may seek additional capital through a combination of equity offerings, debt financings, strategic partnerships and alliances, and licensing</w:t>
      </w:r>
    </w:p>
    <w:p>
      <w:pPr>
        <w:spacing w:after="0" w:line="1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arrangements. To the extent that we raise additional capital through the sale of equity or convertible debt securities, your ownership interest will be diluted, and the terms of these securities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current or future product candidates, or grant licenses on terms unfavorable to us.</w:t>
      </w:r>
    </w:p>
    <w:p>
      <w:pPr>
        <w:spacing w:after="0" w:line="7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employees, independent contractors, principal investigators, CROs, consultants, strategic partners, and vendors may engage in misconduct or other improper activities, including noncompliance with regulatory standards and requirements.</w:t>
      </w:r>
    </w:p>
    <w:p>
      <w:pPr>
        <w:spacing w:after="0" w:line="40"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are exposed to the risk that employees, independent contractors, principal investigators, CROs, consultants, and vendors may engage in fraudulent or other illegal activity. Misconduct by these parties could include intentional, reckless and/or negligent conduct or disclosure of unauthorized activities to us that violates: (i) the rules of the FDA and other similar foreign regulatory bodies, including those rules that require the reporting of true, complete, and accurate information to the FDA and other similar foreign regulatory bodies; (ii) manufacturing standards; (iii) healthcare fraud and abuse laws in the United States and similar foreign fraudulent misconduct laws or (iv) laws that require the true, complete, and accurate reporting of our financial information or data. These laws may impact, among other things, our current activities with principal investigators and research subjects,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80"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If we obtain regulatory approval for tildacerfont and begin commercializing those products in the United States and in Europe, our potential exposure under such laws will increase significantly, and our costs associated with compliance with such laws are also likely to increase.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additional reporting requirements and/or oversight if we become subject to a corporate integrity agreement or similar agreement to resolve allegations of non-compliance with these laws, contractual damages, reputational harm, diminished profits and future earnings, and curtailment of our operations.</w:t>
      </w:r>
    </w:p>
    <w:p>
      <w:pPr>
        <w:spacing w:after="0" w:line="83"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Our relationships with customers, healthcare providers and third-party payors may be subject, directly or indirectly, to federal and state healthcare fraud and abuse laws, false claims laws, health information privacy and security laws, and other healthcare laws and regulations. If we or our employees, independent contractors, consultants, commercial partners, or vendors violate these laws, we could face substantial penalties.</w:t>
      </w:r>
    </w:p>
    <w:p>
      <w:pPr>
        <w:spacing w:after="0" w:line="63"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Our relationships with customers, healthcare providers, and third-party payors may be subject, directly or indirectly, to federal and state healthcare fraud and abuse laws, false claims laws, health information privacy and security laws, and other healthcare laws and regulations. 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We may also be subject to federal, state and foreign laws governing the privacy and security of identifiable patient information. The U.S. healthcare laws and regulations that may affect our ability to operate include, but are not limited to:</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left="1780" w:hanging="380"/>
        <w:spacing w:after="0" w:line="242" w:lineRule="auto"/>
        <w:tabs>
          <w:tab w:leader="none" w:pos="1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any person or entity from knowingly and willfully, offering, paying, soliciting or receiving any remuneration, directly or indirectly, overtly or covertly, in cash or in kind, to induce, or in return for, the purchasing, leasing, ordering or arranging for the purchase, lease, or order of any item or service reimbursable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may be alleged to be intended to induce prescribing, purchases or recommendations, include any payments of more than fair market value, and may be subject to scrutiny if they do not qualify for an exception or safe harbor. In addition, a person or entity does not need to have actual knowledge of this statute or specific intent to violate it in order to have committed a violation.</w:t>
      </w:r>
    </w:p>
    <w:p>
      <w:pPr>
        <w:spacing w:after="0" w:line="79" w:lineRule="exact"/>
        <w:rPr>
          <w:rFonts w:ascii="Times New Roman" w:cs="Times New Roman" w:eastAsia="Times New Roman" w:hAnsi="Times New Roman"/>
          <w:sz w:val="18"/>
          <w:szCs w:val="18"/>
          <w:color w:val="auto"/>
        </w:rPr>
      </w:pPr>
    </w:p>
    <w:p>
      <w:pPr>
        <w:ind w:left="1780" w:right="60" w:hanging="380"/>
        <w:spacing w:after="0" w:line="245" w:lineRule="auto"/>
        <w:tabs>
          <w:tab w:leader="none" w:pos="1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federal civil False Claims Act, and civil monetary penalty laws, which prohibit, among other things, individuals or entities from knowingly presenting, or causing to be presented, claims for payment or approval from Medicare, Medicaid, or other federal government programs that are false or fraudulent or knowingly making a false statement to improperly avoid, decrease or conceal an obligation to pay money to the federal government, including federal healthcare programs. In addition, the government may assert that a claim including items or services resulting from a violation of the federal Anti-Kickback Statute constitutes a false or fraudulent claim for purposes of the federal civil False Claims Act and the civil monetary penalties statute;</w:t>
      </w:r>
    </w:p>
    <w:p>
      <w:pPr>
        <w:spacing w:after="0" w:line="86" w:lineRule="exact"/>
        <w:rPr>
          <w:rFonts w:ascii="Times New Roman" w:cs="Times New Roman" w:eastAsia="Times New Roman" w:hAnsi="Times New Roman"/>
          <w:sz w:val="18"/>
          <w:szCs w:val="18"/>
          <w:color w:val="auto"/>
        </w:rPr>
      </w:pPr>
    </w:p>
    <w:p>
      <w:pPr>
        <w:ind w:left="1780" w:hanging="380"/>
        <w:spacing w:after="0" w:line="243" w:lineRule="auto"/>
        <w:tabs>
          <w:tab w:leader="none" w:pos="1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new federal civil and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including private third-party payors and knowingly and willfully falsifying, concealing or covering up by any trick, scheme or device, a material fact or making any materially false, fictitious or fraudulent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8" w:lineRule="exact"/>
        <w:rPr>
          <w:rFonts w:ascii="Times New Roman" w:cs="Times New Roman" w:eastAsia="Times New Roman" w:hAnsi="Times New Roman"/>
          <w:sz w:val="18"/>
          <w:szCs w:val="18"/>
          <w:color w:val="auto"/>
        </w:rPr>
      </w:pPr>
    </w:p>
    <w:p>
      <w:pPr>
        <w:ind w:left="1780" w:hanging="380"/>
        <w:spacing w:after="0" w:line="250" w:lineRule="auto"/>
        <w:tabs>
          <w:tab w:leader="none" w:pos="1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respective implementing regulations, which impose requirements on certain healthcare providers, health plans, and healthcare clearinghouses, known as covered entities, and their respective business associates that perform services for them that involve the use, or disclosure of, individually identifiable health information as well as their covered subcontractors; and</w:t>
      </w:r>
    </w:p>
    <w:p>
      <w:pPr>
        <w:spacing w:after="0" w:line="69" w:lineRule="exact"/>
        <w:rPr>
          <w:rFonts w:ascii="Times New Roman" w:cs="Times New Roman" w:eastAsia="Times New Roman" w:hAnsi="Times New Roman"/>
          <w:sz w:val="18"/>
          <w:szCs w:val="18"/>
          <w:color w:val="auto"/>
        </w:rPr>
      </w:pPr>
    </w:p>
    <w:p>
      <w:pPr>
        <w:ind w:left="1780" w:right="180" w:hanging="380"/>
        <w:spacing w:after="0" w:line="247" w:lineRule="auto"/>
        <w:tabs>
          <w:tab w:leader="none" w:pos="1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spacing w:after="0" w:line="72"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We may also be subject to state and foreign equivalents of each of the healthcare laws described above, among others, some of which may be broader in scope. For example, we may be subject to the following: state anti-kickback and false claims laws that may apply to sales or marketing arrangements and claims involving healthcare items or services reimbursed by non-governmental third party payors, including private insurers, or that apply regardless of payor;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marketing expenditures, or drug pricing; state and local laws requiring the registration of pharmaceutical sales and medical representatives; and state and foreign laws, such as the European Union General Data Protection Regulation, or GDPR, governing the privacy and security of health information in some circumstances, many of which differ from each other in significant ways and often are not preempted by HIPAA, thus complicating compliance efforts.</w:t>
      </w:r>
    </w:p>
    <w:p>
      <w:pPr>
        <w:spacing w:after="0" w:line="77"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Additionally, we may be subject to federal consumer protection and unfair competition laws, which broadly regulate marketplace activities and activities that potentially harm consumers.</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it is possible that some of our business activities, or our arrangements with physicians, could be subject to challenge under one or more of</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such laws.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we or our employees, independent contractors, consultants, commercial partners and vendors violate these laws, we may be subject to investigations, enforcement actions and/or significant penalties,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additional reporting requirements and/or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In addition, the approval and commercialization of tildacerfont outside the United States will also likely subject us to foreign equivalents of the healthcare laws mentioned above, among other foreign laws.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used by our third-party collaborators or other contractors or consultants, may fail or suffer security breaches.</w:t>
      </w:r>
    </w:p>
    <w:p>
      <w:pPr>
        <w:spacing w:after="0" w:line="121"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Despite the implementation of security and back-up measures, our internal computer, server, and other information technology systems as well as those of our third-party collaborators, consultants, contractors, suppliers, and service providers, may be vulnerable to damage from physical or electronic break-ins, computer viruses, malware, ransomware, natural disasters, terrorism, war, telecommunication and electrical failure, denial of service, and other cyberattacks or disruptive incidents that could result in unauthorized access to, use or disclosure of, corruption of, or loss of sensitive, and/ or proprietary data, including personal information, including health-related information, and could subject us to significant liabilities and regulatory and enforcement actions, and reputational damage. For example, the loss of clinical trial 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 If we or our third-party collaborators, consultants, contractors, suppliers, or service providers were to suffer an attack or breach, for example, that resulted in the unauthorized access to or use or disclosure of personal or health information, we may have to notify consumers, partners, collaborators, government authorities, and the media, and may be subject to investigations, civil penalties, administrative and enforcement actions, and litigation, any of which could harm our business and reputation. Likewise, we rely on our third-party research institution collaborators and other third parties to conduct clinical trials, and similar events relating to their computer systems could also have a material adverse effect on our business. The COVID-19 pandemic has generally increased the risk of cybersecurity intrusions. For example, there has been an increase in phishing and spam emails as well as social engineering attempts from “hackers” hoping to use the recent COVID-19 pandemic to their advantage. To the extent that any disruption or security breach were to result in a loss of, or damage to, our data or systems, or inappropriate or unauthorized access to or disclosure or use of confidential, proprietary, or other sensitive, personal, or health information, we could incur liability and suffer reputational harm, and the development and commercialization of tildacerfont could be delayed.</w:t>
      </w:r>
    </w:p>
    <w:p>
      <w:pPr>
        <w:spacing w:after="0" w:line="81"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data protection laws and regulations could lead to government enforcement actions (which could include civil or criminal penalties), private litigation, and/or adverse publicity and could negatively affect our operating results and business.*</w:t>
      </w:r>
    </w:p>
    <w:p>
      <w:pPr>
        <w:spacing w:after="0" w:line="6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7"/>
          <w:szCs w:val="17"/>
          <w:color w:val="auto"/>
        </w:rPr>
        <w:t>We and our partners may be subject to federal, state, and foreign data protection laws and regulations, as well as other rules, standards, policies and contractual or other obligations, relating to the collection, use, retention, security, disclosure, transfer and other processing of personal data, collectively, Data Protection Requirements. If we fail, or are perceived to have failed, to address or comply with any such Data Protection Requirements, this could result in enforcement actions against us that could include investigations, fines, penalties, audits and inspections, additional reporting requirements and/or oversight, temporary or permanent bans on all or some processing of personal data or orders to destroy or not use personal data. Further, individuals or other relevant stakeholders could bring a variety of claims against us for our actual or perceived failure to comply with the Data Protection Requirements.</w:t>
      </w:r>
    </w:p>
    <w:p>
      <w:pPr>
        <w:spacing w:after="0" w:line="74"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state data breach notification laws, state health information privacy laws, and federal and state consumer protection laws and regulations that govern the collection, use, disclosure, and protection of health-related and other personal information could apply to our operations or the operations of our partners. In addition, we may obtain health information from third parties (including research institutions from which we obtain clinical trial data) that are subject to privacy and security requirements under HIPAA. If we violate HIPAA, we may subject to significant administrative and civil penalties. Additionally, depending on the facts and circumstances, we could be subject to criminal penalties if we knowingly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0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obtain, use, or disclose individually identifiable health information maintained by a HIPAA-covered entity in a manner that is not authorized or permitted by HIPAA.</w:t>
      </w:r>
    </w:p>
    <w:p>
      <w:pPr>
        <w:spacing w:after="0" w:line="54"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Even when HIPAA does not apply, according to the Federal Trade Commission, or the FTC, failing to take appropriate steps to keep consumers’ personal information secure may constitute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69"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In addition, California recently enacted the California Consumer Privacy Act, or CCPA, which creates new individual privacy rights for California consumers (as defined in the law)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became effective January 1, 2020, and the California Attorney General may bring enforcement actions for violations beginning July 1, 2020. The CCPA has been amended from time to time, and it remains unclear what, if any, further modifications will be made to 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78" w:lineRule="exact"/>
        <w:rPr>
          <w:sz w:val="20"/>
          <w:szCs w:val="20"/>
          <w:color w:val="auto"/>
        </w:rPr>
      </w:pPr>
    </w:p>
    <w:p>
      <w:pPr>
        <w:ind w:right="120" w:firstLine="509"/>
        <w:spacing w:after="0" w:line="242" w:lineRule="auto"/>
        <w:rPr>
          <w:sz w:val="20"/>
          <w:szCs w:val="20"/>
          <w:color w:val="auto"/>
        </w:rPr>
      </w:pPr>
      <w:r>
        <w:rPr>
          <w:rFonts w:ascii="Times New Roman" w:cs="Times New Roman" w:eastAsia="Times New Roman" w:hAnsi="Times New Roman"/>
          <w:sz w:val="18"/>
          <w:szCs w:val="18"/>
          <w:color w:val="auto"/>
        </w:rPr>
        <w:t>Foreign data protection laws, including the GDPR may also apply to health-related and other personal data we process in respect of certain of our operations. The GDPR applies to any processing operations carried out in the context of the activities of an establishment in the EEA as well as any processing operations relating to the offering of goods or services to individuals in the EEA and/or the monitoring of their behavior in the EEA. Further, notwithstanding the United Kingdom’s withdrawal from the EU, by operation of the so called ‘UK GDPR’, the GDPR continues to apply in substantially equivalent form to processing operations carried out in the context of the activities of an establishment in the United Kingdom and any processing relating to the offering of goods or services to individuals in the United Kingdom and/or monitoring of their behavior in the United Kingdom. Therefore, reference to the GDPR herein also refers to the UK GDPR in the context of the United Kingdom, unless the context requires otherwise. The GDPR provides that EEA member states may make their own further laws and regulations to introduce specific requirements related to the processing of ‘special categories of personal data,’ including the personal data related to health and genetic information, which we may process in connection with clinical trials or otherwise; as well as personal data related to criminal offenses or convictions – in the United Kingdom, the United Kingdom Data Protection Act 2018 complements the UK GDPR in this regard. Such laws may introduce further conditions, including limitations which could limit our ability to collect, use and share personal data, and/or otherwise lead to greater divergence on the law that applies to the processing of such data types across the EEA and/or United Kingdom, compliance with which, as and where applicable, may increase our costs and could increase our overall compliance risk.</w:t>
      </w:r>
    </w:p>
    <w:p>
      <w:pPr>
        <w:spacing w:after="0" w:line="81"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The GDPR has imposed stringent requirements for controllers and processors of personal data, including, for example, by extending the rights available to affected data subjects, materially expanding the definition of what is expressly noted to constitute personal data (including expanding the relevant definition to capture expressly the ‘pseudonymized’ or key-coded data that is commonly processed in a clinical trial-related context), introducing mandatory personal data breach notifications to Supervisory Authorities and affected individuals (in certain circumstances), setting limitations on retention of information, increasing requirements pertaining to special categories of personal data (such as health data, biometric data, genetic information), and requiring that prescriptive obligations must be met when we engage third-party processors to process of personal data on our behalf.</w:t>
      </w:r>
    </w:p>
    <w:p>
      <w:pPr>
        <w:spacing w:after="0" w:line="72"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In addition, certain European data protection laws, including the GDPR, prohibit transfers of personal data from Europe, including the EEA, United Kingdom and Switzerland, to the United States and other 'third countries' in respect of which there is no adequacy decision, unless the parties to the transfer have implemented specific safeguards to protect the transferred personal data. One of the primary safeguards used for transfers of personal data from the EEA to the United States was the EU-U.S. Privacy Shield framework. However, on July 16, 2020 in a case known as “Schrems II,” the Court of Justice of the European Union, or the CJEU, invalidated the EU-US Privacy Shield. Following this decision, the United Kingdom government similarly confirmed that the EU-U.S. Privacy Shield could not be used as a mechanism for lawful personal data transfers from the United Kingdom to the United States under the so-called UK GDPR, and the Swiss Federal Data Protection and Information Commissioner announced that the Swiss-U.S. Privacy Shield does not provide adequate safeguards for the purposes of personal data transfers from Switzerland to the United States.</w:t>
      </w:r>
    </w:p>
    <w:p>
      <w:pPr>
        <w:spacing w:after="0" w:line="92"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The CJEU’s decision in Schrems II also raised questions about whether one of the primary alternatives to the EU-U.S. Privacy Shield, namely, the European Commission’s Standard Contractual Clauses, can lawfully be used for personal data transfers from Europe to the United States or other third countries.</w:t>
      </w:r>
    </w:p>
    <w:p>
      <w:pPr>
        <w:spacing w:after="0" w:line="82" w:lineRule="exact"/>
        <w:rPr>
          <w:sz w:val="20"/>
          <w:szCs w:val="20"/>
          <w:color w:val="auto"/>
        </w:rPr>
      </w:pPr>
    </w:p>
    <w:p>
      <w:pPr>
        <w:jc w:val="both"/>
        <w:ind w:right="220" w:firstLine="509"/>
        <w:spacing w:after="0" w:line="250" w:lineRule="auto"/>
        <w:rPr>
          <w:sz w:val="20"/>
          <w:szCs w:val="20"/>
          <w:color w:val="auto"/>
        </w:rPr>
      </w:pPr>
      <w:r>
        <w:rPr>
          <w:rFonts w:ascii="Times New Roman" w:cs="Times New Roman" w:eastAsia="Times New Roman" w:hAnsi="Times New Roman"/>
          <w:sz w:val="18"/>
          <w:szCs w:val="18"/>
          <w:color w:val="auto"/>
        </w:rPr>
        <w:t>On June 4, 2021, the European Commission published new versions of the Standard Contractual Clauses. All new transfers of personal data from the EEA to third countries were required to use these versions from September 27, 2021, and all existing transfers relying on the previous versions of the Standard Contractual Clauses must be replaced by December 27, 2022. The UK government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04"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also published an International Data Transfer Agreement, or IDTA, and an addendum to the European Commission’s Standard Contractual Clauses, each of which may serve as a transfer mechanism for data transfers to third countries under the UK GDPR. All new transfers of personal data from the UK to third countries are required to use these mechanisms from September 21, 2022, and all existing transfers relying on the previous versions of the Standard Contractual Clauses must be replaced by March 21, 2024. The implementation of these new Standard Contractual Clauses and UK GDPR-specific transfer mechanisms, together, Transfer Mechanisms, will necessitate significant contractual overhaul of our data transfer arrangements with customers, sub-processors and vendors.</w:t>
      </w:r>
    </w:p>
    <w:p>
      <w:pPr>
        <w:spacing w:after="0" w:line="87" w:lineRule="exact"/>
        <w:rPr>
          <w:sz w:val="20"/>
          <w:szCs w:val="20"/>
          <w:color w:val="auto"/>
        </w:rPr>
      </w:pPr>
    </w:p>
    <w:p>
      <w:pPr>
        <w:ind w:right="40" w:firstLine="509"/>
        <w:spacing w:after="0" w:line="241" w:lineRule="auto"/>
        <w:rPr>
          <w:sz w:val="20"/>
          <w:szCs w:val="20"/>
          <w:color w:val="auto"/>
        </w:rPr>
      </w:pPr>
      <w:r>
        <w:rPr>
          <w:rFonts w:ascii="Times New Roman" w:cs="Times New Roman" w:eastAsia="Times New Roman" w:hAnsi="Times New Roman"/>
          <w:sz w:val="18"/>
          <w:szCs w:val="18"/>
          <w:color w:val="auto"/>
        </w:rPr>
        <w:t>Use of both the existing and new forms of these Transfer Mechanisms must, following the Schrems II decision, be assessed on a case-by-case basis taking into account the legal regime applicable in the destination country, in particular applicable surveillance laws and rights of individuals, and supplementary technical, organizational and/or contractual measures may need to be put in place. At present, there are few, if any, viable alternatives to the Transfer Mechanisms, and there remains some uncertainty with respect to the nature and efficacy of any supplementary measures to effectively ensure an adequate level of protection of transferred personal data. If we are unable to implement a valid solution for personal data transfers from Europe, we will face increased exposure to regulatory actions, substantial fines and injunctions against processing personal data from Europe. Inability to import personal data from Europe, including the EEA, United Kingdom or Switzerland, may also: restrict our activities in Europe; limit our ability to collaborate with partners as well as other service providers, contractors and other companies subject to European data protection laws; and/or require us to increase our data processing capabilities in Europe at significant expense or otherwise cause us to change the geographical location or segregation of our relevant systems and operations – any or all of which could adversely affect our financial results. Additionally, other countries outside of Europe have enacted or are considering enacting similar cross-border data transfer restrictions and laws requiring local data residency, which could increase the cost and complexity of delivering our services and operating our business. The type of challenges we face in Europe will likely also arise in other jurisdictions that adopt laws similar in construction to the GDPR or regulatory frameworks of equivalent complexity.</w:t>
      </w:r>
    </w:p>
    <w:p>
      <w:pPr>
        <w:spacing w:after="0" w:line="92"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auto"/>
        </w:rPr>
        <w:t>Furthermore, following Brexit, the relationship between the United Kingdom and the EEA in relation to certain aspects of data protection law remains somewhat uncertain. On June 28, 2021, the European Commission issued an adequacy decision under the GDPR which allows transfers (other than those carried out for the purposes of U.K. immigration control) of personal data from the EEA to the U.K. to continue without restriction for a period of four years ending June 27, 2025. After that period, the adequacy decision may be renewed only if the U.K. continues to ensure an adequate level of data protection. During these four years, the European Commission will continue to monitor the legal situation in the U.K. and could intervene at any point if the U.K. deviates from the level of data protection in place at the time of issuance of the adequacy decision. If the adequacy decision is withdrawn or not renewed, transfers of personal data from the EEA to the U.K. will require a valid ‘transfer mechanism’ and we may be required to implement new processes and put new agreements in place, such as Standard Contractual Clauses, to enable transfers of personal data from the EEA to the U.K. to continue, which could disrupt our operations.</w:t>
      </w:r>
    </w:p>
    <w:p>
      <w:pPr>
        <w:spacing w:after="0" w:line="79"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Violations of the GDPR may be sanctioned by fines of up to €20 million or up to 4% of an undertaking’s total worldwide annual turnover of the preceding financial year, whichever is higher. Further, under the UK GDPR, parallel fines of up to the greater of £17.5 million or 4% of an undertaking’s total worldwide annual turnover may be imposed. In addition to administrative fines, a wide variety of other potential enforcement powers are available to competent authorities in respect of potential and suspected violations of the GDPR, including extensive audit and inspection rights, and powers to order temporary or permanent bans on all or some processing of personal data carried out by noncompliant actors. Implementing mechanisms to endeavor to ensure compliance with the GDPR and relevant local legislation in EEA Member States and the UK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orders to cease/change our use of data, enforcement notices, or potential civil claims including class action-type litigation. While we have taken steps to comply with the GDPR where applicable, including by reviewing our security procedures, engaging data protection personnel, and entering into data processing agreements with relevant contractors, our efforts to achieve and remain in compliance may not be fully successful.</w:t>
      </w:r>
    </w:p>
    <w:p>
      <w:pPr>
        <w:spacing w:after="0" w:line="75"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00"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withdrawal of the UK from the EU may adversely impact our ability to obtain regulatory approvals of our product candidates in the EU, result in restrictions or imposition of taxes and duties for importing our product candidates into the EU, and may require us to incur additional expenses in order to develop, manufacture and commercialize our product candidates in the EU.</w:t>
      </w:r>
    </w:p>
    <w:p>
      <w:pPr>
        <w:spacing w:after="0" w:line="81"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Following the result of a referendum in 2016, the UK left the EU on January 31, 2020, commonly referred to as Brexit. Pursuant to the formal withdrawal arrangements agreed between the UK and the EU, the UK was subject to a transition period until December 31, 2020, or the Transition Period, during which EU rules continued to apply. A trade and cooperation agreement, or the Trade and Cooperation Agreement, that outlines the future trading relationship between the United Kingdom and the European Union applied provisionally from January 1, 2021, and formally entered into force on May 1, 2021.</w:t>
      </w:r>
    </w:p>
    <w:p>
      <w:pPr>
        <w:spacing w:after="0" w:line="73"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Since a significant proportion of the regulatory framework in the UK applicable to our business and our product candidates is derived from EU directives and regulations, Brexit has had, and may continue to have, a material impact upon the regulatory regime with respect to the development, manufacture, importation, approval and commercialization of our product candidates in the UK. For example, Great Britain is no longer covered by the centralized procedures for obtaining EU-wide marketing authorization from the EMA and a separate process for authorization of drug products, including tildacerfont and any future product candidates, currently applies in Great Britain. Any delay in obtaining, or an inability to obtain, any marketing approvals, as a result of Brexit or otherwise, would restrict our ability to generate revenue and achieve and sustain profitability.</w:t>
      </w:r>
    </w:p>
    <w:p>
      <w:pPr>
        <w:spacing w:after="0" w:line="72"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Following Brexit, there is no pre-marketing authorization orphan designation in Great Britain, instead an application for orphan designation is made at the same time as an application for marketing authorization. Orphan designation in the Great Britain following Brexit is based on the prevalence of the condition in Great Britain as opposed to the previous position where prevalence in the EU was the determinant. It is therefore possible that conditions that were previously designated as orphan conditions in the United Kingdom will no longer be and that conditions that are not designated as orphan conditions in the European Union will be designated as such in the United Kingdom, or Great Britain.</w:t>
      </w:r>
    </w:p>
    <w:p>
      <w:pPr>
        <w:spacing w:after="0" w:line="8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While the Trade and Cooperation Agreement provides for the tariff-free trade of medicinal products between the UK and the EU there are additional non-tariff costs to such trade which did not exist prior to the end of the Transition Period, and shipments between the UK and the EU are more likely to be delayed compared to the position prior to Brexit. Further, should the UK diverge from the EU from a regulatory perspective in relation to medicinal products, tariffs could be put in place in the future. If any of these outcomes occur, we may be forced to restrict or delay efforts to seek regulatory approval in the UK for tildacerfont and any future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w:t>
      </w:r>
    </w:p>
    <w:p>
      <w:pPr>
        <w:spacing w:after="0" w:line="74"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tildacerfont and any future product candidates.</w:t>
      </w:r>
    </w:p>
    <w:p>
      <w:pPr>
        <w:spacing w:after="0" w:line="63"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tildacerfont and any future product candidates and will face an even greater risk if we commercialize any products. For example, we may be sued if tildacerfont or any future product candidates causes or is perceived to cause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tildacerfont. Even successful defense would require significant financial and management resources. Regardless of the merits or eventual outcome, liability claims may result in:</w:t>
      </w:r>
    </w:p>
    <w:p>
      <w:pPr>
        <w:spacing w:after="0" w:line="73" w:lineRule="exact"/>
        <w:rPr>
          <w:sz w:val="20"/>
          <w:szCs w:val="20"/>
          <w:color w:val="auto"/>
        </w:rPr>
      </w:pPr>
    </w:p>
    <w:p>
      <w:pPr>
        <w:ind w:left="1780" w:hanging="380"/>
        <w:spacing w:after="0"/>
        <w:tabs>
          <w:tab w:leader="none" w:pos="1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tildacerfont and any future product candidates;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regulatory authorities;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04" w:lineRule="exact"/>
        <w:rPr>
          <w:sz w:val="20"/>
          <w:szCs w:val="20"/>
          <w:color w:val="auto"/>
        </w:rPr>
      </w:pPr>
    </w:p>
    <w:p>
      <w:pPr>
        <w:ind w:left="1780" w:hanging="380"/>
        <w:spacing w:after="0"/>
        <w:tabs>
          <w:tab w:leader="none" w:pos="1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tildacerfont and any future product candidates; or</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11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Our inability to obtain and retain sufficient product liability insurance at an acceptable cost to protect against potential product liability claims could prevent or inhibit the commercialization of products we develop. We currently carry an aggregate of up to $7.0 million of product liability insurance covering our clinical trials. Although we maintain such insurance, any claim that may be brought against us could result in a court judgment or settlement in an amount that is not covered, in whole or in part, by our insurance or that is in excess of the limits of our insurance coverage. If we determine that it is prudent to increase our product liability coverage due to the commercial launch of any approved product, we may be unable to obtain such increased coverage on acceptable terms, or at all.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7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60"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clinical research organizations,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and results of operations.</w:t>
      </w:r>
    </w:p>
    <w:p>
      <w:pPr>
        <w:spacing w:after="0" w:line="108"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including inflation and supply disruption. A domestic or global financial crisis can cause extreme volatility and disruptions in the capital and credit markets. A severe or prolonged economic downturn, which could result from an event like the COVID-19 pandemic or the ongoing Ukraine-Russia conflict and related sanctions, could result in a variety of risks to our business, including disruption to enrollment within our ongoing clinical trials, our inability to purchase necessary supplies on acceptable terms, if at all, and our inability to raise additional capital when needed on acceptable terms, if at all. A weak or declining economy could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08"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we may never achieve profitability. As of December 31, 2021, after reducing net operating losses, or NOLs, and tax credits for amounts not expected to be utilized, we had federal NOL carryforwards of approximately $98.6 million and state NOL carryforwards of approximately $98.4 million. The federal NOL carryforwards arising in taxable years beginning prior to 2018 will begin to expire in 2036 and state NOL carryforwards will begin to expire in 2036, unless previously utilized. We also have federal and state tax credit carryforwards totaling $5.6 million and $1.0 million, respectively. The federal tax credit carryforwards will begin to expire in 2036, unless previously utilized. The state tax credits will not expire.</w:t>
      </w:r>
    </w:p>
    <w:p>
      <w:pPr>
        <w:spacing w:after="0" w:line="72"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Under the Tax Act, as modified by the Coronavirus Aid, Relief, and Economic Security Act, or CARES Act, federal NOL carryforwards generated in tax years beginning after December 31, 2017 may be carried forward indefinitely but may only be used to offset 80% of our taxable income annually. Similar rules may apply under state tax laws. Such limitations could result in the expiration of our carryforwards before they can be utilized and, if we are profitable, our future cash flows could be adversely affected due to our increased taxable income or tax liability. Our NOLs and tax credit carryforwards are subject to review and possible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04"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8"/>
          <w:szCs w:val="18"/>
          <w:color w:val="auto"/>
        </w:rPr>
        <w:t>adjustment by the Internal Revenue Service and state tax authorities and may become subject to an annual limitations under Section 382 and 383 of the Internal Revenue Code of 1986, as amended. Under Section 382, certain cumulative changes in the ownership interest of significant stockholders over a rolling three-year period in excess of 50 percentage points (by value), could result in an ownership change that may limit our ability to utilize our NOL carryforwards and other tax attributes to offset future taxable income or tax liabilities. An ownership change analysis covering periods through December 31, 2021 concluded that an ownership change occurred in May 2016 and in August 2020. As a result of the ownership change, we derecognized NOL-related deferred tax assets down to the amount expected to be realized. Our ability to use our remaining NOL carryforwards may be further limited if we experience a Section 382 ownership change as a result of future changes in our stock ownership. As of June 30, 2022, we recorded a full valuation allowance on our net deferred tax assets.</w:t>
      </w:r>
    </w:p>
    <w:p>
      <w:pPr>
        <w:spacing w:after="0" w:line="16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37"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and proposals have recently been made in Congress (which have not yet been enacted) to make tax law changes that could have a material adverse impact on us. In addition, it is uncertain if and to what extent various states will conform to the Tax Act, the CARES Act or any newly enacted federal tax legislation. Changes in corporate tax rates, the realization of net deferred tax assets relating to our operations, and the deductibility of expenses under the Tax Act or future reform legislation could have a material impact on the value of our net deferred tax assets, could result in significant one-time charges, and could increase our future tax expense.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12"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depend on intellectual property licensed from Lilly, the termination of which could result in the loss of significant rights, which would harm our business.</w:t>
      </w:r>
    </w:p>
    <w:p>
      <w:pPr>
        <w:spacing w:after="0" w:line="50"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We are dependent on technology, patents, know-how, and proprietary materials, both our own and licensed from others. We entered into a license agreement with Lilly in May 2016 pursuant to which we were granted an exclusive, worldwide, royalty bearing, sublicensable license under certain technology, patent rights, know-how, and proprietary materials relating to certain CRF1 receptor antagonist compounds. Any termination of this license will result in the loss of significant rights and will restrict our ability to develop and commercialize tildacerfont.</w:t>
      </w:r>
    </w:p>
    <w:p>
      <w:pPr>
        <w:spacing w:after="0" w:line="83"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We are generally also subject to all of the same risks with respect to protection of intellectual property that we license, as we are for intellectual property that we own, which are described below under “Risks Related to Our Intellectual Property.” If we or our licensors fail to adequately protect this intellectual property, our ability to commercialize products could suffer.</w:t>
      </w:r>
    </w:p>
    <w:p>
      <w:pPr>
        <w:spacing w:after="0" w:line="78" w:lineRule="exact"/>
        <w:rPr>
          <w:sz w:val="20"/>
          <w:szCs w:val="20"/>
          <w:color w:val="auto"/>
        </w:rPr>
      </w:pPr>
    </w:p>
    <w:p>
      <w:pPr>
        <w:ind w:right="5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If these third parties do not successfully carry out their contractual duties or meet expected deadlines, we may not be able to obtain regulatory approval for or commercialize tildacerfont.</w:t>
      </w:r>
    </w:p>
    <w:p>
      <w:pPr>
        <w:spacing w:after="0" w:line="50"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currently rely on, and intend to continue relying on, third-party CROs in connection with our clinical trials for tildacerfont. We control or will control only certain aspects of their activities. Nevertheless, we are responsible for ensuring that each of our clinical trials is conducted in accordance with applicable protocol, legal, regulatory, and scientific standards, and our reliance on our CROs does not relieve us of our regulatory responsibilities. We and our CROs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CROs fail to comply with applicable GCP regulations, the clinical data generated in our clinical trials may be deemed unreliable and the FDA or comparable foreign regulatory authorities may require us to perform additional clinical trials before approving our marketing applications. Upon inspection, such regulatory authorities may determine that our clinical trials do not comply with the GCP regulations. In addition, our clinical trials must be conducted with drug product produced under cGMP regulations and will require a large number of test subjects. Our failure or any failure by our CROs to comply with these regulations or to recruit a sufficient number of patients may require us to repeat clinical trials, which would delay the regulatory approval process. Moreover, our business may be implicated if any of our CROs violates federal or state fraud and abuse or false claims laws and regulations or healthcare privacy and security laws.</w:t>
      </w:r>
    </w:p>
    <w:p>
      <w:pPr>
        <w:spacing w:after="0" w:line="7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CROs are not our employees and, except for remedies available to us under our agreements with such CROs, we cannot control whether or not they devote sufficient time and resources to our ongoing preclinical, clinical and non-clinical programs. These CROs may also have relationships with other commercial entities, including our competitors, for whom they may also be conducting</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8"/>
          <w:szCs w:val="18"/>
          <w:color w:val="auto"/>
        </w:rPr>
        <w:t>clinical trials or other drug development activities, which could affect their performance on our behalf. If our CROs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for or successfully commercialize tildacerfont and any future product candidates. As a result, our financial results and the commercial prospects for tildacerfont and any future product candidates would be harmed, our costs could increase and our ability to generate revenues could be delayed.</w:t>
      </w:r>
    </w:p>
    <w:p>
      <w:pPr>
        <w:spacing w:after="0" w:line="87" w:lineRule="exact"/>
        <w:rPr>
          <w:sz w:val="20"/>
          <w:szCs w:val="20"/>
          <w:color w:val="auto"/>
        </w:rPr>
      </w:pPr>
    </w:p>
    <w:p>
      <w:pPr>
        <w:ind w:right="360" w:firstLine="509"/>
        <w:spacing w:after="0" w:line="245" w:lineRule="auto"/>
        <w:rPr>
          <w:sz w:val="20"/>
          <w:szCs w:val="20"/>
          <w:color w:val="auto"/>
        </w:rPr>
      </w:pPr>
      <w:r>
        <w:rPr>
          <w:rFonts w:ascii="Times New Roman" w:cs="Times New Roman" w:eastAsia="Times New Roman" w:hAnsi="Times New Roman"/>
          <w:sz w:val="18"/>
          <w:szCs w:val="18"/>
          <w:color w:val="auto"/>
        </w:rPr>
        <w:t>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Although we carefully manage our relationships with our CROs, we may encounter challenges or delays in the future and these delays or challenges may have a material adverse impact on our business, prospects, financial condition, and results of operations.</w:t>
      </w:r>
    </w:p>
    <w:p>
      <w:pPr>
        <w:spacing w:after="0" w:line="86"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In addition, quarantines, shelter-in-place, and similar government orders, or the perception that such orders, shutdowns or other restrictions on the conduct of business operations could occur, related to COVID-19 or other infectious diseases could impact personnel at our CROs, which could disrupt our clinical timelines, which could have a material adverse impact on our business, prospects, financial condition, and results of operations.</w:t>
      </w:r>
    </w:p>
    <w:p>
      <w:pPr>
        <w:spacing w:after="0" w:line="78"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rely completely on third parties to manufacture our preclinical and clinical drug supplies and we intend to rely on third parties to produce commercial supplies of tildacerfont and any future product candidates, if approved, and these third parties may fail to obtain and maintain regulatory approval for their facilities, fail to provide us with sufficient quantities of drug product or fail to do so at acceptable quality levels or prices.</w:t>
      </w:r>
    </w:p>
    <w:p>
      <w:pPr>
        <w:spacing w:after="0" w:line="63"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internally to manufacture our clinical drug supplies for use in the conduct of our clinical trials, and we lack the resources and the capability to manufacture tildacerfont and any future product candidates on a clinical or commercial scale. Instead, we rely on contract manufacturers for such production. In particular, we currently rely on a single-source manufacturer for drug product, and a single-source manufacturer for drug substance.</w:t>
      </w:r>
    </w:p>
    <w:p>
      <w:pPr>
        <w:spacing w:after="0" w:line="69" w:lineRule="exact"/>
        <w:rPr>
          <w:sz w:val="20"/>
          <w:szCs w:val="20"/>
          <w:color w:val="auto"/>
        </w:rPr>
      </w:pPr>
    </w:p>
    <w:p>
      <w:pPr>
        <w:ind w:right="100" w:firstLine="509"/>
        <w:spacing w:after="0" w:line="242" w:lineRule="auto"/>
        <w:rPr>
          <w:sz w:val="20"/>
          <w:szCs w:val="20"/>
          <w:color w:val="auto"/>
        </w:rPr>
      </w:pPr>
      <w:r>
        <w:rPr>
          <w:rFonts w:ascii="Times New Roman" w:cs="Times New Roman" w:eastAsia="Times New Roman" w:hAnsi="Times New Roman"/>
          <w:sz w:val="18"/>
          <w:szCs w:val="18"/>
          <w:color w:val="auto"/>
        </w:rPr>
        <w:t>We do not currently have any long-term agreement with a manufacturer to produce raw materials, APIs, and the finished products of tildacerfont or the associated packaging used in our current product format and we may rely on single source suppliers for clinical supply of API and drug product of tildacerfont. We will need to identify and qualify a third-party manufacturer prior to commercialization of tildacerfont, and we intend to enter into agreements for commercial production with third-party suppliers. As tildacerfont is intended to treat rare endocrine disorders, we will only require a low-volume of raw materials and APIs, and in some cases with single-source suppliers and manufacturers. Our reliance on third-party suppliers and manufacturers, including single-source suppliers, could harm our ability to develop tildacerfont and any future product candidates or to commercialize any product candidates that are approved. Further, any delay in identifying and qualifying a manufacturer for commercial production could delay the potential commercialization of tildacerfont and any future product candidates, and, in the event that we do not have sufficient product to complete our clinical trials, it could delay such trials.</w:t>
      </w:r>
    </w:p>
    <w:p>
      <w:pPr>
        <w:spacing w:after="0" w:line="93"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tildacerfont and any future product candidates must be approved by the applicable regulatory authorities, including the FDA, pursuant to inspections that will be conducted after an NDA or comparable foreign regulatory marketing application is submitted. We currently do not control the manufacturing process of tildacerfont and are completely dependent on our contract manufacturing partners for compliance with the FDA’s cGMP requirements for manufacture of both the active drug substances and finished drug product. If our contract manufacturers cannot successfully manufacture material that conforms to our specifications and the FDA’s strict regulatory requirements, they will not be able to secure or maintain FDA approval for the manufacturing facilities. In addition, we have no control over the ability of our contract manufacturers to maintain adequate quality control, quality assurance and qualified personnel. If the FDA or any other applicable regulatory authority does not approve these facilities for the manufacture of tildacerfont or any future product candidates or if it withdraws any such approval in the future,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which would significantly impact our ability to develop, obtain regulatory approval for, or market tildacerfont and any future product candidates.</w:t>
      </w:r>
    </w:p>
    <w:p>
      <w:pPr>
        <w:spacing w:after="0" w:line="80" w:lineRule="exact"/>
        <w:rPr>
          <w:sz w:val="20"/>
          <w:szCs w:val="20"/>
          <w:color w:val="auto"/>
        </w:rPr>
      </w:pPr>
    </w:p>
    <w:p>
      <w:pPr>
        <w:ind w:right="200" w:firstLine="509"/>
        <w:spacing w:after="0" w:line="245" w:lineRule="auto"/>
        <w:rPr>
          <w:sz w:val="20"/>
          <w:szCs w:val="20"/>
          <w:color w:val="auto"/>
        </w:rPr>
      </w:pPr>
      <w:r>
        <w:rPr>
          <w:rFonts w:ascii="Times New Roman" w:cs="Times New Roman" w:eastAsia="Times New Roman" w:hAnsi="Times New Roman"/>
          <w:sz w:val="18"/>
          <w:szCs w:val="18"/>
          <w:color w:val="auto"/>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tildacerfont or any future product candidates or in the manufacturing facilities, such manufacturing facilities may need to be closed for an extended period of time to investigate and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remedy the contamination. Any stability or other issues relating to the manufacture of tildacerfont may occur in the future. In addition, quarantines, shelter-in-place, and similar government orders, or the perception that such orders, shutdowns, or other restrictions on the conduct of business operations could occur, related to COVID-19 or other infectious diseases could impact personnel at our third-party manufacturing facilities upon which we rely, or the availability or cost of materials, which could disrupt the supply chain for our product candidates.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7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manufacturers use hazardous and biological materials in a manner that causes injury or violates applicable law, we may be liable for damages.</w:t>
      </w:r>
    </w:p>
    <w:p>
      <w:pPr>
        <w:spacing w:after="0" w:line="3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0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any future product candidates, and other proprietary technologies if approved, may be adversely affected.</w:t>
      </w:r>
    </w:p>
    <w:p>
      <w:pPr>
        <w:spacing w:after="0" w:line="66"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a combination of patents, trade secret protection and confidentiality agreements to protect the intellectual property related to tildacerfont, any future product candidates, and other proprietary technologies we develop. If we are unable to obtain or maintain patent protection with respect to tildacerfont, any future product candidates, and other proprietary technologies we may develop, our business, financial condition, results of operations, and prospects could be materially harmed.</w:t>
      </w:r>
    </w:p>
    <w:p>
      <w:pPr>
        <w:spacing w:after="0" w:line="69"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is highly uncertain and involves complex legal, scientific, and factual questions and has been the subject of frequent litigation in recent years. As a result, the issuance, scope, validity, enforceability, and commercial value of our patent rights are highly uncertain. Our patent applications may not result in patents being issued which protect tildacerfont, any future product candidates, and other proprietary technologies we may develop or which effectively prevent others from commercializing competitive technologies and products. Further, no consistent policy regarding the breadth of claims allowed in pharmaceutical patents has emerged to date in the United States or in many jurisdictions outside of the United States. Changes in either the patent laws or interpretations of patent laws in the United States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7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actual or potential future collaborators will be successful in protecting tildacerfont, any future product candidates, and other proprietary technologies and their uses by obtaining, defending and enforcing patents. These risks and uncertainties include the following:</w:t>
      </w:r>
    </w:p>
    <w:p>
      <w:pPr>
        <w:spacing w:after="0" w:line="61" w:lineRule="exact"/>
        <w:rPr>
          <w:sz w:val="20"/>
          <w:szCs w:val="20"/>
          <w:color w:val="auto"/>
        </w:rPr>
      </w:pPr>
    </w:p>
    <w:p>
      <w:pPr>
        <w:ind w:left="1780" w:right="120" w:hanging="380"/>
        <w:spacing w:after="0" w:line="250" w:lineRule="auto"/>
        <w:tabs>
          <w:tab w:leader="none" w:pos="1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Patent and Trademark Office, or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left="1780" w:hanging="380"/>
        <w:spacing w:after="0"/>
        <w:tabs>
          <w:tab w:leader="none" w:pos="1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103" w:lineRule="exact"/>
        <w:rPr>
          <w:rFonts w:ascii="Times New Roman" w:cs="Times New Roman" w:eastAsia="Times New Roman" w:hAnsi="Times New Roman"/>
          <w:sz w:val="18"/>
          <w:szCs w:val="18"/>
          <w:color w:val="auto"/>
        </w:rPr>
      </w:pPr>
    </w:p>
    <w:p>
      <w:pPr>
        <w:ind w:left="1780" w:right="800" w:hanging="380"/>
        <w:spacing w:after="0" w:line="266" w:lineRule="auto"/>
        <w:tabs>
          <w:tab w:leader="none" w:pos="1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may be issued or in-licensed may be challenged, invalidated, modified, revoked, circumvented, found to be unenforceable, or may otherwise not provide any competitive advantage;</w:t>
      </w:r>
    </w:p>
    <w:p>
      <w:pPr>
        <w:spacing w:after="0" w:line="67" w:lineRule="exact"/>
        <w:rPr>
          <w:rFonts w:ascii="Times New Roman" w:cs="Times New Roman" w:eastAsia="Times New Roman" w:hAnsi="Times New Roman"/>
          <w:sz w:val="18"/>
          <w:szCs w:val="18"/>
          <w:color w:val="auto"/>
        </w:rPr>
      </w:pPr>
    </w:p>
    <w:p>
      <w:pPr>
        <w:ind w:left="1780" w:right="40" w:hanging="380"/>
        <w:spacing w:after="0" w:line="250" w:lineRule="auto"/>
        <w:tabs>
          <w:tab w:leader="none" w:pos="1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82" w:lineRule="exact"/>
        <w:rPr>
          <w:rFonts w:ascii="Times New Roman" w:cs="Times New Roman" w:eastAsia="Times New Roman" w:hAnsi="Times New Roman"/>
          <w:sz w:val="18"/>
          <w:szCs w:val="18"/>
          <w:color w:val="auto"/>
        </w:rPr>
      </w:pPr>
    </w:p>
    <w:p>
      <w:pPr>
        <w:ind w:left="1780" w:hanging="380"/>
        <w:spacing w:after="0" w:line="245" w:lineRule="auto"/>
        <w:tabs>
          <w:tab w:leader="none" w:pos="1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composition of matter, methods or formulations or by claiming subject matter that could dominate our patent position;</w:t>
      </w:r>
    </w:p>
    <w:p>
      <w:pPr>
        <w:spacing w:after="0" w:line="86" w:lineRule="exact"/>
        <w:rPr>
          <w:rFonts w:ascii="Times New Roman" w:cs="Times New Roman" w:eastAsia="Times New Roman" w:hAnsi="Times New Roman"/>
          <w:sz w:val="18"/>
          <w:szCs w:val="18"/>
          <w:color w:val="auto"/>
        </w:rPr>
      </w:pPr>
    </w:p>
    <w:p>
      <w:pPr>
        <w:ind w:left="1780" w:right="280" w:hanging="380"/>
        <w:spacing w:after="0" w:line="266" w:lineRule="auto"/>
        <w:tabs>
          <w:tab w:leader="none" w:pos="1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successful opposition to any patents owned by or licensed to us could deprive us of rights necessary for the practice of our technologies or the successful commercialization of any products or product candidates that we may develop;</w:t>
      </w:r>
    </w:p>
    <w:p>
      <w:pPr>
        <w:spacing w:after="0" w:line="54" w:lineRule="exact"/>
        <w:rPr>
          <w:rFonts w:ascii="Times New Roman" w:cs="Times New Roman" w:eastAsia="Times New Roman" w:hAnsi="Times New Roman"/>
          <w:sz w:val="18"/>
          <w:szCs w:val="18"/>
          <w:color w:val="auto"/>
        </w:rPr>
      </w:pPr>
    </w:p>
    <w:p>
      <w:pPr>
        <w:ind w:left="1780" w:right="320" w:hanging="380"/>
        <w:spacing w:after="0" w:line="258" w:lineRule="auto"/>
        <w:tabs>
          <w:tab w:leader="none" w:pos="1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patent applications in the United States and most other countries are confidential for a period of time after filing, we cannot be certain that we or our licensors were the first to file any patent application related to tildacerfont, any future product candidates, and other proprietary technologies and their uses;</w:t>
      </w:r>
    </w:p>
    <w:p>
      <w:pPr>
        <w:spacing w:after="0" w:line="61" w:lineRule="exact"/>
        <w:rPr>
          <w:rFonts w:ascii="Times New Roman" w:cs="Times New Roman" w:eastAsia="Times New Roman" w:hAnsi="Times New Roman"/>
          <w:sz w:val="18"/>
          <w:szCs w:val="18"/>
          <w:color w:val="auto"/>
        </w:rPr>
      </w:pPr>
    </w:p>
    <w:p>
      <w:pPr>
        <w:jc w:val="both"/>
        <w:ind w:left="1780" w:right="160" w:hanging="380"/>
        <w:spacing w:after="0" w:line="258" w:lineRule="auto"/>
        <w:tabs>
          <w:tab w:leader="none" w:pos="1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61" w:lineRule="exact"/>
        <w:rPr>
          <w:rFonts w:ascii="Times New Roman" w:cs="Times New Roman" w:eastAsia="Times New Roman" w:hAnsi="Times New Roman"/>
          <w:sz w:val="18"/>
          <w:szCs w:val="18"/>
          <w:color w:val="auto"/>
        </w:rPr>
      </w:pPr>
    </w:p>
    <w:p>
      <w:pPr>
        <w:jc w:val="both"/>
        <w:ind w:left="1780" w:right="460" w:hanging="380"/>
        <w:spacing w:after="0" w:line="258" w:lineRule="auto"/>
        <w:tabs>
          <w:tab w:leader="none" w:pos="1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1" w:lineRule="exact"/>
        <w:rPr>
          <w:rFonts w:ascii="Times New Roman" w:cs="Times New Roman" w:eastAsia="Times New Roman" w:hAnsi="Times New Roman"/>
          <w:sz w:val="18"/>
          <w:szCs w:val="18"/>
          <w:color w:val="auto"/>
        </w:rPr>
      </w:pPr>
    </w:p>
    <w:p>
      <w:pPr>
        <w:ind w:left="1780" w:right="40" w:hanging="380"/>
        <w:spacing w:after="0" w:line="282" w:lineRule="auto"/>
        <w:tabs>
          <w:tab w:leader="none" w:pos="1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 candidates in those countries.</w:t>
      </w:r>
    </w:p>
    <w:p>
      <w:pPr>
        <w:spacing w:after="0" w:line="40"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or maintain all necessary or desirable patent applications at a reasonable cost or in a timely manner, including delays as a result of the COVID-19 pandemic impacting our or our licensor's operations.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for such output.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w:t>
      </w:r>
    </w:p>
    <w:p>
      <w:pPr>
        <w:spacing w:after="0" w:line="98"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tildacerfont, any future product candidates, and other proprietary technologies and erode or negate any competitive advantage we may have, which could have a material adverse effect on our financial condition and results of operations. For example:</w:t>
      </w:r>
    </w:p>
    <w:p>
      <w:pPr>
        <w:spacing w:after="0" w:line="69" w:lineRule="exact"/>
        <w:rPr>
          <w:sz w:val="20"/>
          <w:szCs w:val="20"/>
          <w:color w:val="auto"/>
        </w:rPr>
      </w:pPr>
    </w:p>
    <w:p>
      <w:pPr>
        <w:ind w:left="1780" w:right="120" w:hanging="380"/>
        <w:spacing w:after="0" w:line="266" w:lineRule="auto"/>
        <w:tabs>
          <w:tab w:leader="none" w:pos="1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similar to tildacerfont and any future product candidates but that are not covered by the claims of our patents;</w:t>
      </w:r>
    </w:p>
    <w:p>
      <w:pPr>
        <w:spacing w:after="0" w:line="54"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our pending patent applications;</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for these inventions;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that we obtain may not provide us with any competitive advantages;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left="1780" w:hanging="380"/>
        <w:spacing w:after="0"/>
        <w:tabs>
          <w:tab w:leader="none" w:pos="1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03" w:lineRule="exact"/>
        <w:rPr>
          <w:rFonts w:ascii="Times New Roman" w:cs="Times New Roman" w:eastAsia="Times New Roman" w:hAnsi="Times New Roman"/>
          <w:sz w:val="18"/>
          <w:szCs w:val="18"/>
          <w:color w:val="auto"/>
        </w:rPr>
      </w:pPr>
    </w:p>
    <w:p>
      <w:pPr>
        <w:ind w:left="1780" w:right="20" w:hanging="380"/>
        <w:spacing w:after="0" w:line="258" w:lineRule="auto"/>
        <w:tabs>
          <w:tab w:leader="none" w:pos="1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or where patent protection is weak and then use the information learned from such activities to develop competitive products for sale in our major commercial markets;</w:t>
      </w:r>
    </w:p>
    <w:p>
      <w:pPr>
        <w:spacing w:after="0" w:line="61" w:lineRule="exact"/>
        <w:rPr>
          <w:rFonts w:ascii="Times New Roman" w:cs="Times New Roman" w:eastAsia="Times New Roman" w:hAnsi="Times New Roman"/>
          <w:sz w:val="18"/>
          <w:szCs w:val="18"/>
          <w:color w:val="auto"/>
        </w:rPr>
      </w:pPr>
    </w:p>
    <w:p>
      <w:pPr>
        <w:ind w:left="1780" w:right="40" w:hanging="380"/>
        <w:spacing w:after="0" w:line="266" w:lineRule="auto"/>
        <w:tabs>
          <w:tab w:leader="none" w:pos="1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of our patents, or any of our pending patent applications, if issued, or those of our licensors, will include claims having a scope sufficient to protect our products;</w:t>
      </w:r>
    </w:p>
    <w:p>
      <w:pPr>
        <w:spacing w:after="0" w:line="67" w:lineRule="exact"/>
        <w:rPr>
          <w:rFonts w:ascii="Times New Roman" w:cs="Times New Roman" w:eastAsia="Times New Roman" w:hAnsi="Times New Roman"/>
          <w:sz w:val="18"/>
          <w:szCs w:val="18"/>
          <w:color w:val="auto"/>
        </w:rPr>
      </w:pPr>
    </w:p>
    <w:p>
      <w:pPr>
        <w:ind w:left="1780" w:right="300" w:hanging="380"/>
        <w:spacing w:after="0" w:line="266" w:lineRule="auto"/>
        <w:tabs>
          <w:tab w:leader="none" w:pos="1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we will be able to successfully commercialize our products on a substantial scale, if approved, before the relevant patents that we own or license expire; or</w:t>
      </w:r>
    </w:p>
    <w:p>
      <w:pPr>
        <w:spacing w:after="0" w:line="54"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04"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or invalidity proceedings before U.S. or non-U.S. patent offices.</w:t>
      </w:r>
    </w:p>
    <w:p>
      <w:pPr>
        <w:spacing w:after="0" w:line="83"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We cannot be certain that the claims in our issued patents and pending patent applications covering tildacerfont or any future product candidates will be considered patentable by the USPTO, courts in the United States, or by patent offices and courts in foreign countries. Furthermore, the laws of some foreign countries do not protect proprietary rights to the same extent or in the same manner as the laws of the United States. As a result, we may encounter significant problems in protecting and defending our intellectual property internationally.</w:t>
      </w:r>
    </w:p>
    <w:p>
      <w:pPr>
        <w:spacing w:after="0" w:line="69"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fields involves complex legal and scientific questions and can be uncertain. The patent applications that we own or in-license may fail to result in issued patents with claims that cover tildacerfont and any future product candidates in the United States or in foreign countries. Even if such patents do successfully issue, third parties may challenge the ownership, validity, enforceability, or scope thereof, which may result in such patents being narrowed, invalidated, or held unenforceable. Any successful opposition to our patents could deprive us of exclusive rights necessary for the successful commercialization of tildacerfont and any future product candidates. Furthermore, even if they are unchallenged, our patents may not adequately protect our intellectual property, provide exclusivity for tildacerfont or any future product candidates or prevent others from designing around our claims. If the breadth or strength of protection provided by the patents we hold with respect to tildacerfont or any future product candidates is threatened, it could dissuade companies from collaborating with us to develop, or threaten our ability to commercialize, tildacerfont or any future product candidates.</w:t>
      </w:r>
    </w:p>
    <w:p>
      <w:pPr>
        <w:spacing w:after="0" w:line="93"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For U.S. patent applications in which claims are entitled to a priority date before March 16, 2013, an interference proceeding can be provoked by a third party or instituted by the USPTO to determine who was the first to invent any of the subject matter covered by the patent claims of our patents or patent applications.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 and other employees.</w:t>
      </w:r>
    </w:p>
    <w:p>
      <w:pPr>
        <w:spacing w:after="0" w:line="73"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For U.S. patent applications containing a claim not entitled to priority before March 16, 2013, there is greater level of uncertainty in the patent law. In September 2011, the Leahy-Smith America Invents Act, or America Invents Act, was signed into law. The America Invents Act includes a number of significant changes to U.S. patent law, including provisions that affect the way patent applications will be prosecuted and may also affect patent litigation. The USPTO is developing regulations and procedures to govern the administration of the America Invents Act, and many of the substantive changes to patent law associated with the America Invents Act, and in particular, the “first to file” provisions, were enacted on March 16, 2013. This will require us to be cognizant going forward of the time from invention to filing of a patent application and be diligent in filing patent applications, but circumstances could prevent us from promptly filing patent applications on our inventions. It remains unclear what impact the America Invents Act will have on the operation of our business. As such,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08"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Even if we or our licensors obtain patents covering our product candidates, when the terms of all patents covering a product expire, our business may become subject to competition from competitive products, including generic products. Given the amount of time required for the development, testing, and regulatory review and approval 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new product candidates, patents protecting such candidates may expire before or shortly after such candidates are commercialized. As a result, our owned and licensed patent portfolio may not provide us with sufficient rights to exclude others from commercializing products similar or identical to ours.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tildacerfont, our business may be materially harmed.</w:t>
      </w:r>
    </w:p>
    <w:p>
      <w:pPr>
        <w:spacing w:after="0" w:line="121"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tildacerfont, or any future product candidate we may develop, one or more of patents issuing from our U.S. patent applications may be eligible for limited patent term extension under the Drug Price Competition and Patent Term Restoration Action of 1984, or Hatch-Waxman Amendments. The Hatch-Waxman Amendments permit a patent extension term, or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or SPC. If we encounter delays in our development efforts, including our clinical trials, the period of time during which we could market tildacerfont and any future product candidates under patent protection would be reduced. Additionally, we may not receive an extension if we fail to apply within applicable deadlines, fail to apply prior to expiration of relevant patents, or otherwise fail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w:t>
      </w:r>
    </w:p>
    <w:p>
      <w:pPr>
        <w:spacing w:after="0" w:line="88"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license intellectual property rights from third parties, such as our license agreement with Lilly, or otherwise experience disruptions to our business relationships with our licensors, we could lose license rights that are important to our business.</w:t>
      </w:r>
    </w:p>
    <w:p>
      <w:pPr>
        <w:spacing w:after="0" w:line="81" w:lineRule="exact"/>
        <w:rPr>
          <w:sz w:val="20"/>
          <w:szCs w:val="20"/>
          <w:color w:val="auto"/>
        </w:rPr>
      </w:pPr>
    </w:p>
    <w:p>
      <w:pPr>
        <w:jc w:val="both"/>
        <w:ind w:right="220" w:firstLine="509"/>
        <w:spacing w:after="0" w:line="250" w:lineRule="auto"/>
        <w:rPr>
          <w:sz w:val="20"/>
          <w:szCs w:val="20"/>
          <w:color w:val="auto"/>
        </w:rPr>
      </w:pPr>
      <w:r>
        <w:rPr>
          <w:rFonts w:ascii="Times New Roman" w:cs="Times New Roman" w:eastAsia="Times New Roman" w:hAnsi="Times New Roman"/>
          <w:sz w:val="18"/>
          <w:szCs w:val="18"/>
          <w:color w:val="auto"/>
        </w:rPr>
        <w:t>We are a party to a license agreement with Lilly under which we are granted intellectual property rights that are important to our business and our only product candidate, tildacerfont. If we fail to comply with our obligations under the license agreement, or we are subject to a bankruptcy, the license agreement may be terminated, in which event we would not be able to develop, commercialize or market tildacerfont.</w:t>
      </w:r>
    </w:p>
    <w:p>
      <w:pPr>
        <w:spacing w:after="0" w:line="8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Licensing of intellectual property rights is of critical importance to our business and involves complex legal, business and scientific issues. Disputes may arise between us and our licensors regarding intellectual property rights subject to a license agreement, including:</w:t>
      </w:r>
    </w:p>
    <w:p>
      <w:pPr>
        <w:spacing w:after="0" w:line="54" w:lineRule="exact"/>
        <w:rPr>
          <w:sz w:val="20"/>
          <w:szCs w:val="20"/>
          <w:color w:val="auto"/>
        </w:rPr>
      </w:pPr>
    </w:p>
    <w:p>
      <w:pPr>
        <w:ind w:left="1780" w:hanging="380"/>
        <w:spacing w:after="0"/>
        <w:tabs>
          <w:tab w:leader="none" w:pos="1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03" w:lineRule="exact"/>
        <w:rPr>
          <w:rFonts w:ascii="Times New Roman" w:cs="Times New Roman" w:eastAsia="Times New Roman" w:hAnsi="Times New Roman"/>
          <w:sz w:val="18"/>
          <w:szCs w:val="18"/>
          <w:color w:val="auto"/>
        </w:rPr>
      </w:pPr>
    </w:p>
    <w:p>
      <w:pPr>
        <w:ind w:left="1780" w:right="260" w:hanging="380"/>
        <w:spacing w:after="0" w:line="282" w:lineRule="auto"/>
        <w:tabs>
          <w:tab w:leader="none" w:pos="1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rights of the licensor that are not subject to the license agreement;</w:t>
      </w:r>
    </w:p>
    <w:p>
      <w:pPr>
        <w:spacing w:after="0" w:line="40"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intellectual property rights to third parties under collaborative development relationships;</w:t>
      </w:r>
    </w:p>
    <w:p>
      <w:pPr>
        <w:spacing w:after="0" w:line="103" w:lineRule="exact"/>
        <w:rPr>
          <w:rFonts w:ascii="Times New Roman" w:cs="Times New Roman" w:eastAsia="Times New Roman" w:hAnsi="Times New Roman"/>
          <w:sz w:val="18"/>
          <w:szCs w:val="18"/>
          <w:color w:val="auto"/>
        </w:rPr>
      </w:pPr>
    </w:p>
    <w:p>
      <w:pPr>
        <w:ind w:left="1780" w:right="160" w:hanging="380"/>
        <w:spacing w:after="0" w:line="282" w:lineRule="auto"/>
        <w:tabs>
          <w:tab w:leader="none" w:pos="1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tildacerfont, and what activities satisfy those diligence obligations; and</w:t>
      </w:r>
    </w:p>
    <w:p>
      <w:pPr>
        <w:spacing w:after="0" w:line="40" w:lineRule="exact"/>
        <w:rPr>
          <w:rFonts w:ascii="Times New Roman" w:cs="Times New Roman" w:eastAsia="Times New Roman" w:hAnsi="Times New Roman"/>
          <w:sz w:val="18"/>
          <w:szCs w:val="18"/>
          <w:color w:val="auto"/>
        </w:rPr>
      </w:pPr>
    </w:p>
    <w:p>
      <w:pPr>
        <w:ind w:left="1780" w:right="120" w:hanging="380"/>
        <w:spacing w:after="0" w:line="266" w:lineRule="auto"/>
        <w:tabs>
          <w:tab w:leader="none" w:pos="1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w:t>
      </w:r>
    </w:p>
    <w:p>
      <w:pPr>
        <w:spacing w:after="0" w:line="68"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Further, our current licensor or any future licensor may not always act in our best interest.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spacing w:after="0" w:line="6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are generally also subject to all of the same risks with respect to protection of intellectual property that we license as we are for intellectual property that we own, which are described below. If we, our current licensor, or any future licensor fail to adequately protect this intellectual property, our ability to commercialize tildacerfont and any future product could be impeded.</w:t>
      </w:r>
    </w:p>
    <w:p>
      <w:pPr>
        <w:spacing w:after="0" w:line="57" w:lineRule="exact"/>
        <w:rPr>
          <w:sz w:val="20"/>
          <w:szCs w:val="20"/>
          <w:color w:val="auto"/>
        </w:rPr>
      </w:pPr>
    </w:p>
    <w:p>
      <w:pPr>
        <w:jc w:val="both"/>
        <w:ind w:right="5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81"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several stages over the lifetime of the patents and/or applications. We have systems in place to remind us to pay these fees, and we employ an outside firm and rely on our outside counsel to pay these fees due to foreign patent agencies. These systems and processes may be negatively impacted by the COVID-19 pandemic in various aspects.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with similar or identical products or technology earlier than should otherwise have been the case, which would have a material adverse effect on our business, financial condition, results of operations, and prospects.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tildacerfont.</w:t>
      </w:r>
    </w:p>
    <w:p>
      <w:pPr>
        <w:spacing w:after="0" w:line="108"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particularly on obtaining and enforcing patents. Our patent rights may be affected by developments or uncertainty in U.S. or foreign patent statutes, patent case law, USPTO rules and regulations or the rules and regulations of foreign patent offices. Obtaining and enforcing patents in the biotechnology and pharmaceutical industry involve both technological and legal complexity, and is therefore costly, time-consuming and inherently uncertain. In addition, the United States may, at any time, enact changes to U.S. patent law and regulations, including by legislation, by regulatory rule-making, or by judicial precedent, that adversely affect the scope of patent protection available and weaken the rights of patent owners to obtain patents, enforce patent infringement and obtain injunctions and/or damages. For example, the scope of patentable subject matter under 35 U.S.C. 101 has evolved significantly over the past several years as the Court of Appeals for the Federal Circuit and the Supreme Court issued various opinions, and the USPTO modified its guidance for practitioners on multiple occasions. Other countries may likewise enact changes to their patent laws in ways that adversely diminish the scope of patent protection and weaken the rights of patent owners to obtain patents, enforce patent infringement, and obtain injunctions and/or damages.</w:t>
      </w:r>
    </w:p>
    <w:p>
      <w:pPr>
        <w:spacing w:after="0" w:line="78"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Further, the United States and other governments may, at any time, enact changes to law and regulation that create new avenues for challenging the validity of issued patents. For example, the America Invents Act created new administrative post-grant proceedings, including post-grant review, inter partes review, and derivation proceedings that allow third parties to challenge the validity of issued patents.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Patents are of national or regional effect. Filing, prosecuting, and defending patents on tildacerfont, any future product candidates, and other proprietary technologies we develop in all countries throughout the world would be prohibitively expensive. In addition, the laws of some foreign countries do not protect intellectual property rights in the same manner and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products and our patents or other intellectual property rights may not be effective or sufficient to prevent them from competing.</w:t>
      </w:r>
    </w:p>
    <w:p>
      <w:pPr>
        <w:spacing w:after="0" w:line="73"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The requirements for patentability may differ in certain countries. For example, unlike other countries, China has a heightened requirement for patentability, and specifically requires a detailed description of medical uses of a claimed drug. In India, unlike the United States, there is no link between regulatory approval for a drug and its patent status. In addition to India, certain countries in Europe and developing countries, including China, have compulsory licensing laws under which a patent owner may be compelled to grant licenses to third parties. In addition, some countries limit the enforceability of patents against government agencies or government contractors.</w:t>
      </w:r>
    </w:p>
    <w:p>
      <w:pPr>
        <w:spacing w:after="0" w:line="7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those countries, we may have limited remedies if patents are infringed or if we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6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or pharmaceutical products, which</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8"/>
          <w:szCs w:val="18"/>
          <w:color w:val="auto"/>
        </w:rPr>
        <w:t xml:space="preserve">could make it difficult for us to stop the infringement of our patents or marketing of competing products in violation of our proprietary rights generally. </w:t>
      </w:r>
      <w:r>
        <w:rPr>
          <w:rFonts w:ascii="Times New Roman" w:cs="Times New Roman" w:eastAsia="Times New Roman" w:hAnsi="Times New Roman"/>
          <w:sz w:val="18"/>
          <w:szCs w:val="18"/>
          <w:color w:val="231F20"/>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Europe, no earlier than October 1, 2022, European applications will soon have the option, upon grant of a patent, of becoming a Unitary Patent which will be subject to the jurisdiction of the Unitary Patent Court (UPC). This will be a significant change in European patent practice. As the UPC is a new court system, there is no precedent for the court, increasing the uncertainty of any litigation. </w:t>
      </w:r>
      <w:r>
        <w:rPr>
          <w:rFonts w:ascii="Times New Roman" w:cs="Times New Roman" w:eastAsia="Times New Roman" w:hAnsi="Times New Roman"/>
          <w:sz w:val="18"/>
          <w:szCs w:val="18"/>
          <w:color w:val="000000"/>
        </w:rPr>
        <w:t>Proceedings to enforce our patent rights in foreign jurisdictions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8"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patents and other intellectual property.</w:t>
      </w:r>
    </w:p>
    <w:p>
      <w:pPr>
        <w:spacing w:after="0" w:line="108"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We may be subject to claims that former employees (including former employees of our licensors), collaborators or other third parties have an interest in our patents rights, trade secrets, or other intellectual property as an inventor or co-inventor. The failure to name the proper inventors on a patent application can result in the patents issuing thereon being unenforceable. For example, we may have inventorship disputes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tildacerfont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w:t>
      </w:r>
    </w:p>
    <w:p>
      <w:pPr>
        <w:spacing w:after="0" w:line="74"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63"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Presently we have intellectual property rights, through licenses from third parties including Lilly, related to tildacerfont. Because our program may require the use of additional proprietary rights held by third parties, the growth of our business will likely depend in part on our ability to acquire, in-license or use these proprietary rights. In addition, tildacerfont may require specific formulations to work effectively and efficiently and these rights may be held by others. We may be unable to acquire or in-license, on reasonable terms, proprietary rights related to any compositions, formulations, methods of use, processes or other intellectual property rights from third parties that we identify as being necessary for tildacerfont.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73"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Where we obtain licenses from or collaborate with third parties, we may not have the right to control the preparation, filing, and prosecution of patent applications, or to maintain the patents, covering technology that we license from third parties, or such activities, if controlled by us, may require the input of such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or in compliance with applicable laws and regulations, which may affect the validity and enforceability of such patents or any patents that may issue from such application.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could have a material adverse impact on our business. Our business would suffer if any such licenses terminate, if the licensors fail to abide by the terms of the license, if the licensors fail to</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enforce licensed patents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or similar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78"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tildacerfont. More established companies may have a competitive advantage over us due to their size, cash resources and greater clinical development and commercialization capabilities.</w:t>
      </w:r>
    </w:p>
    <w:p>
      <w:pPr>
        <w:spacing w:after="0" w:line="69"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For example, we may collaborate with U.S. and foreign academic institutions to accelerate our preclinical research or development under written agreements with these institutions. Typically, these institutions provide us with an option to negotiate an exclusive license to any of the institution’s proprietary rights in technology resulting from the collaboration. Regardless of such option to negotiate a license, we may be unable to negotiate a license within the specified time frame or under terms that are acceptable to us. If we are unable to do so, the institution may offer, on an exclusive basis, their proprietary rights to other parties, potentially blocking our ability to pursue our program.</w:t>
      </w:r>
    </w:p>
    <w:p>
      <w:pPr>
        <w:spacing w:after="0" w:line="69"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products, and our business, financial condition, and prospects for growth, could suffer.</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alleging intellectual property infringement may prevent or delay our drug discovery and development efforts.</w:t>
      </w:r>
    </w:p>
    <w:p>
      <w:pPr>
        <w:spacing w:after="0" w:line="121"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Our success depends in part on our avoiding infringement of the patents and proprietary rights of third parties. There is a substantial amount of litigation, both within and outside the United States, involving patents and other intellectual property rights in the biotechnology and pharmaceutical industries, as well as administrative proceedings for challenging patents, including inter partes review, interference and reexamination proceedings before the USPTO, or oppositions and other comparable proceedings in foreign jurisdictions. The America Invents Act introduced new procedures including inter partes review and post grant review. The implementation of these procedures brings uncertainty to the possibility of challenges to our patents in the future and the outcome of such challenges. Numerous U.S. and foreign issued patents and pending patent applications, which are owned by third parties, exist in the fields in which we are developing tildacerfont. As the biotechnology and pharmaceutical industries expand and more patents are issued, the risk increases that our activities related to tildacerfont may give rise to claims of infringement of the patent rights of others.</w:t>
      </w:r>
    </w:p>
    <w:p>
      <w:pPr>
        <w:spacing w:after="0" w:line="78" w:lineRule="exact"/>
        <w:rPr>
          <w:sz w:val="20"/>
          <w:szCs w:val="20"/>
          <w:color w:val="auto"/>
        </w:rPr>
      </w:pPr>
    </w:p>
    <w:p>
      <w:pPr>
        <w:ind w:right="180" w:firstLine="509"/>
        <w:spacing w:after="0" w:line="246" w:lineRule="auto"/>
        <w:rPr>
          <w:sz w:val="20"/>
          <w:szCs w:val="20"/>
          <w:color w:val="auto"/>
        </w:rPr>
      </w:pPr>
      <w:r>
        <w:rPr>
          <w:rFonts w:ascii="Times New Roman" w:cs="Times New Roman" w:eastAsia="Times New Roman" w:hAnsi="Times New Roman"/>
          <w:sz w:val="18"/>
          <w:szCs w:val="18"/>
          <w:color w:val="auto"/>
        </w:rPr>
        <w:t>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you that any of our current or future product candidates will not infringe existing or future patents. We may not be aware of patents that have already issued that a third party might assert are infringed by one of our current or future product candidates. Nevertheless, we are not aware of any issued patents that will prevent us from marketing tildacerfont.</w:t>
      </w:r>
    </w:p>
    <w:p>
      <w:pPr>
        <w:spacing w:after="0" w:line="87"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There may be third-party patents of which we are currently unaware with claims to materials, formulations, methods of manufacture or methods for treatment related to the use or manufacture of tildacerfont. Because patent applications can take many years to issue and may be confidential for 18 months or more after filing, there may be currently pending third-party patent applications which may later result in issued patents that tildacerfont, any future product candidates, and other proprietary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tildacerfont or future product candidates. Defense of these claims, regardless of their merit, could involve substantial expenses and could be a substantial diversion of management and other employee resources from our business.</w:t>
      </w:r>
    </w:p>
    <w:p>
      <w:pPr>
        <w:spacing w:after="0" w:line="78" w:lineRule="exact"/>
        <w:rPr>
          <w:sz w:val="20"/>
          <w:szCs w:val="20"/>
          <w:color w:val="auto"/>
        </w:rPr>
      </w:pPr>
    </w:p>
    <w:p>
      <w:pPr>
        <w:ind w:right="280" w:firstLine="509"/>
        <w:spacing w:after="0" w:line="250" w:lineRule="auto"/>
        <w:rPr>
          <w:sz w:val="20"/>
          <w:szCs w:val="20"/>
          <w:color w:val="auto"/>
        </w:rPr>
      </w:pPr>
      <w:r>
        <w:rPr>
          <w:rFonts w:ascii="Times New Roman" w:cs="Times New Roman" w:eastAsia="Times New Roman" w:hAnsi="Times New Roman"/>
          <w:sz w:val="18"/>
          <w:szCs w:val="18"/>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we may agree to indemnify our commercial collaborators against certain intellectual property infringement claims brought by third parties.</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claims of patent infringement asserted by third parties would be time-consuming and could:</w:t>
      </w:r>
    </w:p>
    <w:p>
      <w:pPr>
        <w:spacing w:after="0" w:line="104" w:lineRule="exact"/>
        <w:rPr>
          <w:sz w:val="20"/>
          <w:szCs w:val="20"/>
          <w:color w:val="auto"/>
        </w:rPr>
      </w:pPr>
    </w:p>
    <w:p>
      <w:pPr>
        <w:ind w:left="1780" w:hanging="380"/>
        <w:spacing w:after="0"/>
        <w:tabs>
          <w:tab w:leader="none" w:pos="1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time and attention of our technical personnel and management;</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development delays;</w:t>
      </w:r>
    </w:p>
    <w:p>
      <w:pPr>
        <w:spacing w:after="0" w:line="103" w:lineRule="exact"/>
        <w:rPr>
          <w:rFonts w:ascii="Times New Roman" w:cs="Times New Roman" w:eastAsia="Times New Roman" w:hAnsi="Times New Roman"/>
          <w:sz w:val="18"/>
          <w:szCs w:val="18"/>
          <w:color w:val="auto"/>
        </w:rPr>
      </w:pPr>
    </w:p>
    <w:p>
      <w:pPr>
        <w:ind w:left="1780" w:right="260" w:hanging="380"/>
        <w:spacing w:after="0" w:line="282" w:lineRule="auto"/>
        <w:tabs>
          <w:tab w:leader="none" w:pos="1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commercializing tildacerfont or any future product candidates until the asserted patent expires or is finally held invalid, unenforceable, or not infringed in a court of law;</w:t>
      </w:r>
    </w:p>
    <w:p>
      <w:pPr>
        <w:spacing w:after="0" w:line="40"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non-infringing technology, which may not be possible on a cost-effective basis;</w:t>
      </w:r>
    </w:p>
    <w:p>
      <w:pPr>
        <w:spacing w:after="0" w:line="103" w:lineRule="exact"/>
        <w:rPr>
          <w:rFonts w:ascii="Times New Roman" w:cs="Times New Roman" w:eastAsia="Times New Roman" w:hAnsi="Times New Roman"/>
          <w:sz w:val="18"/>
          <w:szCs w:val="18"/>
          <w:color w:val="auto"/>
        </w:rPr>
      </w:pPr>
    </w:p>
    <w:p>
      <w:pPr>
        <w:ind w:left="1780" w:right="340" w:hanging="380"/>
        <w:spacing w:after="0" w:line="266" w:lineRule="auto"/>
        <w:tabs>
          <w:tab w:leader="none" w:pos="1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pay damages to the party whose intellectual property rights we may be found to be infringing, which may include treble damages if we are found to have been willfully infringing such intellectual property;</w:t>
      </w:r>
    </w:p>
    <w:p>
      <w:pPr>
        <w:spacing w:after="0" w:line="67" w:lineRule="exact"/>
        <w:rPr>
          <w:rFonts w:ascii="Times New Roman" w:cs="Times New Roman" w:eastAsia="Times New Roman" w:hAnsi="Times New Roman"/>
          <w:sz w:val="18"/>
          <w:szCs w:val="18"/>
          <w:color w:val="auto"/>
        </w:rPr>
      </w:pPr>
    </w:p>
    <w:p>
      <w:pPr>
        <w:ind w:left="1780" w:right="280" w:hanging="380"/>
        <w:spacing w:after="0" w:line="266" w:lineRule="auto"/>
        <w:tabs>
          <w:tab w:leader="none" w:pos="1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pay the attorney’s fees and costs of litigation to the party whose intellectual property rights we may be found to be willfully infringing; and/or</w:t>
      </w:r>
    </w:p>
    <w:p>
      <w:pPr>
        <w:spacing w:after="0" w:line="54"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license agreements, which may not be available on commercially reasonable terms, or at all.</w:t>
      </w:r>
    </w:p>
    <w:p>
      <w:pPr>
        <w:spacing w:after="0" w:line="117"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If we are sued for patent infringement, we would need to demonstrate that our products or methods either do not infringe the patent claims of the relevant patent or that the patent claims are invalid or unenforceable, and we may not be able to do either. Proving invalidity or unenforceability is difficult. For example, in the United States, proving invalidity before federal courts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or enforceability of the patents in court. Patent litigation is costly and time-consuming. We may not have sufficient resources to bring these actions to a successful conclusion. In addition, if we do not obtain a license, develop or obtain non-infringing technology, fail to defend an infringement action successfully or have infringed patents declared invalid or unenforceable, we may incur substantial monetary damages, encounter significant delays in bringing tildacerfont to market and be precluded from developing, manufacturing or selling tildacerfont.</w:t>
      </w:r>
    </w:p>
    <w:p>
      <w:pPr>
        <w:spacing w:after="0" w:line="7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do not always conduct independent reviews of pending patent applications of and patents issued to third parties. We cannot be certain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Europe and elsewhere that is relevant to or necessary for the commercialization of our product candidates in any jurisdiction, because:</w:t>
      </w:r>
    </w:p>
    <w:p>
      <w:pPr>
        <w:spacing w:after="0" w:line="73" w:lineRule="exact"/>
        <w:rPr>
          <w:sz w:val="20"/>
          <w:szCs w:val="20"/>
          <w:color w:val="auto"/>
        </w:rPr>
      </w:pPr>
    </w:p>
    <w:p>
      <w:pPr>
        <w:ind w:left="1780" w:hanging="380"/>
        <w:spacing w:after="0"/>
        <w:tabs>
          <w:tab w:leader="none" w:pos="1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patent applications in the United States may be maintained in secrecy until the patents are issued;</w:t>
      </w:r>
    </w:p>
    <w:p>
      <w:pPr>
        <w:spacing w:after="0" w:line="117" w:lineRule="exact"/>
        <w:rPr>
          <w:rFonts w:ascii="Times New Roman" w:cs="Times New Roman" w:eastAsia="Times New Roman" w:hAnsi="Times New Roman"/>
          <w:sz w:val="18"/>
          <w:szCs w:val="18"/>
          <w:color w:val="auto"/>
        </w:rPr>
      </w:pPr>
    </w:p>
    <w:p>
      <w:pPr>
        <w:ind w:left="1780" w:right="780" w:hanging="380"/>
        <w:spacing w:after="0" w:line="266" w:lineRule="auto"/>
        <w:tabs>
          <w:tab w:leader="none" w:pos="1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in the United States and elsewhere can be pending for many years before issuance, or unintentionally abandoned patents or applications can be revived;</w:t>
      </w:r>
    </w:p>
    <w:p>
      <w:pPr>
        <w:spacing w:after="0" w:line="54" w:lineRule="exact"/>
        <w:rPr>
          <w:rFonts w:ascii="Times New Roman" w:cs="Times New Roman" w:eastAsia="Times New Roman" w:hAnsi="Times New Roman"/>
          <w:sz w:val="18"/>
          <w:szCs w:val="18"/>
          <w:color w:val="auto"/>
        </w:rPr>
      </w:pPr>
    </w:p>
    <w:p>
      <w:pPr>
        <w:ind w:left="1780" w:right="20" w:hanging="380"/>
        <w:spacing w:after="0" w:line="312" w:lineRule="auto"/>
        <w:tabs>
          <w:tab w:leader="none" w:pos="17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pending patent applications that have been published can, subject to certain limitations, be later amended in a manner that could cover our technologies, tildacerfont, and any future product candidates or the use of tildacerfont and any future product candidates;</w:t>
      </w:r>
    </w:p>
    <w:p>
      <w:pPr>
        <w:spacing w:after="0" w:line="18" w:lineRule="exact"/>
        <w:rPr>
          <w:rFonts w:ascii="Times New Roman" w:cs="Times New Roman" w:eastAsia="Times New Roman" w:hAnsi="Times New Roman"/>
          <w:sz w:val="17"/>
          <w:szCs w:val="17"/>
          <w:color w:val="auto"/>
        </w:rPr>
      </w:pPr>
    </w:p>
    <w:p>
      <w:pPr>
        <w:ind w:left="1780" w:right="200" w:hanging="380"/>
        <w:spacing w:after="0" w:line="258" w:lineRule="auto"/>
        <w:tabs>
          <w:tab w:leader="none" w:pos="1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spacing w:after="0" w:line="61"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in the United States are typically not published until 18 months after the priority date; and</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publications in the scientific literature often lag behind actual discoveries.</w:t>
      </w:r>
    </w:p>
    <w:p>
      <w:pPr>
        <w:spacing w:after="0" w:line="117"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expiration date of any patent in the United States or internationally that we consider relevant may be incorrect, which may negatively impact our ability to develop and market our products or product candidates.</w:t>
      </w:r>
    </w:p>
    <w:p>
      <w:pPr>
        <w:spacing w:after="0" w:line="54"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Our competitors may have filed, and may in the future file, patent applications covering technology similar to ours, and others may have or obtain patents or proprietary rights that could limit our ability to make, use, sell, offer for sale or import tildacerfont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tildacerfont.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w:t>
      </w:r>
    </w:p>
    <w:p>
      <w:pPr>
        <w:spacing w:after="0" w:line="78" w:lineRule="exact"/>
        <w:rPr>
          <w:sz w:val="20"/>
          <w:szCs w:val="20"/>
          <w:color w:val="auto"/>
        </w:rPr>
      </w:pPr>
    </w:p>
    <w:p>
      <w:pPr>
        <w:jc w:val="both"/>
        <w:ind w:right="120" w:firstLine="509"/>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61" w:lineRule="exact"/>
        <w:rPr>
          <w:sz w:val="20"/>
          <w:szCs w:val="20"/>
          <w:color w:val="auto"/>
        </w:rPr>
      </w:pPr>
    </w:p>
    <w:p>
      <w:pPr>
        <w:jc w:val="both"/>
        <w:ind w:right="180" w:firstLine="509"/>
        <w:spacing w:after="0" w:line="258" w:lineRule="auto"/>
        <w:rPr>
          <w:sz w:val="20"/>
          <w:szCs w:val="20"/>
          <w:color w:val="auto"/>
        </w:rPr>
      </w:pPr>
      <w:r>
        <w:rPr>
          <w:rFonts w:ascii="Times New Roman" w:cs="Times New Roman" w:eastAsia="Times New Roman" w:hAnsi="Times New Roman"/>
          <w:sz w:val="18"/>
          <w:szCs w:val="18"/>
          <w:color w:val="auto"/>
        </w:rPr>
        <w:t>If a third party prevails in a patent infringement lawsuit against us, we may have to stop making and selling the infringing product,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w:t>
      </w:r>
    </w:p>
    <w:p>
      <w:pPr>
        <w:spacing w:after="0" w:line="6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We cannot predict whether any such license would be available at all or whether it would be available on commercially reasonable terms.</w:t>
      </w:r>
    </w:p>
    <w:p>
      <w:pPr>
        <w:spacing w:after="0" w:line="27"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8"/>
          <w:szCs w:val="18"/>
          <w:color w:val="auto"/>
        </w:rPr>
        <w:t>Furthermore, even in the absence of litigation, we may need to obtain licenses from third parties to advance our research or allow commercialization of tildacerfont. We may fail to obtain any of these licenses at a reasonable cost or on reasonable terms, if at all. In that event, we would be unable to further develop and commercialize tildacerfont, which could harm our business significantly. Even if we were able to obtain a license, the rights may be nonexclusive, which may give our competitors access to the same intellectual property.</w:t>
      </w:r>
    </w:p>
    <w:p>
      <w:pPr>
        <w:spacing w:after="0" w:line="71"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50"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in addition to our employees, we engage the services of consultants to assist us in the development of tildacerfont, any future product candidates,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6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 Further, our issued patents could be found invalid or unenforceable if challenged in court, and we may incur substantial costs as a result of litigation or other proceedings relating to patent and other intellectual property rights.</w:t>
      </w:r>
    </w:p>
    <w:p>
      <w:pPr>
        <w:spacing w:after="0" w:line="60"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Third parties including competitors may infringe, misappropriate or otherwise violate our patents, patents that may issue to us in the future, or the patents of our licensors that are licensed to us. To counter infringement or unauthorized use, we may need to or choose to file infringement claims, which can be expensive and time-consuming. We may not be able to prevent, alone or with our licensors, infringement, misappropriation, or other violation of our intellectual property, particularly in countries where the laws may not protect those rights as fully as in the United States.</w:t>
      </w:r>
    </w:p>
    <w:p>
      <w:pPr>
        <w:spacing w:after="0" w:line="69"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If we choose to go to court to stop another party from using the inventions claimed in our patents, that individual or company has the right to ask the court to rule that such patents are invalid, unenforceable, or should not be enforced against that third party for any number of reasons. In patent litigation in the United States, defendant counterclaims alleging invalidity and/or unenforceability are commonplace. Grounds for a validity challenge include an alleged failure to meet any of several statutory requirements for patentability, including lack of novelty, obviousness, lack of written description, indefiniteness, or non-enablement. Grounds for an unenforceability assertion could include an allegation that someone connected with prosecution of the patent withheld relevant information from the USPTO or made a misleading statement during prosecution, i.e., committed inequitable conduct. Third parties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may also raise similar claims before the USPTO, even outside the context of litigation. For example, in May 2021, Neurocrine filed a petition requesting the USPTO to institute an administrative proceeding involving the post-grant review of the patentability of United States Patent 10,849,908. In December 2021, the USPTO denied Neurocrine's request for post-grant review. In January 2022, Neurocrine requested a rehearing of the USPTO's decision to deny the post-grant review and also filed a request that the Procedural Opinion Panel review the case. In February 2022, Neurocrine filed a petition requesting the USPTO to institute an administrative proceeding involving the post-grant review of the patentability of United States Patent 11,007,201. The USPTO's decision on whether to institute Neurocrine's request for post-grant review is expected to issue by September 2022. Similar mechanisms for challenging the validity and enforceability of a patent exist in foreign patent offices and courts and may result in the revocation, cancellation, or amendment of any foreign patents we or our licensors hold now or in the future. The outcome following legal assertions of invalidity and unenforceability is unpredictable, and prior art could render our patents or those of our licensors invalid.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spacing w:after="0" w:line="80"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tildacerfont and any future product candidates to market.</w:t>
      </w:r>
    </w:p>
    <w:p>
      <w:pPr>
        <w:spacing w:after="0" w:line="92"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95"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the expense and uncertainty of litigation, we may not be in a position to enforce our intellectual property rights against third parties.</w:t>
      </w:r>
    </w:p>
    <w:p>
      <w:pPr>
        <w:spacing w:after="0" w:line="108"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 Our reliance on third parties requires us to share our trade secrets, which increases the possibility that a competitor will discover them or that our trade secrets will be misappropriated or disclosed.</w:t>
      </w:r>
    </w:p>
    <w:p>
      <w:pPr>
        <w:spacing w:after="0" w:line="68" w:lineRule="exact"/>
        <w:rPr>
          <w:sz w:val="20"/>
          <w:szCs w:val="20"/>
          <w:color w:val="auto"/>
        </w:rPr>
      </w:pPr>
    </w:p>
    <w:p>
      <w:pPr>
        <w:ind w:right="120" w:firstLine="509"/>
        <w:spacing w:after="0" w:line="245" w:lineRule="auto"/>
        <w:rPr>
          <w:sz w:val="20"/>
          <w:szCs w:val="20"/>
          <w:color w:val="auto"/>
        </w:rPr>
      </w:pPr>
      <w:r>
        <w:rPr>
          <w:rFonts w:ascii="Times New Roman" w:cs="Times New Roman" w:eastAsia="Times New Roman" w:hAnsi="Times New Roman"/>
          <w:sz w:val="18"/>
          <w:szCs w:val="18"/>
          <w:color w:val="auto"/>
        </w:rPr>
        <w:t>We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and inventions agreements with employees, consultants, and advisors, to protect our trade secrets and other proprietary information.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color w:val="auto"/>
        </w:rPr>
        <w:t>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73"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spacing w:after="0" w:line="92"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86"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0"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Our future trademarks or trade names may be unable to be obtained,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94"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Moreover, any name we have proposed to use with tildacerfont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Similar requirements exist in Europe.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6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3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54" w:lineRule="exact"/>
        <w:rPr>
          <w:sz w:val="20"/>
          <w:szCs w:val="20"/>
          <w:color w:val="auto"/>
        </w:rPr>
      </w:pPr>
    </w:p>
    <w:p>
      <w:pPr>
        <w:ind w:left="1780" w:hanging="380"/>
        <w:spacing w:after="0"/>
        <w:tabs>
          <w:tab w:leader="none" w:pos="1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collaborations;</w:t>
      </w:r>
    </w:p>
    <w:p>
      <w:pPr>
        <w:spacing w:after="0" w:line="117" w:lineRule="exact"/>
        <w:rPr>
          <w:rFonts w:ascii="Times New Roman" w:cs="Times New Roman" w:eastAsia="Times New Roman" w:hAnsi="Times New Roman"/>
          <w:sz w:val="18"/>
          <w:szCs w:val="18"/>
          <w:color w:val="auto"/>
        </w:rPr>
      </w:pPr>
    </w:p>
    <w:p>
      <w:pPr>
        <w:ind w:left="1780" w:right="120" w:hanging="380"/>
        <w:spacing w:after="0" w:line="250" w:lineRule="auto"/>
        <w:tabs>
          <w:tab w:leader="none" w:pos="1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69" w:lineRule="exact"/>
        <w:rPr>
          <w:rFonts w:ascii="Times New Roman" w:cs="Times New Roman" w:eastAsia="Times New Roman" w:hAnsi="Times New Roman"/>
          <w:sz w:val="18"/>
          <w:szCs w:val="18"/>
          <w:color w:val="auto"/>
        </w:rPr>
      </w:pPr>
    </w:p>
    <w:p>
      <w:pPr>
        <w:ind w:left="1780" w:right="700" w:hanging="380"/>
        <w:spacing w:after="0" w:line="266" w:lineRule="auto"/>
        <w:tabs>
          <w:tab w:leader="none" w:pos="1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tildacerfont and any future product candidates;</w:t>
      </w:r>
    </w:p>
    <w:p>
      <w:pPr>
        <w:spacing w:after="0" w:line="67" w:lineRule="exact"/>
        <w:rPr>
          <w:rFonts w:ascii="Times New Roman" w:cs="Times New Roman" w:eastAsia="Times New Roman" w:hAnsi="Times New Roman"/>
          <w:sz w:val="18"/>
          <w:szCs w:val="18"/>
          <w:color w:val="auto"/>
        </w:rPr>
      </w:pPr>
    </w:p>
    <w:p>
      <w:pPr>
        <w:ind w:left="1780" w:right="80" w:hanging="380"/>
        <w:spacing w:after="0" w:line="266" w:lineRule="auto"/>
        <w:tabs>
          <w:tab w:leader="none" w:pos="1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54"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17" w:lineRule="exact"/>
        <w:rPr>
          <w:rFonts w:ascii="Times New Roman" w:cs="Times New Roman" w:eastAsia="Times New Roman" w:hAnsi="Times New Roman"/>
          <w:sz w:val="18"/>
          <w:szCs w:val="18"/>
          <w:color w:val="auto"/>
        </w:rPr>
      </w:pPr>
    </w:p>
    <w:p>
      <w:pPr>
        <w:ind w:left="1780" w:right="100" w:hanging="380"/>
        <w:spacing w:after="0" w:line="250" w:lineRule="auto"/>
        <w:tabs>
          <w:tab w:leader="none" w:pos="1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82" w:lineRule="exact"/>
        <w:rPr>
          <w:rFonts w:ascii="Times New Roman" w:cs="Times New Roman" w:eastAsia="Times New Roman" w:hAnsi="Times New Roman"/>
          <w:sz w:val="18"/>
          <w:szCs w:val="18"/>
          <w:color w:val="auto"/>
        </w:rPr>
      </w:pPr>
    </w:p>
    <w:p>
      <w:pPr>
        <w:ind w:left="1780" w:right="580" w:hanging="380"/>
        <w:spacing w:after="0" w:line="250" w:lineRule="auto"/>
        <w:tabs>
          <w:tab w:leader="none" w:pos="1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68" w:lineRule="exact"/>
        <w:rPr>
          <w:rFonts w:ascii="Times New Roman" w:cs="Times New Roman" w:eastAsia="Times New Roman" w:hAnsi="Times New Roman"/>
          <w:sz w:val="18"/>
          <w:szCs w:val="18"/>
          <w:color w:val="auto"/>
        </w:rPr>
      </w:pPr>
    </w:p>
    <w:p>
      <w:pPr>
        <w:ind w:left="1780" w:right="200" w:hanging="380"/>
        <w:spacing w:after="0" w:line="282" w:lineRule="auto"/>
        <w:tabs>
          <w:tab w:leader="none" w:pos="1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current or future products;</w:t>
      </w:r>
    </w:p>
    <w:p>
      <w:pPr>
        <w:spacing w:after="0" w:line="40" w:lineRule="exact"/>
        <w:rPr>
          <w:rFonts w:ascii="Times New Roman" w:cs="Times New Roman" w:eastAsia="Times New Roman" w:hAnsi="Times New Roman"/>
          <w:sz w:val="18"/>
          <w:szCs w:val="18"/>
          <w:color w:val="auto"/>
        </w:rPr>
      </w:pPr>
    </w:p>
    <w:p>
      <w:pPr>
        <w:ind w:left="1780" w:right="100" w:hanging="380"/>
        <w:spacing w:after="0" w:line="266" w:lineRule="auto"/>
        <w:tabs>
          <w:tab w:leader="none" w:pos="1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develop or commercialize such intellectual property;</w:t>
      </w:r>
    </w:p>
    <w:p>
      <w:pPr>
        <w:spacing w:after="0" w:line="67" w:lineRule="exact"/>
        <w:rPr>
          <w:rFonts w:ascii="Times New Roman" w:cs="Times New Roman" w:eastAsia="Times New Roman" w:hAnsi="Times New Roman"/>
          <w:sz w:val="18"/>
          <w:szCs w:val="18"/>
          <w:color w:val="auto"/>
        </w:rPr>
      </w:pPr>
    </w:p>
    <w:p>
      <w:pPr>
        <w:ind w:left="1780" w:right="60" w:hanging="380"/>
        <w:spacing w:after="0" w:line="250" w:lineRule="auto"/>
        <w:tabs>
          <w:tab w:leader="none" w:pos="1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intellectual property rights in technologies or products resulting from the collaboration; under certain situations, the collaborators may provide us with an option to negotiate a license to such developed technologies or products, however, we may not be able to negotiate such license; and</w:t>
      </w:r>
    </w:p>
    <w:p>
      <w:pPr>
        <w:spacing w:after="0" w:line="82" w:lineRule="exact"/>
        <w:rPr>
          <w:rFonts w:ascii="Times New Roman" w:cs="Times New Roman" w:eastAsia="Times New Roman" w:hAnsi="Times New Roman"/>
          <w:sz w:val="18"/>
          <w:szCs w:val="18"/>
          <w:color w:val="auto"/>
        </w:rPr>
      </w:pPr>
    </w:p>
    <w:p>
      <w:pPr>
        <w:ind w:left="1780" w:right="120" w:hanging="380"/>
        <w:spacing w:after="0" w:line="266" w:lineRule="auto"/>
        <w:tabs>
          <w:tab w:leader="none" w:pos="1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liquid and orderly trading market for our common stock may not be sustained.</w:t>
      </w:r>
    </w:p>
    <w:p>
      <w:pPr>
        <w:spacing w:after="0" w:line="108"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Prior to the closing of our IPO in October 2020, there was no public market for shares of our common stock. An active trading market for our shares may not be sustained. You may not be able to sell your shares quickly or at the market price if trading in shares of our common stock is not active. As a result of these and other factors, you may be unable to resell your shares of our common stock. Further, an inactive market may also impair our ability to raise capital by selling shares of our common stock and may impair our ability to enter into strategic partnerships or acquire companies or products by using our shares of common stock as consideration.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 and you could lose all or part of your investment.*</w:t>
      </w:r>
    </w:p>
    <w:p>
      <w:pPr>
        <w:spacing w:after="0" w:line="108"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and could be subject to wide fluctuations in response to various factors, some of which are beyond our control, including limited trading volume. For example, the closing price of our common stock since its trading began on October 9, 2020 to August 8, 2022 has ranged from a low of $1.28 to a high of $32.42. In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to the factors discussed in this “Risk Factors” section and elsewhere in this Quarterly Report on Form 10-Q, these factors include:</w:t>
      </w:r>
    </w:p>
    <w:p>
      <w:pPr>
        <w:spacing w:after="0" w:line="104" w:lineRule="exact"/>
        <w:rPr>
          <w:sz w:val="20"/>
          <w:szCs w:val="20"/>
          <w:color w:val="auto"/>
        </w:rPr>
      </w:pPr>
    </w:p>
    <w:p>
      <w:pPr>
        <w:ind w:left="1780" w:right="20" w:hanging="380"/>
        <w:spacing w:after="0" w:line="258" w:lineRule="auto"/>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our ongoing and planned clinical trials of tildacerfont or any future clinical trials we may conduct of tildacerfont and any future product candidates, or changes in the development status of tildacerfont and any future product candidates;</w:t>
      </w:r>
    </w:p>
    <w:p>
      <w:pPr>
        <w:spacing w:after="0" w:line="61"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and EMA of the clinical trial design of our planned and ongoing clinical trials of tildacerfont;</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and EMA of data from our two Phase 2b clinical trials or any future clinical trials we conduct;</w:t>
      </w:r>
    </w:p>
    <w:p>
      <w:pPr>
        <w:spacing w:after="0" w:line="117" w:lineRule="exact"/>
        <w:rPr>
          <w:rFonts w:ascii="Times New Roman" w:cs="Times New Roman" w:eastAsia="Times New Roman" w:hAnsi="Times New Roman"/>
          <w:sz w:val="18"/>
          <w:szCs w:val="18"/>
          <w:color w:val="auto"/>
        </w:rPr>
      </w:pPr>
    </w:p>
    <w:p>
      <w:pPr>
        <w:ind w:left="1780" w:right="120" w:hanging="380"/>
        <w:spacing w:after="0" w:line="250" w:lineRule="auto"/>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tildacerfont and any future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68" w:lineRule="exact"/>
        <w:rPr>
          <w:rFonts w:ascii="Times New Roman" w:cs="Times New Roman" w:eastAsia="Times New Roman" w:hAnsi="Times New Roman"/>
          <w:sz w:val="18"/>
          <w:szCs w:val="18"/>
          <w:color w:val="auto"/>
        </w:rPr>
      </w:pPr>
    </w:p>
    <w:p>
      <w:pPr>
        <w:ind w:left="1780" w:right="300" w:hanging="380"/>
        <w:spacing w:after="0" w:line="282" w:lineRule="auto"/>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clinical trials as a result of the COVID-19 pandemic, patient engagement, protocol amendments or otherwise;</w:t>
      </w:r>
    </w:p>
    <w:p>
      <w:pPr>
        <w:spacing w:after="0" w:line="40"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for tildacerfont and any future product candidates;</w:t>
      </w:r>
    </w:p>
    <w:p>
      <w:pPr>
        <w:spacing w:after="0" w:line="117" w:lineRule="exact"/>
        <w:rPr>
          <w:rFonts w:ascii="Times New Roman" w:cs="Times New Roman" w:eastAsia="Times New Roman" w:hAnsi="Times New Roman"/>
          <w:sz w:val="18"/>
          <w:szCs w:val="18"/>
          <w:color w:val="auto"/>
        </w:rPr>
      </w:pPr>
    </w:p>
    <w:p>
      <w:pPr>
        <w:ind w:left="1780" w:right="240" w:hanging="380"/>
        <w:spacing w:after="0" w:line="266" w:lineRule="auto"/>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tildacerfont and any future product candidates, including but not limited to clinical trial requirements for approvals;</w:t>
      </w:r>
    </w:p>
    <w:p>
      <w:pPr>
        <w:spacing w:after="0" w:line="54"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obtain coverage and adequate reimbursement of tildacerfont and any future product candidates, if approved;</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on the structure of healthcare payment systems;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product supply for any approved drug product or inability to do so at acceptable prices;</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collaborations if needed;</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tildacerfont and any future product candidates;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executive management personnel;</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tildacerfont and any future product candidates;</w:t>
      </w:r>
    </w:p>
    <w:p>
      <w:pPr>
        <w:spacing w:after="0" w:line="103" w:lineRule="exact"/>
        <w:rPr>
          <w:rFonts w:ascii="Times New Roman" w:cs="Times New Roman" w:eastAsia="Times New Roman" w:hAnsi="Times New Roman"/>
          <w:sz w:val="18"/>
          <w:szCs w:val="18"/>
          <w:color w:val="auto"/>
        </w:rPr>
      </w:pPr>
    </w:p>
    <w:p>
      <w:pPr>
        <w:ind w:left="1780" w:hanging="380"/>
        <w:spacing w:after="0" w:line="266" w:lineRule="auto"/>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offered by us or our competitors, or the release or publication of clinical trial results from competing product candidates;</w:t>
      </w:r>
    </w:p>
    <w:p>
      <w:pPr>
        <w:spacing w:after="0" w:line="54"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03" w:lineRule="exact"/>
        <w:rPr>
          <w:rFonts w:ascii="Times New Roman" w:cs="Times New Roman" w:eastAsia="Times New Roman" w:hAnsi="Times New Roman"/>
          <w:sz w:val="18"/>
          <w:szCs w:val="18"/>
          <w:color w:val="auto"/>
        </w:rPr>
      </w:pPr>
    </w:p>
    <w:p>
      <w:pPr>
        <w:ind w:left="1780" w:right="340" w:hanging="380"/>
        <w:spacing w:after="0" w:line="266" w:lineRule="auto"/>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if any, of the markets for classic CAH in adult and pediatric patients and a subpopulation of females with PCOS, and other rare endocrine disorders that we may target;</w:t>
      </w:r>
    </w:p>
    <w:p>
      <w:pPr>
        <w:spacing w:after="0" w:line="6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or annual operating results;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17" w:lineRule="exact"/>
        <w:rPr>
          <w:rFonts w:ascii="Times New Roman" w:cs="Times New Roman" w:eastAsia="Times New Roman" w:hAnsi="Times New Roman"/>
          <w:sz w:val="18"/>
          <w:szCs w:val="18"/>
          <w:color w:val="auto"/>
        </w:rPr>
      </w:pPr>
    </w:p>
    <w:p>
      <w:pPr>
        <w:ind w:left="1780" w:right="560" w:hanging="380"/>
        <w:spacing w:after="0" w:line="266" w:lineRule="auto"/>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54"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left="1780" w:hanging="380"/>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debt or equity securities;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practices;</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controls;</w:t>
      </w:r>
    </w:p>
    <w:p>
      <w:pPr>
        <w:spacing w:after="0" w:line="117" w:lineRule="exact"/>
        <w:rPr>
          <w:rFonts w:ascii="Times New Roman" w:cs="Times New Roman" w:eastAsia="Times New Roman" w:hAnsi="Times New Roman"/>
          <w:sz w:val="18"/>
          <w:szCs w:val="18"/>
          <w:color w:val="auto"/>
        </w:rPr>
      </w:pPr>
    </w:p>
    <w:p>
      <w:pPr>
        <w:ind w:left="1780" w:right="180" w:hanging="380"/>
        <w:spacing w:after="0" w:line="266" w:lineRule="auto"/>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4"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03"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health, and economic conditions, including the COVID-19 pandemic; and</w:t>
      </w:r>
    </w:p>
    <w:p>
      <w:pPr>
        <w:spacing w:after="0" w:line="117"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104"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In addition, 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108"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pursuant to the Loan Agreement, we are prohibited from paying cash dividends without the prior written consent of Silicon Valley Bank, and future debt instruments may materially restrict our ability to pay dividends on our common stock. Any return to stockholders would therefore be limited to the appreciation, if any, of their stock.</w:t>
      </w:r>
    </w:p>
    <w:p>
      <w:pPr>
        <w:spacing w:after="0" w:line="83"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50" w:lineRule="exact"/>
        <w:rPr>
          <w:sz w:val="20"/>
          <w:szCs w:val="20"/>
          <w:color w:val="auto"/>
        </w:rPr>
      </w:pPr>
    </w:p>
    <w:p>
      <w:pPr>
        <w:ind w:right="160" w:firstLine="509"/>
        <w:spacing w:after="0" w:line="247" w:lineRule="auto"/>
        <w:rPr>
          <w:sz w:val="20"/>
          <w:szCs w:val="20"/>
          <w:color w:val="auto"/>
        </w:rPr>
      </w:pPr>
      <w:r>
        <w:rPr>
          <w:rFonts w:ascii="Times New Roman" w:cs="Times New Roman" w:eastAsia="Times New Roman" w:hAnsi="Times New Roman"/>
          <w:sz w:val="18"/>
          <w:szCs w:val="18"/>
          <w:color w:val="auto"/>
        </w:rPr>
        <w:t>Our executive officers and directors, combined with our stockholders who own more than 5% of our outstanding capital stock, beneficially own shares representing a significant percentage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68"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reporting requirements applicable to emerging growth companies and smaller reporting companies may make our common stock less attractive to investors.*</w:t>
      </w:r>
    </w:p>
    <w:p>
      <w:pPr>
        <w:spacing w:after="0" w:line="63"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certain exemptions from various public company reporting requirements, including being permitted to provide only two years of audited financial statements, in addition to any required financial statements with correspondingly reduced “Management’s Discussion and Analysis of Financial Condition and Results of Operations” disclosure in this Quarterly Report on Form 10-Q,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December 31, 2025, or until we are no longer an emerging growth company, whichever is earlier. We will cease to be an emerging growth company prior to the end of such five-year period if certain earlier events occur, including if we become a “large accelerated filer” as defined in Rule 12b-2 under the Exchange Act, our annual gross revenues exceed $1.07 billion or we issue more than $1.0 billion of non-convertible debt in any three-year period.</w:t>
      </w:r>
    </w:p>
    <w:p>
      <w:pPr>
        <w:spacing w:after="0" w:line="79" w:lineRule="exact"/>
        <w:rPr>
          <w:sz w:val="20"/>
          <w:szCs w:val="20"/>
          <w:color w:val="auto"/>
        </w:rPr>
      </w:pPr>
    </w:p>
    <w:p>
      <w:pPr>
        <w:jc w:val="both"/>
        <w:ind w:right="180" w:firstLine="509"/>
        <w:spacing w:after="0" w:line="258"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which would allow us to take advantage of many of the same exemptions available to emerging growth companies, including not being required to comply with the auditor attestation requirements of Section 404 of the Sarbanes-Oxley Act or 2002, or the Sarbanes-Oxley Act, and reduced disclosure obligations regarding executive compensation.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Investors may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7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previously identified and remediated a material weakness in our internal control over financial reporting and may identify material weaknesses in the future or otherwise fail to maintain proper and effective internal controls, which may impair our ability to produce accurate financial statements on a timely basis.*</w:t>
      </w:r>
    </w:p>
    <w:p>
      <w:pPr>
        <w:spacing w:after="0" w:line="60"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During the preparation of our financial statements for the years ended December 31, 2018 and 2019, we identified a material weakness in internal control over financial reporting primarily related to a lack of timely review over the financial statement close process. During these periods, we did not have a sufficient complement of qualified personnel within the accounting function and had a lack of segregation of duties to adequately conduct review and analysis of certain routine transactions.</w:t>
      </w:r>
    </w:p>
    <w:p>
      <w:pPr>
        <w:spacing w:after="0" w:line="83"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This material weakness could result in a misstatement of account balances or disclosures that would result in a material misstatement to the annual or interim financial statements that would not be prevented or detected. To address our material weakness, we added a chief financial officer and controller, and we implemented new processes and controls, formalized documentation of policies and procedures, and recruited additional accounting personnel. We have fully remediated the material weakness as of the filing date of our Annual Report for the fiscal year ending December 31, 2020. Completion of remediation does not provide assurance that our remediation or other controls will continue operating effectively. Remediation costs consisted primarily of additional personnel expenses, which did not have a material impact to our financial statements.</w:t>
      </w:r>
    </w:p>
    <w:p>
      <w:pPr>
        <w:spacing w:after="0" w:line="78"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We must perform system and process evaluation and testing of our internal controls over financial reporting to allow management to report on the effectiveness of our internal controls over financial reporting in this Quarterly Report on Form 10-Q, as required by Section 404 of the Sarbanes-Oxley Act. This will require that we incur substantial additional professional fees and internal costs to expand our accounting and finance functions and that we expend significant management efforts. Prior to our IPO, we have never been required to test our internal controls within a specified period, and, as a result, we may experience difficulty in meeting these reporting requirements in a timely manner.</w:t>
      </w:r>
    </w:p>
    <w:p>
      <w:pPr>
        <w:spacing w:after="0" w:line="73"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6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Nasdaq, the SEC or other regulatory authorities.</w:t>
      </w:r>
    </w:p>
    <w:p>
      <w:pPr>
        <w:spacing w:after="0" w:line="61"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The measures we have taken to date, and actions we may take in the future, may not be sufficient to remediate the control deficiencies that led to our material weakness in our internal control over financial reporting or to prevent or avoid potential future material weaknesses. We may not have identified all material weaknesses. Moreover,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0"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increased costs as a result of operating as a public company, and our management will be required to devote substantial time to new compliance initiatives.</w:t>
      </w:r>
    </w:p>
    <w:p>
      <w:pPr>
        <w:spacing w:after="0" w:line="50"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and smaller reporting companies are exempted from certain of these requirements, but we may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7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continue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08" w:lineRule="exact"/>
        <w:rPr>
          <w:sz w:val="20"/>
          <w:szCs w:val="20"/>
          <w:color w:val="auto"/>
        </w:rPr>
      </w:pPr>
    </w:p>
    <w:p>
      <w:pPr>
        <w:ind w:right="300" w:firstLine="509"/>
        <w:spacing w:after="0" w:line="250"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June 30, 2022, there were 23,560,250 shares of our common stock outstanding.</w:t>
      </w:r>
    </w:p>
    <w:p>
      <w:pPr>
        <w:spacing w:after="0" w:line="82"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In addition, shares of common stock that are either subject to outstanding options or reserved for future issuance under our employee benefit plans will become eligible for sale in the public market to the extent permitted by the provisions of various vesting schedules, Rule 144 and Rule 701 under the Securities Act of 1933, as amended, or the Securities Act. If these additional shares of common stock are sold, or if it is perceived that they will be sold, in the public market, the trading price of our common stock could decline.</w:t>
      </w:r>
    </w:p>
    <w:p>
      <w:pPr>
        <w:spacing w:after="0" w:line="69"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Further, certain holders of shares of our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65" w:lineRule="exact"/>
        <w:rPr>
          <w:sz w:val="20"/>
          <w:szCs w:val="20"/>
          <w:color w:val="auto"/>
        </w:rPr>
      </w:pPr>
    </w:p>
    <w:p>
      <w:pPr>
        <w:jc w:val="both"/>
        <w:ind w:right="2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including pursuant to the Shelf Registration, Sales Agreement and our equity incentive plans, could result in additional dilution of the percentage ownership of our stockholders and could cause our stock price to fall.*</w:t>
      </w:r>
    </w:p>
    <w:p>
      <w:pPr>
        <w:spacing w:after="0" w:line="60"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We expect that we will need significant additional capital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including through the registration statement on Form S-3, as amended, declared effective in February 2022, covering the sale of up to $200.0 million of our securities, or the Shelf Registration. For example, in February 2022, we entered into the Sales Agreement with Jefferies, pursuant to which we may elect to issue and sell, from time to time, shares of common stock having an aggregate offering price of up to $21.0 million under the Shelf Registration through Jefferies acting as the sales agent and/or principal.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As of June 30, 2022, we have not issued any shares of common stock pursuant to the Sales Agreement.</w:t>
      </w:r>
    </w:p>
    <w:p>
      <w:pPr>
        <w:spacing w:after="0" w:line="7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Pursuant to our 2020 Plan, our management is authorized to grant stock options and other stock awards to our employees, directors and consultants. Additionally, the number of shares of our common stock reserved for issuance under our 2020 Plan will</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automatically increase on January 1 of each year continuing through and including January 1, 2030, by 5% of the total number of shares of our capital stock outstanding on December 31 of the preceding calendar year, or a lesser number of shares determined by our board of directors. In addition, pursuant to our 2020 Employee Stock Purchase Plan, or ESPP, the number of shares of our common stock reserved for issuance will automatically increase on January 1 of each calendar year continuing through January 1, 2030, by the lesser of (i) 1% of the total number of shares of our common stock outstanding on the last day of the calendar month before the date of the automatic increase, and (ii) 441,280 shares; provided that before the date of any such increase, our board of directors may determine that such increase will be less than the amount set forth in clauses (i) and (ii). Unless our board of directors elects not to increase the number of shares available for future grant each year, our stockholders may experience additional dilution, which could cause our stock price to fall.</w:t>
      </w:r>
    </w:p>
    <w:p>
      <w:pPr>
        <w:spacing w:after="0" w:line="6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5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40" w:lineRule="exact"/>
        <w:rPr>
          <w:sz w:val="20"/>
          <w:szCs w:val="20"/>
          <w:color w:val="auto"/>
        </w:rPr>
      </w:pPr>
    </w:p>
    <w:p>
      <w:pPr>
        <w:ind w:left="1780" w:right="280" w:hanging="380"/>
        <w:spacing w:after="0" w:line="266" w:lineRule="auto"/>
        <w:tabs>
          <w:tab w:leader="none" w:pos="1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67" w:lineRule="exact"/>
        <w:rPr>
          <w:rFonts w:ascii="Times New Roman" w:cs="Times New Roman" w:eastAsia="Times New Roman" w:hAnsi="Times New Roman"/>
          <w:sz w:val="18"/>
          <w:szCs w:val="18"/>
          <w:color w:val="auto"/>
        </w:rPr>
      </w:pPr>
    </w:p>
    <w:p>
      <w:pPr>
        <w:ind w:left="1780" w:hanging="380"/>
        <w:spacing w:after="0" w:line="266" w:lineRule="auto"/>
        <w:tabs>
          <w:tab w:leader="none" w:pos="1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 meeting of our stockholders;</w:t>
      </w:r>
    </w:p>
    <w:p>
      <w:pPr>
        <w:spacing w:after="0" w:line="54" w:lineRule="exact"/>
        <w:rPr>
          <w:rFonts w:ascii="Times New Roman" w:cs="Times New Roman" w:eastAsia="Times New Roman" w:hAnsi="Times New Roman"/>
          <w:sz w:val="18"/>
          <w:szCs w:val="18"/>
          <w:color w:val="auto"/>
        </w:rPr>
      </w:pPr>
    </w:p>
    <w:p>
      <w:pPr>
        <w:ind w:left="1780" w:right="280" w:hanging="380"/>
        <w:spacing w:after="0" w:line="282" w:lineRule="auto"/>
        <w:tabs>
          <w:tab w:leader="none" w:pos="1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the board of directors, the chief executive officer, the president, or by a majority of the total number of authorized directors;</w:t>
      </w:r>
    </w:p>
    <w:p>
      <w:pPr>
        <w:spacing w:after="0" w:line="40" w:lineRule="exact"/>
        <w:rPr>
          <w:rFonts w:ascii="Times New Roman" w:cs="Times New Roman" w:eastAsia="Times New Roman" w:hAnsi="Times New Roman"/>
          <w:sz w:val="18"/>
          <w:szCs w:val="18"/>
          <w:color w:val="auto"/>
        </w:rPr>
      </w:pPr>
    </w:p>
    <w:p>
      <w:pPr>
        <w:ind w:left="1780" w:hanging="380"/>
        <w:spacing w:after="0"/>
        <w:tabs>
          <w:tab w:leader="none" w:pos="1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03" w:lineRule="exact"/>
        <w:rPr>
          <w:rFonts w:ascii="Times New Roman" w:cs="Times New Roman" w:eastAsia="Times New Roman" w:hAnsi="Times New Roman"/>
          <w:sz w:val="18"/>
          <w:szCs w:val="18"/>
          <w:color w:val="auto"/>
        </w:rPr>
      </w:pPr>
    </w:p>
    <w:p>
      <w:pPr>
        <w:ind w:left="1780" w:right="180" w:hanging="380"/>
        <w:spacing w:after="0" w:line="258" w:lineRule="auto"/>
        <w:tabs>
          <w:tab w:leader="none" w:pos="1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1" w:lineRule="exact"/>
        <w:rPr>
          <w:rFonts w:ascii="Times New Roman" w:cs="Times New Roman" w:eastAsia="Times New Roman" w:hAnsi="Times New Roman"/>
          <w:sz w:val="18"/>
          <w:szCs w:val="18"/>
          <w:color w:val="auto"/>
        </w:rPr>
      </w:pPr>
    </w:p>
    <w:p>
      <w:pPr>
        <w:ind w:left="1780" w:right="680" w:hanging="380"/>
        <w:spacing w:after="0" w:line="282" w:lineRule="auto"/>
        <w:tabs>
          <w:tab w:leader="none" w:pos="1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40" w:lineRule="exact"/>
        <w:rPr>
          <w:rFonts w:ascii="Times New Roman" w:cs="Times New Roman" w:eastAsia="Times New Roman" w:hAnsi="Times New Roman"/>
          <w:sz w:val="18"/>
          <w:szCs w:val="18"/>
          <w:color w:val="auto"/>
        </w:rPr>
      </w:pPr>
    </w:p>
    <w:p>
      <w:pPr>
        <w:ind w:left="1780" w:right="240" w:hanging="380"/>
        <w:spacing w:after="0" w:line="266" w:lineRule="auto"/>
        <w:tabs>
          <w:tab w:leader="none" w:pos="1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54"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83"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81"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Court of Chancery of the State of Delaware (and any appellate court therefrom) is the sole and exclusive forum for the following types of actions or proceedings under Delaware statutory or common law: (i) any derivative claim or cause of action brought on our behalf; (ii) any claim or cause of action for breach of a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(iv) any claim or cause of action seeking to interpret, apply, enforce, or determine the validity of our amended and restated certificate of incorporation or our amended and restated bylaws (in each case as may be amended from time to time); (v) any claim or cause of action as to which the Delaware General Corporation Law confers jurisdiction to the Court of Chancery of the State of Delaware; and (vi) any claim or cause of action against us or any of our current or former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directors, officers, or other employees governed by the internal affairs doctrine, in all cases to the fullest extent permitted by law and subject to the court’s having personal jurisdiction over the indispensable parties named as defendants. These provisions would not apply to claims or causes of action brought to enforce a duty or liability created by the Securities Act and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further provide that, to the fullest extent permitted by law, the federal district courts of the United States of America is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84"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Nasdaq’s continued listing requirements could result in a delisting of our common stock.</w:t>
      </w:r>
    </w:p>
    <w:p>
      <w:pPr>
        <w:spacing w:after="0" w:line="108"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6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3"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revenues and financial condition and increase our costs and expenses.</w:t>
      </w:r>
    </w:p>
    <w:p>
      <w:pPr>
        <w:spacing w:after="0" w:line="108"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color w:val="auto"/>
        </w:rPr>
        <w:t>Our operations, and those of our CROs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tildacerfont. Our ability to obtain clinical supplies of tildacerfont and any future product candidates could be disrupted if the operations of these suppliers are affected by a man-made or natural disaster or other business interruption. Our corporate headquarters is located in California near major earthquake faults and fire zones. The ultimate impact on us, our suppliers and our general infrastructure of being located near major earthquake faults and fire zones and being consolidated in certain geographical areas is unknown, but our operations and financial condition could suffer in the event of a major earthquake, fire or other natural disaster.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0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volatility in recent years. If we face such litigation, it could result in substantial costs and a diversion of management’s attention and resources, which could harm our business.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Pursuant to the Loan Agreement, we are prohibited from paying cash dividends without the prior written consent of Silicon Valley Bank.</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560" w:type="dxa"/>
            <w:vAlign w:val="bottom"/>
            <w:gridSpan w:val="21"/>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5560" w:type="dxa"/>
            <w:vAlign w:val="bottom"/>
            <w:tcBorders>
              <w:bottom w:val="single" w:sz="8" w:color="auto"/>
            </w:tcBorders>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20" w:type="dxa"/>
            <w:vAlign w:val="bottom"/>
          </w:tcPr>
          <w:p>
            <w:pPr>
              <w:ind w:left="16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4"/>
                <w:szCs w:val="14"/>
                <w:color w:val="auto"/>
              </w:rPr>
            </w:pPr>
          </w:p>
        </w:tc>
        <w:tc>
          <w:tcPr>
            <w:tcW w:w="10080" w:type="dxa"/>
            <w:vAlign w:val="bottom"/>
            <w:gridSpan w:val="28"/>
          </w:tcPr>
          <w:p>
            <w:pPr>
              <w:spacing w:after="0" w:line="169"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Amended and Restated Certificate of Incorporation of the Registrant (incorporated by reference to Exhibit 3.1 to the Registrant’s Current</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90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Report on Form 8-K, filed with the SEC on October 14, 2020).</w:t>
              </w:r>
            </w:hyperlink>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10080" w:type="dxa"/>
            <w:vAlign w:val="bottom"/>
            <w:gridSpan w:val="28"/>
          </w:tcPr>
          <w:p>
            <w:pPr>
              <w:spacing w:after="0"/>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Amended and Restated Bylaws of the Registrant (incorporated by reference to Exhibit 3.2 to the Registrant’s Current Report on Form 8-K,</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379">
              <w:r>
                <w:rPr>
                  <w:rFonts w:ascii="Times New Roman" w:cs="Times New Roman" w:eastAsia="Times New Roman" w:hAnsi="Times New Roman"/>
                  <w:sz w:val="18"/>
                  <w:szCs w:val="18"/>
                  <w:color w:val="0000FF"/>
                  <w:w w:val="99"/>
                </w:rPr>
                <w:t>filed with the SEC on October 14, 2020).</w:t>
              </w:r>
            </w:hyperlink>
          </w:p>
        </w:tc>
        <w:tc>
          <w:tcPr>
            <w:tcW w:w="20" w:type="dxa"/>
            <w:vAlign w:val="bottom"/>
            <w:tcBorders>
              <w:top w:val="single" w:sz="8" w:color="0000FF"/>
              <w:bottom w:val="single" w:sz="8" w:color="0000EE"/>
            </w:tcBorders>
          </w:tcPr>
          <w:p>
            <w:pPr>
              <w:spacing w:after="0"/>
              <w:rPr>
                <w:sz w:val="14"/>
                <w:szCs w:val="14"/>
                <w:color w:val="auto"/>
              </w:rPr>
            </w:pPr>
          </w:p>
        </w:tc>
        <w:tc>
          <w:tcPr>
            <w:tcW w:w="706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10080" w:type="dxa"/>
            <w:vAlign w:val="bottom"/>
            <w:gridSpan w:val="28"/>
          </w:tcPr>
          <w:p>
            <w:pPr>
              <w:spacing w:after="0"/>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Form of Common Stock Certificate (incorporated by reference to Exhibit 4.1 to the Registrant’s Registration Statement on Form S-1, as</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8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380">
              <w:r>
                <w:rPr>
                  <w:rFonts w:ascii="Times New Roman" w:cs="Times New Roman" w:eastAsia="Times New Roman" w:hAnsi="Times New Roman"/>
                  <w:sz w:val="18"/>
                  <w:szCs w:val="18"/>
                  <w:color w:val="0000FF"/>
                  <w:w w:val="99"/>
                </w:rPr>
                <w:t>amended (File No. 333-248924), filed with the SEC on October 5, 2020).</w:t>
              </w:r>
            </w:hyperlink>
          </w:p>
        </w:tc>
        <w:tc>
          <w:tcPr>
            <w:tcW w:w="20" w:type="dxa"/>
            <w:vAlign w:val="bottom"/>
            <w:tcBorders>
              <w:top w:val="single" w:sz="8" w:color="0000FF"/>
              <w:bottom w:val="single" w:sz="8" w:color="0000EE"/>
            </w:tcBorders>
          </w:tcPr>
          <w:p>
            <w:pPr>
              <w:spacing w:after="0"/>
              <w:rPr>
                <w:sz w:val="14"/>
                <w:szCs w:val="14"/>
                <w:color w:val="auto"/>
              </w:rPr>
            </w:pPr>
          </w:p>
        </w:tc>
        <w:tc>
          <w:tcPr>
            <w:tcW w:w="4520" w:type="dxa"/>
            <w:vAlign w:val="bottom"/>
            <w:tcBorders>
              <w:top w:val="single" w:sz="8" w:color="0000FF"/>
            </w:tcBorders>
            <w:gridSpan w:val="11"/>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10080" w:type="dxa"/>
            <w:vAlign w:val="bottom"/>
            <w:gridSpan w:val="28"/>
          </w:tcPr>
          <w:p>
            <w:pPr>
              <w:spacing w:after="0"/>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Amended and Restated Investors’ Rights Agreement, by and among the Registrant and certain of its stockholders, dated February 19, 2020</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6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(incorporated by reference to Exhibit 4.2 to the Registrant’s Registration Statement on Form S-1, as amended (File No. 333-248924), filed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381">
              <w:r>
                <w:rPr>
                  <w:rFonts w:ascii="Times New Roman" w:cs="Times New Roman" w:eastAsia="Times New Roman" w:hAnsi="Times New Roman"/>
                  <w:sz w:val="18"/>
                  <w:szCs w:val="18"/>
                  <w:color w:val="0000FF"/>
                  <w:w w:val="99"/>
                </w:rPr>
                <w:t>with the SEC on September 18. 2020).</w:t>
              </w:r>
            </w:hyperlink>
          </w:p>
        </w:tc>
        <w:tc>
          <w:tcPr>
            <w:tcW w:w="20" w:type="dxa"/>
            <w:vAlign w:val="bottom"/>
            <w:tcBorders>
              <w:top w:val="single" w:sz="8" w:color="0000FF"/>
              <w:bottom w:val="single" w:sz="8" w:color="0000EE"/>
            </w:tcBorders>
          </w:tcPr>
          <w:p>
            <w:pPr>
              <w:spacing w:after="0"/>
              <w:rPr>
                <w:sz w:val="14"/>
                <w:szCs w:val="14"/>
                <w:color w:val="auto"/>
              </w:rPr>
            </w:pPr>
          </w:p>
        </w:tc>
        <w:tc>
          <w:tcPr>
            <w:tcW w:w="720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0080" w:type="dxa"/>
            <w:vAlign w:val="bottom"/>
            <w:gridSpan w:val="28"/>
          </w:tcPr>
          <w:p>
            <w:pPr>
              <w:spacing w:after="0"/>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Amendment to Offer Letter, by and between the Registrant and Javier Szwarcberg, M.D., MPH, dated April 6, 2022, (incorporated by</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2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382">
              <w:r>
                <w:rPr>
                  <w:rFonts w:ascii="Times New Roman" w:cs="Times New Roman" w:eastAsia="Times New Roman" w:hAnsi="Times New Roman"/>
                  <w:sz w:val="18"/>
                  <w:szCs w:val="18"/>
                  <w:color w:val="0000FF"/>
                  <w:w w:val="99"/>
                </w:rPr>
                <w:t>reference to Exhibit 10.1 to the Registrant’s Current Report on Form 8-K, filed with the SEC on April 8, 2022).</w:t>
              </w:r>
            </w:hyperlink>
          </w:p>
        </w:tc>
        <w:tc>
          <w:tcPr>
            <w:tcW w:w="20" w:type="dxa"/>
            <w:vAlign w:val="bottom"/>
            <w:tcBorders>
              <w:top w:val="single" w:sz="8" w:color="0000FF"/>
              <w:bottom w:val="single" w:sz="8" w:color="0000EE"/>
            </w:tcBorders>
          </w:tcPr>
          <w:p>
            <w:pPr>
              <w:spacing w:after="0"/>
              <w:rPr>
                <w:sz w:val="14"/>
                <w:szCs w:val="14"/>
                <w:color w:val="auto"/>
              </w:rPr>
            </w:pPr>
          </w:p>
        </w:tc>
        <w:tc>
          <w:tcPr>
            <w:tcW w:w="1640" w:type="dxa"/>
            <w:vAlign w:val="bottom"/>
            <w:tcBorders>
              <w:top w:val="single" w:sz="8" w:color="0000FF"/>
            </w:tcBorders>
            <w:gridSpan w:val="5"/>
          </w:tcPr>
          <w:p>
            <w:pPr>
              <w:spacing w:after="0"/>
              <w:rPr>
                <w:sz w:val="14"/>
                <w:szCs w:val="14"/>
                <w:color w:val="auto"/>
              </w:rPr>
            </w:pPr>
          </w:p>
        </w:tc>
        <w:tc>
          <w:tcPr>
            <w:tcW w:w="20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10080" w:type="dxa"/>
            <w:vAlign w:val="bottom"/>
            <w:gridSpan w:val="28"/>
          </w:tcPr>
          <w:p>
            <w:pPr>
              <w:spacing w:after="0"/>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Spruce Biosciences, Inc. 2020 Non-Employee Director Compensation Policy, as amended on April 6, 2022 (incorporated by reference to</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8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Exhibit 10.7 to the Registrant's Quarterly Report on Form 10-Q, filed with the SEC on May 11, 2022).</w:t>
              </w:r>
            </w:hyperlink>
          </w:p>
        </w:tc>
        <w:tc>
          <w:tcPr>
            <w:tcW w:w="8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94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shd w:val="clear" w:color="auto" w:fill="0000FF"/>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94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384">
              <w:r>
                <w:rPr>
                  <w:rFonts w:ascii="Times New Roman" w:cs="Times New Roman" w:eastAsia="Times New Roman" w:hAnsi="Times New Roman"/>
                  <w:sz w:val="18"/>
                  <w:szCs w:val="18"/>
                  <w:color w:val="0000FF"/>
                  <w:w w:val="99"/>
                </w:rPr>
                <w:t>Second Amendment to Loan and Security Agreement, by and between the Registrant and Silicon Valley Bank, dated May 10, 2022</w:t>
              </w:r>
            </w:hyperlink>
          </w:p>
        </w:tc>
        <w:tc>
          <w:tcPr>
            <w:tcW w:w="6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80" w:type="dxa"/>
            <w:vAlign w:val="bottom"/>
            <w:gridSpan w:val="28"/>
          </w:tcPr>
          <w:p>
            <w:pPr>
              <w:spacing w:after="0" w:line="169" w:lineRule="exact"/>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(incorporated by reference to Exhibit 10.8 to the Registrant's Quarterly Report on Form 10-Q, filed with the SEC on May 11,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94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40" w:type="dxa"/>
            <w:vAlign w:val="bottom"/>
            <w:tcBorders>
              <w:right w:val="single" w:sz="8" w:color="0000EE"/>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100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60" w:type="dxa"/>
            <w:vAlign w:val="bottom"/>
            <w:tcBorders>
              <w:top w:val="single" w:sz="8" w:color="0000FF"/>
              <w:bottom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3760" w:type="dxa"/>
            <w:vAlign w:val="bottom"/>
            <w:tcBorders>
              <w:top w:val="single" w:sz="8" w:color="0000FF"/>
            </w:tcBorders>
            <w:gridSpan w:val="7"/>
          </w:tcPr>
          <w:p>
            <w:pPr>
              <w:spacing w:after="0"/>
              <w:rPr>
                <w:sz w:val="14"/>
                <w:szCs w:val="14"/>
                <w:color w:val="auto"/>
              </w:rPr>
            </w:pPr>
          </w:p>
        </w:tc>
        <w:tc>
          <w:tcPr>
            <w:tcW w:w="320" w:type="dxa"/>
            <w:vAlign w:val="bottom"/>
            <w:gridSpan w:val="5"/>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0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60" w:type="dxa"/>
            <w:vAlign w:val="bottom"/>
            <w:tcBorders>
              <w:top w:val="single" w:sz="8" w:color="0000FF"/>
              <w:bottom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3720" w:type="dxa"/>
            <w:vAlign w:val="bottom"/>
            <w:tcBorders>
              <w:top w:val="single" w:sz="8" w:color="0000FF"/>
            </w:tcBorders>
            <w:gridSpan w:val="6"/>
          </w:tcPr>
          <w:p>
            <w:pPr>
              <w:spacing w:after="0"/>
              <w:rPr>
                <w:sz w:val="14"/>
                <w:szCs w:val="14"/>
                <w:color w:val="auto"/>
              </w:rPr>
            </w:pPr>
          </w:p>
        </w:tc>
        <w:tc>
          <w:tcPr>
            <w:tcW w:w="360" w:type="dxa"/>
            <w:vAlign w:val="bottom"/>
            <w:gridSpan w:val="6"/>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0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top w:val="single" w:sz="8" w:color="0000FF"/>
              <w:bottom w:val="single" w:sz="8" w:color="0000EE"/>
            </w:tcBorders>
          </w:tcPr>
          <w:p>
            <w:pPr>
              <w:spacing w:after="0"/>
              <w:rPr>
                <w:sz w:val="14"/>
                <w:szCs w:val="14"/>
                <w:color w:val="auto"/>
              </w:rPr>
            </w:pPr>
          </w:p>
        </w:tc>
        <w:tc>
          <w:tcPr>
            <w:tcW w:w="9100" w:type="dxa"/>
            <w:vAlign w:val="bottom"/>
            <w:tcBorders>
              <w:top w:val="single" w:sz="8" w:color="0000FF"/>
            </w:tcBorders>
            <w:gridSpan w:val="23"/>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100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top w:val="single" w:sz="8" w:color="0000FF"/>
              <w:bottom w:val="single" w:sz="8" w:color="0000EE"/>
            </w:tcBorders>
          </w:tcPr>
          <w:p>
            <w:pPr>
              <w:spacing w:after="0"/>
              <w:rPr>
                <w:sz w:val="14"/>
                <w:szCs w:val="14"/>
                <w:color w:val="auto"/>
              </w:rPr>
            </w:pPr>
          </w:p>
        </w:tc>
        <w:tc>
          <w:tcPr>
            <w:tcW w:w="9040" w:type="dxa"/>
            <w:vAlign w:val="bottom"/>
            <w:tcBorders>
              <w:top w:val="single" w:sz="8" w:color="0000FF"/>
            </w:tcBorders>
            <w:gridSpan w:val="21"/>
          </w:tcPr>
          <w:p>
            <w:pPr>
              <w:spacing w:after="0"/>
              <w:rPr>
                <w:sz w:val="14"/>
                <w:szCs w:val="14"/>
                <w:color w:val="auto"/>
              </w:rPr>
            </w:pPr>
          </w:p>
        </w:tc>
        <w:tc>
          <w:tcPr>
            <w:tcW w:w="12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100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5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100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5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40" w:type="dxa"/>
            <w:vAlign w:val="bottom"/>
          </w:tcPr>
          <w:p>
            <w:pPr>
              <w:spacing w:after="0"/>
              <w:rPr>
                <w:sz w:val="24"/>
                <w:szCs w:val="24"/>
                <w:color w:val="auto"/>
              </w:rPr>
            </w:pPr>
          </w:p>
        </w:tc>
        <w:tc>
          <w:tcPr>
            <w:tcW w:w="100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5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24"/>
                <w:szCs w:val="24"/>
                <w:color w:val="auto"/>
              </w:rPr>
            </w:pPr>
          </w:p>
        </w:tc>
        <w:tc>
          <w:tcPr>
            <w:tcW w:w="100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5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40" w:type="dxa"/>
            <w:vAlign w:val="bottom"/>
          </w:tcPr>
          <w:p>
            <w:pPr>
              <w:spacing w:after="0"/>
              <w:rPr>
                <w:sz w:val="24"/>
                <w:szCs w:val="24"/>
                <w:color w:val="auto"/>
              </w:rPr>
            </w:pPr>
          </w:p>
        </w:tc>
        <w:tc>
          <w:tcPr>
            <w:tcW w:w="100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5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40" w:type="dxa"/>
            <w:vAlign w:val="bottom"/>
          </w:tcPr>
          <w:p>
            <w:pPr>
              <w:spacing w:after="0"/>
              <w:rPr>
                <w:sz w:val="24"/>
                <w:szCs w:val="24"/>
                <w:color w:val="auto"/>
              </w:rPr>
            </w:pPr>
          </w:p>
        </w:tc>
        <w:tc>
          <w:tcPr>
            <w:tcW w:w="100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4300" w:firstLine="21"/>
        <w:spacing w:after="0" w:line="379" w:lineRule="auto"/>
        <w:tabs>
          <w:tab w:leader="none" w:pos="114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235" w:lineRule="auto"/>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1" w:lineRule="exact"/>
        <w:rPr>
          <w:sz w:val="20"/>
          <w:szCs w:val="20"/>
          <w:color w:val="auto"/>
        </w:rPr>
      </w:pPr>
    </w:p>
    <w:p>
      <w:pPr>
        <w:ind w:right="120" w:firstLine="8"/>
        <w:spacing w:after="0" w:line="242" w:lineRule="auto"/>
        <w:tabs>
          <w:tab w:leader="none" w:pos="1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601(b)(10) of Regulation S-K, certain portions of this exhibit (indicated by asterisks) have been omitted because such portions are both not material and are the type that the Registrant treats as private or confidential.</w:t>
      </w:r>
    </w:p>
    <w:p>
      <w:pPr>
        <w:spacing w:after="0" w:line="1" w:lineRule="exact"/>
        <w:rPr>
          <w:rFonts w:ascii="Times New Roman" w:cs="Times New Roman" w:eastAsia="Times New Roman" w:hAnsi="Times New Roman"/>
          <w:sz w:val="18"/>
          <w:szCs w:val="18"/>
          <w:color w:val="auto"/>
        </w:rPr>
      </w:pPr>
    </w:p>
    <w:p>
      <w:pPr>
        <w:ind w:right="60"/>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information in Exhibits 32.1 and 32.2 shall not be deemed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(including this Quarterly Report on Form 10-Q), unless the Registrant specifically incorporates the foregoing information into those documents by reference.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6">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4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SPRUCE BIOSCIENCES, INC.</w:t>
            </w:r>
          </w:p>
        </w:tc>
      </w:tr>
      <w:tr>
        <w:trPr>
          <w:trHeight w:val="40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10, 2022</w:t>
            </w:r>
          </w:p>
        </w:tc>
        <w:tc>
          <w:tcPr>
            <w:tcW w:w="22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Javier Szwarcberg M.D., MPH</w:t>
            </w:r>
          </w:p>
        </w:tc>
      </w:tr>
      <w:tr>
        <w:trPr>
          <w:trHeight w:val="164"/>
        </w:trPr>
        <w:tc>
          <w:tcPr>
            <w:tcW w:w="34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54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w w:val="99"/>
              </w:rPr>
              <w:t>Javier Szwarcberg, M.D., MPH</w:t>
            </w:r>
          </w:p>
        </w:tc>
      </w:tr>
      <w:tr>
        <w:trPr>
          <w:trHeight w:val="189"/>
        </w:trPr>
        <w:tc>
          <w:tcPr>
            <w:tcW w:w="3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34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0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10, 2022</w:t>
            </w:r>
          </w:p>
        </w:tc>
        <w:tc>
          <w:tcPr>
            <w:tcW w:w="22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Samir Gharib</w:t>
            </w:r>
          </w:p>
        </w:tc>
      </w:tr>
      <w:tr>
        <w:trPr>
          <w:trHeight w:val="184"/>
        </w:trPr>
        <w:tc>
          <w:tcPr>
            <w:tcW w:w="3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5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Samir Gharib</w:t>
            </w:r>
          </w:p>
        </w:tc>
      </w:tr>
    </w:tbl>
    <w:p>
      <w:pPr>
        <w:jc w:val="center"/>
        <w:ind w:left="5680"/>
        <w:spacing w:after="0" w:line="219" w:lineRule="auto"/>
        <w:rPr>
          <w:sz w:val="20"/>
          <w:szCs w:val="20"/>
          <w:color w:val="auto"/>
        </w:rPr>
      </w:pPr>
      <w:r>
        <w:rPr>
          <w:rFonts w:ascii="Times New Roman" w:cs="Times New Roman" w:eastAsia="Times New Roman" w:hAnsi="Times New Roman"/>
          <w:sz w:val="18"/>
          <w:szCs w:val="18"/>
          <w:color w:val="auto"/>
        </w:rPr>
        <w:t>President and Chief Financial Officer</w:t>
      </w:r>
    </w:p>
    <w:p>
      <w:pPr>
        <w:jc w:val="center"/>
        <w:ind w:left="56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Javier Szwarcberg, certify that:</w:t>
      </w:r>
    </w:p>
    <w:p>
      <w:pPr>
        <w:spacing w:after="0" w:line="212"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Spruce Biosciences,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20"/>
        <w:spacing w:after="0"/>
        <w:tabs>
          <w:tab w:leader="none" w:pos="5680" w:val="left"/>
          <w:tab w:leader="none" w:pos="7380" w:val="left"/>
        </w:tabs>
        <w:rPr>
          <w:sz w:val="20"/>
          <w:szCs w:val="20"/>
          <w:color w:val="auto"/>
        </w:rPr>
      </w:pPr>
      <w:r>
        <w:rPr>
          <w:rFonts w:ascii="Times New Roman" w:cs="Times New Roman" w:eastAsia="Times New Roman" w:hAnsi="Times New Roman"/>
          <w:sz w:val="18"/>
          <w:szCs w:val="18"/>
          <w:color w:val="auto"/>
        </w:rPr>
        <w:t>Date: August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Javier Szwarcberg, M.D., MPH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18415</wp:posOffset>
            </wp:positionV>
            <wp:extent cx="330898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b w:val="1"/>
          <w:bCs w:val="1"/>
          <w:color w:val="auto"/>
        </w:rPr>
        <w:t>Javier Szwarcberg, M.D., MPH</w:t>
      </w:r>
    </w:p>
    <w:p>
      <w:pPr>
        <w:ind w:left="7740"/>
        <w:spacing w:after="0" w:line="219" w:lineRule="auto"/>
        <w:rPr>
          <w:sz w:val="20"/>
          <w:szCs w:val="20"/>
          <w:color w:val="auto"/>
        </w:rPr>
      </w:pPr>
      <w:r>
        <w:rPr>
          <w:rFonts w:ascii="Times New Roman" w:cs="Times New Roman" w:eastAsia="Times New Roman" w:hAnsi="Times New Roman"/>
          <w:sz w:val="18"/>
          <w:szCs w:val="18"/>
          <w:b w:val="1"/>
          <w:bCs w:val="1"/>
          <w:color w:val="auto"/>
        </w:rPr>
        <w:t>Chief Executive Officer</w:t>
      </w: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Samir Gharib, certify that:</w:t>
      </w:r>
    </w:p>
    <w:p>
      <w:pPr>
        <w:spacing w:after="0" w:line="212"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Spruce Biosciences,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20"/>
        <w:spacing w:after="0"/>
        <w:tabs>
          <w:tab w:leader="none" w:pos="5680" w:val="left"/>
          <w:tab w:leader="none" w:pos="8020" w:val="left"/>
        </w:tabs>
        <w:rPr>
          <w:sz w:val="20"/>
          <w:szCs w:val="20"/>
          <w:color w:val="auto"/>
        </w:rPr>
      </w:pPr>
      <w:r>
        <w:rPr>
          <w:rFonts w:ascii="Times New Roman" w:cs="Times New Roman" w:eastAsia="Times New Roman" w:hAnsi="Times New Roman"/>
          <w:sz w:val="18"/>
          <w:szCs w:val="18"/>
          <w:color w:val="auto"/>
        </w:rPr>
        <w:t>Date: August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Samir Gharib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18415</wp:posOffset>
            </wp:positionV>
            <wp:extent cx="330898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Samir Gharib</w:t>
      </w:r>
    </w:p>
    <w:p>
      <w:pPr>
        <w:jc w:val="center"/>
        <w:ind w:left="6000"/>
        <w:spacing w:after="0" w:line="219" w:lineRule="auto"/>
        <w:rPr>
          <w:sz w:val="20"/>
          <w:szCs w:val="20"/>
          <w:color w:val="auto"/>
        </w:rPr>
      </w:pPr>
      <w:r>
        <w:rPr>
          <w:rFonts w:ascii="Times New Roman" w:cs="Times New Roman" w:eastAsia="Times New Roman" w:hAnsi="Times New Roman"/>
          <w:sz w:val="18"/>
          <w:szCs w:val="18"/>
          <w:b w:val="1"/>
          <w:bCs w:val="1"/>
          <w:color w:val="auto"/>
        </w:rPr>
        <w:t>President and Chief Financial Officer</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Spruce Biosciences, Inc. (the “Company”) on Form 10-Q for the period ended June 30, 2022 as filed with the Securities and Exchange Commission on the date hereof (the “Report”), I certify, pursuant to 18 U.S.C. § 1350, as adopted pursuant to § 906 of the Sarbanes-Oxley Act of 2002, that:</w:t>
      </w:r>
    </w:p>
    <w:p>
      <w:pPr>
        <w:spacing w:after="0" w:line="190"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211"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7" w:lineRule="exact"/>
        <w:rPr>
          <w:sz w:val="20"/>
          <w:szCs w:val="20"/>
          <w:color w:val="auto"/>
        </w:rPr>
      </w:pPr>
    </w:p>
    <w:p>
      <w:pPr>
        <w:ind w:left="20"/>
        <w:spacing w:after="0"/>
        <w:tabs>
          <w:tab w:leader="none" w:pos="5680" w:val="left"/>
          <w:tab w:leader="none" w:pos="7380" w:val="left"/>
        </w:tabs>
        <w:rPr>
          <w:sz w:val="20"/>
          <w:szCs w:val="20"/>
          <w:color w:val="auto"/>
        </w:rPr>
      </w:pPr>
      <w:r>
        <w:rPr>
          <w:rFonts w:ascii="Times New Roman" w:cs="Times New Roman" w:eastAsia="Times New Roman" w:hAnsi="Times New Roman"/>
          <w:sz w:val="18"/>
          <w:szCs w:val="18"/>
          <w:color w:val="auto"/>
        </w:rPr>
        <w:t>Date: August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Javier Szwarcberg, M.D., MPH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18415</wp:posOffset>
            </wp:positionV>
            <wp:extent cx="330898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Javier Szwarcberg, M.D., MPH</w:t>
      </w:r>
    </w:p>
    <w:p>
      <w:pPr>
        <w:jc w:val="center"/>
        <w:ind w:left="6000"/>
        <w:spacing w:after="0" w:line="219" w:lineRule="auto"/>
        <w:rPr>
          <w:sz w:val="20"/>
          <w:szCs w:val="20"/>
          <w:color w:val="auto"/>
        </w:rPr>
      </w:pPr>
      <w:r>
        <w:rPr>
          <w:rFonts w:ascii="Times New Roman" w:cs="Times New Roman" w:eastAsia="Times New Roman" w:hAnsi="Times New Roman"/>
          <w:sz w:val="18"/>
          <w:szCs w:val="18"/>
          <w:b w:val="1"/>
          <w:bCs w:val="1"/>
          <w:color w:val="auto"/>
        </w:rPr>
        <w:t>Chief Executive Officer</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Spruce Biosciences, Inc. (the “Company”) on Form 10-Q for the period ended June 30, 2022 as filed with the Securities and Exchange Commission on the date hereof (the “Report”), I certify, pursuant to 18 U.S.C. § 1350, as adopted pursuant to § 906 of the Sarbanes-Oxley Act of 2002, that:</w:t>
      </w:r>
    </w:p>
    <w:p>
      <w:pPr>
        <w:spacing w:after="0" w:line="190"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211"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7" w:lineRule="exact"/>
        <w:rPr>
          <w:sz w:val="20"/>
          <w:szCs w:val="20"/>
          <w:color w:val="auto"/>
        </w:rPr>
      </w:pPr>
    </w:p>
    <w:p>
      <w:pPr>
        <w:ind w:left="20"/>
        <w:spacing w:after="0"/>
        <w:tabs>
          <w:tab w:leader="none" w:pos="5680" w:val="left"/>
          <w:tab w:leader="none" w:pos="8020" w:val="left"/>
        </w:tabs>
        <w:rPr>
          <w:sz w:val="20"/>
          <w:szCs w:val="20"/>
          <w:color w:val="auto"/>
        </w:rPr>
      </w:pPr>
      <w:r>
        <w:rPr>
          <w:rFonts w:ascii="Times New Roman" w:cs="Times New Roman" w:eastAsia="Times New Roman" w:hAnsi="Times New Roman"/>
          <w:sz w:val="18"/>
          <w:szCs w:val="18"/>
          <w:color w:val="auto"/>
        </w:rPr>
        <w:t>Date: August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Samir Gharib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18415</wp:posOffset>
            </wp:positionV>
            <wp:extent cx="330898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Samir Gharib</w:t>
      </w:r>
    </w:p>
    <w:p>
      <w:pPr>
        <w:jc w:val="center"/>
        <w:ind w:left="6000"/>
        <w:spacing w:after="0" w:line="219" w:lineRule="auto"/>
        <w:rPr>
          <w:sz w:val="20"/>
          <w:szCs w:val="20"/>
          <w:color w:val="auto"/>
        </w:rPr>
      </w:pPr>
      <w:r>
        <w:rPr>
          <w:rFonts w:ascii="Times New Roman" w:cs="Times New Roman" w:eastAsia="Times New Roman" w:hAnsi="Times New Roman"/>
          <w:sz w:val="18"/>
          <w:szCs w:val="18"/>
          <w:b w:val="1"/>
          <w:bCs w:val="1"/>
          <w:color w:val="auto"/>
        </w:rPr>
        <w:t>President and Chief Financial Officer</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8" w:name="page89"/>
    <w:bookmarkEnd w:id="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2"/>
    </w:lvl>
  </w:abstractNum>
  <w:abstractNum w:abstractNumId="6">
    <w:nsid w:val="71F32454"/>
    <w:multiLevelType w:val="hybridMultilevel"/>
    <w:lvl w:ilvl="0">
      <w:lvlJc w:val="left"/>
      <w:lvlText w:val="%1."/>
      <w:numFmt w:val="decimal"/>
      <w:start w:val="5"/>
    </w:lvl>
  </w:abstractNum>
  <w:abstractNum w:abstractNumId="7">
    <w:nsid w:val="2CA88611"/>
    <w:multiLevelType w:val="hybridMultilevel"/>
    <w:lvl w:ilvl="0">
      <w:lvlJc w:val="left"/>
      <w:lvlText w:val="%1."/>
      <w:numFmt w:val="decimal"/>
      <w:start w:val="9"/>
    </w:lvl>
  </w:abstractNum>
  <w:abstractNum w:abstractNumId="8">
    <w:nsid w:val="836C40E"/>
    <w:multiLevelType w:val="hybridMultilevel"/>
    <w:lvl w:ilvl="0">
      <w:lvlJc w:val="left"/>
      <w:lvlText w:val="%1."/>
      <w:numFmt w:val="decimal"/>
      <w:start w:val="10"/>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lvl w:ilvl="1">
      <w:lvlJc w:val="left"/>
      <w:lvlText w:val="o"/>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1."/>
      <w:numFmt w:val="decimal"/>
      <w:start w:val="19"/>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lvl w:ilvl="1">
      <w:lvlJc w:val="left"/>
      <w:lvlText w:val="%2"/>
      <w:numFmt w:val="decimal"/>
      <w:start w:val="104"/>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85" Type="http://schemas.openxmlformats.org/officeDocument/2006/relationships/image" Target="media/image371.png"/><Relationship Id="rId386" Type="http://schemas.openxmlformats.org/officeDocument/2006/relationships/image" Target="media/image372.png"/><Relationship Id="rId387" Type="http://schemas.openxmlformats.org/officeDocument/2006/relationships/image" Target="media/image373.png"/><Relationship Id="rId388" Type="http://schemas.openxmlformats.org/officeDocument/2006/relationships/image" Target="media/image374.png"/><Relationship Id="rId389" Type="http://schemas.openxmlformats.org/officeDocument/2006/relationships/image" Target="media/image375.png"/><Relationship Id="rId390" Type="http://schemas.openxmlformats.org/officeDocument/2006/relationships/image" Target="media/image376.png"/><Relationship Id="rId391" Type="http://schemas.openxmlformats.org/officeDocument/2006/relationships/image" Target="media/image377.png"/><Relationship Id="rId392" Type="http://schemas.openxmlformats.org/officeDocument/2006/relationships/image" Target="media/image378.png"/><Relationship Id="rId393" Type="http://schemas.openxmlformats.org/officeDocument/2006/relationships/image" Target="media/image379.png"/><Relationship Id="rId394" Type="http://schemas.openxmlformats.org/officeDocument/2006/relationships/image" Target="media/image380.png"/><Relationship Id="rId395" Type="http://schemas.openxmlformats.org/officeDocument/2006/relationships/image" Target="media/image381.png"/><Relationship Id="rId378" Type="http://schemas.openxmlformats.org/officeDocument/2006/relationships/hyperlink" Target="https://www.sec.gov/Archives/edgar/data/1683553/000119312520269344/d12372dex31.htm" TargetMode="External"/><Relationship Id="rId379" Type="http://schemas.openxmlformats.org/officeDocument/2006/relationships/hyperlink" Target="https://www.sec.gov/Archives/edgar/data/1683553/000119312520269344/d12372dex32.htm" TargetMode="External"/><Relationship Id="rId380" Type="http://schemas.openxmlformats.org/officeDocument/2006/relationships/hyperlink" Target="https://www.sec.gov/Archives/edgar/data/1683553/000119312520263195/d902020dex41.htm" TargetMode="External"/><Relationship Id="rId381" Type="http://schemas.openxmlformats.org/officeDocument/2006/relationships/hyperlink" Target="https://www.sec.gov/Archives/edgar/data/1683553/000119312520249221/d902020dex42.htm" TargetMode="External"/><Relationship Id="rId382" Type="http://schemas.openxmlformats.org/officeDocument/2006/relationships/hyperlink" Target="https://www.sec.gov/Archives/edgar/data/1683553/000095017022005528/sprb-ex10_1.htm" TargetMode="External"/><Relationship Id="rId383" Type="http://schemas.openxmlformats.org/officeDocument/2006/relationships/hyperlink" Target="https://www.sec.gov/Archives/edgar/data/1683553/000095017022009335/sprb-ex10_7.htm" TargetMode="External"/><Relationship Id="rId384" Type="http://schemas.openxmlformats.org/officeDocument/2006/relationships/hyperlink" Target="https://www.sec.gov/Archives/edgar/data/1683553/000095017022009335/sprb-ex10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2022-08-10T16:04:50Z</dcterms:created>
  <dcterms:modified xsi:type="dcterms:W3CDTF">2022-08-10T16:04:50Z</dcterms:modified>
</cp:coreProperties>
</file>