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60331.htm"/>
        <w:bookmarkStart w:id="1" w:name="kssprb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343-5986</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r>
              <w:rPr>
                <w:rFonts w:ascii="Times New Roman" w:hAnsi="Times New Roman"/>
                <w:color w:val="000000"/>
                <w:sz w:val="20"/>
              </w:rPr>
              <w:t xml:space="preserve"> </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May 11, 2026, the registrant had 2,752,278</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bidi w:val="0"/>
        <w:spacing w:before="60" w:after="283"/>
        <w:jc w:val="left"/>
        <w:rPr/>
      </w:pPr>
      <w:r>
        <w:rPr/>
        <w:t> </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our product candidates and implement our operating plan. If we fail to obtain additional financing, including as a result of geopolitical uncertainty and macroeconomic events, we may be forced to delay, reduce or eliminate our product development programs or commercialization efforts, which could significantly harm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 tralesinidase alfa enzyme replacement therapy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that our product candidates are well tolerated and provide sufficient clinical benefits for patients,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our other current and future product candidates will be subject to extensive regulation and compliance obligations, which are costly and time-consuming, and such regulation may cause unanticipated delays or prevent the receipt of the required approvals to commercialize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TA-ERT and our other current and future product candidates are smaller than we believe they are, our future revenue, if any,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TA-ERT and our other current and future product candidates, we may not be able to generate any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may be limited or unavailable in certain market segments for TA-ERT and our other current and future product candidates, which could make it difficult for us to sell TA-ERT and our other current and future product candidates profitably.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commercialize additional product candidates, we may be unable to grow our business.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others, the termination of which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preclinical and clinical drug supplies and we intend to rely on third parties to produce commercial supplies of TA-ERT and our other current and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TA-ERT and our other current and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our other current and future product candidates or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89"/>
        <w:gridCol w:w="146"/>
        <w:gridCol w:w="211"/>
        <w:gridCol w:w="841"/>
        <w:gridCol w:w="166"/>
        <w:gridCol w:w="146"/>
        <w:gridCol w:w="218"/>
        <w:gridCol w:w="875"/>
        <w:gridCol w:w="613"/>
      </w:tblGrid>
      <w:tr>
        <w:trPr/>
        <w:tc>
          <w:tcPr>
            <w:tcW w:w="6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and </w:t>
              <w:br/>
              <w:t>   no shares issued or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as of </w:t>
              <w:br/>
              <w:t xml:space="preserve">   March 31, 2026 and December 31, 2025; 1,372,278 and 1,372,043 shares issued </w:t>
              <w:br/>
              <w:t>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331,750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5526"/>
        <w:gridCol w:w="146"/>
        <w:gridCol w:w="211"/>
        <w:gridCol w:w="931"/>
        <w:gridCol w:w="166"/>
        <w:gridCol w:w="146"/>
        <w:gridCol w:w="211"/>
        <w:gridCol w:w="781"/>
        <w:gridCol w:w="591"/>
      </w:tblGrid>
      <w:tr>
        <w:trPr/>
        <w:tc>
          <w:tcPr>
            <w:tcW w:w="5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and conversion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59"/>
        <w:gridCol w:w="146"/>
        <w:gridCol w:w="146"/>
        <w:gridCol w:w="931"/>
        <w:gridCol w:w="146"/>
        <w:gridCol w:w="146"/>
        <w:gridCol w:w="261"/>
        <w:gridCol w:w="430"/>
        <w:gridCol w:w="146"/>
        <w:gridCol w:w="146"/>
        <w:gridCol w:w="211"/>
        <w:gridCol w:w="781"/>
        <w:gridCol w:w="166"/>
        <w:gridCol w:w="146"/>
        <w:gridCol w:w="211"/>
        <w:gridCol w:w="841"/>
        <w:gridCol w:w="166"/>
        <w:gridCol w:w="146"/>
        <w:gridCol w:w="236"/>
        <w:gridCol w:w="831"/>
        <w:gridCol w:w="413"/>
      </w:tblGrid>
      <w:tr>
        <w:trPr/>
        <w:tc>
          <w:tcPr>
            <w:tcW w:w="3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vesting of </w:t>
              <w:br/>
              <w:t>   restricted stock units,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embedded conversion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9138" w:type="dxa"/>
        <w:jc w:val="left"/>
        <w:tblInd w:w="0" w:type="dxa"/>
        <w:tblLayout w:type="fixed"/>
        <w:tblCellMar>
          <w:top w:w="28" w:type="dxa"/>
          <w:left w:w="28" w:type="dxa"/>
          <w:bottom w:w="28" w:type="dxa"/>
          <w:right w:w="28" w:type="dxa"/>
        </w:tblCellMar>
      </w:tblPr>
      <w:tblGrid>
        <w:gridCol w:w="2671"/>
        <w:gridCol w:w="146"/>
        <w:gridCol w:w="146"/>
        <w:gridCol w:w="781"/>
        <w:gridCol w:w="146"/>
        <w:gridCol w:w="146"/>
        <w:gridCol w:w="261"/>
        <w:gridCol w:w="430"/>
        <w:gridCol w:w="146"/>
        <w:gridCol w:w="146"/>
        <w:gridCol w:w="211"/>
        <w:gridCol w:w="781"/>
        <w:gridCol w:w="146"/>
        <w:gridCol w:w="146"/>
        <w:gridCol w:w="211"/>
        <w:gridCol w:w="841"/>
        <w:gridCol w:w="166"/>
        <w:gridCol w:w="146"/>
        <w:gridCol w:w="239"/>
        <w:gridCol w:w="841"/>
        <w:gridCol w:w="3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996" w:type="dxa"/>
        <w:jc w:val="left"/>
        <w:tblInd w:w="0" w:type="dxa"/>
        <w:tblLayout w:type="fixed"/>
        <w:tblCellMar>
          <w:top w:w="28" w:type="dxa"/>
          <w:left w:w="28" w:type="dxa"/>
          <w:bottom w:w="28" w:type="dxa"/>
          <w:right w:w="28" w:type="dxa"/>
        </w:tblCellMar>
      </w:tblPr>
      <w:tblGrid>
        <w:gridCol w:w="7041"/>
        <w:gridCol w:w="146"/>
        <w:gridCol w:w="229"/>
        <w:gridCol w:w="801"/>
        <w:gridCol w:w="180"/>
        <w:gridCol w:w="158"/>
        <w:gridCol w:w="229"/>
        <w:gridCol w:w="801"/>
        <w:gridCol w:w="411"/>
      </w:tblGrid>
      <w:tr>
        <w:trPr/>
        <w:tc>
          <w:tcPr>
            <w:tcW w:w="7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warrant and conversion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(8,732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debt,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14,146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debt and equity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13,916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48,942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54,116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54,080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54,116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Allocation of debt to warrant liability for warrant and embedded conversion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debt embedded conversion option to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Spruce Biosciences, Inc. (the “Company”) is a late-stage biopharmaceutical company focused on developing and commercializing novel therapies for neurological disorders with significant unmet medical need. The Company is located in South San Francisco, California and was incorporated in the state of Delaware in April 2016.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April 2026 Public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22, 2026, the Company closed its previously announced underwritten public offering of 1,150,000 shares of its common stock at a public offering price of $50.00 per share and pre-funded warrants to purchase up to 50,000 shares of its common stock at a public offering price of $49.99 per pre-funded warrant (which equals the public offering price per share of common stock, less the $0.01 per share exercise price of each pre-funded warrant). In addition, the Company granted the underwriters a 30-day option to purchase up to 180,000 additional shares of common stock at the public offering price, less underwriting discounts and commissions, which was exercised in full. The gross proceeds to the Company from the offering, before deducting underwriting discounts and commissions and estimated offering expenses payable by the Company, were approximately $69.0 million. The pre-funded warrants were fully exercised in April 2026.</w:t>
      </w:r>
    </w:p>
    <w:p>
      <w:pPr>
        <w:pStyle w:val="TextBody"/>
        <w:bidi w:val="0"/>
        <w:spacing w:before="0" w:after="120"/>
        <w:jc w:val="left"/>
        <w:rPr>
          <w:rFonts w:ascii="Times New Roman" w:hAnsi="Times New Roman"/>
          <w:sz w:val="20"/>
        </w:rPr>
      </w:pPr>
      <w:r>
        <w:rPr>
          <w:rFonts w:ascii="Times New Roman" w:hAnsi="Times New Roman"/>
          <w:b/>
          <w:color w:val="000000"/>
          <w:sz w:val="20"/>
        </w:rPr>
        <w:t>Open Market Sales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In November 2025, the U.S. Securities and Exchange Commission (“SEC”) declared effective a registration statement on Form S-3 (the “Shelf Registration”), covering the sale of up to $300.0 million of the Company's securities. Also, in March 2026, the Company entered into an Open Market Sales Agreement</w:t>
      </w:r>
      <w:r>
        <w:rPr>
          <w:rFonts w:ascii="Times New Roman" w:hAnsi="Times New Roman"/>
          <w:color w:val="000000"/>
          <w:sz w:val="13"/>
        </w:rPr>
        <w:t xml:space="preserve">SM </w:t>
      </w:r>
      <w:r>
        <w:rPr>
          <w:rFonts w:ascii="Times New Roman" w:hAnsi="Times New Roman"/>
          <w:color w:val="000000"/>
          <w:sz w:val="20"/>
        </w:rPr>
        <w:t>(the “Sales Agreement”) with Jefferies LLC (“Jefferies”) pursuant to which it may elect to issue and sell, from time to time, shares of common stock having an aggregate offering price of up to $75.0 million under the Shelf Registration through Jefferies acting as the sales agent and/or principal. As of March 31, 2026, the Company has not issued any shares of common stock under the Sales Agreement.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Effective April 29, 2025, the Company’s common stock was delisted from the </w:t>
      </w:r>
      <w:r>
        <w:rPr>
          <w:rFonts w:ascii="Times New Roman" w:hAnsi="Times New Roman"/>
          <w:color w:val="231F20"/>
          <w:sz w:val="20"/>
        </w:rPr>
        <w:t>Nasdaq Capital Market</w:t>
      </w:r>
      <w:r>
        <w:rPr>
          <w:rFonts w:ascii="Times New Roman" w:hAnsi="Times New Roman"/>
          <w:color w:val="000000"/>
          <w:sz w:val="20"/>
        </w:rPr>
        <w:t xml:space="preserve"> as a result of the Company’s ongoing failure to comply with the minimum bid price requirement under the Nasdaq </w:t>
      </w:r>
      <w:r>
        <w:rPr>
          <w:rFonts w:ascii="Times New Roman" w:hAnsi="Times New Roman"/>
          <w:color w:val="231F20"/>
          <w:sz w:val="20"/>
        </w:rPr>
        <w:t>Capital Market</w:t>
      </w:r>
      <w:r>
        <w:rPr>
          <w:rFonts w:ascii="Times New Roman" w:hAnsi="Times New Roman"/>
          <w:color w:val="000000"/>
          <w:sz w:val="20"/>
        </w:rPr>
        <w:t xml:space="preserve">. As a result, the Company’s common stock began trading publicly on the over-the-counter market on April 29, 2025 under its symbol “SPRB”. </w:t>
      </w:r>
    </w:p>
    <w:p>
      <w:pPr>
        <w:pStyle w:val="TextBody"/>
        <w:bidi w:val="0"/>
        <w:spacing w:before="0" w:after="120"/>
        <w:jc w:val="left"/>
        <w:rPr>
          <w:rFonts w:ascii="Times New Roman" w:hAnsi="Times New Roman"/>
          <w:sz w:val="20"/>
        </w:rPr>
      </w:pPr>
      <w:r>
        <w:rPr>
          <w:rFonts w:ascii="Times New Roman" w:hAnsi="Times New Roman"/>
          <w:color w:val="000000"/>
          <w:sz w:val="20"/>
        </w:rPr>
        <w:t>Subsequently on August 4, 2025, the Company effected a one-for-seventy-five (1:75) reverse stock split of its outstanding common stock (the “Reverse Stock Split”). The Company's</w:t>
      </w:r>
      <w:r>
        <w:rPr>
          <w:rFonts w:ascii="Times New Roman" w:hAnsi="Times New Roman"/>
          <w:color w:val="231F20"/>
          <w:sz w:val="20"/>
        </w:rPr>
        <w:t xml:space="preserve"> common stock began trading on the OTCQB on a split-adjusted basis on August 7, 2025 (the “Split Effective Date”) under the ticker symbol “SPRBD”. The Company’s common stock resumed trading on the Nasdaq Capital Market on September 15, 2025 under the ticker symbol </w:t>
      </w:r>
      <w:r>
        <w:rPr>
          <w:rFonts w:ascii="Times New Roman" w:hAnsi="Times New Roman"/>
          <w:color w:val="000000"/>
          <w:sz w:val="20"/>
        </w:rPr>
        <w:t>“SPRB”.</w:t>
      </w:r>
      <w:r>
        <w:rPr>
          <w:rFonts w:ascii="Times New Roman" w:hAnsi="Times New Roman"/>
          <w:color w:val="231F2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the Split Effective Date, every 75 shares of the Company’s issued and outstanding common stock were automatically converted into one issued and outstanding share of common stock, without any change in authorized common stock or par value per share. The Reverse Stock Split affected all shares of the Company’s common stock outstanding immediately prior to the effective time of the Reverse Stock Split, as well as the number of shares of common stock available for issuance under the Company’s equity incentive plans and employee stock purchase plan. In addition, the Reverse Stock Split effected a reduction in the number of shares of common stock issuable upon the exercise of warrants, stock options and restricted stock units outstanding immediately prior to the effectiveness of the Reverse Stock Split with a corresponding increase in the exercise price per share applicable to such warrants and stock options. No fractional shares were issued because of the Reverse Stock Split. Stockholders who were otherwise entitled to receive a fractional share received a cash payment in lieu thereof. </w:t>
      </w:r>
    </w:p>
    <w:p>
      <w:pPr>
        <w:pStyle w:val="TextBody"/>
        <w:bidi w:val="0"/>
        <w:jc w:val="left"/>
        <w:rPr>
          <w:rFonts w:ascii="Times New Roman" w:hAnsi="Times New Roman"/>
          <w:color w:val="000000"/>
          <w:sz w:val="20"/>
        </w:rPr>
      </w:pPr>
      <w:r>
        <w:rPr>
          <w:rFonts w:ascii="Times New Roman" w:hAnsi="Times New Roman"/>
          <w:color w:val="000000"/>
          <w:sz w:val="20"/>
        </w:rPr>
        <w:t>All of the outstanding common stock share numbers (including shares of common stock subject to the Company’s options), share prices, exercise prices and per share amounts contained in the financial statements have been retroactively adjusted in the financial statements to reflect this Reverse Stock Split for all periods presented.</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During the three months ended March 31, 2026, the Company incurred a net loss of $12.3 million and used $8.7 million of cash in operations. As of March 31, 2026, the Company had an accumulated deficit of $301.5 million and does not expect positive cash flows from operations in the foreseeable future. The Company has funded its operations primarily through the issuance and sale of equity securities, debt and collaboration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assuming the Company will continue as a going concern, which assumes the realization of assets and satisfaction of liabilities and commitments in the normal course of business. The Company believes that based on its current operating plan, its cash and cash equivalents of $54.1 million as of March 31, 2026 and the net proceeds from its April 2026 underwritten public offering of common stock and pre-funded warrants will be sufficient to fund its planned operations and debt obligations for at least 12 months following the issuance date of these financial statements. </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 for interim reporting. As permitted under those rules and regulations, certain notes or other financial information normally included in financial statements prepared in accordance with U.S. GAAP have been condensed or omitted. The condensed balance sheet as of March 31, 2026, the condensed statements of operations and comprehensive loss for the three months ended March 31, 2026 and 2025, the condensed statement of stockholders’ equity for the three months ended March 31, 2026 and 2025, and the condensed statements of cash flows for the three months ended March 31, 2026 and 2025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2025 is derived from the Company’s audited financial statements. The results of operations for the three months ended March 31, 2026 are not necessarily indicative of the results to be expected for the year ending December 31, 2026,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2025 filed with the SEC on March 9, 2026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on the condensed statement of operations and comprehensive loss for the three months ended March 31, 2025 have been reclassified to conform to the current period presentation.</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warrant liability,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and related legal challenges, the recent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developing and commercializing novel therapies for serious neurological disorders with significant unmet medical need. The Company’s chief executive officer, who is the chief operating decision maker (“CODM”), reviews financial information on an aggregate basis for allocating and evaluating financial performance. All long-lived assets are maintained in the United States of America.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and decides how to allocate resources based on net loss. Net loss is used to monitor budget versus actual results. The measure of segment net loss and segment expenses is reported on the condensed statements of operations and comprehensive loss. The measure of segment assets is reported on the condensed balance sheet as total assets.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three months ended March 31, 2026,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as Level 1 instruments as the Company uses quoted prices in active markets for identical assets to determine the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and liabilities measured at fair value on a recurring basis by level within the fair value hierarchy (in thousands):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600"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11"/>
        <w:gridCol w:w="57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39"/>
        <w:gridCol w:w="39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as of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amount of debt approximates its fair value as of March 31, 2026 as the debt bears interest at a variable rate that includes a component based on the prime rate, which is a market-observable rate. As a result, the stated coupon rate is consistent with current market rates for similar instruments and therefore the carrying amount is considered to approximate fair value.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Warrant and Conversion Option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classified its warrant and conversion option liabilities as Level 3 instruments as they were valued using the Monte Carlo Method. See Note 6 “Debt” for further information.</w:t>
        <w:b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240" w:type="dxa"/>
        <w:jc w:val="left"/>
        <w:tblInd w:w="0" w:type="dxa"/>
        <w:tblLayout w:type="fixed"/>
        <w:tblCellMar>
          <w:top w:w="28" w:type="dxa"/>
          <w:left w:w="28" w:type="dxa"/>
          <w:bottom w:w="28" w:type="dxa"/>
          <w:right w:w="28" w:type="dxa"/>
        </w:tblCellMar>
      </w:tblPr>
      <w:tblGrid>
        <w:gridCol w:w="4461"/>
        <w:gridCol w:w="146"/>
        <w:gridCol w:w="230"/>
        <w:gridCol w:w="625"/>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research and development expenses were primarily related to clinical development. </w:t>
      </w:r>
    </w:p>
    <w:p>
      <w:pPr>
        <w:pStyle w:val="TextBody"/>
        <w:bidi w:val="0"/>
        <w:spacing w:before="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Debt</w:t>
      </w:r>
    </w:p>
    <w:p>
      <w:pPr>
        <w:pStyle w:val="TextBody"/>
        <w:bidi w:val="0"/>
        <w:spacing w:before="120" w:after="283"/>
        <w:jc w:val="left"/>
        <w:rPr>
          <w:rFonts w:ascii="Times New Roman" w:hAnsi="Times New Roman"/>
          <w:sz w:val="20"/>
        </w:rPr>
      </w:pPr>
      <w:r>
        <w:rPr>
          <w:rFonts w:ascii="Times New Roman" w:hAnsi="Times New Roman"/>
          <w:b/>
          <w:color w:val="000000"/>
          <w:sz w:val="20"/>
        </w:rPr>
        <w:t>Avenue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7, 2026 (the “Avenue Closing Date”), the Company entered into a Loan and Security Agreement (the “Avenue Loan and Security Agreement”) and a Supplement to the Loan and Security Agreement (together with the Avenue Loan and Security Agreement, the “Avenue Loan Agreement”), with Avenue Capital Management II, L.P., as administrative agent and collateral agent (the “Agent”) and Avenue Venture Opportunities Fund II, L.P., as lender (the “Lender”, together with the Agent, “Avenue”).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Avenue Loan Agreement makes available to the Company term loans in an aggregate principal amount of up to $50.0 million with (i) $15.0 million funded within 5 business days after the Avenue Closing Date (“Tranche 1”), (ii) up to $10.0 million to be made available to the Company between March 1, 2026 and September 30, 2026, subject to, among other things, the Company’s achievement of a key regulatory milestone related to the Company’s development of TA-ERT for the treatment of Sanfilippo Syndrome Type B (“MPS IIIB”) (“Tranche 2”) and (iii) up to $15.0 million to be made available to the Company between September 1, 2026 and March 31, 2027, subject to, among other things, the Company’s achievement of an additional key regulatory milestone with respect to the Company’s development of TA-ERT for the treatment of MPS IIIB (“Tranche 3”). The Lender may make additional term loans of up to an additional $10.0 million (the “Discretionary Tranche 4” and collectively with Tranche 1, Tranche 2 and Tranche 3, the “Avenue Loans”), to be funded between October 1, 2027 and June 30, 2028, subject to, among other things, (i) the Company’s achievement of a certain commercial milestone and (ii) the mutual written agreement of the Company and the Lender (upon the Lender’s investment committee approval). The Avenue Loans bear interest at an annual rate equal to the greater of (x) the sum of 5.25% plus the prime rate as reported in The Wall Street Journal and (y) 12.25%. The Avenue Loans are secured by a lien upon and security interest in all of the Company’s assets, including intellectual property, subject to agreed exceptions. The maturity date of the Avenue Loans is July 1, 2029 (the “Avenue Maturity Date”). The Avenue Loan Agreement does not contain any minimum cash requirement or other financial covenants. As of March 31, 2026, the stated interest rate of the Avenue Loans was 12.25%.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will make interest only payments on the Avenue Loans until the 12-month anniversary of the Avenue Closing Date, subject to (i) a 6-month extension, so long as at least $5.0 million from Tranche 2 has been funded and (ii) an additional 12-month extension if the Company achieves the Tranche 3 milestone. The Avenue Loans principal is repayable in equal monthly installments from the end of interest only period to the Avenue Maturity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may, at its option at any time, prepay the Avenue Loans in their entirety by paying the then-outstanding principal balance and all accrued and unpaid interest on the Avenue Loans, subject to a prepayment fee equal to (i) 3.0% of the principal amount outstanding if the prepayment occurs on or prior to the first anniversary following the Avenue Closing Date, (ii) 2.0% of the principal amount outstanding if the prepayment occurs after the first anniversary following the Avenue Closing Date, but on or prior to the second anniversary following the Avenue Closing Date, and (iii) 1.0% of the principal amount outstanding if the prepayment occurs after the second anniversary following the Avenue Closing Date. The Company will pay a final payment of 4.0% of the aggregate commitment amounts for Tranche 1, Tranche 2 and Tranche 3, which shall be increased to include the commitment amount of Discretionary Tranche 4 upon the funding of such tranche, on the earlier of (x) the Avenue Maturity Date and (y) the date that the Company prepays all of the outstanding principal amount of the Avenue Loans in full (“Avenue Final Payment”). On the Avenue Closing Date, the Company paid to the Lender a commitment fee of $0.4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Avenue Loan Agreement contains customary representations, warranties and covenants, including covenants by the Company limiting additional indebtedness, liens, guaranties, mergers and consolidations, substantial asset sales, investments and loans, certain corporate changes, transactions with affiliates and fundamental changes. The Avenue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Avenue Loan Agreement and (ii) exercise any other right or remedy provided by contract or applicable law. As of March 31, 2026, the Company was in compliance with all covenants under the Avenue Loan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Avenue Loan Agreement, following the filing of the Company’s annual report on Form 10-K for the fiscal year ending December 31, 2025 which occurred on March 9, 2026, the Lender has the right to convert up to $4.0 million of the outstanding principal of the Avenue Loans (the “Avenue Conversion Option”) at a price of $60.00 per share, subject to certain terms and conditions, including beneficial ownership limitations. In addition, subject to applicable law, the Lender had the right to participate in certain equity financing transactions of the Company in an aggregate amount of up to $1.0 million on the same terms, conditions and pricing offered by the Company to other investors participating in such financing transaction (such right, the “Participation Right”). The Participation Right terminated in April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issuance of the Avenue Loans, the Company recorded the debt net of debt discount and costs which included $7.6 million for the grant date fair value of the Avenue Warrant and Avenue Conversion Option (discussed below), Avenue Final Payment of $1.6 million and issuance costs of $1.2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2026, the carrying value of the Avenue Loans was $6.5 million, consisting of the outstanding principal under Tranche 1 of $15.0 million, plus the Avenue Final Payment of $1.6 million, less unamortized debt discount and costs of $10.1 million, which are being amortized using the effective interest method over the life of the Avenue Loans.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future payments of principal and interest of the Avenue Loans are as follows (in thousands):</w:t>
      </w:r>
    </w:p>
    <w:tbl>
      <w:tblPr>
        <w:tblW w:w="5060" w:type="dxa"/>
        <w:jc w:val="left"/>
        <w:tblInd w:w="0" w:type="dxa"/>
        <w:tblLayout w:type="fixed"/>
        <w:tblCellMar>
          <w:top w:w="28" w:type="dxa"/>
          <w:left w:w="28" w:type="dxa"/>
          <w:bottom w:w="28" w:type="dxa"/>
          <w:right w:w="28" w:type="dxa"/>
        </w:tblCellMar>
      </w:tblPr>
      <w:tblGrid>
        <w:gridCol w:w="3556"/>
        <w:gridCol w:w="146"/>
        <w:gridCol w:w="211"/>
        <w:gridCol w:w="736"/>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Avenue Warrant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the Avenue Loans, the Company issued to the Lender a warrant (the “Avenue Warrant”) to purchase up to $3.2 million worth of shares of the Company’s common stock on March 9, 2026. Prior to the issuance of the Avenue Warrant, the Lender was entitled to receive a payment of $6.4 million in the event a change of control had occurred prior to the issuance of the Avenue Warrant (the “Success Fee”). The obligation to pay the Lender the Success Fee terminated upon the issuance of the Avenue Warrant. The Avenue Warrant will expire on January 31, 2031 (the “Avenue Warrant Expiration Date”) and has an exercise price equal to $50.00 per share, provided that any exercise of such Avenue Warrant is subject to certain beneficial ownership limitations. In addition, upon a change of control, the Lender is entitled to receive the shares of the Company's common stock underlying the Avenue Warrant without payment of the exercise price.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Lender may exercise the Avenue Warrant at any time, or from time to time up to and including the Avenue Warrant Expiration Date, by making a cash payment equal to the exercise price multiplied by the quantity of shares. The Lender may also exercise the Avenue Warrant on a cashless basis by receiving a net number of shares calculated pursuant to the formula set forth in the Avenue Warrant. The Avenue Warrant is subject to anti-dilution adjustments for stock dividends, stock splits, and reverse stock splits.</w:t>
      </w:r>
    </w:p>
    <w:p>
      <w:pPr>
        <w:pStyle w:val="TextBody"/>
        <w:bidi w:val="0"/>
        <w:spacing w:before="0" w:after="120"/>
        <w:jc w:val="left"/>
        <w:rPr>
          <w:rFonts w:ascii="Times New Roman" w:hAnsi="Times New Roman"/>
          <w:sz w:val="20"/>
        </w:rPr>
      </w:pPr>
      <w:r>
        <w:rPr>
          <w:rFonts w:ascii="Times New Roman" w:hAnsi="Times New Roman"/>
          <w:b/>
          <w:i/>
          <w:color w:val="000000"/>
          <w:sz w:val="20"/>
        </w:rPr>
        <w:t>Avenue Warrant Liability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the Avenue Warrant wasn't legally issued until March 9, 2026 (the “Avenue Warrant Issue Date“), the Avenue Warrant was considered issued and outstanding as of the Avenue Closing Date for accounting purposes. The Avenue Warrant met the criteria for a derivative classification under ASC 815. As of the Avenue Closing Date, the Avenue Warrant did not have a fixed number of shares to be issued and therefore did not qualify for equity classification and was accounted for as a derivative liability at an initial fair value of $3.8 million under the Monte Carlo Method, with changes in fair value recognized on the condensed statements of operations and comprehensive loss during the three months ended March 31,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legal issuance of the Avenue Warrant on March 9, 2026, the shares into which the Avenue Warrant will be issued became fixed and therefore the Company reassessed its accounting treatment under ASC 815-40-15-7 using the prescribed two-step analysis. The Company concluded that Section 4.3 of the Avenue Warrant, which provides for automatic exchange of the Avenue Warrant for a fixed number of shares without payment of the exercise price upon a change of control, precludes the Avenue Warrant from being considered indexed to the Company’s own stock under Step 2 of ASC 815-40-15-7C through 7E. As such, the Avenue Warrant remains a derivative liability and was remeasured to fair value with changes in fair value recognized on the condensed statements of operations and comprehensive loss during the three months ended March 31,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Avenue Conversion Option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discussed above, the Avenue Conversion Option allows the Lender to convert up to $4.0 million of the outstanding principal of the Avenue Loans at a price of $60.00 per share. At inception on the Avenue Closing Date, this feature was initially accounted for as an embedded derivative liability due to variable settlement terms at an initial fair value of $3.7 million under the Monte Carlo Method, with changes in fair value recognized on the condensed statements of operations and comprehensive loss during the three months ended March 31,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legal issuance of the Avenue Warrant on March 9, 2026, the Company reassessed its accounting treatment under ASC 815-40-15-7 using the prescribed two-step analysis and concluded that the Avenue Conversion Option qualified for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classification because the settlement terms became fixed and the Avenue Conversion Option satisfied both the indexation and classification criteria. As such, the derivative liability was remeasured to fair value of $3.7 million and reclassified to additional paid-in capital, with no further remeasurement required thereafter.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Avenue Warrant and Avenue Conversion Option was measured using the Monte Carlo Method with the following inputs as of the periods noted:</w:t>
      </w:r>
    </w:p>
    <w:tbl>
      <w:tblPr>
        <w:tblW w:w="9833" w:type="dxa"/>
        <w:jc w:val="left"/>
        <w:tblInd w:w="0" w:type="dxa"/>
        <w:tblLayout w:type="fixed"/>
        <w:tblCellMar>
          <w:top w:w="28" w:type="dxa"/>
          <w:left w:w="28" w:type="dxa"/>
          <w:bottom w:w="28" w:type="dxa"/>
          <w:right w:w="28" w:type="dxa"/>
        </w:tblCellMar>
      </w:tblPr>
      <w:tblGrid>
        <w:gridCol w:w="3856"/>
        <w:gridCol w:w="146"/>
        <w:gridCol w:w="255"/>
        <w:gridCol w:w="690"/>
        <w:gridCol w:w="271"/>
        <w:gridCol w:w="146"/>
        <w:gridCol w:w="279"/>
        <w:gridCol w:w="756"/>
        <w:gridCol w:w="271"/>
        <w:gridCol w:w="146"/>
        <w:gridCol w:w="211"/>
        <w:gridCol w:w="931"/>
        <w:gridCol w:w="271"/>
        <w:gridCol w:w="146"/>
        <w:gridCol w:w="211"/>
        <w:gridCol w:w="931"/>
        <w:gridCol w:w="316"/>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Avenue 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Avenue Conversion Option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1/7/2026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3/31/2026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1/7/2026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3/9/2026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exercise price / Conversion price max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roll forward of the aggregate fair value of the Company’s warrant and conversion option liability (in thousands):</w:t>
      </w:r>
    </w:p>
    <w:tbl>
      <w:tblPr>
        <w:tblW w:w="7311" w:type="dxa"/>
        <w:jc w:val="left"/>
        <w:tblInd w:w="0" w:type="dxa"/>
        <w:tblLayout w:type="fixed"/>
        <w:tblCellMar>
          <w:top w:w="28" w:type="dxa"/>
          <w:left w:w="28" w:type="dxa"/>
          <w:bottom w:w="28" w:type="dxa"/>
          <w:right w:w="28" w:type="dxa"/>
        </w:tblCellMar>
      </w:tblPr>
      <w:tblGrid>
        <w:gridCol w:w="3161"/>
        <w:gridCol w:w="146"/>
        <w:gridCol w:w="211"/>
        <w:gridCol w:w="571"/>
        <w:gridCol w:w="146"/>
        <w:gridCol w:w="146"/>
        <w:gridCol w:w="371"/>
        <w:gridCol w:w="1114"/>
        <w:gridCol w:w="166"/>
        <w:gridCol w:w="146"/>
        <w:gridCol w:w="211"/>
        <w:gridCol w:w="631"/>
        <w:gridCol w:w="29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Avenue </w:t>
              <w:br/>
              <w:t>Warrant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Avenue </w:t>
              <w:br/>
              <w:t>Conversion Option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the date of this filing, 64,000 shares remain outstanding under the Avenue Warrant at an exercise price of $50.00 and Avenue had not exercised the Avenue Conversion Option.</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License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BioMarin Pharmaceutical,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2024, the Company entered into that certain Asset Purchase Agreement (the “Allievex Purchase Agreement”) with AVX (ABC), LLC, a Delaware limited liability company, in its sole and limited capacity as the assignee for the benefit of creditors of Allievex Corporation (“Allievex”). Pursuant to the Allievex Purchase Agreement, the Company acquired all intellectual property and inventory relating to Allievex's product candidates and that certain Exclusive License Agreement, by and between BioMarin Pharmaceutical Inc. (“BioMarin”) and Allievex, dated October 22, 2019 (the “BioMarin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paid $5.0 million to Allievex in November 2024. The Company also assumed certain liabilities of Allievex of $7.8 million, which have been fully paid as of March 31, 2026. The Company also recorded an estimated receivable of $2.6 million in other current assets on the balance sheet related to the completed Allievex bankruptcy proceedings which was fully collected by the Company in January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assumed the obligations of Allievex to pay BioMarin up to $25.5 million for the first MPS IIIB product and up to an aggregate of $100.0 million per licensed product upon the achievement of certain sales milestones. In addition, the Company is required to pay to BioMarin certain (i) high-single digit to low-double digit tiered royalties on aggregate annual net sales of licensed MPS IIIB products during the applicable royalty term, subject to certain customary reductions and floors. No amounts were paid by the Company to BioMarin nor were any due as of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terminate the BioMarin License Agreement at any time for convenience upon prior written notice provided within a specified period of time. BioMarin may terminate the BioMarin License Agreement upon written notice if the Company (i) challenges the validity, enforceability or scope of any of the patents licensed by the Company under the BioMarin License Agreement, subject to certain conditions, or (ii) ceases all material research and development activity for any licensed product for a specified period of time, subject to certain exceptions. Either the Company or BioMarin may also terminate the BioMarin License Agreement (i) in the event the other party shall have materially breached its obligations thereunder and such default shall have continued for a specified period after written notice thereof or (ii) upon the bankruptcy or insolvency of the other party.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HBM Alpha Therapeutics,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15, 2025, the Company entered into a collaboration and license agreement (the “HBM License Agreement”) with HBM Alpha Therapeutics, Inc. (“HBM”). Under the terms of the HBM License Agreement, HBM granted the Company a limited exclusivity, royalty bearing, and sublicensable license to certain technology, patent rights, manufacturing rights, know-how, and proprietary materials relating to SPR202.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made a one-time upfront payment to HBM of $5.0 million in February 2025. Additionally, in January 2025, the Company issued pre-funded warrants to HBM and its affiliates that in total were to be equal to 4.99% of the Company's outstanding common stock as of the date of exercise of such pre-funded warrants. In June 2025, the Company amended the pre-funded warrants to extend the exercise period to December 2025. In December 2025, these pre-funded warrants were fully exercised.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rights acquired under the HBM License Agreement have no alternative future use. Therefore, the consideration paid of $5.0 million, along with the initial fair value of the pre-funded warrants issued of $0.7 million, was recognized as acquired in-process research and development expense, which was reported as a component of research and development expense for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also obligated to pay HBM up to an aggregate of $390.0 million upon the achievement of certain development, regulatory, and sales milestones. In addition, the Company is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terminate the HBM License Agreement on a licensed product-by-licensed product basis or in its entirety at any time for convenience upon prior written notice provided within a specified period of time. Either the Company or HBM may also terminate the HBM License Agreement (i) in the event the other party shall have materially breached its obligations thereunder and such default shall have continued for a specified period after written notice thereof or (ii) upon the bankruptcy or insolvency of the other party. HBM may terminate the HBM License Agreement upon prior written notice if the Company (i) ceases all development or commercialization activities for a specified period of time, subject to certain exceptions, or (ii) challenges the validity, enforceability or scope of any of the patents licensed by the Company to HBM under the HBM License Agreement, subject to certain conditions.</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As of March 31, 2026, the Company was not subject to any material legal proceedings and management is not aware of any pending or threatened litigation that, individually or in the aggregate, could have a material adverse effect on the Company's business, financial condition or results of operations.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was authorized to issue 200,000,000 shares of common stock $0.0001 par value per share. Holders of common stock are entitled to dividends if and when declared by the board of directors of the Company. The holder of each share of common stock is entitled to one vote. As of March 31, 2026, no dividends were declared.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9347" w:type="dxa"/>
        <w:jc w:val="left"/>
        <w:tblInd w:w="0" w:type="dxa"/>
        <w:tblLayout w:type="fixed"/>
        <w:tblCellMar>
          <w:top w:w="28" w:type="dxa"/>
          <w:left w:w="28" w:type="dxa"/>
          <w:bottom w:w="28" w:type="dxa"/>
          <w:right w:w="28" w:type="dxa"/>
        </w:tblCellMar>
      </w:tblPr>
      <w:tblGrid>
        <w:gridCol w:w="6496"/>
        <w:gridCol w:w="146"/>
        <w:gridCol w:w="146"/>
        <w:gridCol w:w="781"/>
        <w:gridCol w:w="146"/>
        <w:gridCol w:w="146"/>
        <w:gridCol w:w="172"/>
        <w:gridCol w:w="923"/>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during the three months ended March 31, 2026 and 2025 (in thousands): </w:t>
      </w:r>
    </w:p>
    <w:tbl>
      <w:tblPr>
        <w:tblW w:w="6586" w:type="dxa"/>
        <w:jc w:val="left"/>
        <w:tblInd w:w="0" w:type="dxa"/>
        <w:tblLayout w:type="fixed"/>
        <w:tblCellMar>
          <w:top w:w="28" w:type="dxa"/>
          <w:left w:w="28" w:type="dxa"/>
          <w:bottom w:w="28" w:type="dxa"/>
          <w:right w:w="28" w:type="dxa"/>
        </w:tblCellMar>
      </w:tblPr>
      <w:tblGrid>
        <w:gridCol w:w="3651"/>
        <w:gridCol w:w="146"/>
        <w:gridCol w:w="325"/>
        <w:gridCol w:w="649"/>
        <w:gridCol w:w="225"/>
        <w:gridCol w:w="225"/>
        <w:gridCol w:w="325"/>
        <w:gridCol w:w="649"/>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 (</w:t>
      </w:r>
      <w:r>
        <w:rPr>
          <w:rFonts w:ascii="Times New Roman" w:hAnsi="Times New Roman"/>
          <w:color w:val="000000"/>
          <w:sz w:val="20"/>
        </w:rPr>
        <w:t>“</w:t>
      </w:r>
      <w:r>
        <w:rPr>
          <w:rFonts w:ascii="Times New Roman" w:hAnsi="Times New Roman"/>
          <w:b/>
          <w:color w:val="000000"/>
          <w:sz w:val="20"/>
        </w:rPr>
        <w:t>RSUs</w:t>
      </w:r>
      <w:r>
        <w:rPr>
          <w:rFonts w:ascii="Times New Roman" w:hAnsi="Times New Roman"/>
          <w:color w:val="000000"/>
          <w:sz w:val="20"/>
        </w:rPr>
        <w:t>”</w:t>
      </w:r>
      <w:r>
        <w:rPr>
          <w:rFonts w:ascii="Times New Roman" w:hAnsi="Times New Roman"/>
          <w:b/>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three months ended March 31, 2026, the Company granted 62,350 RSUs with a weighted-average grant date fair value of $79.37 per unit, of which 36,900 RSUs are subject to performance-based vesting conditions related to the satisfaction of a regulatory milestone. As of March 31, 2026, the Company had 38,920 RSUs outstanding subject to performance-based vesting conditions, of which none are considered probable of achievement. </w:t>
      </w:r>
    </w:p>
    <w:p>
      <w:pPr>
        <w:pStyle w:val="TextBody"/>
        <w:bidi w:val="0"/>
        <w:spacing w:before="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7789" w:type="dxa"/>
        <w:jc w:val="left"/>
        <w:tblInd w:w="0" w:type="dxa"/>
        <w:tblLayout w:type="fixed"/>
        <w:tblCellMar>
          <w:top w:w="28" w:type="dxa"/>
          <w:left w:w="28" w:type="dxa"/>
          <w:bottom w:w="28" w:type="dxa"/>
          <w:right w:w="28" w:type="dxa"/>
        </w:tblCellMar>
      </w:tblPr>
      <w:tblGrid>
        <w:gridCol w:w="4806"/>
        <w:gridCol w:w="146"/>
        <w:gridCol w:w="211"/>
        <w:gridCol w:w="931"/>
        <w:gridCol w:w="166"/>
        <w:gridCol w:w="146"/>
        <w:gridCol w:w="211"/>
        <w:gridCol w:w="781"/>
        <w:gridCol w:w="391"/>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8684" w:type="dxa"/>
        <w:jc w:val="left"/>
        <w:tblInd w:w="0" w:type="dxa"/>
        <w:tblLayout w:type="fixed"/>
        <w:tblCellMar>
          <w:top w:w="28" w:type="dxa"/>
          <w:left w:w="28" w:type="dxa"/>
          <w:bottom w:w="28" w:type="dxa"/>
          <w:right w:w="28" w:type="dxa"/>
        </w:tblCellMar>
      </w:tblPr>
      <w:tblGrid>
        <w:gridCol w:w="6001"/>
        <w:gridCol w:w="146"/>
        <w:gridCol w:w="146"/>
        <w:gridCol w:w="781"/>
        <w:gridCol w:w="146"/>
        <w:gridCol w:w="146"/>
        <w:gridCol w:w="146"/>
        <w:gridCol w:w="781"/>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Effective December 20, 2024, Kirk Ways, M.D., a member of the board of the directors, began serving as the Company’s interim Chief Medical Officer pursuant to a consulting agreement. During the three months ended March 31, 2026 and 2025, the Company recognized compensation expense of $0.3 million and $0.3 million, respectively, which is included in research and development expenses on the condensed statement of operations and comprehensive loss. As of March 31, 2026, the Company accrued compensation expense of $0.1 million which is included in accrued expenses and other current liabilities on the condensed balance sheet.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April 2026 Public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See Note 1 “Organization and Principal Activities — April 2026 Public Offering” for further information.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Adoption of 2026 Inducement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2026, the Company's Board of Directors adopted the Spruce Biosciences, Inc. 2026 Inducement Plan (the “Inducement Plan”). The Inducement Plan was adopted without stockholder approval pursuant to Nasdaq Listing Rule 5635(c)(4), which provides an exception to the stockholder approval requirement for the issuance of securities as an inducement material to an individual entering into employment with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reserved 75,000 shares of its common stock for issuance pursuant to awards granted under the Inducement Plan. Awards under the Inducement Plan may consist of non-qualified stock options, restricted stock units, restricted stock awards, stock appreciation rights, and other stock-based awards. In accordance with Nasdaq Listing Rule 5635(c)(4), awards under the Inducement Plan may only be made to an employee who has not previously been an employee or director of the Company, or following a bona fide period of non-employment, in each case as a material inducement to the individual's entering into employment with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2026, the Company granted 7,000 restricted stock units under the Inducement Plan to two newly hired employees, effective as of the day following the filing of a registration statement on Form S-8 covering the shares issuable thereunder. The restricted stock units vest over four years in equal annual installments. The awards have a contractual term of 10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will recognize stock-based compensation expense related to awards granted under the Inducement Plan over the requisite service period in accordance with ASC 718, Compensation — Stock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(the “Quarterly Report”) and our audited financial statements and notes thereto and the related Management’s Discussion and Analysis of Financial Condition and Results of Operations included in our Annual Report on Form 10-K for the year ended December 31, 2025 filed with the Securities and Exchange Commission (“SEC”) on March 9, 2026 (the “Annual Report”). Unless otherwise indicated, all references in this Quarterly Report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focused primarily on raising capital, establishing and protecting our intellectual property portfolio, organizing and staffing our company, business planning, and conducting preclinical and clinical development of, and manufacturing development for, our product candidates. Since November 2024 we have shifted our focus to the development of tralesinidase alfa enzyme replacement therapy (“TA-ERT”), an investigational treatment for mucopolysaccharidoses type IIIB (“MPS IIIB”), or Sanfilippo Syndrome Type B. In October 2025, TA-ERT received breakthrough therapy designation from the U.S. Food and Drug Administration (“FDA”) for the treatment of Sanfilippo Syndrome Type B. TA-ERT has received Rare Pediatric Disease Designation, Fast Track Designation, Breakthrough Therapy Designation, and Orphan Drug Designation in the United States and European Union (“EU”). We anticipate submitting a biologics license application of TA-ERT for the treatment of Sanfilippo Syndrome Type B in the fourth quarter of 2026. Currently, there is no FDA-approved therapy for the treatment of MPS IIIB, and disease management consists of limited palliative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TA-ERT and our other current and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During the three months ended March 31, 2026 and 2025, we incurred net losses of $12.3 million and $14.0 million, respectively, and used $8.7 million and $12.7 million of cash in operations, respectively. As of March 31, 2026, we had an accumulated deficit of $301.5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through the date of this filing, we have raised aggregate gross proceeds of $427.1 million, including $103.5 million from our initial public offering in October 2020, $116.0 million from the sale of our redeemable convertible preferred stock, $103.6 million from private placement financings, $69.0 million from the April 2026 underwritten public offering, $20.0 million from the issuance of debt, and $15.0 million upfront payment from Kaken Pharmaceutical Co., Ltd. received in April 2023. As of March 31, 2026, we had cash and cash equivalents of $54.1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based on our current operating plan, our cash and cash equivalents of $54.1 million as of March 31, 2026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from our April 2026 underwritten public offering of common stock and pre-funded warrants will be sufficient to fund our planned operations and debt obligations for at least 12 months following the issuance date of these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TA-ERT in patients with MPS 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TA-ERT,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TA-ERT through a planned confirmatory study in patients with MPS IIIB and expanded access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manufacturing capacity to accommodate anticipated global demand of TA-ERT, if approved, for the treatment of MPS 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and clinical development of SPR202 in congenital adrenal hyperplasia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160"/>
        <w:jc w:val="left"/>
        <w:rPr>
          <w:rFonts w:ascii="Times New Roman" w:hAnsi="Times New Roman"/>
          <w:sz w:val="20"/>
        </w:rPr>
      </w:pPr>
      <w:r>
        <w:rPr>
          <w:rFonts w:ascii="Times New Roman" w:hAnsi="Times New Roman"/>
          <w:color w:val="231F20"/>
          <w:sz w:val="20"/>
        </w:rPr>
        <w:t>In November 2025, the U.S. Securities and Exchange Commission (“SEC”) declared effective a registration statement on Form S-3 (the “Shelf Registration”), covering the sale of up to $300.0 million of our securities. Also, in March 2026, we entered into an Open Market Sales Agreement</w:t>
      </w:r>
      <w:r>
        <w:rPr>
          <w:rFonts w:ascii="Times New Roman" w:hAnsi="Times New Roman"/>
          <w:color w:val="231F20"/>
          <w:sz w:val="13"/>
        </w:rPr>
        <w:t>SM</w:t>
      </w:r>
      <w:r>
        <w:rPr>
          <w:rFonts w:ascii="Times New Roman" w:hAnsi="Times New Roman"/>
          <w:color w:val="231F20"/>
          <w:sz w:val="20"/>
        </w:rPr>
        <w:t xml:space="preserve"> (the “Sales Agreement”) with Jefferies LLC (“Jefferies”) pursuant to which we may elect to issue and sell, from time to time, shares of common stock having an aggregate offering price of up to $75.0 million under the Shelf Registration through Jefferies acting as the sales agent and/or principal. As of March 31, 2026, we have not issued any shares of common stock under the Sales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on April 22, 2026, we closed our previously announced underwritten public offering of 1,150,000 shares of our common stock at a public offering price of $50.00 per share and pre-funded warrants to purchase up to 50,000 shares of our common stock at a public offering price of $49.99 per pre-funded warrant (which equals the public offering price per share of common stock, less the $0.01 per share exercise price of each pre-funded warrant). In addition, we granted the underwriters a 30-day option to purchase up to 180,000 additional shares of common stock at the public offering price, less underwriting discounts and commissions, which was exercised in full. The gross proceeds to us from the offering, before deducting underwriting discounts and commissions and estimated offering expenses payable by us, were approximately $69.0 million. </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 xml:space="preserve">Global economic and business activities continue to face widespread macroeconomic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and related legal challenges, and uncertainty about economic stability. </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jc w:val="left"/>
        <w:rPr>
          <w:rFonts w:ascii="Times New Roman" w:hAnsi="Times New Roman"/>
          <w:sz w:val="20"/>
        </w:rPr>
      </w:pPr>
      <w:r>
        <w:rPr>
          <w:rFonts w:ascii="Times New Roman" w:hAnsi="Times New Roman"/>
          <w:b/>
          <w:color w:val="000000"/>
          <w:sz w:val="20"/>
        </w:rPr>
        <w:t>Reverse Stock Split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effected a one-for-seventy-five (1:75) reverse stock split of our outstanding common stock (the “Reverse Stock Split”) on August 4, 2025.</w:t>
      </w:r>
    </w:p>
    <w:p>
      <w:pPr>
        <w:pStyle w:val="TextBody"/>
        <w:bidi w:val="0"/>
        <w:jc w:val="left"/>
        <w:rPr>
          <w:rFonts w:ascii="Times New Roman" w:hAnsi="Times New Roman"/>
          <w:color w:val="000000"/>
          <w:sz w:val="20"/>
        </w:rPr>
      </w:pPr>
      <w:r>
        <w:rPr>
          <w:rFonts w:ascii="Times New Roman" w:hAnsi="Times New Roman"/>
          <w:color w:val="000000"/>
          <w:sz w:val="20"/>
        </w:rPr>
        <w:t>All of the outstanding common stock share numbers (including shares of common stock subject to our options), share prices, exercise prices and per share amounts contained in the financial statements have been retroactively adjusted in the financial statements to reflect this Reverse Stock Split for all periods presented.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Avenue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7, 2026 (the “Avenue Closing Date”), we entered into a Loan and Security Agreement (the “Avenue Loan and Security Agreement”) and a Supplement to the Loan and Security Agreement (together with the Avenue Loan and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the “Avenue Loan Agreement”), with Avenue Capital Management II, L.P., as administrative agent and collateral agent (the “Agent”) and Avenue Venture Opportunities Fund II, L.P., as lender (the “Lender”, together with the Agent, “Avenue”).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Avenue Loan Agreement makes available to us term loans in an aggregate principal amount of up to $50.0 million with (i) $15.0 million funded within 5 business days after the Avenue Closing Date (“Tranche 1”), (ii) up to $10.0 million to be made available to us between March 1, 2026 and September 30, 2026, subject to, among other things, our achievement of a key regulatory milestone related to our development of TA-ERT for the treatment of MPS IIIB (“Tranche 2”) and (iii) up to $15.0 million to be made available to us between September 1, 2026 and March 31, 2027, subject to, among other things, our achievement of an additional key regulatory milestone with respect to our development of TA-ERT for the treatment of MPS IIIB (“Tranche 3”). The Lender may make additional term loans of up to an additional $10.0 million (the “Discretionary Tranche 4” and collectively with Tranche 1, Tranche 2 and Tranche 3, the “Avenue Loans”), to be funded between October 1, 2027 and June 30, 2028, subject to, among other things, (i) our achievement of a certain commercial milestone and (ii) the mutual written agreement of us and the Lender (upon the Lender’s investment committee approval). The Avenue Loans bear interest at an annual rate equal to the greater of (x) the sum of 5.25% plus the prime rate as reported in The Wall Street Journal and (y) 12.25%. The Avenue Loans are secured by a lien on and security interest in all of our assets, including intellectual property, subject to agreed exceptions. The maturity date of the Avenue Loans is July 1, 2029 (the “Avenue Maturity Date”). The Avenue Loan Agreement does not contain any minimum cash requirement or other financial covenants. As of March 31, 2026, the outstanding principal was $15.0 million under Tranche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make interest only payments on the Avenue Loans until the 12-month anniversary of the Avenue Closing Date, subject to (i) a 6-month extension, so long as at least $5.0 million from Tranche 2 has been funded and (ii) an additional 12-month extension if we achieve the Tranche 3 milestone. The Avenue Loan principal is repayable in equal monthly installments from the end of interest only period to the Avenue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 our option at any time, prepay the Avenue Loans in their entirety by paying the then-outstanding principal balance and all accrued and unpaid interest on the Avenue Loans, subject to a prepayment fee equal to (i) 3.0% of the principal amount outstanding if the prepayment occurs on or prior to the first anniversary following the Avenue Closing Date, (ii) 2.0% of the principal amount outstanding if the prepayment occurs after the first anniversary following the Avenue Closing Date, but on or prior to the second anniversary following the Avenue Closing Date, and (iii) 1.0% of the principal amount outstanding if the prepayment occurs after the second anniversary following the Avenue Closing Date. We will pay a final payment of 4.0% of the aggregate commitment amounts for Tranche 1, Tranche 2 and Tranche 3, which shall be increased to include the commitment amount of Discretionary Tranche 4 upon the funding of such tranche, on the earlier of (x) the Avenue Maturity Date and (y) the date that we prepay all of the outstanding principal amount of the Avenue Loans in full. On the Avenue Closing Date, we paid to the Lender a commitment fee of $0.4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Avenue Loan Agreement contains customary representations, warranties and covenants, including covenants by the company limiting, among other things, additional indebtedness, liens, guaranties, mergers and consolidations, substantial asset sales, investments and loans, certain corporate changes, transactions with affiliates and fundamental changes. The Avenue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Avenue Loan Agreement and (ii) exercise any other right or remedy provided by contract or applicable law, including a foreclosure on our assets.</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in-process research and development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primarily to develop TA-ERT. We expect that these expenses will primarily consist of personnel costs, expenses for the conduct of clinical trials, manufacturing costs for clinical drug supply, and in-process research and development. We expect that significant additional spending will be required to progress TA-ERT through clinical development and potential regulatory approval and advancing our other investigational product candidates through clinical and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LLC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TA-ERT through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our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and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and Conversion Option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and conversion option liabilities consists of the change in the fair value of the warrant liability and debt conversion option.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Comparisons of the Three Months Ended March 31,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7505" w:type="dxa"/>
        <w:jc w:val="left"/>
        <w:tblInd w:w="0" w:type="dxa"/>
        <w:tblLayout w:type="fixed"/>
        <w:tblCellMar>
          <w:top w:w="28" w:type="dxa"/>
          <w:left w:w="28" w:type="dxa"/>
          <w:bottom w:w="28" w:type="dxa"/>
          <w:right w:w="28" w:type="dxa"/>
        </w:tblCellMar>
      </w:tblPr>
      <w:tblGrid>
        <w:gridCol w:w="3216"/>
        <w:gridCol w:w="146"/>
        <w:gridCol w:w="229"/>
        <w:gridCol w:w="801"/>
        <w:gridCol w:w="180"/>
        <w:gridCol w:w="158"/>
        <w:gridCol w:w="229"/>
        <w:gridCol w:w="801"/>
        <w:gridCol w:w="166"/>
        <w:gridCol w:w="146"/>
        <w:gridCol w:w="211"/>
        <w:gridCol w:w="631"/>
        <w:gridCol w:w="59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 in fair value of warrant and </w:t>
              <w:br/>
              <w:t>   conversion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(12,266</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605" w:type="dxa"/>
        <w:jc w:val="left"/>
        <w:tblInd w:w="0" w:type="dxa"/>
        <w:tblLayout w:type="fixed"/>
        <w:tblCellMar>
          <w:top w:w="28" w:type="dxa"/>
          <w:left w:w="28" w:type="dxa"/>
          <w:bottom w:w="28" w:type="dxa"/>
          <w:right w:w="28" w:type="dxa"/>
        </w:tblCellMar>
      </w:tblPr>
      <w:tblGrid>
        <w:gridCol w:w="3496"/>
        <w:gridCol w:w="146"/>
        <w:gridCol w:w="258"/>
        <w:gridCol w:w="699"/>
        <w:gridCol w:w="178"/>
        <w:gridCol w:w="178"/>
        <w:gridCol w:w="258"/>
        <w:gridCol w:w="827"/>
        <w:gridCol w:w="16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$3.3 million during the three months ended March 31, 2026 compared to the three months ended March 31, 2025. The decrease in clinical development expenses of $3.9 million was primarily related to lower acquisition related costs of $5.7 million, the discontinuation of the tildacerfont CAH development program of $1.9 million, offset by increased expenses for TA-ERT of $3.7 million. The increase in manufacturing expenses of $1.1 million was primarily related to TA-ERT.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research and development expenses will increase into the foreseeable future as we advance TA-ERT through an anticipated biologics license application submission in the fourth quarter of 2026 and potential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terms of our license agreements, see Note 7 to our unaudited condensed financial statements “License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$0.8 million during the three months ended March 31, 2026 compared to the three months ended March 31, 2025 primarily due to an increase in professional fees of $0.5 million and an increase in personnel related costs of $0.2 million.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$0.6 million during the three months ended March 31, 2026 compared to the three months ended March 31, 2025 due to an increase in our debt and its related interest rate and an increase in amortization of debt discount and issuance costs.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increased by $0.2 million during the three months ended March 31, 2026 compared to the three months ended March 31, 2025 primarily due to higher yield earned on money market fund balances.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and Conversion Option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warrant and conversion option liabilities decreased by $0.2 million during the three months ended March 31, 2026 compared to the three months ended March 31, 2025. In the prior period, the change in fair value was for pre-funded warrants issued to HBM Alpha Therapeutics, Inc. In the current period, the change in fair value relates to warrants and the conversion option under the Avenue Loan Agreement.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March 31, 2026 and December 31, 2025, we had an accumulated deficit of $301.5 million and $289.2 million, respectively. As of March 31, 2026 and December 31, 2025, we had cash and cash equivalents of $54.1 million and $48.9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through the date of this filing, we have raised aggregate gross proceeds of $427.1 million, including $103.5 million from our initial public offering in October 2020, $116.0 million from the sale of our redeemable convertible preferred stock, $103.6 million from private placement financings, $69.0 million from the April 2026 underwritten public offering, $20.0 million from the issuance of debt, and $15.0 million upfront payment from Kaken Pharmaceutical Co., Ltd. received in April 2023. As of March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2026, we had cash and cash equivalents of $54.1 million. We believe that based on our current operating plan, our cash and cash equivalents of $54.1 million as of March 31, 2026 and the net proceeds from our April 2026 underwritten public offering of common stock and pre-funded warrants will be sufficient to fund our planned operations and debt obligations for at least 12 months following the issuance date of these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we can generate sufficient revenue, if ever, to fund our operations, we will need to finance future cash needs through the sale of a priority review voucher, if received,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t>
      </w:r>
    </w:p>
    <w:p>
      <w:pPr>
        <w:pStyle w:val="TextBody"/>
        <w:bidi w:val="0"/>
        <w:spacing w:before="120" w:after="283"/>
        <w:jc w:val="left"/>
        <w:rPr>
          <w:rFonts w:ascii="Times New Roman" w:hAnsi="Times New Roman"/>
          <w:sz w:val="20"/>
        </w:rPr>
      </w:pPr>
      <w:r>
        <w:rPr>
          <w:rFonts w:ascii="Times New Roman" w:hAnsi="Times New Roman"/>
          <w:b/>
          <w:i/>
          <w:color w:val="000000"/>
          <w:sz w:val="20"/>
        </w:rPr>
        <w:t>Shelf Registration and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the SEC declared effective the Shelf Registration covering the sale of up to $300.0 million of our securities. Also, in March 2026, we entered into the Sales Agreement with Jefferies, pursuant to which we may elect to issue and sell, from time to time, shares of common stock having an aggregate offering price of up to $75.0 million under the Shelf Registration through Jefferies acting as the sales agent and/or principal (the “ATM Offering”). We have also filed a prospectus supplement with the SEC in connection with the ATM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Global Select Market (“Nasdaq”), the existing trading market for our common stock. As of March 31, 2026, we have not issued any shares of common stock pursuant to the Sales Agreement. We have agreed to pay Jefferies commissions for its services of acting as agent of 3.0% of the gross proceeds from the sale of the shares pursuant to the Sales Agreement. We have also agreed to provide Jefferies with customary indemnification and contribution rights.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TA-ERT or any other current or future product candidates, and we do not know when, or if at all, that will occur. We will continue to require additional capital to develop and launch TA-ERT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TA-ERT or any of our other current or future product candidates. We expect our research and development expenses to increase significantly in the foreseeable future as we continue to invest in activities related to the clinical development and commercialization of TA-ERT and as we pursue regulatory approval of TA-ERT for the treatment of MPS IIIB. The process of conducting the necessary clinical research to obtain regulatory approval is costly and time-consuming, and we may never succeed in achieving regulatory approval for TA-ERT in patients with MPS IIIB.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raise capital through the sale of a priority review voucher, if received, equity or debt financings, collaborative agreements, potentially including agreements to out-license rights to develop and commercialize TA-ERT,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product candidates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global trade disputes, labor shortages, declines in consumer confidence, inflation and monetary supply shifts, recession risks, tariffs and related legal challenges, and the ongoing wars in Ukraine and the Middle East and related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global trade disputes, labor shortages, declines in consumer confidence, inflation and monetary supply shifts, recession risks, potential disruptions from the wars in Ukraine and the Middle East and related sanctions, declines in economic growth, tariffs and related legal challenges, and uncertainty about economic stability. If the equity and credit markets continue to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our product candidates or other research and development initiatives. We also could be required to seek collaborators for our product candidates and any future product candidates at an earlier stage than otherwise would be desirable or on terms that are less favorable than might otherwise be available or relinquish or license on unfavorable terms our rights to our product candidates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future payments of principal and interest on the Avenue Loans, which matures in July 2029, were $20.4 million. For a description of the terms of the Avenue Loans, see the section titled “Material Agreements — Loan Agreement with Avenue”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total undiscounted lease payments for our non-cancelable operating lease for office space, which terminates in February 2028 unless renewed, was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except for certain contracts with contract manufacturing organizations containing minimum purchase obligations.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entered into license and collaboration agreements under which we are obligated to make aggregate milestone payments upon the achievement of specified milestones as well as royalty payments. As of March 31, 2026, we were unable to estimate the timing or likelihood of achieving these milestones or generating future product sales. For a description of the terms of our license and collaboration agreements, see Note 7 to our unaudited condensed financial statements “License Agreements” presented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8446" w:type="dxa"/>
        <w:jc w:val="left"/>
        <w:tblInd w:w="0" w:type="dxa"/>
        <w:tblLayout w:type="fixed"/>
        <w:tblCellMar>
          <w:top w:w="28" w:type="dxa"/>
          <w:left w:w="28" w:type="dxa"/>
          <w:bottom w:w="28" w:type="dxa"/>
          <w:right w:w="28" w:type="dxa"/>
        </w:tblCellMar>
      </w:tblPr>
      <w:tblGrid>
        <w:gridCol w:w="4311"/>
        <w:gridCol w:w="146"/>
        <w:gridCol w:w="236"/>
        <w:gridCol w:w="756"/>
        <w:gridCol w:w="185"/>
        <w:gridCol w:w="163"/>
        <w:gridCol w:w="236"/>
        <w:gridCol w:w="823"/>
        <w:gridCol w:w="166"/>
        <w:gridCol w:w="146"/>
        <w:gridCol w:w="211"/>
        <w:gridCol w:w="676"/>
        <w:gridCol w:w="39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increase (decrease) in cash, cash equivalents, </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by $4.0 million during the three months ended March 31, 2026 compared to the three months ended March 31, 2025 primarily due to lower payments driven by decreased clinical development activities and receipt of $2.6 million related to the Allievex Purchase Agreement due to the completed Allievex bankruptcy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terms of our license agreements, see Note 7 to our unaudited condensed financial statements “License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used in investing activities was related to purchase of property and equipment.</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provided by financing activities was $13.9 million, consisting primarily of net proceeds from the Avenue Loans of $14.0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net cash used in financing activities was $0.4 million, consisting primarily of principal payments on debt of $0.4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Estimates” in the Annual Report. During the three months ended March 31, 2026, there were no changes to our critical accounting estimates from those discussed in the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March 31, 2026 consisted of $54.1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rates for our loans are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high inflation due to geopolitical and macroeconomic uncertainties, as of March 31, 2026,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Based on that evaluation, our Chief Executive Officer and President and Chief Financial Officer have concluded that, as of the end of the period covered by this Quarterly Report,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March 31, 2026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our product candidates and implement our operating plan. If we fail to obtain additional financing, including as a result of geopolitical uncertainty and macroeconomic events, we may be forced to delay, reduce or eliminate our product development programs or commercialization efforts, which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TA-ERT and our other current and future product candidates. We will require significant additional amounts in order to prepare for commercialization, and, if approved, to launch and commercialize TA-ERT and our other current and future product candidates.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2026, we had cash and cash equivalents of $54.1 million. In October 2020, we consummated our initial public offering and issued 92,000 shares of common stock for net proceeds of $93.4 million. In February 2023, we completed a private placement for net proceeds of $50.9 million. In April 2023, we received a $15.0 million upfront payment under a collaboration and license agreement with Kaken Pharmaceutical Co. Ltd. In October 2025, we entered into a Securities Purchase Agreement with certain institutional investors to sell and issue (i) 502,181 shares of common stock and (ii) pre-funded warrants to purchase up to 233,144 shares of common stock in a private placement transaction, which were exercised in full by December 31, 2025. Our total net proceeds were $46.6 million. On January 7, 2026, we entered into the Avenue Loan Agreement, which makes available to the company term loans in an aggregate principal amount of up to $50.0 million, subject to the company’s achievement of certain regulatory milestones, which we may not achieve. Additionally, on April 22, 2026, we closed our previously announced underwritten public offering of 1,150,000 shares of our common stock and pre-funded warrants to purchase up to 50,000 shares of our common stock, and we granted the underwriters a 30-day option to purchase up to 180,000 additional shares of common stock, which was exercised in full. The gross proceeds to us from the offering were approximately $69.0 million. </w:t>
      </w:r>
    </w:p>
    <w:p>
      <w:pPr>
        <w:pStyle w:val="TextBody"/>
        <w:bidi w:val="0"/>
        <w:jc w:val="left"/>
        <w:rPr>
          <w:rFonts w:ascii="Times New Roman" w:hAnsi="Times New Roman"/>
          <w:color w:val="000000"/>
          <w:sz w:val="20"/>
        </w:rPr>
      </w:pPr>
      <w:r>
        <w:rPr>
          <w:rFonts w:ascii="Times New Roman" w:hAnsi="Times New Roman"/>
          <w:color w:val="000000"/>
          <w:sz w:val="20"/>
        </w:rPr>
        <w:t xml:space="preserve">Changing circumstances may cause us to consume capital significantly faster than we currently anticipate, and we may need to spend more money than currently expected because of circumstances beyond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capital for the further development and commercialization of TA-ERT and our other current and future product candidates and may need to raise additional funds sooner if we choose to expand more rapidly than we presently anticipate. Additional funding may not be available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as a result of geopolitical uncertainty and macroeconomic events, including global trade disputes, tariffs and resulting legal challenges, and the ongoing wars in Ukraine and the Middle East and related sanctions, the global credit and financial markets have experienced and may in the future experience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TA-ERT or other research and development initiatives. We also could be required to seek collaborators for our current product candidates and any future product candidates at an earlier stage than otherwise would be desirable or on terms that are less favorable than might otherwise be available, or relinquish or license on unfavorable terms our rights to our current product candidates and any future product candidates in markets where we otherwise would seek to pursue development or commercialization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financial condition, results of operations and prospects,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For example, on January 7, 2026, we entered into the Avenue Loan Agreement, which contains covenants restricting, among other things, our ability to incur additional indebtedness, liens, guaranties, mergers and consolidations, substantial asset sales, investments and loans, certain corporate changes, transactions with affiliates and fundamental changes. If we raise additional funds through strategic partnerships and alliances and licensing arrangements with third parties, we may have to relinquish valuable rights to our technologies or current or future product candidates, or grant licenses on terms unfavorable to us.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product candidates.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our product candidates are not successfully developed and approved, we may never generate any revenue. For the three months ended March 31, 2026 and 2025, we reported net losses of $12.3 million and $14.0 million, respectively. As of March 31, 2026, we had an accumulated deficit of $301.5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clinical development of, seek regulatory approvals for, and commercially launch, if approved, TA-ERT and our other current and future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TA-ERT and our other current and future product candidates will depend on various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U.S. Food and Drug Administration (“FDA”) and European Medicines Agency (“EMA”) of the clinical trial design of our planned and ongoing clinical trials of TA-ERT and our other current and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one or more new drug applications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TA-ERT and our other current product candidates,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TA-ERT and our other current product candidates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TA-ERT and our other current product candidates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our product candidates.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TA-ERT and our other current product candidates, if approved,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intend to seek FDA approval of TA-ERT for MPS IIIB through the accelerated approval pathway. If we are unable to obtain accelerated approval, we may be required to conduct additional preclinical studies or clinical trials beyond the confirmatory Phase 3 trial that we currently contemplate, which could increase the expense of obtaining, and delay the receipt of, necessary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submit a biologics license application (“BLA”) seeking accelerated approval of TA-ERT for MPS IIIB based on existing clinical data, however there can be no assurance that such submission or application will be accepted for filing by the FDA or that approval will be granted on a timely basis, or at all. For example, in March 2024, in a type C meeting with the FDA, the FDA confirmed that CSF HS-NRE is deemed to be a biomarker reasonably likely to predict clinical benefit and could serve as a basis for accelerated approval. The FDA also confirmed that the completed clinical and nonclinical studies of TA-ERT were sufficient for a BLA submission and provided guidance around key design elements of a confirmatory trial (placebo-controlled 5-year study in 14 patients), which must be initiated prior to potential accelerated approval of TA-ERT.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held two Type B meetings with the FDA ahead of our anticipated BLA submission for TA-ERT; the first in December 2025 to discuss our clinical data and regulatory strategy, and the second in January 2026 to discuss CMC requirements. During the December 2025 meeting, the FDA confirmed that the integrated study data from interventional clinical studies of TA-ERT and the available natural history data could potentially serve as an adequate and well-controlled study for purposes of the FDA’s review of the effects of TA-ERT on CSF HS-NRE, which could serve as a RLSE to support an accelerated approval. Following the January 2026 CMC meeting, the FDA considered the company’s plan to address DP PPQ batch requirements for the BLA submission, and in the official meeting minutes, the FDA shared its requirement for one DP PPQ batch at the time of BLA submission and data from a second DP PPQ batch prior to midcycle of BLA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in part, on these discussions, we intend to submit the BLA for TA-ERT for the treatment of MPS IIIB in the fourth quarter of 2026, and if successful and FDA approval is received, potentially commercially launch in mid-2027. However, even if we submit the BLA as planned, we may be unsuccessful in providing sufficient evidence of CSF HS-NRE as a RLSE to predict clinical benefit in support of an accelerated approval, and after reviewing our BLA submission, the FDA may ultimately reject CSF HS-NRE as a RLSE. For example, the FDA has in the past rejected accelerated approval following submission of a BLA under accelerated approval pathway by another company focusing on the treatment of an ultra-rare neurodegenerative disease, in part due to uncertainty regarding the appropriateness of the designated RLSE, and the FDA may reject similar BLA applications in the future. If our BLA submission is viewed as having similarities to another BLA submission that was previously rejected by the FDA, this could impact the likelihood of success of our BLA application or could influence investor perception of our likelihood of success, which could cause the price of our common stock to decline, and could harm our business, financial condition, results of operations and prospects. If the FDA rejects CSF HS-NRE as a RLSE, we may be required to conduct longer-term follow up, to enroll additional patients 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study, or to perform a new clinical study, all of which could be challenging with an ultra-rare and fatal genetic disease like MPS IIIB and could make us experience significant delays in, or could prevent us from, obtaining accelerated regulatory approval. Failure to obtain accelerated approval would result in a longer time period to commercialization, if any, and would increase the cost of development and harm our competitive position in the marketplace.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that our product candidates are well tolerated and provide sufficient clinical benefits for patients,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MPS IIIB and congenital adrenal hyperplasia (“CAH”). We intend to seek accelerated approval of TA-ERT for MPS IIIB based on existing clinical data. As a condition of seeking such approval of a BLA from the FDA, we will initiate a confirmatory Phase 3 trial, which must be initiated prior to potential accelerated approval of TA-ERT. We intend to submit the BLA for TA-ERT for the treatment of MPS IIIB in the fourth quarter of 2026, and if successful and FDA approval is received, potentially commercially launch in mid-2027. Additionally, any safety concerns observed in any one of our clinical trials in our targeted indications could limit the prospects for regulatory approval of TA-ERT and our other current product candidates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TA-ERT and our other current product candidates. We believe the key competitive factors that will affect the development and commercial success of our product candidates are,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safety and tolerability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promotional support and high-touch patient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commercial quantities of our product candidates if they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drugs may be more effectively marketed and sold than any drug we may commercialize and may render our product candidates obsolete or non-competitive before we can recover the expenses of developing and commercializing any of our product candidates.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our product candidates are likely to be efficacy, safety, and convenience.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of our product candidates, we or our collaborators must conduct extensive trials to demonstrate the safety and efficacy of the product candidates in humans. Preclinical and clinical testing is expensive and difficult to design and implement, can take many years to complete, and its outcome is inherently uncertain. A failure of one or more preclinical or clinical trials can occur at any stage of testing. The results of preclinical studies and early clinical trials of TA-ERT and preclinical studies of SPR202 may not be predictive of the results of later-stage clinical trials, and interim results of a trial do not necessarily predict final results. Product candidates in later stages of clinical trials may fail to show the desired safety and efficacy traits despite having progressed through preclinical studies and initial clinical trials. For example, we plan to use doses in our clinical trials for TA-ERT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For example, the Tildacerfont as Antidepressant Medication and Relief in Depression (“TAMARIND”) Phase 2 study of tildacerfont in major depressive disorder (“MDD”) was discontinued in the first quarter of 2026 following a serious adverse event in which a patient experienced a significant elevation of liver enzymes. The prior sponsor of TA-ERT, Allievex Corporation (“Allievex”), discontinued clinical development due to financial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TA-ERT and our other current and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especially in the case of an orphan indication, the proximity of patients to clinical sites, competition with other organizations or our own clinical trials for clinical trial sites or patients, the eligibility and exclusion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one indication for which we are evaluating TA-ERT is a rare neurodegenerative pediatric disorder with limited patient populations from which to draw participants in clinical trials. We are and will be required to identify and enroll a sufficient number of patients with the disorder under investigation for our clinical trials of TA-ERT.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our current product candidates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investigational new drug application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current product candidates or any future product candidates, we must conduct extensive clinical trials to demonstrate the safety and efficacy of our current product candidates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our current product candidates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and our other current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TA-ERT or our other current and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TA-ERT and our other current and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such as that experienced by Allievex in relation to the continued development of TA-ERT;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our product candidates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our product candidates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becoming debarred or suspended or otherwise penalized by the FDA or other government or regulatory authorities for violations of regulatory requirements, in which case we may need to find a substitute contractor,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have done for TA-ERT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TA-ERT or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TA-ERT or our other current and future product candidates, the commercial prospect of TA-ERT or our other current and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TA-ERT or our other current and future product candidates. Further, delays to our clinical trials that occur as a result could shorten any period during which we may have the exclusive right to commercialize, if approved, TA-ERT and our other current product candidates, and our competitors may be able to bring products to market before we do, and the commercial viability of TA-ERT and our other current product candidates could be significantly reduced. Any of these occurrences may harm our business, financial condition, results of operations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TA-ERT and our other current and future product candidates will be subject to extensive regulation and compliance obligations, which are costly and time-consuming, and such regulation may cause unanticipated delays or prevent the receipt of the required approvals to commercialize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our product candidates subject to extensive regulation by the FDA in the United States and by comparable foreign regulatory authorities in foreign markets. In the United States, we are not permitted to market TA-ERT or any other current or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TA-ERT or any other current or future product candidates in the United States until we receive approval of an NDA or BLA from the FDA. Similar requirements and risks are applicable in foreign markets. We have not previously submitted an NDA or BLA to the FDA, or similar drug approval filings to comparable foreign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TA-ERT and any other current and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our other current and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may not be sufficient to satisfy the FDA or comparable foreign regulatory authorities to support the submission of an NDA, BLA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TA-ERT or our other current and future product candidates and could substantially increase the costs of commercializing TA-ERT or our other current and future product candidates. The demand for TA-ERT and our other current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TA-ERT and our other current and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BLA or foreign marketing application for TA-ERT and our other current and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such data should be viewed with caution until the final data are available. Adverse differences between preliminary, interim, or topline data and final data could significantly harm our business prospects and may cause the trading price of our common stock to fluctuate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our product candidates and any future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TA-ERT and our other current and future product candidates are smaller than we believe they are, our future revenue, if any,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size of the market opportunities in each of our target indications for our product candidates and any future product candidates is smaller than we anticipate, we may not be able to achieve profitability and growth. We focus our clinical development on treatments for neurological disorders. For example, we believe that TA-ERT has the potential to bring therapeutic benefit to patients suffering from MPS IIIB. Given the relatively small number of patients who have MPS IIIB,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due to the lack of available treatment options, newborn screening programs have not been widely adopted for the detection of MPS IIIB. As a result, patients may become increasingly difficult to identify or gain access to, which would adversely affect our results of operations and our business. In addition, the potentially addressable patient population for MPS IIIB may be limited or may not be amenable to treatment with TA-ERT, if approved. Further, even if we obtain significant adoption and market penetration for TA-ERT in MPS IIIB, we may never achieve profitability despite obtaining such significant market share, as other pharmaceutical companies with more resources and greater experience in drug development and commercialization are targeting this same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must be approved for reimbursement before it can be approved for sale in that jurisdiction. In some cases, the price that we intend to charge for our product candidates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with the FDA, obtaining approval of a Marketing Authorization Application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TA-ERT in certain countries. If we fail to comply with the regulatory requirements in international markets and/or receive applicable marketing approvals, our target market will be reduced and our ability to realize the full market potential of TA-ERT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TA-ERT and our other current and future product candidates, we may not be able to generate any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our product candidates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TA-ERT,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development of our own sales force or the establishment of a contract sales force to market our product candidates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To the extent we rely on third parties to commercialize our product candidates, if approved, we may have little or no control over the marketing and sales efforts of such third parties and our revenues from product sales may be lower than if we had commercialized TA-ERT and any other current and future product candidates ourselves. In the event we are unable to develop our own marketing and sales force or collaborate with a third-party marketing and sales organization, we would not be able to commercialize, if approved, TA-ERT and any other current and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and geopolitical conditions could adversely affect our business, financial condition, results of operations and prospects.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economic and business activities have been, and may continue to be, disrupted and volatile due to many factors, including global trade disputes, labor shortages, declines in consumer confidence, inflation and monetary supply shifts, recession risks, geopolitical uncertainty, potential disruptions from the ongoing wars in Ukraine and the Middle East and related sanctions, disruptions in supply chain continuity, reduced access to liquidity in Europe and globally, declines in economic growth, and uncertainty about economic stability,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to levels not previously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United States and the other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imposition of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including legal challenges to such tariffs,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multiple countries. The active pharmaceutical ingredients (“APIs”) for our product candidates are manufactured in South Korea and China, and our product candidates are manufactured in South Korea, United States, and China.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legal challenges related to tariffs, we expect that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announced or future tariffs, including as a result of uncertainty surrounding related legal challenges,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as well as of related legal challenges,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financial condition, results of operations and prospects. In addition, tariffs and other trade developments have and may continue to heighten the risks related to the other risk factors described elsewhere in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retain, manage and motivate highly qualified managerial, scientific, and medical personnel. If we do not succeed in attracting and retaining qualified personnel, particularly at the management level, it could adversely affect our ability to execute our business plan and harm our operating results. In particular, the loss of the services of any of our executive officers or other key employees and our inability to find suitable replacements in a timely manner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TA-ERT and our other current and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biopharmaceuticals generally, it is likely that there may be side effects and adverse events associated with the use of TA-ERT and our other current and future product candidates. Results of our clinical trials could reveal a high and unacceptable severity and prevalence of side effects or unexpected characteristics. Undesirable side effects caused by TA-ERT and our other current and future product candidates could cause us or regulatory authorities to interrupt, delay, terminate or halt clinical trials and could result in a more restrictive label or the delay or denial of regulatory approval by the FDA or other comparable foreign authorities. For example, in the first quarter of 2026, the TAMARIND Phase 2 clinical trial of tildacerfont in MDD was discontinued following a serious adverse event in which a patient experienced a significant elevation of liver enzymes. In addition, although in clinical trials TA-ERT has demonstrated an adequate safety profile in a serious and fatal disease for which no treatment is currently available, the most frequent treatment-emergent adverse events (TEAE) by preferred term (reported in ≥40% of participants) was vomiting (22 [100%]), followed by pyrexia (20 [90.9%]), upper respiratory tract infection (17 [77.3%]), pleocytosis (11 [50.0%]), COVID-19 infection (10 [45.5%]), and diarrhea (9 [40.9%]). Four (18%) patients discontinued treatment, although three (14%) discontinuations were due to hydrocephalus, a known complication of MPS IIIB. Adverse events related to the intracerebroventricular (“ICV”) device were consistent with other therapies administered by the ICV route.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drug-related SAEs are observed, our trials could be suspended or terminated and the FDA or comparable foreign regulatory authorities could order us to cease further development of or deny approval for TA-ERT and our other current and future product candidates for any or all targeted indications.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TA-ERT and our other current and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TA-ERT and our other current and future product candidates, if approved, and could significantly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TA-ERT and our other current and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if approved, TA-ERT and our other current and future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policies of the FDA and other regulatory authorities, including foreign regulatory authorities, may change and additional government regulations may be enacted that could prevent, limit or delay regulatory approval for TA-ERT and our other current and future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w:t>
      </w:r>
      <w:r>
        <w:rPr>
          <w:rFonts w:ascii="Times New Roman" w:hAnsi="Times New Roman"/>
          <w:i/>
          <w:color w:val="000000"/>
          <w:sz w:val="20"/>
        </w:rPr>
        <w:t>Chevron</w:t>
      </w:r>
      <w:r>
        <w:rPr>
          <w:rFonts w:ascii="Times New Roman" w:hAnsi="Times New Roman"/>
          <w:color w:val="000000"/>
          <w:sz w:val="20"/>
        </w:rPr>
        <w:t xml:space="preserve">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funding for the FDA and other government agencies, or comparable foreign regulatory authorities</w:t>
      </w:r>
      <w:r>
        <w:rPr>
          <w:rFonts w:ascii="Times New Roman" w:hAnsi="Times New Roman"/>
          <w:color w:val="000000"/>
          <w:sz w:val="20"/>
          <w:u w:val="single"/>
        </w:rPr>
        <w:t xml:space="preserve"> </w:t>
      </w:r>
      <w:r>
        <w:rPr>
          <w:rFonts w:ascii="Times New Roman" w:hAnsi="Times New Roman"/>
          <w:b/>
          <w:i/>
          <w:color w:val="000000"/>
          <w:sz w:val="20"/>
        </w:rPr>
        <w:t>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during the government shutdown that began on October 1, 2025, the U.S. government has shut down several times and certain regulatory agencies, such as the FDA, have had to furlough critical FDA employees and stop critical activities. If a prolonged government shutdown occurs,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TA-ERT and our other current and future product candidates, they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our other current and future product candidates may not be commercially successful. The commercial success of TA-ERT or our other current and future product candidates, if approved, will depend significantly on the broad adoption and use of such product by physicians and patients for approved indications. The degree of market acceptance of TA-ERT or our other current and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TA-ERT or any other current or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In addition, even if TA-ERT and any other current or future product candidate gain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TA-ERT and any other current or future product candidate is approved for marketing, and we are found to have improperly promoted off-label uses, or if physicians prescribe or use TA-ERT and any other current or future product candidates off-label, we may become subject to prohibitions on the sale or marketing of TA-ERT and any other current or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DOJ, and comparable foreign authorities strictly regulate the marketing and promotional claims that are made about pharmaceutical products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TA-ERT and any other current or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TA-ERT or any other current or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TA-ERT and our other current or future product candidates, which could make it difficult for us to sell TA-ERT and our other current or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TA-ERT and any other current or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U.S. governmental healthcare programs, such as Medicare and Medicaid, or comparable foreign healthcare programs, and commercial payors is critical to new product acceptance, and we may not obtain such coverage or adequate reimbursement. Moreover, we focus our clinical development on treatments for serious disorders, some of which have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TA-ERT or any other current or future product candidate unless coverage is provided and reimbursement is adequate to cover a significant portion of the cost. Additionally, the reimbursement rates and coverage amounts may be affected by the approved label for TA-ERT or any other current or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TA-ERT and any other current or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TA-ERT and any other current or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TA-ERT and our other current product candidates in the United States and in selected foreign jurisdictions. If we obtain approval in one or more foreign jurisdictions for TA-ERT and our other current product candidates,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Inflation Reduction Act of 2022 (“IRA”) among other things, (1) requires HHS to negotiate the price of certain single-source biologics that have been on the market for at least 11 years covered under Medicare as part of the Medicare Drug Price Negotiation Program (the “Medicare Drug Price Negotiation Program”), and (2) imposes rebates under Medicare Part B and Medicare Part D to penalize price increases that outpace inflation on an annual basis.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and healthcare reform measures may increase the difficulty and cost for us to obtain marketing approval for and commercialize TA-ERT and any other current or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For example, on August 16, 2022, the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and amendments in the future. It is unclear how any such challenges and the healthcare reform measures of the second Trump administration will impact the Affordable Care Act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Affordable Care Act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Congress is considering proposed legislation intended to further reduce healthcare costs with alternatives to replace the expiring ACA subsidies.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current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directives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(“MAHA”)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hAnsi="Times New Roman"/>
          <w:i/>
          <w:color w:val="000000"/>
          <w:sz w:val="20"/>
        </w:rPr>
        <w:t xml:space="preserve">Loper Bright Enterprises v. Raimondo </w:t>
      </w:r>
      <w:r>
        <w:rPr>
          <w:rFonts w:ascii="Times New Roman" w:hAnsi="Times New Roman"/>
          <w:color w:val="000000"/>
          <w:sz w:val="20"/>
        </w:rPr>
        <w:t>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IRA.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foreign activities related to drugs, biologics, and research, especially with regard to China, have come under increased scrutiny in the United States. Chinese contract manufacturing organizations may become subject to legislation, trade restrictions, sanctions, tariffs and other regulatory requirements by the U.S. government, which could restrict or even prohibit our ability to work with such entities. For example, on December 10, 2025, the National Defense Authorization Act for Fiscal Year 2026 (“NDAA”) passed overwhelmingly in the U.S. House of Representatives (the “House”) and includes the BIOSECURE Act which, in its current form, would prohibit the U.S. government from procuring biotechnology equipment or services from “biotechnology companies of concern,” and would prohibit U.S. government contracts, loans and grants to any entity that uses biotechnology equipment or services from a designated “biotechnology company of concern.” “Biotechnology companies of concern” include companies identified on the U.S. Department of Defense’s “Chinese military companies operating in the United States” list (the 1260H List) and also authorizes the U.S. government to identify additional entities for inclusion as “biotechnology companies of concern. The U.S. Senate has since passed the NDAA and on December 18, 2025, President Trump signed the NDAA into law. Under the BIOSECURE Act, we may be restricted in our ability to work with certain Chinese biotechnology manufacturing companies to the extent we would contract with, or otherwise receive funding from, the U.S. government. In addition, if we, our suppliers, or our customers were to be designated under the BIOSECURE Act, this could potentially cause harm to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order to obtain reimbursement for our products in some European countries, including some EU Member States, we may be required to compile additional data comparing the cost-effectiveness of our products to other available therapies.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The Regulation initially applies to new active substances for oncology and advanced therapy medicinal products. It will be expanded to orphan medicinal products in January 2028, and to all centrally authorized medicinal products as of 2030. Select high-risk medical devices will also come into scope in 2026. It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capped at a maximum of eleven years. The reform will also significantly reshape the incentives regime for orphan medicinal products, by introducing “breakthrough” orphan medicinal products – those addressing diseases with no available medicinal treatment – which will benefit from 11 years of market exclusivity. A decrease in market exclusivity opportunities for our product candidates in the EU could impact the commercial prospects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the necessary regulatory approvals, a variety of risks associated with marketing TA-ERT and any other current or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TA-ERT and any other current or future product candidates internationally. Even if we obtain such approvals, we will nevertheless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to in-license or acquire development and commercial-stage product candidates in disorders that have the potential to complement our existing portfolio. Our current product candidates are generally in-licensed from or derived from partnerships with other pharmaceutical companies. If we decide to pursue the development and commercialization of any additional product candidates, we may be required to invest significant resources to acquire or in-license the rights to such product candidates or to conduct drug discovery activities and we may be unable to in-license the rights on reasonable terms if at all.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financial condition, results of operations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14 employees, all of whom are full-time. As our development and commercialization plans and strategies develop, and as we transition into operating as a public company, we expect to need additional development, managerial,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our product candidates and any future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our product candidates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Avenue may limit our flexibility in operating our business and adversely affect our financial health and competitive position, and our obligations to Avenue are secured by substantially all of our assets, including our intellectual property assets. If we default on these obligations, Avenue could foreclose on our assets, which could materially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7, 2026, we entered into the Avenue Loan Agreement. For a description of our Loan Agreement, see Note 6, “Debt — Avenue Loan”, to the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Avenue Loan Agreement contains customary representations, warranties and covenants, including covenants by the company limiting, amongst other things, additional indebtedness, liens, guaranties, mergers and consolidations, substantial asset sales, investments and loans, certain corporate changes, transactions with affiliates and fundamental changes. These covenants may limit our ability to engage in certain transactions that may be in our long-term best interest, including entering into a change in control transaction.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the Agent may choose to declare an event of default and require that we immediately repay all amounts outstanding under the Loan Agreement, terminate any commitment to extend further credit and foreclose on the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Avenue Loan Agreement also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Avenue Loan Agreement and (ii) exercise any other right or remedy provided by contract or applicable law, including a foreclosure on our assets. The occurrence of any of these events could have a material adverse effect on our business, financial condition, results of operations and prospects. If we default on any of our obligations under the Avenue Loan Agreement, the Lender could foreclose on its security interest and liquidate some or all of the collateral, including our intellectual property assets, which would harm our business, financial condition, results of operations and prospects, and could require us to reduce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to fund our other liquidity needs. To the extent we are required to use cash from operations or the proceeds of any future financing to service our indebtedness instead of funding working capital, capital expenditures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TA-ERT and our other current product candidates. Our ability to obtain clinical supplies of TA-ERT and our other current or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TA-ERT and our other current product candidates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certain regulatory licenses to manufacture or distribute our products commercially and/or the registration of pharmaceutical sales and medical representatives; and state and foreign laws, such as the EU’s General Data Protection Regulation (“EU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TA-ERT or our other current product candidates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increases risks to our information technology systems and data, as personnel utilize network connections, computers, and devices outside the control of us or the third parties with whom we 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relationship with the third parties with whom we work could introduce additional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continue to expend significant resources (including financial) and modify our business activities (including our clinical trial activities) to try to protect against security incidents and, as applicable, to detect, investigate, mitigate, contain and remediate security incidents. Additionally, certain data privacy and security obligations have required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and recover from security incidents, there can be no assurance that these measures will be effective. We take steps designed to detect, mitigate and remediate vulnerabilities, in our information systems (such as our hardware and/or software, including that of third parties with whom we work). There exists risk that we have in the past and may in the future, however, fail to detect, mitigate and remediate all such vulnerabilities including on a timely basis. Further, there exists risk that we have in the past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have in the past and may in the future cause a security incident that resulted in or results in unauthorized, unlawful, or accidental acquisition, modification, destruction, alteration, encryption, access to, use or disclosure of, corruption of, or loss of sensitive data or our information technology systems, or those of the third parties with whom we work. For example, we have been the target of unsuccessful phishing attempts in the past, and expect such attempts will continue in the future. A security incident has and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incidents (or perceived security incidents), may result in material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our company could be leaked, disclosed, or revealed as a result of or in connection with our employees’, personnels’, or vendors’ use of generative artificial intelligence (“AI”) technologies.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in each case related to data privacy or security. Our (or the third parties with whom we work)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business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personal and sensitive data and are subject to numerous data privacy and security obligations, such as laws and regulations, rules, industry standards, policies, contractual requirements and other obligations, relating to data privacy or security, including data we collect about trial participants in connection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as applicable, state data breach notification laws, personal data privacy laws, consumer protection laws (e.g., Section 5 of the Federal Trade Commission Act) and other similar laws (e.g., wiretapping laws), govern the processing of personal data and apply to our operations and the operations of the third parties with whom we work. In addition, we obtain health information from third parties (including research institutions from which we obtain clinical trial data) that may be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(that are subject to the CCPA) to provide specific disclosures in privacy notices and honor requests of such individuals to exercise certain privacy rights. The CCPA provides for statutory fines and allows private litigants affected by certain data breaches to recover significant statutory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other states have also passed comprehensive privacy laws, and similar laws are being considered in several other states, as well as at the federal and local levels. We expect more states to pass similar laws in the future.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use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including our processing of personal data. For example, our processing of personal data is or may become subject in certain circumstances to the EU GDPR and the United Kingdom’s GDPR (“UK GDPR”) (collectively, “GDPR”). The GDPR imposes stringent standards of data privacy and security concerning personal data and imposes potentially significant sanctions for non-compliance. For example, under the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transfer personal data from Europe and other jurisdictions to the United States and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there are currently various mechanisms that may be used to transfer personal data from the EEA and UK to the United States and other countries in compliance with law, as applicable,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and other jurisdictions are also increasingly scrutinizing certain data transfers (including to the extent related to personal, de-identified, or anonymized data) and have and may further impose data transfer requirements or prohibitions on cross-border data transfers which impacts the ability to engage in certain data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such as industry standards adopted by industry groups, and our efforts to comply with such obligations may not be successful. For example, trial participants about whom we or the third parties with whom we work to obtain information, as well as the third parties with whom we work who share this information with us, have in the past and may in the future contractually limit our ability to use and disclose the information. We also publish privacy policies and other statements regarding data privacy and security. Regulators are increasingly scrutinizing these types of policies and statements, and if these policies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Compliance with data privacy and security obligations have in the past and could require us to take on more onerous requirements in our contracts, engage in costly compliance exercises, restrict our ability to collect, use and disclose data, or in some cases, impact our or the third parties with whom we work ability to operate in certain jurisdictions. Applicable data protection laws can be subject to differing applications and interpretations which may be inconsistent or conflict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(or perceived non-compliance)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TA-ERT and any other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TA-ERT and any other current or future product candidates and will face an even greater risk if we commercialize any products. For example, we may be sued if TA-ERT or any other current or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TA-ERT and our other current product candidates.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TA-ERT and any other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TA-ERT and any other current or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2025, after reducing net operating losses (“NOLs”) and tax credits for amounts not expected to be utilized, we had federal NOL carryforwards of approximately $163.1 million and state NOL carryforwards of approximately $150.0 million. The federal NOL carryforwards arising in taxable years beginning prior to 2018 will begin to expire in 2036 and state NOL carryforwards will begin to expire in 2036, unless previously utilized. We also have federal and state tax credit carryforwards totaling $34.2 million and $2.8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Cuts and Jobs Act of 2017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2025 concluded that an ownership change occurred in May 2016, August 2020, and October 2025.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March 31, 2026, we recorded a full valuation allowance on our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at the state level, there may be periods during which the use of NOLs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instance, OBBBA makes permanent key elements of the Tax Act, including 100% bonus depreciation and the business interest expense limitation, as well as makes other significant changes to the U.S. tax laws. We are currently evaluating the impact, if any, of the OBBBA on our business and financial condition. Further, the Tax Act, the CARES Act and the Inflation Reduction Act of 2022 enacted many significant changes to the U.S. tax laws. Future guidance from the Internal Revenue Service and other tax authorities may affect us, and certain aspects of the changes could be repealed or modified in future legislation. In addition, it is uncertain if and to what extent various states will conform to the Tax Act, the CARES Act, the Inflation Reduction Act, OBBBA or any other newly enacted federal tax legislation. Changes in corporate tax rates, the realization of net deferred tax assets relating to our operations, and the deductibility of expenses under the Tax Act, the CARES Act, the Inflation Reduction Act, OBBBA or future reform legislation could have a material impact on the value of our net deferred tax assets, could result in significant one-time charges, and could increase our future tax expense.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compliance with all applicable requirements of the Nasdaq Capital Market (“Nasdaq”), our common stock could be subject to delisting which would adversely affect the market liquidity of our common stock and the market price of our common stock could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we received a letter from Nasdaq Listing Qualifications, notifying us that, for the previous 30 consecutive business day period prior to the date of the letter, the closing bid price for our common stock was below $1.00 (the “Minimum Bid Price Requirement”).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22, 2025, we received a written notification from Nasdaq that as a result of our ongoing failure to comply with the Minimum Bid Price Requirement, the trading in our company’s stock was suspended at the open of trading on April 29, 2025. We appealed Nasdaq’s determination to its Hearings Panel and on June 9, 2025, we received a letter from the Hearings Panel stating that our appeal was accepted. On July 23, 2025, we filed an Amendment to our Amended and Restated Certificate of Incorporation to effect a one-for-seventy-five (1:75) reverse stock split of our outstanding common stock. Our common stock began trading on the OTCQB on a split-adjusted basis on August 7, 2025 under the ticker symbol “SPRBD”. Our common stock resumed trading on the Nasdaq Capital Market on September 15,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remain in compliance with the Minimum Bid Price Requirement.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resulting in a determination that the common stock is a “penny stock” which would require brokers trading in the common stock to adhere to more stringent rules, possibly resulting in a reduced level of trading activity in the secondary trading market for shares of common stock; limiting our ability to issue additional securities or obtain additional financing in the future; and impairing our ability to provide equity incentives to our employees. In addition, delisting from Nasdaq may negatively impact our reputation and, consequently,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has been, and may continue to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and could be subject to wide fluctuations in response to various factors, some of which are beyond our control, including limited trading volume.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TA-ERT, or any future clinical trials we may conduct of TA-ERT and any other current or future product candidates, or changes in the development status of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TA-ERT and any other current or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TA-ERT and any other current or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TA-ERT and any other current or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MPS IIIB, major depressive disorder, and other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market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global trade disputes and the wars in Ukraine and the Middle East and related sanctions;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discussed in this “Risk Factors” section and elsewhere in this Quarterly Report,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a company’s securities. This risk is especially relevant for us because biopharmaceutical companies have experienced significant stock price volatility in recent years. This type of litigation, if instituted, could result in substantial costs and a diversion of management’s attention and resources,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Avenue Loan Agreement, we are prohibited from paying cash dividends without the prior written consent of Avenue,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reporting requirements applicable to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the Exchange Act which allows us to take advantage of exemptions, including not being required to comply with the auditor attestation requirements of Section 404 of the Sarbanes-Oxley Act of 2002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as required by Section 404 of the Sarbanes-Oxley Act. This will require that we incur substantial additional professional fees and internal costs to expand our accounting and finance functions and that we expend significant management efforts. Prior to our IPO, we had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2026, there were 1,372,278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214,873 shares of common stock, pre-funded warrants to purchase 10,666 shares of common stock, and warrants to purchase 169,147 shares of common stock. All of the pre-funded warrants have been exercised. Additionally, in October 2025, we entered into a securities purchase agreement with certain institutional investors, pursuant to which we agreed to sell and issue 502,181 shares of common stock and pre-funded warrants to purchase up to 233,144 shares of common stock in a private placement transaction. Pursuant to the securities purchase agreements, we have registered for resale such securities. In December 2025, three holders of pre-funded warrants to purchase shares of common stock exercised those warrants to purchase 233,144 shares of common stock. On January 7, 2026, we also entered into the Avenue Loan Agreement, pursuant to which we issued a warrant to purchase $3.2 million in shares of common stock at a price of $50.00 per share. Lender may also elect to convert up to $4.0 million of the principal amount outstanding under the Avenue Loan Agreement into shares of our common stock at a price of $60.00 per share.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registration statements, warrants, the Loan Agreement, any future loan agreements,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declared effective in November 2025, covering the sale of up to $300.0 million of our securities (the “Shelf Registration”). For example, in March 2026,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$75.0 million under the Shelf Registration through Jefferies acting as the sales agent and/or principal. As of March 31, 2026, we have not issued any shares of common stock pursuant to the Sales Agreement. Additionally, on April 22, 2026, we closed our previously announced underwritten public offering of 1,150,000 shares of our common stock and pre-funded warrants to purchase up to 50,000 shares of our common stock. In addition, we granted the underwriters a 30-day option to purchase up to 180,000 additional shares of common stock, which was exercised in full. The gross proceeds to us from the offering, before deducting underwriting discounts and commissions and estimated offering expenses payable by us, were approximately $69.0 million. As described in the section titled “Risk Factors—Sales of a substantial number of shares of our common stock in the public market could cause our stock price to fall” above, we have in the past entered into transactions where we issued and sold common stock, pre-funded warrants and common warrants to purchase shares of our common stock, and we may enter into other or similar transactions in the future.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2020 Equity Incentive Plan (“2020 Plan”) and 2026 Inducement Plan (“Inducement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outstanding on the last day of the calendar month before the date of the automatic increase, and (ii) 5,883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others, the termination of which could result in the loss of significant rights,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technology, patents, know-how, and proprietary materials, both our own and licensed from others. For example, we entered into a license agreement with BioMarin Pharmaceutical Inc. in October 2019 pursuant to which we obtained a limited exclusivity, royalty bearing, and sublicensable license to certain technology, patent rights, know-how, and proprietary materials relating to certain enzyme replacement therapy products. We entered into a collaboration and license agreement with HBM Alpha Therapeutics, Inc (“HBM”) in January 2025 pursuant to which we obtained a limited exclusivity, royalty bearing, and sublicensable license to certain technology, patent rights, manufacturing rights, know-how, and proprietary materials relating to certain compounds developed by HBM (the “HBM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current and planned clinical trials for TA-ERT and our other current product candidates.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able to complete development of, obtain regulatory approval for or successfully commercialize TA-ERT and our other current and any future product candidates. As a result, our financial results and the commercial prospects for TA-ERT and our other current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TA-ERT and our other current and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TA-ERT and our other current and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long-term agreement with a manufacturer to produce raw materials, active pharmaceutical ingredients (“APIs”), and the finished product of TA-ERT. Our reliance on third-party suppliers and manufacturers, including single-source suppliers, could harm our ability to develop TA-ERT and our other current and future product candidates or to commercialize any product candidates that are approved. Further, any delay in identifying and qualifying a manufacturer for commercial production could delay the potential commercialization of TA-ERT and our other current and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TA-ERT and our other current and future product candidates must be approved by the applicable regulatory authorities, including the FDA or comparable foreign regulatory authorities, pursuant to inspections that will be conducted after an NDA, BLA or comparable foreign regulatory marketing application is submitted. We currently do not control the manufacturing process of TA-ERT and our other current product candidates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TA-ERT and our other current and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TA-ERT and our other current and future product candidates or in the manufacturing facilities, such manufacturing facilities may need to be closed for an extended period of time to investigate and remedy the contamination. Any stability or other issues relating to the manufacture of TA-ERT and our other current product candidates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Social media platforms and AI-based platforms present new risks and challenges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TA-ERT and our other current and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and our other current and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TA-ERT and our other current and future product candidates, and other proprietary technologies we develop. If we are unable to obtain or maintain patent protection with respect to TA-ERT and our other current and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our product candidates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TA-ERT and our other current and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our product candidates,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Additionally, recent reforms and changes at government agencies of the United States and those of non-U.S. jurisdictions could increase the delays, uncertainties and costs surrounding the prosecution of our patent applications,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TA-ERT and our other current and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TA-ERT and our other current and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TA-ERT and our other current and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TA-ERT or our other current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our current product candidates, including TA-ERT and our other current and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our current product candidates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our current product candidates and any future product candidates. Furthermore, even if they are unchallenged, our patents may not adequately protect our intellectual property, provide exclusivity for our current product candidates or any future product candidates or prevent others from designing around our claims. If the breadth or strength of protection provided by the patents we hold with respect to our current product candidates or any future product candidates is threatened, it could dissuade companies from collaborating with us to develop, or threaten our ability to commercialize, our current product candidates or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marketing approval of our product candidates,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our product candidates and any future product candidates under patent protection would be reduced. Additionally, we may not receive an extension if we fail to apply within applicable deadlines, fail to apply prior to expiration of relevant patents, or otherwise fail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project or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project or request, our competitors may obtain approval of competing products following our patent expiration, and our business, financial condition, results of operations, and prospects could be materially harmed.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the HBM License Agreement, or otherwise experience disruptions to our business relationships with our licensors, we could lose license rights that are important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license agreements under which we are granted intellectual property rights that are important to our business and our product candidates. If we fail to comply with our obligations under the license agreements, or we are subject to a bankruptcy, the license agreements may be terminated, in which event we would not be able to develop, commercialize or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we entered into the HBM License Agreement with HBM. Pursuant to the HBM License Agreement, we obtained an exclusive license to a specified product candidate developed by HBM in all countries outside of mainland China, Taiwan, Hong Kong, and Macau, for upfront consideration of $5.0 million and the issuance to HBM of a pre-funded warrant equal to 4.99% of our outstanding common stock as of the date of issuance of such warrant. Furthermore, we are obligated to pay HBM up to an aggregate of $390.0 million upon the achievement of certain development, regulatory, and sales milestones. In addition, we are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licensors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licensors, or any future licensor fail to adequately protect this intellectual property, our ability to commercialize our product candidates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IRA passed by the U.S.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Filing, prosecuting, and defending patents on our product candidates,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those countries, we may have limited remedies if patents are infringed or if we are compelled to grant a license to a third party, which could materially diminish the value of those patents. This could limit our potential revenue opportunities.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(such as, the Russia and Ukraine war and conflicts in the Middle East;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threaten to impose retaliatory measures that may adversely impact our intellectual property rights in those countries.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As another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intellectual property rights, through licenses from third parties including Lilly, related to our product candidates. Because our program may require the use of additional proprietary rights held by third parties, the growth of our business will likely depend in part on our ability to acquire, in-license or use these proprietary rights. In addition, our product candidates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challenges.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our product candidates or future product candidates. Defense of these claims, regardless of their merit, could involve substantial expenses and could be a substantial diversion of management and other employee resources from our business. 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our product candidates, and any future product candidates or the use of our technologies,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our product candidates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 third party has asserted a claim of patent infringement against us as of the date of this Quarterly Report, others may hold proprietary rights that could prevent our product candidates from being marketed. For example, we are aware of issued patents that claim a method of treatment based upon a general mode of action.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or consultants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biotechnology and pharmaceutical industries, in addition to our employees, we engage the services of consultants to assist us in the development of our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or sustain damage, which could adversely affect our business.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administrative bodies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patents or pending patent applications, or the patents or pending patent applications that we license, may be challenged in the courts or administrative bodies in the United States and other foreign jurisdictions. Such proceedings to challenges in enforceability or validity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also raise similar claims before the USPTO, even outside the context of litigation or infringement. Such mechanisms could include re-examination, post-grant review, inter partes review, derivation proceedings, and equivalent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foreign jurisdictions (e.g., opposition proceedings). For example, we were a party to an opposition proceeding with the European Patent Office with respect to EP Patent No. 3,784,233, a Revocation Proceeding with respect to EP Patent No. 3,784,233 (the “’233 Patent”), and a Unified Patent Court (UPC) Revocation Proceeding with respect to EP Patent No. 3,784,233. Oral proceedings took place on November 25, 2025, and on December 16, 2025, the Opposition Division issued a Decision of the Opposition Division stating the ’233 Patent is revoked. The Decision of the Opposition Division may be appealed by filing a notice of appeal and grounds of appeal with the EPO’s Boards of Appeal, due within a non-extendable period of two months and four months respectively from the date of the written decision. We may be subject to new or additional third-party pre-issuance submission of prior art to the USPTO or become involved in other post-grant review procedures, derivations, reexaminations, or </w:t>
      </w:r>
      <w:r>
        <w:rPr>
          <w:rFonts w:ascii="Times New Roman" w:hAnsi="Times New Roman"/>
          <w:i/>
          <w:color w:val="000000"/>
          <w:sz w:val="20"/>
        </w:rPr>
        <w:t xml:space="preserve">inter partes review </w:t>
      </w:r>
      <w:r>
        <w:rPr>
          <w:rFonts w:ascii="Times New Roman" w:hAnsi="Times New Roman"/>
          <w:color w:val="000000"/>
          <w:sz w:val="20"/>
        </w:rPr>
        <w:t xml:space="preserve">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any future product candidates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administrative proceedings are very costly and time-consuming and could interfere with our ability to sell and market our products.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some of our technology and products, we also rely on trade secrets, including unpatented know-how, technology and other proprietary information, to maintain our competitive position, especially where we do not believe patent protection is appropriate or obtainable. However, trade secrets are difficult to protect. We rely in part on confidentiality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must be approved by the FDA, regardless of whether we have registered it, or applied to register it, as a trademark. The FDA typically conducts a review of proposed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including the HBM License Agreement,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Avenue Loan Agreement, we issued the Avenue Warrant to Avenue to purchase up to 64,000 shares of our common stock at an exercise price of $50.00 per share. We also granted a related conversion option to Avenue pursuant to which the holder may convert up to $4.0 million of the outstanding principal into shares of our common stock at a conversion price of $60.00, subject to the terms and conditions set forth in the applicable agreement. The Avenue Warrant and the associated conversion option were issued in a private placement transaction and were not registered under the Securities Act, in reliance on the exemption from registration provided by Section 4(a)(2).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Avenue Loan Agreement, we are prohibited from paying cash dividends without the prior written consent of Avenue.</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no director or Section 16 officer of the Company adopted, modified or terminated any "Rule 10b5-1 trading arrangement" or any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840"/>
        <w:gridCol w:w="146"/>
        <w:gridCol w:w="511"/>
        <w:gridCol w:w="146"/>
        <w:gridCol w:w="735"/>
        <w:gridCol w:w="146"/>
        <w:gridCol w:w="631"/>
        <w:gridCol w:w="146"/>
        <w:gridCol w:w="1011"/>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Open Market Sales Agreement</w:t>
              </w:r>
            </w:hyperlink>
            <w:hyperlink r:id="rId3">
              <w:r>
                <w:rPr>
                  <w:rStyle w:val="InternetLink"/>
                  <w:rFonts w:ascii="Times New Roman" w:hAnsi="Times New Roman"/>
                  <w:color w:val="0000FF"/>
                  <w:sz w:val="13"/>
                  <w:u w:val="single"/>
                </w:rPr>
                <w:t>SM</w:t>
              </w:r>
            </w:hyperlink>
            <w:hyperlink r:id="rId4">
              <w:r>
                <w:rPr>
                  <w:rStyle w:val="InternetLink"/>
                  <w:rFonts w:ascii="Times New Roman" w:hAnsi="Times New Roman"/>
                  <w:color w:val="0000FF"/>
                  <w:sz w:val="20"/>
                  <w:u w:val="single"/>
                </w:rPr>
                <w:t>, dated March 9, 2026, by and between Spruce Biosciences, Inc. and Jefferies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Underwriting Agreement, dated April 20, 2026, by and among the Company, Leerink Partners LLC, Guggenheim Securities, LLC and Oppenheimer &amp; Co.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24,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w:t>
              </w:r>
            </w:hyperlink>
            <w:hyperlink r:id="rId9">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jc w:val="left"/>
              <w:rPr/>
            </w:pPr>
            <w:hyperlink r:id="rId10">
              <w:r>
                <w:rPr>
                  <w:rStyle w:val="InternetLink"/>
                  <w:rFonts w:ascii="Times New Roman" w:hAnsi="Times New Roman"/>
                  <w:color w:val="0000FF"/>
                  <w:sz w:val="20"/>
                  <w:u w:val="single"/>
                </w:rPr>
                <w:t>Form of 2026 Warrant to Purchase Common Stock</w:t>
              </w:r>
            </w:hyperlink>
            <w:r>
              <w:rPr>
                <w:rFonts w:ascii="Times New Roman" w:hAnsi="Times New Roman"/>
                <w:color w:val="0000FF"/>
                <w:sz w:val="20"/>
              </w:rPr>
              <w:t xml:space="preserve">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2026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Loan and Security Agreement, dated January 7, 2026, by and between the registrant, Avenue Capital Management II, L.P. and Avenue Venture Opportunities Fund II, L.P.</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8,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Supplement to the Loan and Security Agreement, dated January 7, 2026, by and between the registrant, Avenue Capital Management II, L.P. and Avenue Venture Opportunities Fund II, L.P.</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8,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Offer Letter, by and between Spruce Biosciences, Inc. and Corwin Dale Hooks, dated February 18,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Restricted Stock Unit Grant Notice and Award Agreement for Inducement Grant Outside of the Spruce Biosciences, Inc. 2020 Equity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9, 2026</w:t>
            </w:r>
          </w:p>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10_5.htm">
              <w:r>
                <w:rPr>
                  <w:rStyle w:val="InternetLink"/>
                  <w:rFonts w:ascii="Times New Roman" w:hAnsi="Times New Roman"/>
                  <w:color w:val="0000FF"/>
                  <w:sz w:val="20"/>
                  <w:u w:val="single"/>
                </w:rPr>
                <w:t>Termination Agreement with Kaken Pharmaceutical Co. Ltd., dated March 16,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1741"/>
        <w:gridCol w:w="109"/>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1"/>
        </w:rPr>
      </w:pPr>
      <w:bookmarkStart w:id="23" w:name="sprb-ex10_5.htm"/>
      <w:bookmarkStart w:id="24" w:name="kssprbex10_5"/>
      <w:bookmarkEnd w:id="23"/>
      <w:bookmarkEnd w:id="24"/>
      <w:r>
        <w:rPr>
          <w:rFonts w:ascii="Times New Roman" w:hAnsi="Times New Roman"/>
          <w:color w:val="000000"/>
          <w:sz w:val="21"/>
        </w:rPr>
        <w:t>Exhibit 10.5</w:t>
      </w:r>
      <w:r>
        <w:br w:type="page"/>
      </w:r>
    </w:p>
    <w:p>
      <w:pPr>
        <w:pStyle w:val="TextBody"/>
        <w:bidi w:val="0"/>
        <w:jc w:val="center"/>
        <w:rPr>
          <w:rFonts w:ascii="Times New Roman" w:hAnsi="Times New Roman"/>
          <w:b/>
          <w:color w:val="000000"/>
          <w:sz w:val="30"/>
        </w:rPr>
      </w:pPr>
      <w:r>
        <w:rPr>
          <w:rFonts w:ascii="Times New Roman" w:hAnsi="Times New Roman"/>
          <w:b/>
          <w:color w:val="000000"/>
          <w:sz w:val="30"/>
        </w:rPr>
        <w:t>Termination Agreement</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This Termination Agreement (the “Termination Agreement”) is entered into as of March 31, 2026 (the “Termination Date”) by and between SPRUCE BIOSCIENCES, INC., a Delaware corporation having its principal place of business at 611 Gateway Boulevard, Suite 740, South San Francisco, CA 94080, USA (“Spruce”) and KAKEN PHARMACEUTICAL CO., LTD., a corporation organized under the laws of Japan and having its principal place of business at 28-8, Honkomagome 2-chome, Bunkyo-ku, Tokyo 113-8650, Japan (“Kaken”). Spruce and Kaken are each a “Party” and collectively the “Parties”.</w:t>
      </w:r>
    </w:p>
    <w:p>
      <w:pPr>
        <w:pStyle w:val="TextBody"/>
        <w:bidi w:val="0"/>
        <w:jc w:val="center"/>
        <w:rPr>
          <w:rFonts w:ascii="Times New Roman" w:hAnsi="Times New Roman"/>
          <w:color w:val="000000"/>
          <w:sz w:val="21"/>
        </w:rPr>
      </w:pPr>
      <w:r>
        <w:rPr>
          <w:rFonts w:ascii="Times New Roman" w:hAnsi="Times New Roman"/>
          <w:color w:val="000000"/>
          <w:sz w:val="21"/>
        </w:rPr>
        <w:t>RECITALS</w:t>
      </w:r>
    </w:p>
    <w:p>
      <w:pPr>
        <w:pStyle w:val="TextBody"/>
        <w:bidi w:val="0"/>
        <w:jc w:val="both"/>
        <w:rPr>
          <w:rFonts w:ascii="Times New Roman" w:hAnsi="Times New Roman"/>
          <w:color w:val="000000"/>
          <w:sz w:val="21"/>
        </w:rPr>
      </w:pPr>
      <w:r>
        <w:rPr>
          <w:rFonts w:ascii="Times New Roman" w:hAnsi="Times New Roman"/>
          <w:color w:val="000000"/>
          <w:sz w:val="21"/>
        </w:rPr>
        <w:t>WHEREAS, the Parties entered into that certain Collaboration and License Agreement dated as of January 5, 2023 (the “Collaboration Agreement”) and that Clinical Supply Agreement dated as of August 9, 2024 (“CSA”); and</w:t>
      </w:r>
    </w:p>
    <w:p>
      <w:pPr>
        <w:pStyle w:val="TextBody"/>
        <w:bidi w:val="0"/>
        <w:jc w:val="both"/>
        <w:rPr>
          <w:rFonts w:ascii="Times New Roman" w:hAnsi="Times New Roman"/>
          <w:color w:val="000000"/>
          <w:sz w:val="21"/>
        </w:rPr>
      </w:pPr>
      <w:r>
        <w:rPr>
          <w:rFonts w:ascii="Times New Roman" w:hAnsi="Times New Roman"/>
          <w:color w:val="000000"/>
          <w:sz w:val="21"/>
        </w:rPr>
        <w:t>WHEREAS, the Parties wish to terminate the Collaboration Agreement and CSA by mutual agreement and to set forth the terms and conditions of such termination.</w:t>
      </w:r>
    </w:p>
    <w:p>
      <w:pPr>
        <w:pStyle w:val="TextBody"/>
        <w:bidi w:val="0"/>
        <w:jc w:val="both"/>
        <w:rPr>
          <w:rFonts w:ascii="Times New Roman" w:hAnsi="Times New Roman"/>
          <w:color w:val="000000"/>
          <w:sz w:val="21"/>
        </w:rPr>
      </w:pPr>
      <w:r>
        <w:rPr>
          <w:rFonts w:ascii="Times New Roman" w:hAnsi="Times New Roman"/>
          <w:color w:val="000000"/>
          <w:sz w:val="21"/>
        </w:rPr>
        <w:t>NOW, THEREFORE, in consideration of the mutual covenants contained herein, the Parties agree as follows:</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1</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Termination of Agreements; Effective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The Collaboration Agreement and CSA are hereby terminated by mutual agreement, effective as of the Termination Date. From and after the Termination Date, the Collaboration Agreement and CSA shall each be of no further force or effect except as otherwise expressly set forth in each respective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Without limiting the foregoing, following the Termination Date, each Party shall properly maintain and store all information and data in connection with the Development (including nonclinical and clinical data) for the required period in accordance with applicable Law.</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2</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Mutual Releases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 xml:space="preserve">Release by Spruce. Except as to such rights or claims as may be created by this Termination Agreement and the provisions of the Collaboration Agreement that survive termination as set forth in this Termination Agreement, Spruce for itself and for its assigns, attorneys, insurers, beneficiaries, employees, officers, directors, shareholders, legal and equitable owners, members, predecessors in interest, successors in interest, representatives, and any and all other persons, trusts, firms, exchanges, corporations, joint ventures, limited liability companies, partnerships or subsidiaries with whom any of the foregoing have been, are now or may hereafter be affiliated (collectively, the “Spruce Releasing Parties”), hereby generally and specifically release and forever discharge Kaken and its assigns, attorneys, insurers, beneficiaries, employees, officers, directors, shareholders, legal and equitable owners, members, predecessors in interest, successors in interest, representatives, property manager, and any and all other persons, trusts, firms, exchanges, corporations, joint ventures, limited liability companies, partnerships or subsidiaries with whom any of the foregoing have been, are now or may hereafter be affiliated from any and all present, past, or future claims, demands, debts, losses, obligations, warranties, costs, expenses, rights of action, and causes of action of every kind and nature whatsoever, whether based on contract, tort, statutory, or other legal or equitable theory of recovery, known or unknown, suspected or unsuspected, existing, or claimed to exist, which the Spruce Releasing Parties had or may hereafter accrue or which may be acquired, from the beginning of time to the Termination Date arising out of the Collaboration Agreement or the CSA.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 xml:space="preserve">Release by Kaken. Except as to such rights or claims as may be created by this Termination Agreement and the provisions of the Collaboration Agreement that survive termination as set forth in this Termination Agreement, Kaken for itself and for its assigns, attorneys, insurers, beneficiaries, employees, officers, directors, shareholders, legal and equitable owners, members, predecessors in interest, successors in interest, representatives, and any and all other persons, trusts, firms, exchanges, corporations, joint ventures, limited liability companies, partnerships or subsidiaries with whom any of the foregoing have been, are now or may hereafter be affiliated (collectively,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pPr>
      <w:r>
        <w:rPr>
          <w:color w:val="000000"/>
        </w:rPr>
        <w:t>“</w:t>
      </w:r>
      <w:r>
        <w:rPr>
          <w:rFonts w:ascii="Times New Roman" w:hAnsi="Times New Roman"/>
          <w:color w:val="000000"/>
          <w:sz w:val="21"/>
        </w:rPr>
        <w:t>Kaken Releasing Parties”), hereby generally and specifically release and forever discharge Spruce and its assigns, attorneys, insurers, beneficiaries, employees, officers, directors, shareholders, legal and equitable owners, members, predecessors in interest, successors in interest, representatives, property manager, and any and all other persons, trusts, firms, exchanges, corporations, joint ventures, limited liability companies, partnerships or subsidiaries with whom any of the foregoing have been, are now or may hereafter be affiliated from any and all present, past, or future claims, demands, debts, losses, obligations, warranties, costs, expenses, rights of action, and causes of action of every kind and nature whatsoever, whether based on contract, tort, statutory, or other legal or equitable theory of recovery, known or unknown, suspected or unsuspected, existing, or claimed to exist, which the Kaken Releasing Parties had or may hereafter accrue or which may be acquired, from the beginning of time to the Termination Date arising out of the Collaboration Agreement or the CSA.</w:t>
      </w: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 xml:space="preserve">Unknown Claims Waiver. The Parties acknowledge the risk that, subsequent to the execution of this Termination Agreement, they may discover, incur, or suffer damages based upon claims which were unknown or unanticipated at the time this Termination Agreement was executed. The Parties acknowledge that they are assuming the risk of such unknown and unanticipated claims and agree that this Termination Agreement applies to such unknown and unanticipated claims.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Later Discovery. Each Party is aware that it may hereafter discover claims or facts in addition to or different from those it now knows or believes to be true with respect to the matters related herein. Nevertheless, it is the intention of the Parties to fully, finally and forever settle and release all such matters, and all claims relative thereto, which do now exist, may exist, or heretofore have existed between them. In furtherance of such intention, the release given herein shall be and remain in effect as full and complete mutual releases of all such matters, notwithstanding the discovery or existence of any additional or different claims or facts relative thereto.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w:t>
      </w:r>
    </w:p>
    <w:p>
      <w:pPr>
        <w:pStyle w:val="TextBody"/>
        <w:bidi w:val="0"/>
        <w:spacing w:before="0" w:after="0"/>
        <w:jc w:val="both"/>
        <w:rPr>
          <w:rFonts w:ascii="Times New Roman" w:hAnsi="Times New Roman"/>
          <w:color w:val="000000"/>
          <w:sz w:val="21"/>
        </w:rPr>
      </w:pPr>
      <w:r>
        <w:rPr>
          <w:rFonts w:ascii="Times New Roman" w:hAnsi="Times New Roman"/>
          <w:color w:val="000000"/>
          <w:sz w:val="21"/>
        </w:rPr>
        <w:t>No Admission. This Termination Agreement is not, and shall not be represented or construed by any Party as an admission of liability, breach or wrongdoing on the part of the other Party to this Termination Agreement or any liability whatsoever for any claims under the Collaboration Agreement or the CSA.</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3</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Public Announcement of Termination</w:t>
      </w:r>
    </w:p>
    <w:p>
      <w:pPr>
        <w:pStyle w:val="TextBody"/>
        <w:bidi w:val="0"/>
        <w:jc w:val="both"/>
        <w:rPr>
          <w:rFonts w:ascii="Times New Roman" w:hAnsi="Times New Roman"/>
          <w:color w:val="000000"/>
          <w:sz w:val="21"/>
        </w:rPr>
      </w:pPr>
      <w:r>
        <w:rPr>
          <w:rFonts w:ascii="Times New Roman" w:hAnsi="Times New Roman"/>
          <w:color w:val="000000"/>
          <w:sz w:val="21"/>
        </w:rPr>
        <w:t>Notwithstanding anything to the contrary in this Termination Agreement, the Parties agree that, either Party shall have the right to issue a public press release or make other public disclosures specifically announcing the termination of the Agreement, except as required to comply with applicable Laws, including those related to disclosures to the Securities and Exchange Commission. The Party proposing such disclosure shall (i) provide the other Party with the proposed text of the disclosure at least three (3) Business Days prior to the proposed public release for review and comment, and (ii) reasonably consider and incorporate any specific, material comments provided by the other Party within such three (3) Business Day period. If the Parties cannot agree on the final text within such three (3) Business Day period, either Party may proceed with a disclosure that is a fair and accurate statement of the termination, provided that such disclosure does not include the other Party’s Confidential Information or commercially sensitive terms (including, without limitation, financial terms, detailed transition arrangements, or proprietary technical information).</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4</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Governing Law; Dispute Resolution</w:t>
      </w:r>
    </w:p>
    <w:p>
      <w:pPr>
        <w:pStyle w:val="TextBody"/>
        <w:bidi w:val="0"/>
        <w:jc w:val="both"/>
        <w:rPr>
          <w:rFonts w:ascii="Times New Roman" w:hAnsi="Times New Roman"/>
          <w:color w:val="000000"/>
          <w:sz w:val="21"/>
        </w:rPr>
      </w:pPr>
      <w:r>
        <w:rPr>
          <w:rFonts w:ascii="Times New Roman" w:hAnsi="Times New Roman"/>
          <w:color w:val="000000"/>
          <w:sz w:val="21"/>
        </w:rPr>
        <w:t>This Termination Agreement shall be governed by and construed in accordance with the laws of the State of New York without regard to conflict of laws rules.</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5</w:t>
      </w:r>
    </w:p>
    <w:p>
      <w:pPr>
        <w:pStyle w:val="TextBody"/>
        <w:bidi w:val="0"/>
        <w:spacing w:before="120" w:after="120"/>
        <w:jc w:val="both"/>
        <w:rPr>
          <w:rFonts w:ascii="Times New Roman" w:hAnsi="Times New Roman"/>
          <w:b/>
          <w:color w:val="000000"/>
          <w:sz w:val="21"/>
        </w:rPr>
      </w:pPr>
      <w:r>
        <w:rPr>
          <w:rFonts w:ascii="Times New Roman" w:hAnsi="Times New Roman"/>
          <w:b/>
          <w:color w:val="000000"/>
          <w:sz w:val="21"/>
        </w:rPr>
        <w:t>Signatures</w:t>
      </w:r>
    </w:p>
    <w:p>
      <w:pPr>
        <w:pStyle w:val="TextBody"/>
        <w:bidi w:val="0"/>
        <w:jc w:val="both"/>
        <w:rPr>
          <w:rFonts w:ascii="Times New Roman" w:hAnsi="Times New Roman"/>
          <w:sz w:val="20"/>
        </w:rPr>
      </w:pPr>
      <w:r>
        <w:rPr>
          <w:rFonts w:ascii="Times New Roman" w:hAnsi="Times New Roman"/>
          <w:color w:val="000000"/>
          <w:sz w:val="21"/>
        </w:rPr>
        <w:t>IN WITNESS WHEREOF, the Parties have executed this Termination Agreement as of the Termination Date. The Parties agree that this Termination Agreement may be executed by electronic signature (including but not limited to DocuSign or other reliable electronic signature platforms), and that such electronic signatures shall be deemed to have the same legal effect, validity and enforceability as original handwritten signatures. Delivery of an executed counterpart of this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1"/>
        </w:rPr>
      </w:pPr>
      <w:r>
        <w:rPr>
          <w:rFonts w:ascii="Times New Roman" w:hAnsi="Times New Roman"/>
          <w:color w:val="000000"/>
          <w:sz w:val="21"/>
        </w:rPr>
        <w:t>Termination Agreement by electronic means (e.g., PDF or other electronic transmission of a signed document) shall be sufficient to bind the delivering Party.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1"/>
        </w:rPr>
        <w:t>SPRUCE BIOSCIENCES, INC.</w:t>
        <w:br/>
        <w:br/>
        <w:t xml:space="preserve">By: </w:t>
      </w:r>
      <w:r>
        <w:rPr>
          <w:rFonts w:ascii="Times New Roman" w:hAnsi="Times New Roman"/>
          <w:color w:val="000000"/>
          <w:sz w:val="21"/>
          <w:u w:val="single"/>
        </w:rPr>
        <w:t>/s/ Samir Gharib</w:t>
      </w:r>
      <w:r>
        <w:rPr>
          <w:rFonts w:ascii="Times New Roman" w:hAnsi="Times New Roman"/>
          <w:color w:val="000000"/>
          <w:sz w:val="21"/>
        </w:rPr>
        <w:t>___________</w:t>
      </w:r>
    </w:p>
    <w:p>
      <w:pPr>
        <w:pStyle w:val="TextBody"/>
        <w:bidi w:val="0"/>
        <w:jc w:val="left"/>
        <w:rPr>
          <w:rFonts w:ascii="Times New Roman" w:hAnsi="Times New Roman"/>
          <w:sz w:val="20"/>
        </w:rPr>
      </w:pPr>
      <w:r>
        <w:rPr>
          <w:rFonts w:ascii="Times New Roman" w:hAnsi="Times New Roman"/>
          <w:color w:val="000000"/>
          <w:sz w:val="21"/>
        </w:rPr>
        <w:t>Name: Samir Gharib</w:t>
        <w:br/>
        <w:t>Title: President and Chief Financial Officer</w:t>
        <w:br/>
        <w:t>Date: _______________________</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1"/>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1"/>
        </w:rPr>
        <w:t>KAKEN PHARMACEUTICAL CO., LTD.</w:t>
        <w:br/>
        <w:br/>
        <w:t xml:space="preserve">By: </w:t>
      </w:r>
      <w:r>
        <w:rPr>
          <w:rFonts w:ascii="Times New Roman" w:hAnsi="Times New Roman"/>
          <w:color w:val="000000"/>
          <w:sz w:val="21"/>
          <w:u w:val="single"/>
        </w:rPr>
        <w:t>/s/ Mitsuru Watanuki</w:t>
      </w:r>
      <w:r>
        <w:rPr>
          <w:rFonts w:ascii="Times New Roman" w:hAnsi="Times New Roman"/>
          <w:color w:val="000000"/>
          <w:sz w:val="21"/>
        </w:rPr>
        <w:t>_______</w:t>
        <w:br/>
        <w:t>Name: Mitsuru Watanuki</w:t>
        <w:br/>
        <w:t>Title: Executive Director, Member of the Board, and Head of R&amp;D Division</w:t>
        <w:br/>
        <w:t>Date: _______________________</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prb-ex31_1.htm"/>
      <w:bookmarkStart w:id="26" w:name="kssprbex31_1"/>
      <w:bookmarkEnd w:id="25"/>
      <w:bookmarkEnd w:id="26"/>
      <w:r>
        <w:rPr/>
        <w:t> </w:t>
      </w:r>
      <w:r>
        <w:br w:type="page"/>
      </w:r>
    </w:p>
    <w:p>
      <w:pPr>
        <w:pStyle w:val="TextBody"/>
        <w:bidi w:val="0"/>
        <w:jc w:val="right"/>
        <w:rPr>
          <w:rFonts w:ascii="Times New Roman" w:hAnsi="Times New Roman"/>
          <w:b/>
          <w:color w:val="000000"/>
          <w:sz w:val="20"/>
        </w:rPr>
      </w:pPr>
      <w:bookmarkStart w:id="27" w:name="exhibit_index"/>
      <w:bookmarkEnd w:id="27"/>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52" w:type="dxa"/>
        <w:jc w:val="left"/>
        <w:tblInd w:w="0" w:type="dxa"/>
        <w:tblLayout w:type="fixed"/>
        <w:tblCellMar>
          <w:top w:w="28" w:type="dxa"/>
          <w:left w:w="28" w:type="dxa"/>
          <w:bottom w:w="28" w:type="dxa"/>
          <w:right w:w="28" w:type="dxa"/>
        </w:tblCellMar>
      </w:tblPr>
      <w:tblGrid>
        <w:gridCol w:w="1741"/>
        <w:gridCol w:w="109"/>
        <w:gridCol w:w="406"/>
        <w:gridCol w:w="28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1_2.htm"/>
      <w:bookmarkStart w:id="29" w:name="kssprb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1.htm"/>
      <w:bookmarkStart w:id="31" w:name="kssprb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52" w:type="dxa"/>
        <w:jc w:val="left"/>
        <w:tblInd w:w="0" w:type="dxa"/>
        <w:tblLayout w:type="fixed"/>
        <w:tblCellMar>
          <w:top w:w="28" w:type="dxa"/>
          <w:left w:w="28" w:type="dxa"/>
          <w:bottom w:w="28" w:type="dxa"/>
          <w:right w:w="28" w:type="dxa"/>
        </w:tblCellMar>
      </w:tblPr>
      <w:tblGrid>
        <w:gridCol w:w="1741"/>
        <w:gridCol w:w="109"/>
        <w:gridCol w:w="406"/>
        <w:gridCol w:w="28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sprb-ex32_2.htm"/>
      <w:bookmarkStart w:id="33" w:name="kssprbex32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741"/>
        <w:gridCol w:w="109"/>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6097561/sprb-ex1_1.htm" TargetMode="External"/><Relationship Id="rId3" Type="http://schemas.openxmlformats.org/officeDocument/2006/relationships/hyperlink" Target="https://www.sec.gov/Archives/edgar/data/1683553/000119312526097561/sprb-ex1_1.htm" TargetMode="External"/><Relationship Id="rId4" Type="http://schemas.openxmlformats.org/officeDocument/2006/relationships/hyperlink" Target="https://www.sec.gov/Archives/edgar/data/1683553/000119312526097561/sprb-ex1_1.htm" TargetMode="External"/><Relationship Id="rId5" Type="http://schemas.openxmlformats.org/officeDocument/2006/relationships/hyperlink" Target="https://www.sec.gov/Archives/edgar/data/1683553/000119312526167332/sprb-ex1_1.htm" TargetMode="External"/><Relationship Id="rId6" Type="http://schemas.openxmlformats.org/officeDocument/2006/relationships/hyperlink" Target="https://www.sec.gov/Archives/edgar/data/1683553/000119312520269344/d12372dex31.htm" TargetMode="External"/><Relationship Id="rId7" Type="http://schemas.openxmlformats.org/officeDocument/2006/relationships/hyperlink" Target="https://www.sec.gov/Archives/edgar/data/1683553/000095017025098340/sprb-ex3_1.htm" TargetMode="External"/><Relationship Id="rId8" Type="http://schemas.openxmlformats.org/officeDocument/2006/relationships/hyperlink" Target="https://www.sec.gov/Archives/edgar/data/1683553/000119312520269344/d12372dex32.htm" TargetMode="External"/><Relationship Id="rId9" Type="http://schemas.openxmlformats.org/officeDocument/2006/relationships/hyperlink" Target="https://www.sec.gov/Archives/edgar/data/1683553/000119312520269344/d12372dex32.htm" TargetMode="External"/><Relationship Id="rId10" Type="http://schemas.openxmlformats.org/officeDocument/2006/relationships/hyperlink" Target="https://www.sec.gov/Archives/edgar/data/1683553/000119312526097558/sprb-ex4_9.htm" TargetMode="External"/><Relationship Id="rId11" Type="http://schemas.openxmlformats.org/officeDocument/2006/relationships/hyperlink" Target="https://www.sec.gov/Archives/edgar/data/1683553/000119312526167332/sprb-ex4_1.htm" TargetMode="External"/><Relationship Id="rId12" Type="http://schemas.openxmlformats.org/officeDocument/2006/relationships/hyperlink" Target="https://www.sec.gov/Archives/edgar/data/1683553/000119312526007038/sprb-ex10_1.htm" TargetMode="External"/><Relationship Id="rId13" Type="http://schemas.openxmlformats.org/officeDocument/2006/relationships/hyperlink" Target="https://www.sec.gov/Archives/edgar/data/1683553/000119312526007038/sprb-ex10_2.htm" TargetMode="External"/><Relationship Id="rId14" Type="http://schemas.openxmlformats.org/officeDocument/2006/relationships/hyperlink" Target="https://www.sec.gov/Archives/edgar/data/1683553/000119312526097561/sprb-ex10_1.htm" TargetMode="External"/><Relationship Id="rId15" Type="http://schemas.openxmlformats.org/officeDocument/2006/relationships/hyperlink" Target="https://www.sec.gov/Archives/edgar/data/1683553/000119312526097561/sprb-ex10_2.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63425</Words>
  <Characters>354699</Characters>
  <CharactersWithSpaces>417661</CharactersWithSpaces>
  <Paragraphs>4125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