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74295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73" w:lineRule="exact"/>
        <w:rPr>
          <w:sz w:val="24"/>
          <w:szCs w:val="24"/>
          <w:color w:val="auto"/>
        </w:rPr>
      </w:pPr>
    </w:p>
    <w:p>
      <w:pPr>
        <w:ind w:left="3820" w:right="1640" w:hanging="3799"/>
        <w:spacing w:after="0" w:line="224" w:lineRule="auto"/>
        <w:tabs>
          <w:tab w:leader="none" w:pos="502" w:val="left"/>
        </w:tabs>
        <w:numPr>
          <w:ilvl w:val="0"/>
          <w:numId w:val="1"/>
        </w:numPr>
        <w:rPr>
          <w:rFonts w:ascii="MS PGothic" w:cs="MS PGothic" w:eastAsia="MS PGothic" w:hAnsi="MS PGothic"/>
          <w:sz w:val="36"/>
          <w:szCs w:val="36"/>
          <w:color w:val="auto"/>
          <w:highlight w:val="black"/>
          <w:vertAlign w:val="superscript"/>
        </w:rPr>
      </w:pPr>
      <w:r>
        <w:rPr>
          <w:rFonts w:ascii="Arial" w:cs="Arial" w:eastAsia="Arial" w:hAnsi="Arial"/>
          <w:sz w:val="18"/>
          <w:szCs w:val="18"/>
          <w:b w:val="1"/>
          <w:bCs w:val="1"/>
          <w:color w:val="auto"/>
        </w:rPr>
        <w:t>QUARTERLY REPORT PURSUANT TO SECTION 13 OR 15(d) OF THE SECURITIES EXCHANGE ACT OF 1934 For the quarterly period ended March 31, 2023</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500" w:hanging="479"/>
        <w:spacing w:after="0"/>
        <w:tabs>
          <w:tab w:leader="none" w:pos="50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01" w:lineRule="exact"/>
        <w:rPr>
          <w:rFonts w:ascii="MS PGothic" w:cs="MS PGothic" w:eastAsia="MS PGothic" w:hAnsi="MS PGothic"/>
          <w:sz w:val="17"/>
          <w:szCs w:val="17"/>
          <w:color w:val="auto"/>
          <w:highlight w:val="black"/>
        </w:rPr>
      </w:pPr>
    </w:p>
    <w:p>
      <w:pPr>
        <w:ind w:left="3280"/>
        <w:spacing w:after="0"/>
        <w:rPr>
          <w:rFonts w:ascii="MS PGothic" w:cs="MS PGothic" w:eastAsia="MS PGothic" w:hAnsi="MS PGothic"/>
          <w:sz w:val="17"/>
          <w:szCs w:val="17"/>
          <w:color w:val="auto"/>
          <w:highlight w:val="black"/>
        </w:rPr>
      </w:pPr>
      <w:r>
        <w:rPr>
          <w:rFonts w:ascii="Arial" w:cs="Arial" w:eastAsia="Arial" w:hAnsi="Arial"/>
          <w:sz w:val="18"/>
          <w:szCs w:val="18"/>
          <w:b w:val="1"/>
          <w:bCs w:val="1"/>
          <w:color w:val="auto"/>
        </w:rPr>
        <w:t>For the transition period from ___________ to ____________</w:t>
      </w:r>
    </w:p>
    <w:p>
      <w:pPr>
        <w:spacing w:after="0" w:line="63" w:lineRule="exact"/>
        <w:rPr>
          <w:rFonts w:ascii="MS PGothic" w:cs="MS PGothic" w:eastAsia="MS PGothic" w:hAnsi="MS PGothic"/>
          <w:sz w:val="17"/>
          <w:szCs w:val="17"/>
          <w:color w:val="auto"/>
          <w:highlight w:val="black"/>
        </w:rPr>
      </w:pPr>
    </w:p>
    <w:p>
      <w:pPr>
        <w:ind w:left="4200"/>
        <w:spacing w:after="0"/>
        <w:rPr>
          <w:rFonts w:ascii="MS PGothic" w:cs="MS PGothic" w:eastAsia="MS PGothic" w:hAnsi="MS PGothic"/>
          <w:sz w:val="17"/>
          <w:szCs w:val="17"/>
          <w:color w:val="auto"/>
          <w:highlight w:val="black"/>
        </w:rPr>
      </w:pPr>
      <w:r>
        <w:rPr>
          <w:rFonts w:ascii="Arial" w:cs="Arial" w:eastAsia="Arial" w:hAnsi="Arial"/>
          <w:sz w:val="18"/>
          <w:szCs w:val="18"/>
          <w:b w:val="1"/>
          <w:bCs w:val="1"/>
          <w:color w:val="auto"/>
        </w:rPr>
        <w:t>Commission File Number: 001-39594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Spruce Biosciences, Inc.</w:t>
      </w:r>
    </w:p>
    <w:p>
      <w:pPr>
        <w:sectPr>
          <w:pgSz w:w="11900" w:h="16838" w:orient="portrait"/>
          <w:cols w:equalWidth="0" w:num="1">
            <w:col w:w="11240"/>
          </w:cols>
          <w:pgMar w:left="320" w:top="229" w:right="339" w:bottom="1440" w:gutter="0" w:footer="0" w:header="0"/>
        </w:sectPr>
      </w:pPr>
    </w:p>
    <w:p>
      <w:pPr>
        <w:spacing w:after="0" w:line="3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2" w:lineRule="exact"/>
        <w:rPr>
          <w:sz w:val="24"/>
          <w:szCs w:val="24"/>
          <w:color w:val="auto"/>
        </w:rPr>
      </w:pPr>
    </w:p>
    <w:p>
      <w:pPr>
        <w:jc w:val="center"/>
        <w:ind w:right="2000"/>
        <w:spacing w:after="0"/>
        <w:rPr>
          <w:sz w:val="20"/>
          <w:szCs w:val="20"/>
          <w:color w:val="auto"/>
        </w:rPr>
      </w:pPr>
      <w:r>
        <w:rPr>
          <w:rFonts w:ascii="Arial" w:cs="Arial" w:eastAsia="Arial" w:hAnsi="Arial"/>
          <w:sz w:val="18"/>
          <w:szCs w:val="18"/>
          <w:b w:val="1"/>
          <w:bCs w:val="1"/>
          <w:color w:val="auto"/>
        </w:rPr>
        <w:t>Delaware</w:t>
      </w:r>
    </w:p>
    <w:p>
      <w:pPr>
        <w:spacing w:after="0" w:line="36" w:lineRule="exact"/>
        <w:rPr>
          <w:sz w:val="24"/>
          <w:szCs w:val="24"/>
          <w:color w:val="auto"/>
        </w:rPr>
      </w:pPr>
    </w:p>
    <w:p>
      <w:pPr>
        <w:ind w:left="2040"/>
        <w:spacing w:after="0"/>
        <w:rPr>
          <w:sz w:val="20"/>
          <w:szCs w:val="20"/>
          <w:color w:val="auto"/>
        </w:rPr>
      </w:pPr>
      <w:r>
        <w:rPr>
          <w:rFonts w:ascii="Arial" w:cs="Arial" w:eastAsia="Arial" w:hAnsi="Arial"/>
          <w:sz w:val="13"/>
          <w:szCs w:val="13"/>
          <w:b w:val="1"/>
          <w:bCs w:val="1"/>
          <w:color w:val="auto"/>
        </w:rPr>
        <w:t>(State or other jurisdiction of</w:t>
      </w: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12" w:lineRule="exact"/>
        <w:rPr>
          <w:sz w:val="24"/>
          <w:szCs w:val="24"/>
          <w:color w:val="auto"/>
        </w:rPr>
      </w:pPr>
    </w:p>
    <w:p>
      <w:pPr>
        <w:jc w:val="center"/>
        <w:ind w:right="2000"/>
        <w:spacing w:after="0"/>
        <w:rPr>
          <w:sz w:val="20"/>
          <w:szCs w:val="20"/>
          <w:color w:val="auto"/>
        </w:rPr>
      </w:pPr>
      <w:r>
        <w:rPr>
          <w:rFonts w:ascii="Arial" w:cs="Arial" w:eastAsia="Arial" w:hAnsi="Arial"/>
          <w:sz w:val="16"/>
          <w:szCs w:val="16"/>
          <w:b w:val="1"/>
          <w:bCs w:val="1"/>
          <w:color w:val="auto"/>
        </w:rPr>
        <w:t>611 Gateway Boulevard, Suite 740</w:t>
      </w:r>
    </w:p>
    <w:p>
      <w:pPr>
        <w:spacing w:after="0" w:line="50" w:lineRule="exact"/>
        <w:rPr>
          <w:sz w:val="24"/>
          <w:szCs w:val="24"/>
          <w:color w:val="auto"/>
        </w:rPr>
      </w:pPr>
    </w:p>
    <w:p>
      <w:pPr>
        <w:jc w:val="center"/>
        <w:ind w:right="2000"/>
        <w:spacing w:after="0"/>
        <w:rPr>
          <w:sz w:val="20"/>
          <w:szCs w:val="20"/>
          <w:color w:val="auto"/>
        </w:rPr>
      </w:pPr>
      <w:r>
        <w:rPr>
          <w:rFonts w:ascii="Arial" w:cs="Arial" w:eastAsia="Arial" w:hAnsi="Arial"/>
          <w:sz w:val="17"/>
          <w:szCs w:val="17"/>
          <w:b w:val="1"/>
          <w:bCs w:val="1"/>
          <w:color w:val="auto"/>
        </w:rPr>
        <w:t>South San Francisco, California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3"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81-2154263</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262" w:lineRule="exact"/>
        <w:rPr>
          <w:sz w:val="24"/>
          <w:szCs w:val="24"/>
          <w:color w:val="auto"/>
        </w:rPr>
      </w:pPr>
    </w:p>
    <w:p>
      <w:pPr>
        <w:ind w:left="260"/>
        <w:spacing w:after="0"/>
        <w:rPr>
          <w:sz w:val="20"/>
          <w:szCs w:val="20"/>
          <w:color w:val="auto"/>
        </w:rPr>
      </w:pPr>
      <w:r>
        <w:rPr>
          <w:rFonts w:ascii="Arial" w:cs="Arial" w:eastAsia="Arial" w:hAnsi="Arial"/>
          <w:sz w:val="18"/>
          <w:szCs w:val="18"/>
          <w:b w:val="1"/>
          <w:bCs w:val="1"/>
          <w:color w:val="auto"/>
        </w:rPr>
        <w:t>94080</w:t>
      </w:r>
    </w:p>
    <w:p>
      <w:pPr>
        <w:spacing w:after="0" w:line="36" w:lineRule="exact"/>
        <w:rPr>
          <w:sz w:val="24"/>
          <w:szCs w:val="24"/>
          <w:color w:val="auto"/>
        </w:rPr>
      </w:pPr>
    </w:p>
    <w:p>
      <w:pPr>
        <w:sectPr>
          <w:pgSz w:w="11900" w:h="16838" w:orient="portrait"/>
          <w:cols w:equalWidth="0" w:num="2">
            <w:col w:w="7620" w:space="320"/>
            <w:col w:w="3300"/>
          </w:cols>
          <w:pgMar w:left="320" w:top="229" w:right="339" w:bottom="1440" w:gutter="0" w:footer="0" w:header="0"/>
          <w:type w:val="continuous"/>
        </w:sect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66"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(415) 655-4168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2"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254"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6"/>
                <w:szCs w:val="16"/>
                <w:b w:val="1"/>
                <w:bCs w:val="1"/>
                <w:color w:val="auto"/>
                <w:w w:val="95"/>
              </w:rPr>
              <w:t>Trading</w:t>
            </w:r>
          </w:p>
        </w:tc>
        <w:tc>
          <w:tcPr>
            <w:tcW w:w="140" w:type="dxa"/>
            <w:vAlign w:val="bottom"/>
          </w:tcPr>
          <w:p>
            <w:pPr>
              <w:spacing w:after="0"/>
              <w:rPr>
                <w:sz w:val="17"/>
                <w:szCs w:val="17"/>
                <w:color w:val="auto"/>
              </w:rPr>
            </w:pPr>
          </w:p>
        </w:tc>
        <w:tc>
          <w:tcPr>
            <w:tcW w:w="4360" w:type="dxa"/>
            <w:vAlign w:val="bottom"/>
          </w:tcPr>
          <w:p>
            <w:pPr>
              <w:spacing w:after="0"/>
              <w:rPr>
                <w:sz w:val="17"/>
                <w:szCs w:val="17"/>
                <w:color w:val="auto"/>
              </w:rPr>
            </w:pPr>
          </w:p>
        </w:tc>
      </w:tr>
      <w:tr>
        <w:trPr>
          <w:trHeight w:val="223"/>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40" w:type="dxa"/>
            <w:vAlign w:val="bottom"/>
          </w:tcPr>
          <w:p>
            <w:pPr>
              <w:spacing w:after="0"/>
              <w:rPr>
                <w:sz w:val="19"/>
                <w:szCs w:val="19"/>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Symbol(s)</w:t>
            </w:r>
          </w:p>
        </w:tc>
        <w:tc>
          <w:tcPr>
            <w:tcW w:w="140" w:type="dxa"/>
            <w:vAlign w:val="bottom"/>
          </w:tcPr>
          <w:p>
            <w:pPr>
              <w:spacing w:after="0"/>
              <w:rPr>
                <w:sz w:val="19"/>
                <w:szCs w:val="19"/>
                <w:color w:val="auto"/>
              </w:rPr>
            </w:pPr>
          </w:p>
        </w:tc>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10"/>
        </w:trPr>
        <w:tc>
          <w:tcPr>
            <w:tcW w:w="4360" w:type="dxa"/>
            <w:vAlign w:val="bottom"/>
          </w:tcPr>
          <w:p>
            <w:pPr>
              <w:jc w:val="center"/>
              <w:spacing w:after="0"/>
              <w:rPr>
                <w:sz w:val="20"/>
                <w:szCs w:val="20"/>
                <w:color w:val="auto"/>
              </w:rPr>
            </w:pPr>
            <w:r>
              <w:rPr>
                <w:rFonts w:ascii="Arial" w:cs="Arial" w:eastAsia="Arial" w:hAnsi="Arial"/>
                <w:sz w:val="16"/>
                <w:szCs w:val="16"/>
                <w:color w:val="auto"/>
                <w:w w:val="90"/>
              </w:rPr>
              <w:t>Common Stock, par value $0.0001 per share</w:t>
            </w:r>
          </w:p>
        </w:tc>
        <w:tc>
          <w:tcPr>
            <w:tcW w:w="14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6"/>
                <w:szCs w:val="16"/>
                <w:color w:val="auto"/>
                <w:w w:val="91"/>
              </w:rPr>
              <w:t>SPRB</w:t>
            </w:r>
          </w:p>
        </w:tc>
        <w:tc>
          <w:tcPr>
            <w:tcW w:w="140" w:type="dxa"/>
            <w:vAlign w:val="bottom"/>
          </w:tcPr>
          <w:p>
            <w:pPr>
              <w:spacing w:after="0"/>
              <w:rPr>
                <w:sz w:val="18"/>
                <w:szCs w:val="18"/>
                <w:color w:val="auto"/>
              </w:rPr>
            </w:pPr>
          </w:p>
        </w:tc>
        <w:tc>
          <w:tcPr>
            <w:tcW w:w="4360" w:type="dxa"/>
            <w:vAlign w:val="bottom"/>
          </w:tcPr>
          <w:p>
            <w:pPr>
              <w:jc w:val="center"/>
              <w:spacing w:after="0"/>
              <w:rPr>
                <w:sz w:val="20"/>
                <w:szCs w:val="20"/>
                <w:color w:val="auto"/>
              </w:rPr>
            </w:pPr>
            <w:r>
              <w:rPr>
                <w:rFonts w:ascii="Arial" w:cs="Arial" w:eastAsia="Arial" w:hAnsi="Arial"/>
                <w:sz w:val="16"/>
                <w:szCs w:val="16"/>
                <w:color w:val="auto"/>
                <w:w w:val="92"/>
              </w:rPr>
              <w:t>Nasdaq Global Select Market</w:t>
            </w:r>
          </w:p>
        </w:tc>
      </w:tr>
    </w:tbl>
    <w:p>
      <w:pPr>
        <w:spacing w:after="0" w:line="204" w:lineRule="exact"/>
        <w:rPr>
          <w:sz w:val="24"/>
          <w:szCs w:val="24"/>
          <w:color w:val="auto"/>
        </w:rPr>
      </w:pPr>
    </w:p>
    <w:p>
      <w:pPr>
        <w:ind w:right="80" w:firstLine="509"/>
        <w:spacing w:after="0" w:line="221"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3" w:lineRule="exact"/>
        <w:rPr>
          <w:sz w:val="24"/>
          <w:szCs w:val="24"/>
          <w:color w:val="auto"/>
        </w:rPr>
      </w:pPr>
    </w:p>
    <w:p>
      <w:pPr>
        <w:ind w:right="220" w:firstLine="509"/>
        <w:spacing w:after="0" w:line="291"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1" w:lineRule="exact"/>
        <w:rPr>
          <w:sz w:val="24"/>
          <w:szCs w:val="24"/>
          <w:color w:val="auto"/>
        </w:rPr>
      </w:pPr>
    </w:p>
    <w:p>
      <w:pPr>
        <w:ind w:left="340" w:hanging="332"/>
        <w:spacing w:after="0" w:line="196" w:lineRule="exact"/>
        <w:tabs>
          <w:tab w:leader="none" w:pos="34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61" w:lineRule="exact"/>
        <w:rPr>
          <w:sz w:val="24"/>
          <w:szCs w:val="24"/>
          <w:color w:val="auto"/>
        </w:rPr>
      </w:pPr>
    </w:p>
    <w:p>
      <w:pPr>
        <w:ind w:right="260" w:firstLine="509"/>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4" w:lineRule="exact"/>
        <w:rPr>
          <w:sz w:val="24"/>
          <w:szCs w:val="24"/>
          <w:color w:val="auto"/>
        </w:rPr>
      </w:pPr>
    </w:p>
    <w:tbl>
      <w:tblPr>
        <w:tblLayout w:type="fixed"/>
        <w:tblInd w:w="1880" w:type="dxa"/>
        <w:tblCellMar>
          <w:top w:w="0" w:type="dxa"/>
          <w:left w:w="0" w:type="dxa"/>
          <w:bottom w:w="0" w:type="dxa"/>
          <w:right w:w="0" w:type="dxa"/>
        </w:tblCellMar>
      </w:tblPr>
      <w:tr>
        <w:trPr>
          <w:trHeight w:val="287"/>
        </w:trPr>
        <w:tc>
          <w:tcPr>
            <w:tcW w:w="236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1340" w:type="dxa"/>
            <w:vAlign w:val="bottom"/>
          </w:tcPr>
          <w:p>
            <w:pPr>
              <w:ind w:left="840"/>
              <w:spacing w:after="0" w:line="171" w:lineRule="exact"/>
              <w:rPr>
                <w:sz w:val="20"/>
                <w:szCs w:val="20"/>
                <w:color w:val="auto"/>
              </w:rPr>
            </w:pPr>
            <w:r>
              <w:rPr>
                <w:rFonts w:ascii="MS PGothic" w:cs="MS PGothic" w:eastAsia="MS PGothic" w:hAnsi="MS PGothic"/>
                <w:sz w:val="17"/>
                <w:szCs w:val="17"/>
                <w:color w:val="auto"/>
              </w:rPr>
              <w:t>☐</w:t>
            </w:r>
          </w:p>
        </w:tc>
        <w:tc>
          <w:tcPr>
            <w:tcW w:w="2880" w:type="dxa"/>
            <w:vAlign w:val="bottom"/>
          </w:tcPr>
          <w:p>
            <w:pPr>
              <w:ind w:left="340"/>
              <w:spacing w:after="0"/>
              <w:rPr>
                <w:sz w:val="20"/>
                <w:szCs w:val="20"/>
                <w:color w:val="auto"/>
              </w:rPr>
            </w:pPr>
            <w:r>
              <w:rPr>
                <w:rFonts w:ascii="Arial" w:cs="Arial" w:eastAsia="Arial" w:hAnsi="Arial"/>
                <w:sz w:val="17"/>
                <w:szCs w:val="17"/>
                <w:color w:val="auto"/>
              </w:rPr>
              <w:t>Accelerated filer</w:t>
            </w:r>
          </w:p>
        </w:tc>
        <w:tc>
          <w:tcPr>
            <w:tcW w:w="820" w:type="dxa"/>
            <w:vAlign w:val="bottom"/>
          </w:tcPr>
          <w:p>
            <w:pPr>
              <w:ind w:left="6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473"/>
        </w:trPr>
        <w:tc>
          <w:tcPr>
            <w:tcW w:w="2360" w:type="dxa"/>
            <w:vAlign w:val="bottom"/>
          </w:tcPr>
          <w:p>
            <w:pPr>
              <w:spacing w:after="0"/>
              <w:rPr>
                <w:sz w:val="20"/>
                <w:szCs w:val="20"/>
                <w:color w:val="auto"/>
              </w:rPr>
            </w:pPr>
            <w:r>
              <w:rPr>
                <w:rFonts w:ascii="Arial" w:cs="Arial" w:eastAsia="Arial" w:hAnsi="Arial"/>
                <w:sz w:val="17"/>
                <w:szCs w:val="17"/>
                <w:color w:val="auto"/>
              </w:rPr>
              <w:t>Non-accelerated filer</w:t>
            </w:r>
          </w:p>
        </w:tc>
        <w:tc>
          <w:tcPr>
            <w:tcW w:w="1340" w:type="dxa"/>
            <w:vAlign w:val="bottom"/>
          </w:tcPr>
          <w:p>
            <w:pPr>
              <w:ind w:left="840"/>
              <w:spacing w:after="0" w:line="171" w:lineRule="exact"/>
              <w:rPr>
                <w:sz w:val="20"/>
                <w:szCs w:val="20"/>
                <w:color w:val="auto"/>
              </w:rPr>
            </w:pPr>
            <w:r>
              <w:rPr>
                <w:rFonts w:ascii="MS PGothic" w:cs="MS PGothic" w:eastAsia="MS PGothic" w:hAnsi="MS PGothic"/>
                <w:sz w:val="17"/>
                <w:szCs w:val="17"/>
                <w:color w:val="auto"/>
              </w:rPr>
              <w:t>☒</w:t>
            </w:r>
          </w:p>
        </w:tc>
        <w:tc>
          <w:tcPr>
            <w:tcW w:w="2880" w:type="dxa"/>
            <w:vAlign w:val="bottom"/>
          </w:tcPr>
          <w:p>
            <w:pPr>
              <w:ind w:left="340"/>
              <w:spacing w:after="0"/>
              <w:rPr>
                <w:sz w:val="20"/>
                <w:szCs w:val="20"/>
                <w:color w:val="auto"/>
              </w:rPr>
            </w:pPr>
            <w:r>
              <w:rPr>
                <w:rFonts w:ascii="Arial" w:cs="Arial" w:eastAsia="Arial" w:hAnsi="Arial"/>
                <w:sz w:val="17"/>
                <w:szCs w:val="17"/>
                <w:color w:val="auto"/>
              </w:rPr>
              <w:t>Smaller reporting company</w:t>
            </w:r>
          </w:p>
        </w:tc>
        <w:tc>
          <w:tcPr>
            <w:tcW w:w="820" w:type="dxa"/>
            <w:vAlign w:val="bottom"/>
          </w:tcPr>
          <w:p>
            <w:pPr>
              <w:ind w:left="6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473"/>
        </w:trPr>
        <w:tc>
          <w:tcPr>
            <w:tcW w:w="2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80" w:type="dxa"/>
            <w:vAlign w:val="bottom"/>
          </w:tcPr>
          <w:p>
            <w:pPr>
              <w:ind w:left="340"/>
              <w:spacing w:after="0"/>
              <w:rPr>
                <w:sz w:val="20"/>
                <w:szCs w:val="20"/>
                <w:color w:val="auto"/>
              </w:rPr>
            </w:pPr>
            <w:r>
              <w:rPr>
                <w:rFonts w:ascii="Arial" w:cs="Arial" w:eastAsia="Arial" w:hAnsi="Arial"/>
                <w:sz w:val="17"/>
                <w:szCs w:val="17"/>
                <w:color w:val="auto"/>
              </w:rPr>
              <w:t>Emerging growth company</w:t>
            </w:r>
          </w:p>
        </w:tc>
        <w:tc>
          <w:tcPr>
            <w:tcW w:w="820" w:type="dxa"/>
            <w:vAlign w:val="bottom"/>
          </w:tcPr>
          <w:p>
            <w:pPr>
              <w:ind w:left="66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74" w:lineRule="exact"/>
        <w:rPr>
          <w:sz w:val="24"/>
          <w:szCs w:val="24"/>
          <w:color w:val="auto"/>
        </w:rPr>
      </w:pPr>
    </w:p>
    <w:p>
      <w:pPr>
        <w:ind w:right="20" w:firstLine="509"/>
        <w:spacing w:after="0" w:line="23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left="520" w:right="1640"/>
        <w:spacing w:after="0" w:line="25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May 11, 2023, the registrant had 39,746,116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393065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20" w:type="dxa"/>
            <w:vAlign w:val="bottom"/>
            <w:gridSpan w:val="6"/>
          </w:tcPr>
          <w:p>
            <w:pPr>
              <w:ind w:left="220"/>
              <w:spacing w:after="0"/>
              <w:rPr>
                <w:sz w:val="20"/>
                <w:szCs w:val="20"/>
                <w:color w:val="auto"/>
              </w:rPr>
            </w:pPr>
            <w:r>
              <w:rPr>
                <w:rFonts w:ascii="Arial" w:cs="Arial" w:eastAsia="Arial" w:hAnsi="Arial"/>
                <w:sz w:val="18"/>
                <w:szCs w:val="18"/>
                <w:b w:val="1"/>
                <w:bCs w:val="1"/>
                <w:color w:val="auto"/>
              </w:rPr>
              <w:t>Table of Contents</w:t>
            </w:r>
          </w:p>
        </w:tc>
        <w:tc>
          <w:tcPr>
            <w:tcW w:w="700" w:type="dxa"/>
            <w:vAlign w:val="bottom"/>
          </w:tcPr>
          <w:p>
            <w:pPr>
              <w:spacing w:after="0"/>
              <w:rPr>
                <w:sz w:val="20"/>
                <w:szCs w:val="20"/>
                <w:color w:val="auto"/>
              </w:rPr>
            </w:pPr>
          </w:p>
        </w:tc>
      </w:tr>
      <w:tr>
        <w:trPr>
          <w:trHeight w:val="392"/>
        </w:trPr>
        <w:tc>
          <w:tcPr>
            <w:tcW w:w="10540" w:type="dxa"/>
            <w:vAlign w:val="bottom"/>
            <w:gridSpan w:val="20"/>
          </w:tcPr>
          <w:p>
            <w:pPr>
              <w:spacing w:after="0"/>
              <w:rPr>
                <w:sz w:val="20"/>
                <w:szCs w:val="20"/>
                <w:color w:val="auto"/>
              </w:rPr>
            </w:pPr>
            <w:r>
              <w:rPr>
                <w:rFonts w:ascii="Arial" w:cs="Arial" w:eastAsia="Arial" w:hAnsi="Arial"/>
                <w:sz w:val="18"/>
                <w:szCs w:val="18"/>
                <w:color w:val="0000FF"/>
              </w:rPr>
              <w:t>SUMMARY OF RISKS ASSOCIATED WITH OUR BUSINESS</w:t>
            </w:r>
          </w:p>
        </w:tc>
        <w:tc>
          <w:tcPr>
            <w:tcW w:w="700" w:type="dxa"/>
            <w:vAlign w:val="bottom"/>
          </w:tcPr>
          <w:p>
            <w:pPr>
              <w:spacing w:after="0"/>
              <w:rPr>
                <w:sz w:val="24"/>
                <w:szCs w:val="24"/>
                <w:color w:val="auto"/>
              </w:rPr>
            </w:pPr>
          </w:p>
        </w:tc>
      </w:tr>
      <w:tr>
        <w:trPr>
          <w:trHeight w:val="223"/>
        </w:trPr>
        <w:tc>
          <w:tcPr>
            <w:tcW w:w="1160" w:type="dxa"/>
            <w:vAlign w:val="bottom"/>
            <w:tcBorders>
              <w:top w:val="single" w:sz="8" w:color="0000FF"/>
            </w:tcBorders>
          </w:tcPr>
          <w:p>
            <w:pPr>
              <w:spacing w:after="0"/>
              <w:rPr>
                <w:sz w:val="19"/>
                <w:szCs w:val="19"/>
                <w:color w:val="auto"/>
              </w:rPr>
            </w:pPr>
          </w:p>
        </w:tc>
        <w:tc>
          <w:tcPr>
            <w:tcW w:w="6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4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7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Page</w:t>
            </w:r>
          </w:p>
        </w:tc>
      </w:tr>
      <w:tr>
        <w:trPr>
          <w:trHeight w:val="425"/>
        </w:trPr>
        <w:tc>
          <w:tcPr>
            <w:tcW w:w="1160" w:type="dxa"/>
            <w:vAlign w:val="bottom"/>
          </w:tcPr>
          <w:p>
            <w:pPr>
              <w:ind w:left="20"/>
              <w:spacing w:after="0"/>
              <w:rPr>
                <w:sz w:val="20"/>
                <w:szCs w:val="20"/>
                <w:color w:val="auto"/>
              </w:rPr>
            </w:pPr>
            <w:r>
              <w:rPr>
                <w:rFonts w:ascii="Arial" w:cs="Arial" w:eastAsia="Arial" w:hAnsi="Arial"/>
                <w:sz w:val="18"/>
                <w:szCs w:val="18"/>
                <w:b w:val="1"/>
                <w:bCs w:val="1"/>
                <w:color w:val="auto"/>
              </w:rPr>
              <w:t>PART I.</w:t>
            </w:r>
          </w:p>
        </w:tc>
        <w:tc>
          <w:tcPr>
            <w:tcW w:w="226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FINANCIAL INFORMATION</w:t>
            </w:r>
          </w:p>
        </w:tc>
        <w:tc>
          <w:tcPr>
            <w:tcW w:w="7120" w:type="dxa"/>
            <w:vAlign w:val="bottom"/>
            <w:gridSpan w:val="11"/>
          </w:tcPr>
          <w:p>
            <w:pPr>
              <w:spacing w:after="0"/>
              <w:rPr>
                <w:sz w:val="24"/>
                <w:szCs w:val="24"/>
                <w:color w:val="auto"/>
              </w:rPr>
            </w:pPr>
          </w:p>
        </w:tc>
        <w:tc>
          <w:tcPr>
            <w:tcW w:w="700" w:type="dxa"/>
            <w:vAlign w:val="bottom"/>
          </w:tcPr>
          <w:p>
            <w:pPr>
              <w:spacing w:after="0"/>
              <w:rPr>
                <w:sz w:val="24"/>
                <w:szCs w:val="24"/>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Item 1.</w:t>
            </w:r>
          </w:p>
        </w:tc>
        <w:tc>
          <w:tcPr>
            <w:tcW w:w="9380" w:type="dxa"/>
            <w:vAlign w:val="bottom"/>
            <w:gridSpan w:val="19"/>
          </w:tcPr>
          <w:p>
            <w:pPr>
              <w:spacing w:after="0"/>
              <w:rPr>
                <w:sz w:val="20"/>
                <w:szCs w:val="20"/>
                <w:color w:val="auto"/>
              </w:rPr>
            </w:pPr>
            <w:r>
              <w:rPr>
                <w:rFonts w:ascii="Arial" w:cs="Arial" w:eastAsia="Arial" w:hAnsi="Arial"/>
                <w:sz w:val="18"/>
                <w:szCs w:val="18"/>
                <w:color w:val="0000FF"/>
              </w:rPr>
              <w:t>Unaudited Condensed Financial Statements</w:t>
            </w: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1160" w:type="dxa"/>
            <w:vAlign w:val="bottom"/>
          </w:tcPr>
          <w:p>
            <w:pPr>
              <w:spacing w:after="0"/>
              <w:rPr>
                <w:sz w:val="19"/>
                <w:szCs w:val="19"/>
                <w:color w:val="auto"/>
              </w:rPr>
            </w:pPr>
          </w:p>
        </w:tc>
        <w:tc>
          <w:tcPr>
            <w:tcW w:w="314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0000FF"/>
              </w:rPr>
              <w:t>Condensed Balance Sheets</w:t>
            </w:r>
          </w:p>
        </w:tc>
        <w:tc>
          <w:tcPr>
            <w:tcW w:w="6240" w:type="dxa"/>
            <w:vAlign w:val="bottom"/>
            <w:gridSpan w:val="8"/>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454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88"/>
              </w:rPr>
              <w:t>Condensed Statements of Operations and Comprehensive Loss</w:t>
            </w:r>
          </w:p>
        </w:tc>
        <w:tc>
          <w:tcPr>
            <w:tcW w:w="4840" w:type="dxa"/>
            <w:vAlign w:val="bottom"/>
            <w:gridSpan w:val="2"/>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1160" w:type="dxa"/>
            <w:vAlign w:val="bottom"/>
          </w:tcPr>
          <w:p>
            <w:pPr>
              <w:spacing w:after="0"/>
              <w:rPr>
                <w:sz w:val="19"/>
                <w:szCs w:val="19"/>
                <w:color w:val="auto"/>
              </w:rPr>
            </w:pPr>
          </w:p>
        </w:tc>
        <w:tc>
          <w:tcPr>
            <w:tcW w:w="9380" w:type="dxa"/>
            <w:vAlign w:val="bottom"/>
            <w:gridSpan w:val="19"/>
          </w:tcPr>
          <w:p>
            <w:pPr>
              <w:spacing w:after="0"/>
              <w:rPr>
                <w:sz w:val="20"/>
                <w:szCs w:val="20"/>
                <w:color w:val="auto"/>
              </w:rPr>
            </w:pPr>
            <w:r>
              <w:rPr>
                <w:rFonts w:ascii="Arial" w:cs="Arial" w:eastAsia="Arial" w:hAnsi="Arial"/>
                <w:sz w:val="18"/>
                <w:szCs w:val="18"/>
                <w:color w:val="0000FF"/>
              </w:rPr>
              <w:t>Condensed Statements of Stockholders’ Equity</w:t>
            </w: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1160" w:type="dxa"/>
            <w:vAlign w:val="bottom"/>
          </w:tcPr>
          <w:p>
            <w:pPr>
              <w:spacing w:after="0"/>
              <w:rPr>
                <w:sz w:val="19"/>
                <w:szCs w:val="19"/>
                <w:color w:val="auto"/>
              </w:rPr>
            </w:pPr>
          </w:p>
        </w:tc>
        <w:tc>
          <w:tcPr>
            <w:tcW w:w="338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0000FF"/>
              </w:rPr>
              <w:t>Condensed Statements of Cash Flows</w:t>
            </w:r>
          </w:p>
        </w:tc>
        <w:tc>
          <w:tcPr>
            <w:tcW w:w="6000" w:type="dxa"/>
            <w:vAlign w:val="bottom"/>
            <w:gridSpan w:val="7"/>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9380" w:type="dxa"/>
            <w:vAlign w:val="bottom"/>
            <w:gridSpan w:val="19"/>
          </w:tcPr>
          <w:p>
            <w:pPr>
              <w:spacing w:after="0"/>
              <w:rPr>
                <w:sz w:val="20"/>
                <w:szCs w:val="20"/>
                <w:color w:val="auto"/>
              </w:rPr>
            </w:pPr>
            <w:r>
              <w:rPr>
                <w:rFonts w:ascii="Arial" w:cs="Arial" w:eastAsia="Arial" w:hAnsi="Arial"/>
                <w:sz w:val="18"/>
                <w:szCs w:val="18"/>
                <w:color w:val="0000FF"/>
              </w:rPr>
              <w:t>Notes to the Unaudited Condensed Financial Statements</w:t>
            </w: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9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0"/>
        </w:trPr>
        <w:tc>
          <w:tcPr>
            <w:tcW w:w="1160" w:type="dxa"/>
            <w:vAlign w:val="bottom"/>
          </w:tcPr>
          <w:p>
            <w:pPr>
              <w:ind w:left="20"/>
              <w:spacing w:after="0"/>
              <w:rPr>
                <w:sz w:val="20"/>
                <w:szCs w:val="20"/>
                <w:color w:val="auto"/>
              </w:rPr>
            </w:pPr>
            <w:r>
              <w:rPr>
                <w:rFonts w:ascii="Arial" w:cs="Arial" w:eastAsia="Arial" w:hAnsi="Arial"/>
                <w:sz w:val="18"/>
                <w:szCs w:val="18"/>
                <w:color w:val="auto"/>
              </w:rPr>
              <w:t>Item 3.</w:t>
            </w:r>
          </w:p>
        </w:tc>
        <w:tc>
          <w:tcPr>
            <w:tcW w:w="438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5000" w:type="dxa"/>
            <w:vAlign w:val="bottom"/>
            <w:gridSpan w:val="3"/>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8"/>
              </w:rPr>
              <w:t>Controls and Procedures</w:t>
            </w:r>
          </w:p>
        </w:tc>
        <w:tc>
          <w:tcPr>
            <w:tcW w:w="7600" w:type="dxa"/>
            <w:vAlign w:val="bottom"/>
            <w:gridSpan w:val="13"/>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66"/>
        </w:trPr>
        <w:tc>
          <w:tcPr>
            <w:tcW w:w="116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9380" w:type="dxa"/>
            <w:vAlign w:val="bottom"/>
            <w:gridSpan w:val="19"/>
          </w:tcPr>
          <w:p>
            <w:pPr>
              <w:spacing w:after="0"/>
              <w:rPr>
                <w:sz w:val="20"/>
                <w:szCs w:val="20"/>
                <w:color w:val="auto"/>
              </w:rPr>
            </w:pPr>
            <w:r>
              <w:rPr>
                <w:rFonts w:ascii="Arial" w:cs="Arial" w:eastAsia="Arial" w:hAnsi="Arial"/>
                <w:sz w:val="18"/>
                <w:szCs w:val="18"/>
                <w:color w:val="0000FF"/>
              </w:rPr>
              <w:t>OTHER INFORMATION</w:t>
            </w:r>
          </w:p>
        </w:tc>
        <w:tc>
          <w:tcPr>
            <w:tcW w:w="700" w:type="dxa"/>
            <w:vAlign w:val="bottom"/>
          </w:tcPr>
          <w:p>
            <w:pPr>
              <w:spacing w:after="0"/>
              <w:rPr>
                <w:sz w:val="24"/>
                <w:szCs w:val="24"/>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88"/>
              </w:rPr>
              <w:t>Legal Proceedings</w:t>
            </w:r>
          </w:p>
        </w:tc>
        <w:tc>
          <w:tcPr>
            <w:tcW w:w="600" w:type="dxa"/>
            <w:vAlign w:val="bottom"/>
            <w:tcBorders>
              <w:top w:val="single" w:sz="8" w:color="0000FF"/>
            </w:tcBorders>
            <w:gridSpan w:val="2"/>
          </w:tcPr>
          <w:p>
            <w:pPr>
              <w:spacing w:after="0"/>
              <w:rPr>
                <w:sz w:val="19"/>
                <w:szCs w:val="19"/>
                <w:color w:val="auto"/>
              </w:rPr>
            </w:pPr>
          </w:p>
        </w:tc>
        <w:tc>
          <w:tcPr>
            <w:tcW w:w="7440" w:type="dxa"/>
            <w:vAlign w:val="bottom"/>
            <w:gridSpan w:val="12"/>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Item 1A.</w:t>
            </w:r>
          </w:p>
        </w:tc>
        <w:tc>
          <w:tcPr>
            <w:tcW w:w="9380" w:type="dxa"/>
            <w:vAlign w:val="bottom"/>
            <w:gridSpan w:val="19"/>
          </w:tcPr>
          <w:p>
            <w:pPr>
              <w:spacing w:after="0"/>
              <w:rPr>
                <w:sz w:val="20"/>
                <w:szCs w:val="20"/>
                <w:color w:val="auto"/>
              </w:rPr>
            </w:pPr>
            <w:r>
              <w:rPr>
                <w:rFonts w:ascii="Arial" w:cs="Arial" w:eastAsia="Arial" w:hAnsi="Arial"/>
                <w:sz w:val="18"/>
                <w:szCs w:val="18"/>
                <w:color w:val="0000FF"/>
              </w:rPr>
              <w:t>Risk Factors</w:t>
            </w: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5020" w:type="dxa"/>
            <w:vAlign w:val="bottom"/>
            <w:gridSpan w:val="4"/>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Item 3.</w:t>
            </w:r>
          </w:p>
        </w:tc>
        <w:tc>
          <w:tcPr>
            <w:tcW w:w="9380" w:type="dxa"/>
            <w:vAlign w:val="bottom"/>
            <w:gridSpan w:val="19"/>
          </w:tcPr>
          <w:p>
            <w:pPr>
              <w:spacing w:after="0"/>
              <w:rPr>
                <w:sz w:val="20"/>
                <w:szCs w:val="20"/>
                <w:color w:val="auto"/>
              </w:rPr>
            </w:pPr>
            <w:r>
              <w:rPr>
                <w:rFonts w:ascii="Arial" w:cs="Arial" w:eastAsia="Arial" w:hAnsi="Arial"/>
                <w:sz w:val="18"/>
                <w:szCs w:val="18"/>
                <w:color w:val="0000FF"/>
              </w:rPr>
              <w:t>Defaults Upon Senior Securities</w:t>
            </w:r>
          </w:p>
        </w:tc>
        <w:tc>
          <w:tcPr>
            <w:tcW w:w="7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1"/>
              </w:rPr>
              <w:t>Mine Safety Disclosures</w:t>
            </w:r>
          </w:p>
        </w:tc>
        <w:tc>
          <w:tcPr>
            <w:tcW w:w="540" w:type="dxa"/>
            <w:vAlign w:val="bottom"/>
            <w:tcBorders>
              <w:top w:val="single" w:sz="8" w:color="0000FF"/>
            </w:tcBorders>
            <w:gridSpan w:val="3"/>
          </w:tcPr>
          <w:p>
            <w:pPr>
              <w:spacing w:after="0"/>
              <w:rPr>
                <w:sz w:val="19"/>
                <w:szCs w:val="19"/>
                <w:color w:val="auto"/>
              </w:rPr>
            </w:pPr>
          </w:p>
        </w:tc>
        <w:tc>
          <w:tcPr>
            <w:tcW w:w="7060" w:type="dxa"/>
            <w:vAlign w:val="bottom"/>
            <w:gridSpan w:val="10"/>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2"/>
              </w:rPr>
              <w:t>Other Information</w:t>
            </w:r>
          </w:p>
        </w:tc>
        <w:tc>
          <w:tcPr>
            <w:tcW w:w="8060" w:type="dxa"/>
            <w:vAlign w:val="bottom"/>
            <w:gridSpan w:val="15"/>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Item 6.</w:t>
            </w:r>
          </w:p>
        </w:tc>
        <w:tc>
          <w:tcPr>
            <w:tcW w:w="9380" w:type="dxa"/>
            <w:vAlign w:val="bottom"/>
            <w:gridSpan w:val="19"/>
          </w:tcPr>
          <w:p>
            <w:pPr>
              <w:spacing w:after="0"/>
              <w:rPr>
                <w:sz w:val="20"/>
                <w:szCs w:val="20"/>
                <w:color w:val="auto"/>
              </w:rPr>
            </w:pPr>
            <w:r>
              <w:rPr>
                <w:rFonts w:ascii="Arial" w:cs="Arial" w:eastAsia="Arial" w:hAnsi="Arial"/>
                <w:sz w:val="18"/>
                <w:szCs w:val="18"/>
                <w:color w:val="0000FF"/>
              </w:rPr>
              <w:t>Exhibits</w:t>
            </w:r>
          </w:p>
        </w:tc>
        <w:tc>
          <w:tcPr>
            <w:tcW w:w="7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20" w:type="dxa"/>
            <w:vAlign w:val="bottom"/>
            <w:gridSpan w:val="1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9380" w:type="dxa"/>
            <w:vAlign w:val="bottom"/>
            <w:gridSpan w:val="19"/>
          </w:tcPr>
          <w:p>
            <w:pPr>
              <w:spacing w:after="0"/>
              <w:rPr>
                <w:sz w:val="20"/>
                <w:szCs w:val="20"/>
                <w:color w:val="auto"/>
              </w:rPr>
            </w:pPr>
            <w:r>
              <w:rPr>
                <w:rFonts w:ascii="Arial" w:cs="Arial" w:eastAsia="Arial" w:hAnsi="Arial"/>
                <w:sz w:val="18"/>
                <w:szCs w:val="18"/>
                <w:color w:val="0000FF"/>
              </w:rPr>
              <w:t>Signatures</w:t>
            </w:r>
          </w:p>
        </w:tc>
        <w:tc>
          <w:tcPr>
            <w:tcW w:w="7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608"/>
        </w:trPr>
        <w:tc>
          <w:tcPr>
            <w:tcW w:w="116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RISKS ASSOCIATED WITH OUR BUSINESS</w:t>
      </w:r>
    </w:p>
    <w:p>
      <w:pPr>
        <w:spacing w:after="0" w:line="121"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We face risks and uncertainties associated with our business, many of which are beyond our control. Some of the material risks associated with our business include the following:</w:t>
      </w:r>
    </w:p>
    <w:p>
      <w:pPr>
        <w:spacing w:after="0" w:line="62" w:lineRule="exact"/>
        <w:rPr>
          <w:sz w:val="20"/>
          <w:szCs w:val="20"/>
          <w:color w:val="auto"/>
        </w:rPr>
      </w:pPr>
    </w:p>
    <w:p>
      <w:pPr>
        <w:ind w:left="1020" w:right="380" w:hanging="503"/>
        <w:spacing w:after="0" w:line="26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 limited operating history, have incurred significant net losses since our inception, and anticipate that we will continue to incur significant net losses for the foreseeable future. We expect these losses to increase as we continue our clinical development of, and seek regulatory approvals for, tildacerfont and any future product candidates.</w:t>
      </w:r>
    </w:p>
    <w:p>
      <w:pPr>
        <w:spacing w:after="0" w:line="75" w:lineRule="exact"/>
        <w:rPr>
          <w:rFonts w:ascii="Arial" w:cs="Arial" w:eastAsia="Arial" w:hAnsi="Arial"/>
          <w:sz w:val="18"/>
          <w:szCs w:val="18"/>
          <w:color w:val="auto"/>
        </w:rPr>
      </w:pPr>
    </w:p>
    <w:p>
      <w:pPr>
        <w:ind w:left="1020" w:right="40" w:hanging="503"/>
        <w:spacing w:after="0" w:line="26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need substantial additional financing to develop tildacerfont and any future product candidates and implement our operating plans. If we fail to obtain additional financing, we may be forced to delay, reduce or eliminate our product development programs or commercialization efforts.</w:t>
      </w:r>
    </w:p>
    <w:p>
      <w:pPr>
        <w:spacing w:after="0" w:line="75" w:lineRule="exact"/>
        <w:rPr>
          <w:rFonts w:ascii="Arial" w:cs="Arial" w:eastAsia="Arial" w:hAnsi="Arial"/>
          <w:sz w:val="18"/>
          <w:szCs w:val="18"/>
          <w:color w:val="auto"/>
        </w:rPr>
      </w:pPr>
    </w:p>
    <w:p>
      <w:pPr>
        <w:ind w:left="1020" w:right="60" w:hanging="503"/>
        <w:spacing w:after="0" w:line="26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currently depend entirely on the success of tildacerfont, which is our only product candidate. If we are unable to advance tildacerfont in clinical development, obtain regulatory approval, and ultimately commercialize tildacerfont, or experience significant delays in doing so, our business will be materially harmed.</w:t>
      </w:r>
    </w:p>
    <w:p>
      <w:pPr>
        <w:spacing w:after="0" w:line="7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encounter difficulties enrolling patients in our clinical trials, our clinical development activities could be delayed or otherwise adversely affected.</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clinical trials may fail to adequately demonstrate the safety and efficacy of tildacerfont, which could prevent or delay regulatory approval and commercialization.</w:t>
      </w:r>
    </w:p>
    <w:p>
      <w:pPr>
        <w:spacing w:after="0" w:line="62" w:lineRule="exact"/>
        <w:rPr>
          <w:rFonts w:ascii="Arial" w:cs="Arial" w:eastAsia="Arial" w:hAnsi="Arial"/>
          <w:sz w:val="18"/>
          <w:szCs w:val="18"/>
          <w:color w:val="auto"/>
        </w:rPr>
      </w:pPr>
    </w:p>
    <w:p>
      <w:pPr>
        <w:ind w:left="1020" w:right="44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delays in the commencement or completion, or termination or suspension, of our clinical trials could result in increased costs to us, delay or limit our ability to generate revenue, and adversely affect our commercial prospects.</w:t>
      </w:r>
    </w:p>
    <w:p>
      <w:pPr>
        <w:spacing w:after="0" w:line="62" w:lineRule="exact"/>
        <w:rPr>
          <w:rFonts w:ascii="Arial" w:cs="Arial" w:eastAsia="Arial" w:hAnsi="Arial"/>
          <w:sz w:val="18"/>
          <w:szCs w:val="18"/>
          <w:color w:val="auto"/>
        </w:rPr>
      </w:pPr>
    </w:p>
    <w:p>
      <w:pPr>
        <w:ind w:left="1020" w:right="200" w:hanging="503"/>
        <w:spacing w:after="0" w:line="25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U.S. Food and Drug Administration ("FDA") and comparable foreign regulatory authorities may require us to initiate one or more additional clinical trials for tildacerfont in adult patients with classic congenital adrenal hyperplasia ("CAH"), including a Phase 3 clinical trial or trials. The estimated timing or scope of any such future clinical trials is not currently ascertainable. Even if regulatory approvals are obtained, we may never be able to successfully commercialize tildacerfont.</w:t>
      </w:r>
    </w:p>
    <w:p>
      <w:pPr>
        <w:spacing w:after="0" w:line="78" w:lineRule="exact"/>
        <w:rPr>
          <w:rFonts w:ascii="Arial" w:cs="Arial" w:eastAsia="Arial" w:hAnsi="Arial"/>
          <w:sz w:val="18"/>
          <w:szCs w:val="18"/>
          <w:color w:val="auto"/>
        </w:rPr>
      </w:pPr>
    </w:p>
    <w:p>
      <w:pPr>
        <w:ind w:left="1020" w:right="280" w:hanging="503"/>
        <w:spacing w:after="0" w:line="286"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Preclinical and clinical drug development involves a lengthy and expensive process with uncertain outcomes, and results of earlier studies and trials may not be predictive of future trial results. We may incur additional costs or experience delays in completing, or ultimately be unable to complete, the development and commercialization of tildacerfont and any future product candidates.</w:t>
      </w:r>
    </w:p>
    <w:p>
      <w:pPr>
        <w:spacing w:after="0" w:line="57" w:lineRule="exact"/>
        <w:rPr>
          <w:rFonts w:ascii="Arial" w:cs="Arial" w:eastAsia="Arial" w:hAnsi="Arial"/>
          <w:sz w:val="17"/>
          <w:szCs w:val="17"/>
          <w:color w:val="auto"/>
        </w:rPr>
      </w:pPr>
    </w:p>
    <w:p>
      <w:pPr>
        <w:ind w:left="1020" w:right="50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Unfavorable U.S. and global economic and geopolitical conditions could adversely affect our business, financial condition or results of operations.</w:t>
      </w:r>
    </w:p>
    <w:p>
      <w:pPr>
        <w:spacing w:after="0" w:line="62" w:lineRule="exact"/>
        <w:rPr>
          <w:rFonts w:ascii="Arial" w:cs="Arial" w:eastAsia="Arial" w:hAnsi="Arial"/>
          <w:sz w:val="18"/>
          <w:szCs w:val="18"/>
          <w:color w:val="auto"/>
        </w:rPr>
      </w:pPr>
    </w:p>
    <w:p>
      <w:pPr>
        <w:ind w:left="1020" w:right="220" w:hanging="503"/>
        <w:spacing w:after="0" w:line="26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Tildacerfont is, and any future product candidates will be, subject to extensive regulation and compliance obligations, which are costly and time-consuming, and such regulation may cause unanticipated delays or prevent the receipt of the required approvals to commercialize tildacerfont and any future product candidates.</w:t>
      </w:r>
    </w:p>
    <w:p>
      <w:pPr>
        <w:spacing w:after="0" w:line="75"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market opportunities for tildacerfont and any future product candidates are smaller than we believe they are, our future revenue may be adversely affected, and our business may suffer.</w:t>
      </w:r>
    </w:p>
    <w:p>
      <w:pPr>
        <w:spacing w:after="0" w:line="62" w:lineRule="exact"/>
        <w:rPr>
          <w:rFonts w:ascii="Arial" w:cs="Arial" w:eastAsia="Arial" w:hAnsi="Arial"/>
          <w:sz w:val="18"/>
          <w:szCs w:val="18"/>
          <w:color w:val="auto"/>
        </w:rPr>
      </w:pPr>
    </w:p>
    <w:p>
      <w:pPr>
        <w:ind w:left="1020" w:hanging="503"/>
        <w:spacing w:after="0" w:line="311"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may not be successful in our efforts to expand our pipeline by identifying additional indications and formulations for which to investigate tildacerfont in the future. We may expend our limited resources to pursue a particular indication or formulation for tildacerfont and fail to capitalize on product candidates, indications, or formulations that may be more profitable or for which there is a greater likelihood of success.</w:t>
      </w:r>
    </w:p>
    <w:p>
      <w:pPr>
        <w:spacing w:after="0" w:line="40" w:lineRule="exact"/>
        <w:rPr>
          <w:rFonts w:ascii="Arial" w:cs="Arial" w:eastAsia="Arial" w:hAnsi="Arial"/>
          <w:sz w:val="16"/>
          <w:szCs w:val="16"/>
          <w:color w:val="auto"/>
        </w:rPr>
      </w:pPr>
    </w:p>
    <w:p>
      <w:pPr>
        <w:jc w:val="both"/>
        <w:ind w:left="1020" w:right="100" w:hanging="503"/>
        <w:spacing w:after="0" w:line="26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currently have no marketing and sales organization and have yet to commercialize a product. If we are unable to establish marketing and sales capabilities or enter into agreements with third parties to market and sell tildacerfont and any future product candidates, we may not be able to generate product revenues.</w:t>
      </w:r>
    </w:p>
    <w:p>
      <w:pPr>
        <w:spacing w:after="0" w:line="75"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highly dependent on our key personnel, and if we are not successful in attracting and retaining highly qualified personnel, we may not be able to successfully implement our business strategy.</w:t>
      </w:r>
    </w:p>
    <w:p>
      <w:pPr>
        <w:spacing w:after="0" w:line="62" w:lineRule="exact"/>
        <w:rPr>
          <w:rFonts w:ascii="Arial" w:cs="Arial" w:eastAsia="Arial" w:hAnsi="Arial"/>
          <w:sz w:val="18"/>
          <w:szCs w:val="18"/>
          <w:color w:val="auto"/>
        </w:rPr>
      </w:pPr>
    </w:p>
    <w:p>
      <w:pPr>
        <w:ind w:left="1020" w:right="52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third parties to conduct our clinical trials. If these third parties do not successfully carry out their contractual duties or meet expected deadlines, we may not be able to obtain regulatory approval for or commercialize tildacerfont.</w:t>
      </w:r>
    </w:p>
    <w:p>
      <w:pPr>
        <w:spacing w:after="0" w:line="62" w:lineRule="exact"/>
        <w:rPr>
          <w:rFonts w:ascii="Arial" w:cs="Arial" w:eastAsia="Arial" w:hAnsi="Arial"/>
          <w:sz w:val="18"/>
          <w:szCs w:val="18"/>
          <w:color w:val="auto"/>
        </w:rPr>
      </w:pPr>
    </w:p>
    <w:p>
      <w:pPr>
        <w:ind w:left="1020" w:right="100" w:hanging="503"/>
        <w:spacing w:after="0" w:line="301"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we are unable to obtain and maintain sufficient intellectual property protection for tildacerfont, any future product candidates, and other proprietary technologies we develop, or if the scope of the intellectual property protection obtained is not sufficiently broad, our competitors could develop and commercialize products similar or identical to ours, and our ability to successfully commercialize tildacerfont, if approved, and any future product candidates, and other proprietary technologies if approved, may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SPRUCE BIOSCIENCES,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6"/>
                <w:szCs w:val="16"/>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228"/>
        </w:trPr>
        <w:tc>
          <w:tcPr>
            <w:tcW w:w="76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9"/>
                <w:szCs w:val="19"/>
                <w:color w:val="auto"/>
              </w:rPr>
            </w:pPr>
          </w:p>
        </w:tc>
      </w:tr>
      <w:tr>
        <w:trPr>
          <w:trHeight w:val="237"/>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7660" w:type="dxa"/>
            <w:vAlign w:val="bottom"/>
          </w:tcPr>
          <w:p>
            <w:pPr>
              <w:ind w:left="1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73,926</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24,487</w:t>
            </w:r>
          </w:p>
        </w:tc>
        <w:tc>
          <w:tcPr>
            <w:tcW w:w="140" w:type="dxa"/>
            <w:vAlign w:val="bottom"/>
            <w:shd w:val="clear" w:color="auto" w:fill="CFF0FC"/>
          </w:tcPr>
          <w:p>
            <w:pPr>
              <w:spacing w:after="0"/>
              <w:rPr>
                <w:sz w:val="21"/>
                <w:szCs w:val="21"/>
                <w:color w:val="auto"/>
              </w:rPr>
            </w:pPr>
          </w:p>
        </w:tc>
      </w:tr>
      <w:tr>
        <w:trPr>
          <w:trHeight w:val="237"/>
        </w:trPr>
        <w:tc>
          <w:tcPr>
            <w:tcW w:w="766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44,659</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54,590</w:t>
            </w:r>
          </w:p>
        </w:tc>
        <w:tc>
          <w:tcPr>
            <w:tcW w:w="140" w:type="dxa"/>
            <w:vAlign w:val="bottom"/>
          </w:tcPr>
          <w:p>
            <w:pPr>
              <w:spacing w:after="0"/>
              <w:rPr>
                <w:sz w:val="20"/>
                <w:szCs w:val="20"/>
                <w:color w:val="auto"/>
              </w:rPr>
            </w:pPr>
          </w:p>
        </w:tc>
      </w:tr>
      <w:tr>
        <w:trPr>
          <w:trHeight w:val="249"/>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r>
      <w:tr>
        <w:trPr>
          <w:trHeight w:val="237"/>
        </w:trPr>
        <w:tc>
          <w:tcPr>
            <w:tcW w:w="7660" w:type="dxa"/>
            <w:vAlign w:val="bottom"/>
          </w:tcPr>
          <w:p>
            <w:pPr>
              <w:ind w:left="200"/>
              <w:spacing w:after="0"/>
              <w:rPr>
                <w:sz w:val="20"/>
                <w:szCs w:val="20"/>
                <w:color w:val="auto"/>
              </w:rPr>
            </w:pPr>
            <w:r>
              <w:rPr>
                <w:rFonts w:ascii="Arial" w:cs="Arial" w:eastAsia="Arial" w:hAnsi="Arial"/>
                <w:sz w:val="18"/>
                <w:szCs w:val="18"/>
                <w:color w:val="auto"/>
              </w:rPr>
              <w:t>Prepaid expenses</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3,398</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3,320</w:t>
            </w:r>
          </w:p>
        </w:tc>
        <w:tc>
          <w:tcPr>
            <w:tcW w:w="140" w:type="dxa"/>
            <w:vAlign w:val="bottom"/>
          </w:tcPr>
          <w:p>
            <w:pPr>
              <w:spacing w:after="0"/>
              <w:rPr>
                <w:sz w:val="20"/>
                <w:szCs w:val="20"/>
                <w:color w:val="auto"/>
              </w:rPr>
            </w:pPr>
          </w:p>
        </w:tc>
      </w:tr>
      <w:tr>
        <w:trPr>
          <w:trHeight w:val="243"/>
        </w:trPr>
        <w:tc>
          <w:tcPr>
            <w:tcW w:w="7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3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1,211</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137,236</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83,608</w:t>
            </w:r>
          </w:p>
        </w:tc>
        <w:tc>
          <w:tcPr>
            <w:tcW w:w="140" w:type="dxa"/>
            <w:vAlign w:val="bottom"/>
          </w:tcPr>
          <w:p>
            <w:pPr>
              <w:spacing w:after="0"/>
              <w:rPr>
                <w:sz w:val="20"/>
                <w:szCs w:val="20"/>
                <w:color w:val="auto"/>
              </w:rPr>
            </w:pPr>
          </w:p>
        </w:tc>
      </w:tr>
      <w:tr>
        <w:trPr>
          <w:trHeight w:val="249"/>
        </w:trPr>
        <w:tc>
          <w:tcPr>
            <w:tcW w:w="7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Right-of-use assets</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140" w:type="dxa"/>
            <w:vAlign w:val="bottom"/>
            <w:shd w:val="clear" w:color="auto" w:fill="CFF0FC"/>
          </w:tcPr>
          <w:p>
            <w:pPr>
              <w:spacing w:after="0"/>
              <w:rPr>
                <w:sz w:val="21"/>
                <w:szCs w:val="21"/>
                <w:color w:val="auto"/>
              </w:rPr>
            </w:pPr>
          </w:p>
        </w:tc>
      </w:tr>
      <w:tr>
        <w:trPr>
          <w:trHeight w:val="237"/>
        </w:trPr>
        <w:tc>
          <w:tcPr>
            <w:tcW w:w="7660" w:type="dxa"/>
            <w:vAlign w:val="bottom"/>
          </w:tcPr>
          <w:p>
            <w:pPr>
              <w:ind w:left="12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140" w:type="dxa"/>
            <w:vAlign w:val="bottom"/>
          </w:tcPr>
          <w:p>
            <w:pPr>
              <w:spacing w:after="0"/>
              <w:rPr>
                <w:sz w:val="20"/>
                <w:szCs w:val="20"/>
                <w:color w:val="auto"/>
              </w:rPr>
            </w:pPr>
          </w:p>
        </w:tc>
      </w:tr>
      <w:tr>
        <w:trPr>
          <w:trHeight w:val="277"/>
        </w:trPr>
        <w:tc>
          <w:tcPr>
            <w:tcW w:w="76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139,114</w:t>
            </w:r>
          </w:p>
        </w:tc>
        <w:tc>
          <w:tcPr>
            <w:tcW w:w="3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85,648</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226"/>
        </w:trPr>
        <w:tc>
          <w:tcPr>
            <w:tcW w:w="766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7"/>
        </w:trPr>
        <w:tc>
          <w:tcPr>
            <w:tcW w:w="7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6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3,448</w:t>
            </w:r>
          </w:p>
        </w:tc>
        <w:tc>
          <w:tcPr>
            <w:tcW w:w="340" w:type="dxa"/>
            <w:vAlign w:val="bottom"/>
          </w:tcPr>
          <w:p>
            <w:pPr>
              <w:spacing w:after="0"/>
              <w:rPr>
                <w:sz w:val="20"/>
                <w:szCs w:val="20"/>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1,426</w:t>
            </w:r>
          </w:p>
        </w:tc>
        <w:tc>
          <w:tcPr>
            <w:tcW w:w="140" w:type="dxa"/>
            <w:vAlign w:val="bottom"/>
          </w:tcPr>
          <w:p>
            <w:pPr>
              <w:spacing w:after="0"/>
              <w:rPr>
                <w:sz w:val="20"/>
                <w:szCs w:val="20"/>
                <w:color w:val="auto"/>
              </w:rPr>
            </w:pPr>
          </w:p>
        </w:tc>
      </w:tr>
      <w:tr>
        <w:trPr>
          <w:trHeight w:val="249"/>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8,720</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9,399</w:t>
            </w:r>
          </w:p>
        </w:tc>
        <w:tc>
          <w:tcPr>
            <w:tcW w:w="140" w:type="dxa"/>
            <w:vAlign w:val="bottom"/>
            <w:shd w:val="clear" w:color="auto" w:fill="CFF0FC"/>
          </w:tcPr>
          <w:p>
            <w:pPr>
              <w:spacing w:after="0"/>
              <w:rPr>
                <w:sz w:val="21"/>
                <w:szCs w:val="21"/>
                <w:color w:val="auto"/>
              </w:rPr>
            </w:pPr>
          </w:p>
        </w:tc>
      </w:tr>
      <w:tr>
        <w:trPr>
          <w:trHeight w:val="237"/>
        </w:trPr>
        <w:tc>
          <w:tcPr>
            <w:tcW w:w="7660" w:type="dxa"/>
            <w:vAlign w:val="bottom"/>
          </w:tcPr>
          <w:p>
            <w:pPr>
              <w:ind w:left="200"/>
              <w:spacing w:after="0"/>
              <w:rPr>
                <w:sz w:val="20"/>
                <w:szCs w:val="20"/>
                <w:color w:val="auto"/>
              </w:rPr>
            </w:pPr>
            <w:r>
              <w:rPr>
                <w:rFonts w:ascii="Arial" w:cs="Arial" w:eastAsia="Arial" w:hAnsi="Arial"/>
                <w:sz w:val="18"/>
                <w:szCs w:val="18"/>
                <w:color w:val="auto"/>
              </w:rPr>
              <w:t>Term loan, current portion</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1,622</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1,622</w:t>
            </w:r>
          </w:p>
        </w:tc>
        <w:tc>
          <w:tcPr>
            <w:tcW w:w="140" w:type="dxa"/>
            <w:vAlign w:val="bottom"/>
          </w:tcPr>
          <w:p>
            <w:pPr>
              <w:spacing w:after="0"/>
              <w:rPr>
                <w:sz w:val="20"/>
                <w:szCs w:val="20"/>
                <w:color w:val="auto"/>
              </w:rPr>
            </w:pPr>
          </w:p>
        </w:tc>
      </w:tr>
      <w:tr>
        <w:trPr>
          <w:trHeight w:val="243"/>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revenue, current portion</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9,205</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r>
      <w:tr>
        <w:trPr>
          <w:trHeight w:val="237"/>
        </w:trPr>
        <w:tc>
          <w:tcPr>
            <w:tcW w:w="766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22,995</w:t>
            </w:r>
          </w:p>
        </w:tc>
        <w:tc>
          <w:tcPr>
            <w:tcW w:w="34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12,447</w:t>
            </w:r>
          </w:p>
        </w:tc>
        <w:tc>
          <w:tcPr>
            <w:tcW w:w="140" w:type="dxa"/>
            <w:vAlign w:val="bottom"/>
            <w:tcBorders>
              <w:top w:val="single" w:sz="8" w:color="CFF0FC"/>
            </w:tcBorders>
          </w:tcPr>
          <w:p>
            <w:pPr>
              <w:spacing w:after="0"/>
              <w:rPr>
                <w:sz w:val="20"/>
                <w:szCs w:val="20"/>
                <w:color w:val="auto"/>
              </w:rPr>
            </w:pPr>
          </w:p>
        </w:tc>
      </w:tr>
      <w:tr>
        <w:trPr>
          <w:trHeight w:val="249"/>
        </w:trPr>
        <w:tc>
          <w:tcPr>
            <w:tcW w:w="7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Lease liabilities, net of current portion</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1,209</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1,261</w:t>
            </w:r>
          </w:p>
        </w:tc>
        <w:tc>
          <w:tcPr>
            <w:tcW w:w="140" w:type="dxa"/>
            <w:vAlign w:val="bottom"/>
            <w:shd w:val="clear" w:color="auto" w:fill="CFF0FC"/>
          </w:tcPr>
          <w:p>
            <w:pPr>
              <w:spacing w:after="0"/>
              <w:rPr>
                <w:sz w:val="21"/>
                <w:szCs w:val="21"/>
                <w:color w:val="auto"/>
              </w:rPr>
            </w:pPr>
          </w:p>
        </w:tc>
      </w:tr>
      <w:tr>
        <w:trPr>
          <w:trHeight w:val="237"/>
        </w:trPr>
        <w:tc>
          <w:tcPr>
            <w:tcW w:w="7660" w:type="dxa"/>
            <w:vAlign w:val="bottom"/>
          </w:tcPr>
          <w:p>
            <w:pPr>
              <w:ind w:left="120"/>
              <w:spacing w:after="0"/>
              <w:rPr>
                <w:sz w:val="20"/>
                <w:szCs w:val="20"/>
                <w:color w:val="auto"/>
              </w:rPr>
            </w:pPr>
            <w:r>
              <w:rPr>
                <w:rFonts w:ascii="Arial" w:cs="Arial" w:eastAsia="Arial" w:hAnsi="Arial"/>
                <w:sz w:val="18"/>
                <w:szCs w:val="18"/>
                <w:color w:val="auto"/>
              </w:rPr>
              <w:t>Term loan, net of current portion</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2,901</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3,293</w:t>
            </w:r>
          </w:p>
        </w:tc>
        <w:tc>
          <w:tcPr>
            <w:tcW w:w="140" w:type="dxa"/>
            <w:vAlign w:val="bottom"/>
          </w:tcPr>
          <w:p>
            <w:pPr>
              <w:spacing w:after="0"/>
              <w:rPr>
                <w:sz w:val="20"/>
                <w:szCs w:val="20"/>
                <w:color w:val="auto"/>
              </w:rPr>
            </w:pPr>
          </w:p>
        </w:tc>
      </w:tr>
      <w:tr>
        <w:trPr>
          <w:trHeight w:val="249"/>
        </w:trPr>
        <w:tc>
          <w:tcPr>
            <w:tcW w:w="7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Deferred revenue, net of current portion</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3,831</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r>
      <w:tr>
        <w:trPr>
          <w:trHeight w:val="237"/>
        </w:trPr>
        <w:tc>
          <w:tcPr>
            <w:tcW w:w="7660" w:type="dxa"/>
            <w:vAlign w:val="bottom"/>
          </w:tcPr>
          <w:p>
            <w:pPr>
              <w:ind w:left="12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20"/>
                <w:szCs w:val="20"/>
                <w:color w:val="auto"/>
              </w:rPr>
            </w:pPr>
          </w:p>
        </w:tc>
      </w:tr>
      <w:tr>
        <w:trPr>
          <w:trHeight w:val="276"/>
        </w:trPr>
        <w:tc>
          <w:tcPr>
            <w:tcW w:w="76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shd w:val="clear" w:color="auto" w:fill="CFF0FC"/>
          </w:tcPr>
          <w:p>
            <w:pPr>
              <w:spacing w:after="0"/>
              <w:rPr>
                <w:sz w:val="24"/>
                <w:szCs w:val="2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31,117</w:t>
            </w:r>
          </w:p>
        </w:tc>
        <w:tc>
          <w:tcPr>
            <w:tcW w:w="3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4"/>
                <w:szCs w:val="2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17,162</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224"/>
        </w:trPr>
        <w:tc>
          <w:tcPr>
            <w:tcW w:w="7660" w:type="dxa"/>
            <w:vAlign w:val="bottom"/>
          </w:tcPr>
          <w:p>
            <w:pPr>
              <w:ind w:left="120"/>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9"/>
        </w:trPr>
        <w:tc>
          <w:tcPr>
            <w:tcW w:w="7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15"/>
        </w:trPr>
        <w:tc>
          <w:tcPr>
            <w:tcW w:w="7660" w:type="dxa"/>
            <w:vAlign w:val="bottom"/>
          </w:tcPr>
          <w:p>
            <w:pPr>
              <w:ind w:left="200"/>
              <w:spacing w:after="0"/>
              <w:rPr>
                <w:sz w:val="20"/>
                <w:szCs w:val="20"/>
                <w:color w:val="auto"/>
              </w:rPr>
            </w:pPr>
            <w:r>
              <w:rPr>
                <w:rFonts w:ascii="Arial" w:cs="Arial" w:eastAsia="Arial" w:hAnsi="Arial"/>
                <w:sz w:val="18"/>
                <w:szCs w:val="18"/>
                <w:color w:val="auto"/>
              </w:rPr>
              <w:t>Preferred stock, $0.0001 par value; 10,000,000 shares authorized and</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7660" w:type="dxa"/>
            <w:vAlign w:val="bottom"/>
          </w:tcPr>
          <w:p>
            <w:pPr>
              <w:ind w:left="340"/>
              <w:spacing w:after="0"/>
              <w:rPr>
                <w:sz w:val="20"/>
                <w:szCs w:val="20"/>
                <w:color w:val="auto"/>
              </w:rPr>
            </w:pPr>
            <w:r>
              <w:rPr>
                <w:rFonts w:ascii="Arial" w:cs="Arial" w:eastAsia="Arial" w:hAnsi="Arial"/>
                <w:sz w:val="18"/>
                <w:szCs w:val="18"/>
                <w:color w:val="auto"/>
              </w:rPr>
              <w:t>no shares issued or outstanding as of March 31, 2023 and December 31, 2022</w:t>
            </w:r>
          </w:p>
        </w:tc>
        <w:tc>
          <w:tcPr>
            <w:tcW w:w="280" w:type="dxa"/>
            <w:vAlign w:val="bottom"/>
          </w:tcPr>
          <w:p>
            <w:pPr>
              <w:spacing w:after="0"/>
              <w:rPr>
                <w:sz w:val="20"/>
                <w:szCs w:val="20"/>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Common stock, $0.0001 par value; 200,000,000 shares authorized as of</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16"/>
        </w:trPr>
        <w:tc>
          <w:tcPr>
            <w:tcW w:w="76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March 31, 2023 and December 31, 2022; 39,746,116 and 23,601,004 shares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44"/>
        </w:trPr>
        <w:tc>
          <w:tcPr>
            <w:tcW w:w="76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issued and outstanding as of March 31, 2023 and December 31, 2022, respectively</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21"/>
                <w:szCs w:val="21"/>
                <w:color w:val="auto"/>
              </w:rPr>
            </w:pPr>
          </w:p>
        </w:tc>
      </w:tr>
      <w:tr>
        <w:trPr>
          <w:trHeight w:val="237"/>
        </w:trPr>
        <w:tc>
          <w:tcPr>
            <w:tcW w:w="766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270,285</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218,354</w:t>
            </w:r>
          </w:p>
        </w:tc>
        <w:tc>
          <w:tcPr>
            <w:tcW w:w="140" w:type="dxa"/>
            <w:vAlign w:val="bottom"/>
          </w:tcPr>
          <w:p>
            <w:pPr>
              <w:spacing w:after="0"/>
              <w:rPr>
                <w:sz w:val="20"/>
                <w:szCs w:val="20"/>
                <w:color w:val="auto"/>
              </w:rPr>
            </w:pPr>
          </w:p>
        </w:tc>
      </w:tr>
      <w:tr>
        <w:trPr>
          <w:trHeight w:val="249"/>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(188 )</w:t>
            </w:r>
          </w:p>
        </w:tc>
        <w:tc>
          <w:tcPr>
            <w:tcW w:w="22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(558 )</w:t>
            </w:r>
          </w:p>
        </w:tc>
      </w:tr>
      <w:tr>
        <w:trPr>
          <w:trHeight w:val="237"/>
        </w:trPr>
        <w:tc>
          <w:tcPr>
            <w:tcW w:w="766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20"/>
                <w:szCs w:val="20"/>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(162,104 )</w:t>
            </w:r>
          </w:p>
        </w:tc>
        <w:tc>
          <w:tcPr>
            <w:tcW w:w="220" w:type="dxa"/>
            <w:vAlign w:val="bottom"/>
          </w:tcPr>
          <w:p>
            <w:pPr>
              <w:spacing w:after="0"/>
              <w:rPr>
                <w:sz w:val="20"/>
                <w:szCs w:val="20"/>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(149,313 )</w:t>
            </w:r>
          </w:p>
        </w:tc>
      </w:tr>
      <w:tr>
        <w:trPr>
          <w:trHeight w:val="236"/>
        </w:trPr>
        <w:tc>
          <w:tcPr>
            <w:tcW w:w="76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107,997</w:t>
            </w:r>
          </w:p>
        </w:tc>
        <w:tc>
          <w:tcPr>
            <w:tcW w:w="3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68,486</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139,114</w:t>
            </w:r>
          </w:p>
        </w:tc>
        <w:tc>
          <w:tcPr>
            <w:tcW w:w="340" w:type="dxa"/>
            <w:vAlign w:val="bottom"/>
          </w:tcPr>
          <w:p>
            <w:pPr>
              <w:spacing w:after="0"/>
              <w:rPr>
                <w:sz w:val="20"/>
                <w:szCs w:val="20"/>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85,648</w:t>
            </w:r>
          </w:p>
        </w:tc>
        <w:tc>
          <w:tcPr>
            <w:tcW w:w="140" w:type="dxa"/>
            <w:vAlign w:val="bottom"/>
          </w:tcPr>
          <w:p>
            <w:pPr>
              <w:spacing w:after="0"/>
              <w:rPr>
                <w:sz w:val="20"/>
                <w:szCs w:val="20"/>
                <w:color w:val="auto"/>
              </w:rPr>
            </w:pP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-4396740</wp:posOffset>
            </wp:positionV>
            <wp:extent cx="94615"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461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-4396740</wp:posOffset>
            </wp:positionV>
            <wp:extent cx="85725"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-3762375</wp:posOffset>
            </wp:positionV>
            <wp:extent cx="1285875" cy="1797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5875" cy="17970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-2811145</wp:posOffset>
            </wp:positionV>
            <wp:extent cx="94615"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461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-2811145</wp:posOffset>
            </wp:positionV>
            <wp:extent cx="85725"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-1868170</wp:posOffset>
            </wp:positionV>
            <wp:extent cx="1285875"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5875" cy="18034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-187960</wp:posOffset>
            </wp:positionV>
            <wp:extent cx="94615"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461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the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SPRUCE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780" w:type="dxa"/>
            <w:vAlign w:val="bottom"/>
            <w:gridSpan w:val="5"/>
          </w:tcPr>
          <w:p>
            <w:pPr>
              <w:jc w:val="right"/>
              <w:ind w:right="111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Collaboration revenue</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1,964</w:t>
            </w:r>
          </w:p>
        </w:tc>
        <w:tc>
          <w:tcPr>
            <w:tcW w:w="36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0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0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11,712</w:t>
            </w:r>
          </w:p>
        </w:tc>
        <w:tc>
          <w:tcPr>
            <w:tcW w:w="3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8,508</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3,451</w:t>
            </w:r>
          </w:p>
        </w:tc>
        <w:tc>
          <w:tcPr>
            <w:tcW w:w="3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0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44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15,163</w:t>
            </w:r>
          </w:p>
        </w:tc>
        <w:tc>
          <w:tcPr>
            <w:tcW w:w="36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11,733</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0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440" w:type="dxa"/>
            <w:vAlign w:val="bottom"/>
          </w:tcPr>
          <w:p>
            <w:pPr>
              <w:spacing w:after="0"/>
              <w:rPr>
                <w:sz w:val="20"/>
                <w:szCs w:val="20"/>
                <w:color w:val="auto"/>
              </w:rPr>
            </w:pPr>
          </w:p>
        </w:tc>
        <w:tc>
          <w:tcPr>
            <w:tcW w:w="1780" w:type="dxa"/>
            <w:vAlign w:val="bottom"/>
            <w:gridSpan w:val="2"/>
          </w:tcPr>
          <w:p>
            <w:pPr>
              <w:jc w:val="right"/>
              <w:ind w:right="190"/>
              <w:spacing w:after="0"/>
              <w:rPr>
                <w:sz w:val="20"/>
                <w:szCs w:val="20"/>
                <w:color w:val="auto"/>
              </w:rPr>
            </w:pPr>
            <w:r>
              <w:rPr>
                <w:rFonts w:ascii="Arial" w:cs="Arial" w:eastAsia="Arial" w:hAnsi="Arial"/>
                <w:sz w:val="18"/>
                <w:szCs w:val="18"/>
                <w:color w:val="auto"/>
              </w:rPr>
              <w:t>(13,199 )</w:t>
            </w:r>
          </w:p>
        </w:tc>
        <w:tc>
          <w:tcPr>
            <w:tcW w:w="44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(11,733 )</w:t>
            </w:r>
          </w:p>
        </w:tc>
        <w:tc>
          <w:tcPr>
            <w:tcW w:w="0" w:type="dxa"/>
            <w:vAlign w:val="bottom"/>
          </w:tcPr>
          <w:p>
            <w:pPr>
              <w:spacing w:after="0"/>
              <w:rPr>
                <w:sz w:val="1"/>
                <w:szCs w:val="1"/>
                <w:color w:val="auto"/>
              </w:rPr>
            </w:pPr>
          </w:p>
        </w:tc>
      </w:tr>
      <w:tr>
        <w:trPr>
          <w:trHeight w:val="249"/>
        </w:trPr>
        <w:tc>
          <w:tcPr>
            <w:tcW w:w="70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440" w:type="dxa"/>
            <w:vAlign w:val="bottom"/>
            <w:shd w:val="clear" w:color="auto" w:fill="CFF0FC"/>
          </w:tcPr>
          <w:p>
            <w:pPr>
              <w:spacing w:after="0"/>
              <w:rPr>
                <w:sz w:val="21"/>
                <w:szCs w:val="21"/>
                <w:color w:val="auto"/>
              </w:rPr>
            </w:pPr>
          </w:p>
        </w:tc>
        <w:tc>
          <w:tcPr>
            <w:tcW w:w="178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(131 )</w:t>
            </w:r>
          </w:p>
        </w:tc>
        <w:tc>
          <w:tcPr>
            <w:tcW w:w="44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37"/>
        </w:trPr>
        <w:tc>
          <w:tcPr>
            <w:tcW w:w="7020" w:type="dxa"/>
            <w:vAlign w:val="bottom"/>
          </w:tcPr>
          <w:p>
            <w:pPr>
              <w:ind w:left="200"/>
              <w:spacing w:after="0"/>
              <w:rPr>
                <w:sz w:val="20"/>
                <w:szCs w:val="20"/>
                <w:color w:val="auto"/>
              </w:rPr>
            </w:pPr>
            <w:r>
              <w:rPr>
                <w:rFonts w:ascii="Arial" w:cs="Arial" w:eastAsia="Arial" w:hAnsi="Arial"/>
                <w:sz w:val="18"/>
                <w:szCs w:val="18"/>
                <w:color w:val="auto"/>
              </w:rPr>
              <w:t>Interest and other income, net</w:t>
            </w: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3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44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(12,791</w:t>
            </w:r>
          </w:p>
        </w:tc>
        <w:tc>
          <w:tcPr>
            <w:tcW w:w="36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(11,762</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7020" w:type="dxa"/>
            <w:vAlign w:val="bottom"/>
          </w:tcPr>
          <w:p>
            <w:pPr>
              <w:ind w:left="20"/>
              <w:spacing w:after="0"/>
              <w:rPr>
                <w:sz w:val="20"/>
                <w:szCs w:val="20"/>
                <w:color w:val="auto"/>
              </w:rPr>
            </w:pPr>
            <w:r>
              <w:rPr>
                <w:rFonts w:ascii="Arial" w:cs="Arial" w:eastAsia="Arial" w:hAnsi="Arial"/>
                <w:sz w:val="18"/>
                <w:szCs w:val="18"/>
                <w:color w:val="auto"/>
              </w:rPr>
              <w:t>Other comprehensive gain (loss), net of tax:</w:t>
            </w: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Unrealized gain (loss) on available for sale securities</w:t>
            </w:r>
          </w:p>
        </w:tc>
        <w:tc>
          <w:tcPr>
            <w:tcW w:w="4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3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(509 )</w:t>
            </w:r>
          </w:p>
        </w:tc>
        <w:tc>
          <w:tcPr>
            <w:tcW w:w="0" w:type="dxa"/>
            <w:vAlign w:val="bottom"/>
          </w:tcPr>
          <w:p>
            <w:pPr>
              <w:spacing w:after="0"/>
              <w:rPr>
                <w:sz w:val="1"/>
                <w:szCs w:val="1"/>
                <w:color w:val="auto"/>
              </w:rPr>
            </w:pPr>
          </w:p>
        </w:tc>
      </w:tr>
      <w:tr>
        <w:trPr>
          <w:trHeight w:val="20"/>
        </w:trPr>
        <w:tc>
          <w:tcPr>
            <w:tcW w:w="70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020" w:type="dxa"/>
            <w:vAlign w:val="bottom"/>
          </w:tcPr>
          <w:p>
            <w:pPr>
              <w:ind w:left="20"/>
              <w:spacing w:after="0"/>
              <w:rPr>
                <w:sz w:val="20"/>
                <w:szCs w:val="20"/>
                <w:color w:val="auto"/>
              </w:rPr>
            </w:pPr>
            <w:r>
              <w:rPr>
                <w:rFonts w:ascii="Arial" w:cs="Arial" w:eastAsia="Arial" w:hAnsi="Arial"/>
                <w:sz w:val="18"/>
                <w:szCs w:val="18"/>
                <w:color w:val="auto"/>
              </w:rPr>
              <w:t>Total comprehensive loss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190"/>
              <w:spacing w:after="0"/>
              <w:rPr>
                <w:sz w:val="20"/>
                <w:szCs w:val="20"/>
                <w:color w:val="auto"/>
              </w:rPr>
            </w:pPr>
            <w:r>
              <w:rPr>
                <w:rFonts w:ascii="Arial" w:cs="Arial" w:eastAsia="Arial" w:hAnsi="Arial"/>
                <w:sz w:val="18"/>
                <w:szCs w:val="18"/>
                <w:color w:val="auto"/>
              </w:rPr>
              <w:t>(12,421 )</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(12,271 )</w:t>
            </w:r>
          </w:p>
        </w:tc>
        <w:tc>
          <w:tcPr>
            <w:tcW w:w="0" w:type="dxa"/>
            <w:vAlign w:val="bottom"/>
          </w:tcPr>
          <w:p>
            <w:pPr>
              <w:spacing w:after="0"/>
              <w:rPr>
                <w:sz w:val="1"/>
                <w:szCs w:val="1"/>
                <w:color w:val="auto"/>
              </w:rPr>
            </w:pPr>
          </w:p>
        </w:tc>
      </w:tr>
      <w:tr>
        <w:trPr>
          <w:trHeight w:val="277"/>
        </w:trPr>
        <w:tc>
          <w:tcPr>
            <w:tcW w:w="7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per share, basic and diluted</w:t>
            </w: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(0.40</w:t>
            </w:r>
          </w:p>
        </w:tc>
        <w:tc>
          <w:tcPr>
            <w:tcW w:w="36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2"/>
        </w:trPr>
        <w:tc>
          <w:tcPr>
            <w:tcW w:w="7020" w:type="dxa"/>
            <w:vAlign w:val="bottom"/>
          </w:tcPr>
          <w:p>
            <w:pPr>
              <w:ind w:left="20"/>
              <w:spacing w:after="0" w:line="202" w:lineRule="exact"/>
              <w:rPr>
                <w:sz w:val="20"/>
                <w:szCs w:val="20"/>
                <w:color w:val="auto"/>
              </w:rPr>
            </w:pPr>
            <w:r>
              <w:rPr>
                <w:rFonts w:ascii="Arial" w:cs="Arial" w:eastAsia="Arial" w:hAnsi="Arial"/>
                <w:sz w:val="18"/>
                <w:szCs w:val="18"/>
                <w:color w:val="auto"/>
              </w:rPr>
              <w:t>Weighted-average shares of common stock outstanding,</w:t>
            </w:r>
          </w:p>
        </w:tc>
        <w:tc>
          <w:tcPr>
            <w:tcW w:w="440" w:type="dxa"/>
            <w:vAlign w:val="bottom"/>
          </w:tcPr>
          <w:p>
            <w:pPr>
              <w:spacing w:after="0"/>
              <w:rPr>
                <w:sz w:val="17"/>
                <w:szCs w:val="17"/>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31,900,160</w:t>
            </w: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23,492,295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20" w:type="dxa"/>
            <w:vAlign w:val="bottom"/>
          </w:tcPr>
          <w:p>
            <w:pPr>
              <w:ind w:left="160"/>
              <w:spacing w:after="0" w:line="203" w:lineRule="exact"/>
              <w:rPr>
                <w:sz w:val="20"/>
                <w:szCs w:val="20"/>
                <w:color w:val="auto"/>
              </w:rPr>
            </w:pPr>
            <w:r>
              <w:rPr>
                <w:rFonts w:ascii="Arial" w:cs="Arial" w:eastAsia="Arial" w:hAnsi="Arial"/>
                <w:sz w:val="18"/>
                <w:szCs w:val="18"/>
                <w:color w:val="auto"/>
              </w:rPr>
              <w:t>basic and diluted</w:t>
            </w: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-1593850</wp:posOffset>
            </wp:positionV>
            <wp:extent cx="85725"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-1593850</wp:posOffset>
            </wp:positionV>
            <wp:extent cx="85725"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-959485</wp:posOffset>
            </wp:positionV>
            <wp:extent cx="85725"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-959485</wp:posOffset>
            </wp:positionV>
            <wp:extent cx="85725"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-642620</wp:posOffset>
            </wp:positionV>
            <wp:extent cx="8572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-642620</wp:posOffset>
            </wp:positionV>
            <wp:extent cx="8572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-316230</wp:posOffset>
            </wp:positionV>
            <wp:extent cx="1500505" cy="3168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00505" cy="31686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SPRUCE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4"/>
                <w:szCs w:val="14"/>
                <w:color w:val="auto"/>
              </w:rPr>
            </w:pPr>
          </w:p>
        </w:tc>
        <w:tc>
          <w:tcPr>
            <w:tcW w:w="1240" w:type="dxa"/>
            <w:vAlign w:val="bottom"/>
            <w:gridSpan w:val="2"/>
          </w:tcPr>
          <w:p>
            <w:pPr>
              <w:jc w:val="center"/>
              <w:ind w:right="33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6"/>
        </w:trPr>
        <w:tc>
          <w:tcPr>
            <w:tcW w:w="38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880" w:type="dxa"/>
            <w:vAlign w:val="bottom"/>
          </w:tcPr>
          <w:p>
            <w:pPr>
              <w:spacing w:after="0"/>
              <w:rPr>
                <w:sz w:val="19"/>
                <w:szCs w:val="19"/>
                <w:color w:val="auto"/>
              </w:rPr>
            </w:pPr>
          </w:p>
        </w:tc>
        <w:tc>
          <w:tcPr>
            <w:tcW w:w="216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Paid-In</w:t>
            </w:r>
          </w:p>
        </w:tc>
        <w:tc>
          <w:tcPr>
            <w:tcW w:w="1340" w:type="dxa"/>
            <w:vAlign w:val="bottom"/>
            <w:gridSpan w:val="3"/>
          </w:tcPr>
          <w:p>
            <w:pPr>
              <w:jc w:val="center"/>
              <w:ind w:right="170"/>
              <w:spacing w:after="0"/>
              <w:rPr>
                <w:sz w:val="20"/>
                <w:szCs w:val="20"/>
                <w:color w:val="auto"/>
              </w:rPr>
            </w:pPr>
            <w:r>
              <w:rPr>
                <w:rFonts w:ascii="Arial" w:cs="Arial" w:eastAsia="Arial" w:hAnsi="Arial"/>
                <w:sz w:val="14"/>
                <w:szCs w:val="14"/>
                <w:b w:val="1"/>
                <w:bCs w:val="1"/>
                <w:color w:val="auto"/>
                <w:w w:val="91"/>
              </w:rPr>
              <w:t>Comprehensive</w:t>
            </w:r>
          </w:p>
        </w:tc>
        <w:tc>
          <w:tcPr>
            <w:tcW w:w="1240" w:type="dxa"/>
            <w:vAlign w:val="bottom"/>
            <w:gridSpan w:val="3"/>
          </w:tcPr>
          <w:p>
            <w:pPr>
              <w:jc w:val="center"/>
              <w:ind w:right="170"/>
              <w:spacing w:after="0"/>
              <w:rPr>
                <w:sz w:val="20"/>
                <w:szCs w:val="20"/>
                <w:color w:val="auto"/>
              </w:rPr>
            </w:pPr>
            <w:r>
              <w:rPr>
                <w:rFonts w:ascii="Arial" w:cs="Arial" w:eastAsia="Arial" w:hAnsi="Arial"/>
                <w:sz w:val="14"/>
                <w:szCs w:val="14"/>
                <w:b w:val="1"/>
                <w:bCs w:val="1"/>
                <w:color w:val="auto"/>
                <w:w w:val="93"/>
              </w:rPr>
              <w:t>Accumulated</w:t>
            </w: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19"/>
                <w:szCs w:val="19"/>
                <w:color w:val="auto"/>
              </w:rPr>
            </w:pPr>
          </w:p>
        </w:tc>
        <w:tc>
          <w:tcPr>
            <w:tcW w:w="1080" w:type="dxa"/>
            <w:vAlign w:val="bottom"/>
          </w:tcPr>
          <w:p>
            <w:pPr>
              <w:jc w:val="right"/>
              <w:ind w:right="234"/>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b w:val="1"/>
                <w:bCs w:val="1"/>
                <w:color w:val="auto"/>
                <w:w w:val="98"/>
              </w:rPr>
              <w:t>Amount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9"/>
                <w:szCs w:val="19"/>
                <w:color w:val="auto"/>
              </w:rPr>
            </w:pPr>
          </w:p>
        </w:tc>
        <w:tc>
          <w:tcPr>
            <w:tcW w:w="124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19"/>
                <w:szCs w:val="19"/>
                <w:color w:val="auto"/>
              </w:rPr>
            </w:pPr>
          </w:p>
        </w:tc>
        <w:tc>
          <w:tcPr>
            <w:tcW w:w="1040" w:type="dxa"/>
            <w:vAlign w:val="bottom"/>
            <w:gridSpan w:val="2"/>
          </w:tcPr>
          <w:p>
            <w:pPr>
              <w:jc w:val="center"/>
              <w:ind w:right="390"/>
              <w:spacing w:after="0"/>
              <w:rPr>
                <w:sz w:val="20"/>
                <w:szCs w:val="20"/>
                <w:color w:val="auto"/>
              </w:rPr>
            </w:pPr>
            <w:r>
              <w:rPr>
                <w:rFonts w:ascii="Arial" w:cs="Arial" w:eastAsia="Arial" w:hAnsi="Arial"/>
                <w:sz w:val="14"/>
                <w:szCs w:val="14"/>
                <w:b w:val="1"/>
                <w:bCs w:val="1"/>
                <w:color w:val="auto"/>
                <w:w w:val="93"/>
              </w:rPr>
              <w:t>Deficit</w:t>
            </w:r>
          </w:p>
        </w:tc>
        <w:tc>
          <w:tcPr>
            <w:tcW w:w="200" w:type="dxa"/>
            <w:vAlign w:val="bottom"/>
          </w:tcPr>
          <w:p>
            <w:pPr>
              <w:spacing w:after="0"/>
              <w:rPr>
                <w:sz w:val="19"/>
                <w:szCs w:val="19"/>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7"/>
        </w:trPr>
        <w:tc>
          <w:tcPr>
            <w:tcW w:w="38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as of January 1, 2023</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23,601,004</w:t>
            </w: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218,354</w:t>
            </w:r>
          </w:p>
        </w:tc>
        <w:tc>
          <w:tcPr>
            <w:tcW w:w="28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(149,313</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68,486</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880" w:type="dxa"/>
            <w:vAlign w:val="bottom"/>
          </w:tcPr>
          <w:p>
            <w:pPr>
              <w:ind w:left="200"/>
              <w:spacing w:after="0"/>
              <w:rPr>
                <w:sz w:val="20"/>
                <w:szCs w:val="20"/>
                <w:color w:val="auto"/>
              </w:rPr>
            </w:pPr>
            <w:r>
              <w:rPr>
                <w:rFonts w:ascii="Arial" w:cs="Arial" w:eastAsia="Arial" w:hAnsi="Arial"/>
                <w:sz w:val="18"/>
                <w:szCs w:val="18"/>
                <w:color w:val="auto"/>
                <w:w w:val="97"/>
              </w:rPr>
              <w:t>Issuance of common stock related to vesting of</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80" w:type="dxa"/>
            <w:vAlign w:val="bottom"/>
          </w:tcPr>
          <w:p>
            <w:pPr>
              <w:ind w:left="340"/>
              <w:spacing w:after="0"/>
              <w:rPr>
                <w:sz w:val="20"/>
                <w:szCs w:val="20"/>
                <w:color w:val="auto"/>
              </w:rPr>
            </w:pPr>
            <w:r>
              <w:rPr>
                <w:rFonts w:ascii="Arial" w:cs="Arial" w:eastAsia="Arial" w:hAnsi="Arial"/>
                <w:sz w:val="18"/>
                <w:szCs w:val="18"/>
                <w:color w:val="auto"/>
                <w:w w:val="99"/>
              </w:rPr>
              <w:t>restricted stock units, net of tax withholdings</w:t>
            </w:r>
          </w:p>
        </w:tc>
        <w:tc>
          <w:tcPr>
            <w:tcW w:w="1080" w:type="dxa"/>
            <w:vAlign w:val="bottom"/>
          </w:tcPr>
          <w:p>
            <w:pPr>
              <w:jc w:val="right"/>
              <w:spacing w:after="0"/>
              <w:rPr>
                <w:sz w:val="20"/>
                <w:szCs w:val="20"/>
                <w:color w:val="auto"/>
              </w:rPr>
            </w:pPr>
            <w:r>
              <w:rPr>
                <w:rFonts w:ascii="Arial" w:cs="Arial" w:eastAsia="Arial" w:hAnsi="Arial"/>
                <w:sz w:val="18"/>
                <w:szCs w:val="18"/>
                <w:color w:val="auto"/>
              </w:rPr>
              <w:t>29,112</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20"/>
                <w:szCs w:val="20"/>
                <w:color w:val="auto"/>
              </w:rPr>
            </w:pPr>
          </w:p>
        </w:tc>
        <w:tc>
          <w:tcPr>
            <w:tcW w:w="12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22"/>
        </w:trPr>
        <w:tc>
          <w:tcPr>
            <w:tcW w:w="38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Issuance of common stock and warrants,</w:t>
            </w: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8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net of offering costs of $2,721</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16,116,000</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50,894</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50,895</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8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88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8"/>
              </w:rPr>
              <w:t>Unrealized gain on available for sale securities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8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110"/>
              <w:spacing w:after="0"/>
              <w:rPr>
                <w:sz w:val="20"/>
                <w:szCs w:val="20"/>
                <w:color w:val="auto"/>
              </w:rPr>
            </w:pPr>
            <w:r>
              <w:rPr>
                <w:rFonts w:ascii="Arial" w:cs="Arial" w:eastAsia="Arial" w:hAnsi="Arial"/>
                <w:sz w:val="18"/>
                <w:szCs w:val="18"/>
                <w:color w:val="auto"/>
              </w:rPr>
              <w:t>(12,791 )</w:t>
            </w:r>
          </w:p>
        </w:tc>
        <w:tc>
          <w:tcPr>
            <w:tcW w:w="2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(12,791 )</w:t>
            </w:r>
          </w:p>
        </w:tc>
        <w:tc>
          <w:tcPr>
            <w:tcW w:w="0" w:type="dxa"/>
            <w:vAlign w:val="bottom"/>
          </w:tcPr>
          <w:p>
            <w:pPr>
              <w:spacing w:after="0"/>
              <w:rPr>
                <w:sz w:val="1"/>
                <w:szCs w:val="1"/>
                <w:color w:val="auto"/>
              </w:rPr>
            </w:pPr>
          </w:p>
        </w:tc>
      </w:tr>
      <w:tr>
        <w:trPr>
          <w:trHeight w:val="278"/>
        </w:trPr>
        <w:tc>
          <w:tcPr>
            <w:tcW w:w="3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as of March 31, 2023</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39,746,116</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270,285</w:t>
            </w:r>
          </w:p>
        </w:tc>
        <w:tc>
          <w:tcPr>
            <w:tcW w:w="2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(162,104</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107,997</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3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24"/>
                <w:szCs w:val="24"/>
                <w:color w:val="auto"/>
              </w:rPr>
            </w:pPr>
          </w:p>
        </w:tc>
        <w:tc>
          <w:tcPr>
            <w:tcW w:w="1240" w:type="dxa"/>
            <w:vAlign w:val="bottom"/>
            <w:gridSpan w:val="2"/>
          </w:tcPr>
          <w:p>
            <w:pPr>
              <w:jc w:val="center"/>
              <w:ind w:right="33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6"/>
        </w:trPr>
        <w:tc>
          <w:tcPr>
            <w:tcW w:w="38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880" w:type="dxa"/>
            <w:vAlign w:val="bottom"/>
          </w:tcPr>
          <w:p>
            <w:pPr>
              <w:spacing w:after="0"/>
              <w:rPr>
                <w:sz w:val="19"/>
                <w:szCs w:val="19"/>
                <w:color w:val="auto"/>
              </w:rPr>
            </w:pPr>
          </w:p>
        </w:tc>
        <w:tc>
          <w:tcPr>
            <w:tcW w:w="216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Paid-In</w:t>
            </w:r>
          </w:p>
        </w:tc>
        <w:tc>
          <w:tcPr>
            <w:tcW w:w="1340" w:type="dxa"/>
            <w:vAlign w:val="bottom"/>
            <w:gridSpan w:val="3"/>
          </w:tcPr>
          <w:p>
            <w:pPr>
              <w:jc w:val="center"/>
              <w:ind w:right="170"/>
              <w:spacing w:after="0"/>
              <w:rPr>
                <w:sz w:val="20"/>
                <w:szCs w:val="20"/>
                <w:color w:val="auto"/>
              </w:rPr>
            </w:pPr>
            <w:r>
              <w:rPr>
                <w:rFonts w:ascii="Arial" w:cs="Arial" w:eastAsia="Arial" w:hAnsi="Arial"/>
                <w:sz w:val="14"/>
                <w:szCs w:val="14"/>
                <w:b w:val="1"/>
                <w:bCs w:val="1"/>
                <w:color w:val="auto"/>
                <w:w w:val="91"/>
              </w:rPr>
              <w:t>Comprehensive</w:t>
            </w:r>
          </w:p>
        </w:tc>
        <w:tc>
          <w:tcPr>
            <w:tcW w:w="1240" w:type="dxa"/>
            <w:vAlign w:val="bottom"/>
            <w:gridSpan w:val="3"/>
          </w:tcPr>
          <w:p>
            <w:pPr>
              <w:jc w:val="center"/>
              <w:ind w:right="170"/>
              <w:spacing w:after="0"/>
              <w:rPr>
                <w:sz w:val="20"/>
                <w:szCs w:val="20"/>
                <w:color w:val="auto"/>
              </w:rPr>
            </w:pPr>
            <w:r>
              <w:rPr>
                <w:rFonts w:ascii="Arial" w:cs="Arial" w:eastAsia="Arial" w:hAnsi="Arial"/>
                <w:sz w:val="14"/>
                <w:szCs w:val="14"/>
                <w:b w:val="1"/>
                <w:bCs w:val="1"/>
                <w:color w:val="auto"/>
                <w:w w:val="93"/>
              </w:rPr>
              <w:t>Accumulated</w:t>
            </w: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19"/>
                <w:szCs w:val="19"/>
                <w:color w:val="auto"/>
              </w:rPr>
            </w:pPr>
          </w:p>
        </w:tc>
        <w:tc>
          <w:tcPr>
            <w:tcW w:w="1080" w:type="dxa"/>
            <w:vAlign w:val="bottom"/>
          </w:tcPr>
          <w:p>
            <w:pPr>
              <w:jc w:val="right"/>
              <w:ind w:right="234"/>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b w:val="1"/>
                <w:bCs w:val="1"/>
                <w:color w:val="auto"/>
                <w:w w:val="98"/>
              </w:rPr>
              <w:t>Amount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9"/>
                <w:szCs w:val="19"/>
                <w:color w:val="auto"/>
              </w:rPr>
            </w:pPr>
          </w:p>
        </w:tc>
        <w:tc>
          <w:tcPr>
            <w:tcW w:w="124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19"/>
                <w:szCs w:val="19"/>
                <w:color w:val="auto"/>
              </w:rPr>
            </w:pPr>
          </w:p>
        </w:tc>
        <w:tc>
          <w:tcPr>
            <w:tcW w:w="1040" w:type="dxa"/>
            <w:vAlign w:val="bottom"/>
            <w:gridSpan w:val="2"/>
          </w:tcPr>
          <w:p>
            <w:pPr>
              <w:jc w:val="center"/>
              <w:ind w:right="390"/>
              <w:spacing w:after="0"/>
              <w:rPr>
                <w:sz w:val="20"/>
                <w:szCs w:val="20"/>
                <w:color w:val="auto"/>
              </w:rPr>
            </w:pPr>
            <w:r>
              <w:rPr>
                <w:rFonts w:ascii="Arial" w:cs="Arial" w:eastAsia="Arial" w:hAnsi="Arial"/>
                <w:sz w:val="14"/>
                <w:szCs w:val="14"/>
                <w:b w:val="1"/>
                <w:bCs w:val="1"/>
                <w:color w:val="auto"/>
                <w:w w:val="93"/>
              </w:rPr>
              <w:t>Deficit</w:t>
            </w:r>
          </w:p>
        </w:tc>
        <w:tc>
          <w:tcPr>
            <w:tcW w:w="200" w:type="dxa"/>
            <w:vAlign w:val="bottom"/>
          </w:tcPr>
          <w:p>
            <w:pPr>
              <w:spacing w:after="0"/>
              <w:rPr>
                <w:sz w:val="19"/>
                <w:szCs w:val="19"/>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7"/>
        </w:trPr>
        <w:tc>
          <w:tcPr>
            <w:tcW w:w="38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as of January 1, 2022</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23,491,881</w:t>
            </w: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214,685</w:t>
            </w:r>
          </w:p>
        </w:tc>
        <w:tc>
          <w:tcPr>
            <w:tcW w:w="28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(103,133</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111,371</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80" w:type="dxa"/>
            <w:vAlign w:val="bottom"/>
          </w:tcPr>
          <w:p>
            <w:pPr>
              <w:ind w:left="200"/>
              <w:spacing w:after="0"/>
              <w:rPr>
                <w:sz w:val="20"/>
                <w:szCs w:val="20"/>
                <w:color w:val="auto"/>
              </w:rPr>
            </w:pPr>
            <w:r>
              <w:rPr>
                <w:rFonts w:ascii="Arial" w:cs="Arial" w:eastAsia="Arial" w:hAnsi="Arial"/>
                <w:sz w:val="18"/>
                <w:szCs w:val="18"/>
                <w:color w:val="auto"/>
              </w:rPr>
              <w:t>Exercise of common stock options</w:t>
            </w:r>
          </w:p>
        </w:tc>
        <w:tc>
          <w:tcPr>
            <w:tcW w:w="1080" w:type="dxa"/>
            <w:vAlign w:val="bottom"/>
          </w:tcPr>
          <w:p>
            <w:pPr>
              <w:jc w:val="right"/>
              <w:spacing w:after="0"/>
              <w:rPr>
                <w:sz w:val="20"/>
                <w:szCs w:val="20"/>
                <w:color w:val="auto"/>
              </w:rPr>
            </w:pPr>
            <w:r>
              <w:rPr>
                <w:rFonts w:ascii="Arial" w:cs="Arial" w:eastAsia="Arial" w:hAnsi="Arial"/>
                <w:sz w:val="18"/>
                <w:szCs w:val="18"/>
                <w:color w:val="auto"/>
              </w:rPr>
              <w:t>992</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8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Stock-based compensation</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1,141</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1,141</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80" w:type="dxa"/>
            <w:vAlign w:val="bottom"/>
          </w:tcPr>
          <w:p>
            <w:pPr>
              <w:ind w:left="200"/>
              <w:spacing w:after="0"/>
              <w:rPr>
                <w:sz w:val="20"/>
                <w:szCs w:val="20"/>
                <w:color w:val="auto"/>
              </w:rPr>
            </w:pPr>
            <w:r>
              <w:rPr>
                <w:rFonts w:ascii="Arial" w:cs="Arial" w:eastAsia="Arial" w:hAnsi="Arial"/>
                <w:sz w:val="18"/>
                <w:szCs w:val="18"/>
                <w:color w:val="auto"/>
                <w:w w:val="99"/>
              </w:rPr>
              <w:t>Unrealized loss on available for sale securities</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40" w:type="dxa"/>
            <w:vAlign w:val="bottom"/>
            <w:gridSpan w:val="2"/>
          </w:tcPr>
          <w:p>
            <w:pPr>
              <w:jc w:val="right"/>
              <w:ind w:right="110"/>
              <w:spacing w:after="0"/>
              <w:rPr>
                <w:sz w:val="20"/>
                <w:szCs w:val="20"/>
                <w:color w:val="auto"/>
              </w:rPr>
            </w:pPr>
            <w:r>
              <w:rPr>
                <w:rFonts w:ascii="Arial" w:cs="Arial" w:eastAsia="Arial" w:hAnsi="Arial"/>
                <w:sz w:val="18"/>
                <w:szCs w:val="18"/>
                <w:color w:val="auto"/>
              </w:rPr>
              <w:t>(509 )</w:t>
            </w:r>
          </w:p>
        </w:tc>
        <w:tc>
          <w:tcPr>
            <w:tcW w:w="200" w:type="dxa"/>
            <w:vAlign w:val="bottom"/>
          </w:tcPr>
          <w:p>
            <w:pPr>
              <w:spacing w:after="0"/>
              <w:rPr>
                <w:sz w:val="20"/>
                <w:szCs w:val="20"/>
                <w:color w:val="auto"/>
              </w:rPr>
            </w:pPr>
          </w:p>
        </w:tc>
        <w:tc>
          <w:tcPr>
            <w:tcW w:w="10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(509 )</w:t>
            </w:r>
          </w:p>
        </w:tc>
        <w:tc>
          <w:tcPr>
            <w:tcW w:w="0" w:type="dxa"/>
            <w:vAlign w:val="bottom"/>
          </w:tcPr>
          <w:p>
            <w:pPr>
              <w:spacing w:after="0"/>
              <w:rPr>
                <w:sz w:val="1"/>
                <w:szCs w:val="1"/>
                <w:color w:val="auto"/>
              </w:rPr>
            </w:pPr>
          </w:p>
        </w:tc>
      </w:tr>
      <w:tr>
        <w:trPr>
          <w:trHeight w:val="243"/>
        </w:trPr>
        <w:tc>
          <w:tcPr>
            <w:tcW w:w="38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loss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(11,762 )</w:t>
            </w: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(11,762 )</w:t>
            </w:r>
          </w:p>
        </w:tc>
        <w:tc>
          <w:tcPr>
            <w:tcW w:w="0" w:type="dxa"/>
            <w:vAlign w:val="bottom"/>
          </w:tcPr>
          <w:p>
            <w:pPr>
              <w:spacing w:after="0"/>
              <w:rPr>
                <w:sz w:val="1"/>
                <w:szCs w:val="1"/>
                <w:color w:val="auto"/>
              </w:rPr>
            </w:pPr>
          </w:p>
        </w:tc>
      </w:tr>
      <w:tr>
        <w:trPr>
          <w:trHeight w:val="20"/>
        </w:trPr>
        <w:tc>
          <w:tcPr>
            <w:tcW w:w="388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880" w:type="dxa"/>
            <w:vAlign w:val="bottom"/>
          </w:tcPr>
          <w:p>
            <w:pPr>
              <w:ind w:left="20"/>
              <w:spacing w:after="0"/>
              <w:rPr>
                <w:sz w:val="20"/>
                <w:szCs w:val="20"/>
                <w:color w:val="auto"/>
              </w:rPr>
            </w:pPr>
            <w:r>
              <w:rPr>
                <w:rFonts w:ascii="Arial" w:cs="Arial" w:eastAsia="Arial" w:hAnsi="Arial"/>
                <w:sz w:val="18"/>
                <w:szCs w:val="18"/>
                <w:b w:val="1"/>
                <w:bCs w:val="1"/>
                <w:color w:val="auto"/>
              </w:rPr>
              <w:t>Balance as of March 31, 2022</w:t>
            </w:r>
          </w:p>
        </w:tc>
        <w:tc>
          <w:tcPr>
            <w:tcW w:w="1080" w:type="dxa"/>
            <w:vAlign w:val="bottom"/>
          </w:tcPr>
          <w:p>
            <w:pPr>
              <w:jc w:val="right"/>
              <w:spacing w:after="0"/>
              <w:rPr>
                <w:sz w:val="20"/>
                <w:szCs w:val="20"/>
                <w:color w:val="auto"/>
              </w:rPr>
            </w:pPr>
            <w:r>
              <w:rPr>
                <w:rFonts w:ascii="Arial" w:cs="Arial" w:eastAsia="Arial" w:hAnsi="Arial"/>
                <w:sz w:val="18"/>
                <w:szCs w:val="18"/>
                <w:color w:val="auto"/>
              </w:rPr>
              <w:t>23,492,873</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215,828</w:t>
            </w:r>
          </w:p>
        </w:tc>
        <w:tc>
          <w:tcPr>
            <w:tcW w:w="2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10"/>
              <w:spacing w:after="0"/>
              <w:rPr>
                <w:sz w:val="20"/>
                <w:szCs w:val="20"/>
                <w:color w:val="auto"/>
              </w:rPr>
            </w:pPr>
            <w:r>
              <w:rPr>
                <w:rFonts w:ascii="Arial" w:cs="Arial" w:eastAsia="Arial" w:hAnsi="Arial"/>
                <w:sz w:val="18"/>
                <w:szCs w:val="18"/>
                <w:color w:val="auto"/>
              </w:rPr>
              <w:t>(693 )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(114,895 )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100,243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-1654175</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-1636395</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-1654175</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-1636395</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-1654175</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-1636395</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-1654175</wp:posOffset>
            </wp:positionV>
            <wp:extent cx="857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-1636395</wp:posOffset>
            </wp:positionV>
            <wp:extent cx="857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-1654175</wp:posOffset>
            </wp:positionV>
            <wp:extent cx="857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-1636395</wp:posOffset>
            </wp:positionV>
            <wp:extent cx="857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-1654175</wp:posOffset>
            </wp:positionV>
            <wp:extent cx="857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-1636395</wp:posOffset>
            </wp:positionV>
            <wp:extent cx="857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-187960</wp:posOffset>
            </wp:positionV>
            <wp:extent cx="76835" cy="1885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-187960</wp:posOffset>
            </wp:positionV>
            <wp:extent cx="76835" cy="188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-187960</wp:posOffset>
            </wp:positionV>
            <wp:extent cx="77470" cy="1885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-187960</wp:posOffset>
            </wp:positionV>
            <wp:extent cx="85725" cy="1885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-187960</wp:posOffset>
            </wp:positionV>
            <wp:extent cx="85725" cy="1885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SPRUCE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77"/>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223"/>
        </w:trPr>
        <w:tc>
          <w:tcPr>
            <w:tcW w:w="764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764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23"/>
        </w:trPr>
        <w:tc>
          <w:tcPr>
            <w:tcW w:w="7640" w:type="dxa"/>
            <w:vAlign w:val="bottom"/>
          </w:tcPr>
          <w:p>
            <w:pPr>
              <w:ind w:left="20"/>
              <w:spacing w:after="0"/>
              <w:rPr>
                <w:sz w:val="20"/>
                <w:szCs w:val="20"/>
                <w:color w:val="auto"/>
              </w:rPr>
            </w:pPr>
            <w:r>
              <w:rPr>
                <w:rFonts w:ascii="Arial" w:cs="Arial" w:eastAsia="Arial" w:hAnsi="Arial"/>
                <w:sz w:val="17"/>
                <w:szCs w:val="17"/>
                <w:color w:val="auto"/>
              </w:rPr>
              <w:t>Net loss</w:t>
            </w:r>
          </w:p>
        </w:tc>
        <w:tc>
          <w:tcPr>
            <w:tcW w:w="980" w:type="dxa"/>
            <w:vAlign w:val="bottom"/>
          </w:tcPr>
          <w:p>
            <w:pPr>
              <w:jc w:val="right"/>
              <w:ind w:right="799"/>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175"/>
              <w:spacing w:after="0"/>
              <w:rPr>
                <w:sz w:val="20"/>
                <w:szCs w:val="20"/>
                <w:color w:val="auto"/>
              </w:rPr>
            </w:pPr>
            <w:r>
              <w:rPr>
                <w:rFonts w:ascii="Arial" w:cs="Arial" w:eastAsia="Arial" w:hAnsi="Arial"/>
                <w:sz w:val="17"/>
                <w:szCs w:val="17"/>
                <w:color w:val="auto"/>
                <w:w w:val="93"/>
              </w:rPr>
              <w:t>(12,791 )</w:t>
            </w:r>
          </w:p>
        </w:tc>
        <w:tc>
          <w:tcPr>
            <w:tcW w:w="980" w:type="dxa"/>
            <w:vAlign w:val="bottom"/>
          </w:tcPr>
          <w:p>
            <w:pPr>
              <w:jc w:val="right"/>
              <w:ind w:right="797"/>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w w:val="93"/>
              </w:rPr>
              <w:t>(11,762 )</w:t>
            </w:r>
          </w:p>
        </w:tc>
      </w:tr>
      <w:tr>
        <w:trPr>
          <w:trHeight w:val="236"/>
        </w:trPr>
        <w:tc>
          <w:tcPr>
            <w:tcW w:w="7640" w:type="dxa"/>
            <w:vAlign w:val="bottom"/>
            <w:shd w:val="clear" w:color="auto" w:fill="CFF0FC"/>
          </w:tcPr>
          <w:p>
            <w:pPr>
              <w:ind w:left="2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23"/>
        </w:trPr>
        <w:tc>
          <w:tcPr>
            <w:tcW w:w="7640" w:type="dxa"/>
            <w:vAlign w:val="bottom"/>
          </w:tcPr>
          <w:p>
            <w:pPr>
              <w:ind w:left="200"/>
              <w:spacing w:after="0"/>
              <w:rPr>
                <w:sz w:val="20"/>
                <w:szCs w:val="20"/>
                <w:color w:val="auto"/>
              </w:rPr>
            </w:pPr>
            <w:r>
              <w:rPr>
                <w:rFonts w:ascii="Arial" w:cs="Arial" w:eastAsia="Arial" w:hAnsi="Arial"/>
                <w:sz w:val="17"/>
                <w:szCs w:val="17"/>
                <w:color w:val="auto"/>
              </w:rPr>
              <w:t>Stock-based compensation expense</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1,060</w:t>
            </w: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1,141</w:t>
            </w:r>
          </w:p>
        </w:tc>
        <w:tc>
          <w:tcPr>
            <w:tcW w:w="140" w:type="dxa"/>
            <w:vAlign w:val="bottom"/>
          </w:tcPr>
          <w:p>
            <w:pPr>
              <w:spacing w:after="0"/>
              <w:rPr>
                <w:sz w:val="19"/>
                <w:szCs w:val="19"/>
                <w:color w:val="auto"/>
              </w:rPr>
            </w:pPr>
          </w:p>
        </w:tc>
      </w:tr>
      <w:tr>
        <w:trPr>
          <w:trHeight w:val="236"/>
        </w:trPr>
        <w:tc>
          <w:tcPr>
            <w:tcW w:w="7640" w:type="dxa"/>
            <w:vAlign w:val="bottom"/>
            <w:shd w:val="clear" w:color="auto" w:fill="CFF0FC"/>
          </w:tcPr>
          <w:p>
            <w:pPr>
              <w:ind w:left="200"/>
              <w:spacing w:after="0"/>
              <w:rPr>
                <w:sz w:val="20"/>
                <w:szCs w:val="20"/>
                <w:color w:val="auto"/>
              </w:rPr>
            </w:pPr>
            <w:r>
              <w:rPr>
                <w:rFonts w:ascii="Arial" w:cs="Arial" w:eastAsia="Arial" w:hAnsi="Arial"/>
                <w:sz w:val="17"/>
                <w:szCs w:val="17"/>
                <w:color w:val="auto"/>
              </w:rPr>
              <w:t>Depreciation and amortization</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w:t>
            </w:r>
          </w:p>
        </w:tc>
        <w:tc>
          <w:tcPr>
            <w:tcW w:w="3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w:t>
            </w:r>
          </w:p>
        </w:tc>
        <w:tc>
          <w:tcPr>
            <w:tcW w:w="140" w:type="dxa"/>
            <w:vAlign w:val="bottom"/>
            <w:shd w:val="clear" w:color="auto" w:fill="CFF0FC"/>
          </w:tcPr>
          <w:p>
            <w:pPr>
              <w:spacing w:after="0"/>
              <w:rPr>
                <w:sz w:val="20"/>
                <w:szCs w:val="20"/>
                <w:color w:val="auto"/>
              </w:rPr>
            </w:pPr>
          </w:p>
        </w:tc>
      </w:tr>
      <w:tr>
        <w:trPr>
          <w:trHeight w:val="223"/>
        </w:trPr>
        <w:tc>
          <w:tcPr>
            <w:tcW w:w="7640" w:type="dxa"/>
            <w:vAlign w:val="bottom"/>
          </w:tcPr>
          <w:p>
            <w:pPr>
              <w:ind w:left="200"/>
              <w:spacing w:after="0"/>
              <w:rPr>
                <w:sz w:val="20"/>
                <w:szCs w:val="20"/>
                <w:color w:val="auto"/>
              </w:rPr>
            </w:pPr>
            <w:r>
              <w:rPr>
                <w:rFonts w:ascii="Arial" w:cs="Arial" w:eastAsia="Arial" w:hAnsi="Arial"/>
                <w:sz w:val="17"/>
                <w:szCs w:val="17"/>
                <w:color w:val="auto"/>
              </w:rPr>
              <w:t>Net amortization (accretion) of premium/discount on available-for-sale securities</w:t>
            </w:r>
          </w:p>
        </w:tc>
        <w:tc>
          <w:tcPr>
            <w:tcW w:w="980" w:type="dxa"/>
            <w:vAlign w:val="bottom"/>
          </w:tcPr>
          <w:p>
            <w:pPr>
              <w:spacing w:after="0"/>
              <w:rPr>
                <w:sz w:val="19"/>
                <w:szCs w:val="19"/>
                <w:color w:val="auto"/>
              </w:rPr>
            </w:pPr>
          </w:p>
        </w:tc>
        <w:tc>
          <w:tcPr>
            <w:tcW w:w="920" w:type="dxa"/>
            <w:vAlign w:val="bottom"/>
            <w:gridSpan w:val="2"/>
          </w:tcPr>
          <w:p>
            <w:pPr>
              <w:jc w:val="right"/>
              <w:ind w:right="175"/>
              <w:spacing w:after="0"/>
              <w:rPr>
                <w:sz w:val="20"/>
                <w:szCs w:val="20"/>
                <w:color w:val="auto"/>
              </w:rPr>
            </w:pPr>
            <w:r>
              <w:rPr>
                <w:rFonts w:ascii="Arial" w:cs="Arial" w:eastAsia="Arial" w:hAnsi="Arial"/>
                <w:sz w:val="17"/>
                <w:szCs w:val="17"/>
                <w:color w:val="auto"/>
              </w:rPr>
              <w:t>(183 )</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56</w:t>
            </w:r>
          </w:p>
        </w:tc>
        <w:tc>
          <w:tcPr>
            <w:tcW w:w="140" w:type="dxa"/>
            <w:vAlign w:val="bottom"/>
          </w:tcPr>
          <w:p>
            <w:pPr>
              <w:spacing w:after="0"/>
              <w:rPr>
                <w:sz w:val="19"/>
                <w:szCs w:val="19"/>
                <w:color w:val="auto"/>
              </w:rPr>
            </w:pPr>
          </w:p>
        </w:tc>
      </w:tr>
      <w:tr>
        <w:trPr>
          <w:trHeight w:val="236"/>
        </w:trPr>
        <w:tc>
          <w:tcPr>
            <w:tcW w:w="7640" w:type="dxa"/>
            <w:vAlign w:val="bottom"/>
            <w:shd w:val="clear" w:color="auto" w:fill="CFF0FC"/>
          </w:tcPr>
          <w:p>
            <w:pPr>
              <w:ind w:left="200"/>
              <w:spacing w:after="0"/>
              <w:rPr>
                <w:sz w:val="20"/>
                <w:szCs w:val="20"/>
                <w:color w:val="auto"/>
              </w:rPr>
            </w:pPr>
            <w:r>
              <w:rPr>
                <w:rFonts w:ascii="Arial" w:cs="Arial" w:eastAsia="Arial" w:hAnsi="Arial"/>
                <w:sz w:val="17"/>
                <w:szCs w:val="17"/>
                <w:color w:val="auto"/>
              </w:rPr>
              <w:t>Non-cash lease expense</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w:t>
            </w:r>
          </w:p>
        </w:tc>
        <w:tc>
          <w:tcPr>
            <w:tcW w:w="3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w:t>
            </w:r>
          </w:p>
        </w:tc>
        <w:tc>
          <w:tcPr>
            <w:tcW w:w="140" w:type="dxa"/>
            <w:vAlign w:val="bottom"/>
            <w:shd w:val="clear" w:color="auto" w:fill="CFF0FC"/>
          </w:tcPr>
          <w:p>
            <w:pPr>
              <w:spacing w:after="0"/>
              <w:rPr>
                <w:sz w:val="20"/>
                <w:szCs w:val="20"/>
                <w:color w:val="auto"/>
              </w:rPr>
            </w:pPr>
          </w:p>
        </w:tc>
      </w:tr>
      <w:tr>
        <w:trPr>
          <w:trHeight w:val="223"/>
        </w:trPr>
        <w:tc>
          <w:tcPr>
            <w:tcW w:w="7640" w:type="dxa"/>
            <w:vAlign w:val="bottom"/>
          </w:tcPr>
          <w:p>
            <w:pPr>
              <w:ind w:left="200"/>
              <w:spacing w:after="0"/>
              <w:rPr>
                <w:sz w:val="20"/>
                <w:szCs w:val="20"/>
                <w:color w:val="auto"/>
              </w:rPr>
            </w:pPr>
            <w:r>
              <w:rPr>
                <w:rFonts w:ascii="Arial" w:cs="Arial" w:eastAsia="Arial" w:hAnsi="Arial"/>
                <w:sz w:val="17"/>
                <w:szCs w:val="17"/>
                <w:color w:val="auto"/>
              </w:rPr>
              <w:t>Loss on disposal of property and equipment</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w:t>
            </w: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gridSpan w:val="2"/>
          </w:tcPr>
          <w:p>
            <w:pPr>
              <w:jc w:val="right"/>
              <w:ind w:right="75"/>
              <w:spacing w:after="0"/>
              <w:rPr>
                <w:sz w:val="20"/>
                <w:szCs w:val="20"/>
                <w:color w:val="auto"/>
              </w:rPr>
            </w:pPr>
            <w:r>
              <w:rPr>
                <w:rFonts w:ascii="Arial" w:cs="Arial" w:eastAsia="Arial" w:hAnsi="Arial"/>
                <w:sz w:val="17"/>
                <w:szCs w:val="17"/>
                <w:color w:val="auto"/>
              </w:rPr>
              <w:t>—</w:t>
            </w:r>
          </w:p>
        </w:tc>
      </w:tr>
      <w:tr>
        <w:trPr>
          <w:trHeight w:val="236"/>
        </w:trPr>
        <w:tc>
          <w:tcPr>
            <w:tcW w:w="7640" w:type="dxa"/>
            <w:vAlign w:val="bottom"/>
            <w:shd w:val="clear" w:color="auto" w:fill="CFF0FC"/>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23"/>
        </w:trPr>
        <w:tc>
          <w:tcPr>
            <w:tcW w:w="7640" w:type="dxa"/>
            <w:vAlign w:val="bottom"/>
          </w:tcPr>
          <w:p>
            <w:pPr>
              <w:ind w:left="200"/>
              <w:spacing w:after="0"/>
              <w:rPr>
                <w:sz w:val="20"/>
                <w:szCs w:val="20"/>
                <w:color w:val="auto"/>
              </w:rPr>
            </w:pPr>
            <w:r>
              <w:rPr>
                <w:rFonts w:ascii="Arial" w:cs="Arial" w:eastAsia="Arial" w:hAnsi="Arial"/>
                <w:sz w:val="17"/>
                <w:szCs w:val="17"/>
                <w:color w:val="auto"/>
              </w:rPr>
              <w:t>Accounts receivable</w:t>
            </w:r>
          </w:p>
        </w:tc>
        <w:tc>
          <w:tcPr>
            <w:tcW w:w="980" w:type="dxa"/>
            <w:vAlign w:val="bottom"/>
          </w:tcPr>
          <w:p>
            <w:pPr>
              <w:spacing w:after="0"/>
              <w:rPr>
                <w:sz w:val="19"/>
                <w:szCs w:val="19"/>
                <w:color w:val="auto"/>
              </w:rPr>
            </w:pPr>
          </w:p>
        </w:tc>
        <w:tc>
          <w:tcPr>
            <w:tcW w:w="920" w:type="dxa"/>
            <w:vAlign w:val="bottom"/>
            <w:gridSpan w:val="2"/>
          </w:tcPr>
          <w:p>
            <w:pPr>
              <w:jc w:val="right"/>
              <w:ind w:right="175"/>
              <w:spacing w:after="0"/>
              <w:rPr>
                <w:sz w:val="20"/>
                <w:szCs w:val="20"/>
                <w:color w:val="auto"/>
              </w:rPr>
            </w:pPr>
            <w:r>
              <w:rPr>
                <w:rFonts w:ascii="Arial" w:cs="Arial" w:eastAsia="Arial" w:hAnsi="Arial"/>
                <w:sz w:val="17"/>
                <w:szCs w:val="17"/>
                <w:color w:val="auto"/>
                <w:w w:val="93"/>
              </w:rPr>
              <w:t>(15,000 )</w:t>
            </w:r>
          </w:p>
        </w:tc>
        <w:tc>
          <w:tcPr>
            <w:tcW w:w="980" w:type="dxa"/>
            <w:vAlign w:val="bottom"/>
          </w:tcPr>
          <w:p>
            <w:pPr>
              <w:spacing w:after="0"/>
              <w:rPr>
                <w:sz w:val="19"/>
                <w:szCs w:val="19"/>
                <w:color w:val="auto"/>
              </w:rPr>
            </w:pPr>
          </w:p>
        </w:tc>
        <w:tc>
          <w:tcPr>
            <w:tcW w:w="720" w:type="dxa"/>
            <w:vAlign w:val="bottom"/>
            <w:gridSpan w:val="2"/>
          </w:tcPr>
          <w:p>
            <w:pPr>
              <w:jc w:val="right"/>
              <w:ind w:right="75"/>
              <w:spacing w:after="0"/>
              <w:rPr>
                <w:sz w:val="20"/>
                <w:szCs w:val="20"/>
                <w:color w:val="auto"/>
              </w:rPr>
            </w:pPr>
            <w:r>
              <w:rPr>
                <w:rFonts w:ascii="Arial" w:cs="Arial" w:eastAsia="Arial" w:hAnsi="Arial"/>
                <w:sz w:val="17"/>
                <w:szCs w:val="17"/>
                <w:color w:val="auto"/>
              </w:rPr>
              <w:t>—</w:t>
            </w:r>
          </w:p>
        </w:tc>
      </w:tr>
      <w:tr>
        <w:trPr>
          <w:trHeight w:val="236"/>
        </w:trPr>
        <w:tc>
          <w:tcPr>
            <w:tcW w:w="7640" w:type="dxa"/>
            <w:vAlign w:val="bottom"/>
            <w:shd w:val="clear" w:color="auto" w:fill="CFF0FC"/>
          </w:tcPr>
          <w:p>
            <w:pPr>
              <w:ind w:left="200"/>
              <w:spacing w:after="0"/>
              <w:rPr>
                <w:sz w:val="20"/>
                <w:szCs w:val="20"/>
                <w:color w:val="auto"/>
              </w:rPr>
            </w:pPr>
            <w:r>
              <w:rPr>
                <w:rFonts w:ascii="Arial" w:cs="Arial" w:eastAsia="Arial" w:hAnsi="Arial"/>
                <w:sz w:val="17"/>
                <w:szCs w:val="17"/>
                <w:color w:val="auto"/>
              </w:rPr>
              <w:t>Prepaid expenses and other current assets</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664</w:t>
            </w:r>
          </w:p>
        </w:tc>
        <w:tc>
          <w:tcPr>
            <w:tcW w:w="3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(822 )</w:t>
            </w:r>
          </w:p>
        </w:tc>
      </w:tr>
      <w:tr>
        <w:trPr>
          <w:trHeight w:val="223"/>
        </w:trPr>
        <w:tc>
          <w:tcPr>
            <w:tcW w:w="7640" w:type="dxa"/>
            <w:vAlign w:val="bottom"/>
          </w:tcPr>
          <w:p>
            <w:pPr>
              <w:ind w:left="200"/>
              <w:spacing w:after="0"/>
              <w:rPr>
                <w:sz w:val="20"/>
                <w:szCs w:val="20"/>
                <w:color w:val="auto"/>
              </w:rPr>
            </w:pPr>
            <w:r>
              <w:rPr>
                <w:rFonts w:ascii="Arial" w:cs="Arial" w:eastAsia="Arial" w:hAnsi="Arial"/>
                <w:sz w:val="17"/>
                <w:szCs w:val="17"/>
                <w:color w:val="auto"/>
              </w:rPr>
              <w:t>Other assets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157</w:t>
            </w: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27</w:t>
            </w:r>
          </w:p>
        </w:tc>
        <w:tc>
          <w:tcPr>
            <w:tcW w:w="140" w:type="dxa"/>
            <w:vAlign w:val="bottom"/>
          </w:tcPr>
          <w:p>
            <w:pPr>
              <w:spacing w:after="0"/>
              <w:rPr>
                <w:sz w:val="19"/>
                <w:szCs w:val="19"/>
                <w:color w:val="auto"/>
              </w:rPr>
            </w:pPr>
          </w:p>
        </w:tc>
      </w:tr>
      <w:tr>
        <w:trPr>
          <w:trHeight w:val="236"/>
        </w:trPr>
        <w:tc>
          <w:tcPr>
            <w:tcW w:w="7640" w:type="dxa"/>
            <w:vAlign w:val="bottom"/>
            <w:shd w:val="clear" w:color="auto" w:fill="CFF0FC"/>
          </w:tcPr>
          <w:p>
            <w:pPr>
              <w:ind w:left="200"/>
              <w:spacing w:after="0"/>
              <w:rPr>
                <w:sz w:val="20"/>
                <w:szCs w:val="20"/>
                <w:color w:val="auto"/>
              </w:rPr>
            </w:pPr>
            <w:r>
              <w:rPr>
                <w:rFonts w:ascii="Arial" w:cs="Arial" w:eastAsia="Arial" w:hAnsi="Arial"/>
                <w:sz w:val="17"/>
                <w:szCs w:val="17"/>
                <w:color w:val="auto"/>
              </w:rPr>
              <w:t>Accounts payable</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2,022</w:t>
            </w:r>
          </w:p>
        </w:tc>
        <w:tc>
          <w:tcPr>
            <w:tcW w:w="3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(1,714 )</w:t>
            </w:r>
          </w:p>
        </w:tc>
      </w:tr>
      <w:tr>
        <w:trPr>
          <w:trHeight w:val="223"/>
        </w:trPr>
        <w:tc>
          <w:tcPr>
            <w:tcW w:w="7640" w:type="dxa"/>
            <w:vAlign w:val="bottom"/>
          </w:tcPr>
          <w:p>
            <w:pPr>
              <w:ind w:left="200"/>
              <w:spacing w:after="0"/>
              <w:rPr>
                <w:sz w:val="20"/>
                <w:szCs w:val="20"/>
                <w:color w:val="auto"/>
              </w:rPr>
            </w:pPr>
            <w:r>
              <w:rPr>
                <w:rFonts w:ascii="Arial" w:cs="Arial" w:eastAsia="Arial" w:hAnsi="Arial"/>
                <w:sz w:val="17"/>
                <w:szCs w:val="17"/>
                <w:color w:val="auto"/>
              </w:rPr>
              <w:t>Accrued expenses and other current liabilities</w:t>
            </w:r>
          </w:p>
        </w:tc>
        <w:tc>
          <w:tcPr>
            <w:tcW w:w="980" w:type="dxa"/>
            <w:vAlign w:val="bottom"/>
          </w:tcPr>
          <w:p>
            <w:pPr>
              <w:spacing w:after="0"/>
              <w:rPr>
                <w:sz w:val="19"/>
                <w:szCs w:val="19"/>
                <w:color w:val="auto"/>
              </w:rPr>
            </w:pPr>
          </w:p>
        </w:tc>
        <w:tc>
          <w:tcPr>
            <w:tcW w:w="920" w:type="dxa"/>
            <w:vAlign w:val="bottom"/>
            <w:gridSpan w:val="2"/>
          </w:tcPr>
          <w:p>
            <w:pPr>
              <w:jc w:val="right"/>
              <w:ind w:right="175"/>
              <w:spacing w:after="0"/>
              <w:rPr>
                <w:sz w:val="20"/>
                <w:szCs w:val="20"/>
                <w:color w:val="auto"/>
              </w:rPr>
            </w:pPr>
            <w:r>
              <w:rPr>
                <w:rFonts w:ascii="Arial" w:cs="Arial" w:eastAsia="Arial" w:hAnsi="Arial"/>
                <w:sz w:val="17"/>
                <w:szCs w:val="17"/>
                <w:color w:val="auto"/>
              </w:rPr>
              <w:t>(793 )</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1,210</w:t>
            </w:r>
          </w:p>
        </w:tc>
        <w:tc>
          <w:tcPr>
            <w:tcW w:w="140" w:type="dxa"/>
            <w:vAlign w:val="bottom"/>
          </w:tcPr>
          <w:p>
            <w:pPr>
              <w:spacing w:after="0"/>
              <w:rPr>
                <w:sz w:val="19"/>
                <w:szCs w:val="19"/>
                <w:color w:val="auto"/>
              </w:rPr>
            </w:pPr>
          </w:p>
        </w:tc>
      </w:tr>
      <w:tr>
        <w:trPr>
          <w:trHeight w:val="236"/>
        </w:trPr>
        <w:tc>
          <w:tcPr>
            <w:tcW w:w="7640" w:type="dxa"/>
            <w:vAlign w:val="bottom"/>
            <w:shd w:val="clear" w:color="auto" w:fill="CFF0FC"/>
          </w:tcPr>
          <w:p>
            <w:pPr>
              <w:ind w:left="200"/>
              <w:spacing w:after="0"/>
              <w:rPr>
                <w:sz w:val="20"/>
                <w:szCs w:val="20"/>
                <w:color w:val="auto"/>
              </w:rPr>
            </w:pPr>
            <w:r>
              <w:rPr>
                <w:rFonts w:ascii="Arial" w:cs="Arial" w:eastAsia="Arial" w:hAnsi="Arial"/>
                <w:sz w:val="17"/>
                <w:szCs w:val="17"/>
                <w:color w:val="auto"/>
              </w:rPr>
              <w:t>Deferred revenue</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13,036</w:t>
            </w:r>
          </w:p>
        </w:tc>
        <w:tc>
          <w:tcPr>
            <w:tcW w:w="3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75"/>
              <w:spacing w:after="0"/>
              <w:rPr>
                <w:sz w:val="20"/>
                <w:szCs w:val="20"/>
                <w:color w:val="auto"/>
              </w:rPr>
            </w:pPr>
            <w:r>
              <w:rPr>
                <w:rFonts w:ascii="Arial" w:cs="Arial" w:eastAsia="Arial" w:hAnsi="Arial"/>
                <w:sz w:val="17"/>
                <w:szCs w:val="17"/>
                <w:color w:val="auto"/>
              </w:rPr>
              <w:t>—</w:t>
            </w:r>
          </w:p>
        </w:tc>
      </w:tr>
      <w:tr>
        <w:trPr>
          <w:trHeight w:val="223"/>
        </w:trPr>
        <w:tc>
          <w:tcPr>
            <w:tcW w:w="7640" w:type="dxa"/>
            <w:vAlign w:val="bottom"/>
          </w:tcPr>
          <w:p>
            <w:pPr>
              <w:ind w:left="200"/>
              <w:spacing w:after="0"/>
              <w:rPr>
                <w:sz w:val="20"/>
                <w:szCs w:val="20"/>
                <w:color w:val="auto"/>
              </w:rPr>
            </w:pPr>
            <w:r>
              <w:rPr>
                <w:rFonts w:ascii="Arial" w:cs="Arial" w:eastAsia="Arial" w:hAnsi="Arial"/>
                <w:sz w:val="17"/>
                <w:szCs w:val="17"/>
                <w:color w:val="auto"/>
              </w:rPr>
              <w:t>Other liabilities</w:t>
            </w:r>
          </w:p>
        </w:tc>
        <w:tc>
          <w:tcPr>
            <w:tcW w:w="980" w:type="dxa"/>
            <w:vAlign w:val="bottom"/>
          </w:tcPr>
          <w:p>
            <w:pPr>
              <w:spacing w:after="0"/>
              <w:rPr>
                <w:sz w:val="19"/>
                <w:szCs w:val="19"/>
                <w:color w:val="auto"/>
              </w:rPr>
            </w:pPr>
          </w:p>
        </w:tc>
        <w:tc>
          <w:tcPr>
            <w:tcW w:w="920" w:type="dxa"/>
            <w:vAlign w:val="bottom"/>
            <w:gridSpan w:val="2"/>
          </w:tcPr>
          <w:p>
            <w:pPr>
              <w:jc w:val="right"/>
              <w:ind w:right="175"/>
              <w:spacing w:after="0"/>
              <w:rPr>
                <w:sz w:val="20"/>
                <w:szCs w:val="20"/>
                <w:color w:val="auto"/>
              </w:rPr>
            </w:pPr>
            <w:r>
              <w:rPr>
                <w:rFonts w:ascii="Arial" w:cs="Arial" w:eastAsia="Arial" w:hAnsi="Arial"/>
                <w:sz w:val="17"/>
                <w:szCs w:val="17"/>
                <w:color w:val="auto"/>
              </w:rPr>
              <w:t>(41 )</w:t>
            </w:r>
          </w:p>
        </w:tc>
        <w:tc>
          <w:tcPr>
            <w:tcW w:w="9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(65 )</w:t>
            </w:r>
          </w:p>
        </w:tc>
      </w:tr>
      <w:tr>
        <w:trPr>
          <w:trHeight w:val="223"/>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Net cash used in operating activities</w:t>
            </w: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7"/>
              </w:rPr>
              <w:t>(11,790</w:t>
            </w:r>
          </w:p>
        </w:tc>
        <w:tc>
          <w:tcPr>
            <w:tcW w:w="340" w:type="dxa"/>
            <w:vAlign w:val="bottom"/>
            <w:tcBorders>
              <w:bottom w:val="single" w:sz="8" w:color="CFF0FC"/>
            </w:tcBorders>
            <w:shd w:val="clear" w:color="auto" w:fill="CFF0FC"/>
          </w:tcPr>
          <w:p>
            <w:pPr>
              <w:jc w:val="right"/>
              <w:ind w:right="175"/>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3"/>
              </w:rPr>
              <w:t>(11,826</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r>
      <w:tr>
        <w:trPr>
          <w:trHeight w:val="225"/>
        </w:trPr>
        <w:tc>
          <w:tcPr>
            <w:tcW w:w="7640" w:type="dxa"/>
            <w:vAlign w:val="bottom"/>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4"/>
        </w:trPr>
        <w:tc>
          <w:tcPr>
            <w:tcW w:w="7640" w:type="dxa"/>
            <w:vAlign w:val="bottom"/>
            <w:shd w:val="clear" w:color="auto" w:fill="CFF0FC"/>
          </w:tcPr>
          <w:p>
            <w:pPr>
              <w:ind w:left="200"/>
              <w:spacing w:after="0"/>
              <w:rPr>
                <w:sz w:val="20"/>
                <w:szCs w:val="20"/>
                <w:color w:val="auto"/>
              </w:rPr>
            </w:pPr>
            <w:r>
              <w:rPr>
                <w:rFonts w:ascii="Arial" w:cs="Arial" w:eastAsia="Arial" w:hAnsi="Arial"/>
                <w:sz w:val="17"/>
                <w:szCs w:val="17"/>
                <w:color w:val="auto"/>
              </w:rPr>
              <w:t>Proceeds from maturities of investments</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22,365</w:t>
            </w:r>
          </w:p>
        </w:tc>
        <w:tc>
          <w:tcPr>
            <w:tcW w:w="3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3,500</w:t>
            </w:r>
          </w:p>
        </w:tc>
        <w:tc>
          <w:tcPr>
            <w:tcW w:w="140" w:type="dxa"/>
            <w:vAlign w:val="bottom"/>
            <w:shd w:val="clear" w:color="auto" w:fill="CFF0FC"/>
          </w:tcPr>
          <w:p>
            <w:pPr>
              <w:spacing w:after="0"/>
              <w:rPr>
                <w:sz w:val="20"/>
                <w:szCs w:val="20"/>
                <w:color w:val="auto"/>
              </w:rPr>
            </w:pPr>
          </w:p>
        </w:tc>
      </w:tr>
      <w:tr>
        <w:trPr>
          <w:trHeight w:val="223"/>
        </w:trPr>
        <w:tc>
          <w:tcPr>
            <w:tcW w:w="7640" w:type="dxa"/>
            <w:vAlign w:val="bottom"/>
          </w:tcPr>
          <w:p>
            <w:pPr>
              <w:ind w:left="200"/>
              <w:spacing w:after="0"/>
              <w:rPr>
                <w:sz w:val="20"/>
                <w:szCs w:val="20"/>
                <w:color w:val="auto"/>
              </w:rPr>
            </w:pPr>
            <w:r>
              <w:rPr>
                <w:rFonts w:ascii="Arial" w:cs="Arial" w:eastAsia="Arial" w:hAnsi="Arial"/>
                <w:sz w:val="17"/>
                <w:szCs w:val="17"/>
                <w:color w:val="auto"/>
              </w:rPr>
              <w:t>Purchases of investments</w:t>
            </w:r>
          </w:p>
        </w:tc>
        <w:tc>
          <w:tcPr>
            <w:tcW w:w="980" w:type="dxa"/>
            <w:vAlign w:val="bottom"/>
          </w:tcPr>
          <w:p>
            <w:pPr>
              <w:spacing w:after="0"/>
              <w:rPr>
                <w:sz w:val="19"/>
                <w:szCs w:val="19"/>
                <w:color w:val="auto"/>
              </w:rPr>
            </w:pPr>
          </w:p>
        </w:tc>
        <w:tc>
          <w:tcPr>
            <w:tcW w:w="920" w:type="dxa"/>
            <w:vAlign w:val="bottom"/>
            <w:gridSpan w:val="2"/>
          </w:tcPr>
          <w:p>
            <w:pPr>
              <w:jc w:val="right"/>
              <w:ind w:right="175"/>
              <w:spacing w:after="0"/>
              <w:rPr>
                <w:sz w:val="20"/>
                <w:szCs w:val="20"/>
                <w:color w:val="auto"/>
              </w:rPr>
            </w:pPr>
            <w:r>
              <w:rPr>
                <w:rFonts w:ascii="Arial" w:cs="Arial" w:eastAsia="Arial" w:hAnsi="Arial"/>
                <w:sz w:val="17"/>
                <w:szCs w:val="17"/>
                <w:color w:val="auto"/>
                <w:w w:val="93"/>
              </w:rPr>
              <w:t>(11,881 )</w:t>
            </w:r>
          </w:p>
        </w:tc>
        <w:tc>
          <w:tcPr>
            <w:tcW w:w="9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w w:val="93"/>
              </w:rPr>
              <w:t>(10,991 )</w:t>
            </w:r>
          </w:p>
        </w:tc>
      </w:tr>
      <w:tr>
        <w:trPr>
          <w:trHeight w:val="223"/>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Net cash provided by (used in) investing activities</w:t>
            </w: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10,484</w:t>
            </w:r>
          </w:p>
        </w:tc>
        <w:tc>
          <w:tcPr>
            <w:tcW w:w="34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(7,491</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r>
      <w:tr>
        <w:trPr>
          <w:trHeight w:val="225"/>
        </w:trPr>
        <w:tc>
          <w:tcPr>
            <w:tcW w:w="7640" w:type="dxa"/>
            <w:vAlign w:val="bottom"/>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4"/>
        </w:trPr>
        <w:tc>
          <w:tcPr>
            <w:tcW w:w="7640" w:type="dxa"/>
            <w:vAlign w:val="bottom"/>
            <w:shd w:val="clear" w:color="auto" w:fill="CFF0FC"/>
          </w:tcPr>
          <w:p>
            <w:pPr>
              <w:ind w:left="200"/>
              <w:spacing w:after="0"/>
              <w:rPr>
                <w:sz w:val="20"/>
                <w:szCs w:val="20"/>
                <w:color w:val="auto"/>
              </w:rPr>
            </w:pPr>
            <w:r>
              <w:rPr>
                <w:rFonts w:ascii="Arial" w:cs="Arial" w:eastAsia="Arial" w:hAnsi="Arial"/>
                <w:sz w:val="17"/>
                <w:szCs w:val="17"/>
                <w:color w:val="auto"/>
              </w:rPr>
              <w:t>Proceeds from issuance of common stock and warrants</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53,616</w:t>
            </w:r>
          </w:p>
        </w:tc>
        <w:tc>
          <w:tcPr>
            <w:tcW w:w="3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75"/>
              <w:spacing w:after="0"/>
              <w:rPr>
                <w:sz w:val="20"/>
                <w:szCs w:val="20"/>
                <w:color w:val="auto"/>
              </w:rPr>
            </w:pPr>
            <w:r>
              <w:rPr>
                <w:rFonts w:ascii="Arial" w:cs="Arial" w:eastAsia="Arial" w:hAnsi="Arial"/>
                <w:sz w:val="17"/>
                <w:szCs w:val="17"/>
                <w:color w:val="auto"/>
              </w:rPr>
              <w:t>—</w:t>
            </w:r>
          </w:p>
        </w:tc>
      </w:tr>
      <w:tr>
        <w:trPr>
          <w:trHeight w:val="223"/>
        </w:trPr>
        <w:tc>
          <w:tcPr>
            <w:tcW w:w="7640" w:type="dxa"/>
            <w:vAlign w:val="bottom"/>
          </w:tcPr>
          <w:p>
            <w:pPr>
              <w:ind w:left="200"/>
              <w:spacing w:after="0"/>
              <w:rPr>
                <w:sz w:val="20"/>
                <w:szCs w:val="20"/>
                <w:color w:val="auto"/>
              </w:rPr>
            </w:pPr>
            <w:r>
              <w:rPr>
                <w:rFonts w:ascii="Arial" w:cs="Arial" w:eastAsia="Arial" w:hAnsi="Arial"/>
                <w:sz w:val="17"/>
                <w:szCs w:val="17"/>
                <w:color w:val="auto"/>
              </w:rPr>
              <w:t>Payment of offering costs</w:t>
            </w:r>
          </w:p>
        </w:tc>
        <w:tc>
          <w:tcPr>
            <w:tcW w:w="980" w:type="dxa"/>
            <w:vAlign w:val="bottom"/>
          </w:tcPr>
          <w:p>
            <w:pPr>
              <w:spacing w:after="0"/>
              <w:rPr>
                <w:sz w:val="19"/>
                <w:szCs w:val="19"/>
                <w:color w:val="auto"/>
              </w:rPr>
            </w:pPr>
          </w:p>
        </w:tc>
        <w:tc>
          <w:tcPr>
            <w:tcW w:w="920" w:type="dxa"/>
            <w:vAlign w:val="bottom"/>
            <w:gridSpan w:val="2"/>
          </w:tcPr>
          <w:p>
            <w:pPr>
              <w:jc w:val="right"/>
              <w:ind w:right="175"/>
              <w:spacing w:after="0"/>
              <w:rPr>
                <w:sz w:val="20"/>
                <w:szCs w:val="20"/>
                <w:color w:val="auto"/>
              </w:rPr>
            </w:pPr>
            <w:r>
              <w:rPr>
                <w:rFonts w:ascii="Arial" w:cs="Arial" w:eastAsia="Arial" w:hAnsi="Arial"/>
                <w:sz w:val="17"/>
                <w:szCs w:val="17"/>
                <w:color w:val="auto"/>
              </w:rPr>
              <w:t>(2,659 )</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6"/>
        </w:trPr>
        <w:tc>
          <w:tcPr>
            <w:tcW w:w="7640" w:type="dxa"/>
            <w:vAlign w:val="bottom"/>
            <w:shd w:val="clear" w:color="auto" w:fill="CFF0FC"/>
          </w:tcPr>
          <w:p>
            <w:pPr>
              <w:ind w:left="200"/>
              <w:spacing w:after="0"/>
              <w:rPr>
                <w:sz w:val="20"/>
                <w:szCs w:val="20"/>
                <w:color w:val="auto"/>
              </w:rPr>
            </w:pPr>
            <w:r>
              <w:rPr>
                <w:rFonts w:ascii="Arial" w:cs="Arial" w:eastAsia="Arial" w:hAnsi="Arial"/>
                <w:sz w:val="17"/>
                <w:szCs w:val="17"/>
                <w:color w:val="auto"/>
              </w:rPr>
              <w:t>Repayment of term loan</w:t>
            </w:r>
          </w:p>
        </w:tc>
        <w:tc>
          <w:tcPr>
            <w:tcW w:w="9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75"/>
              <w:spacing w:after="0"/>
              <w:rPr>
                <w:sz w:val="20"/>
                <w:szCs w:val="20"/>
                <w:color w:val="auto"/>
              </w:rPr>
            </w:pPr>
            <w:r>
              <w:rPr>
                <w:rFonts w:ascii="Arial" w:cs="Arial" w:eastAsia="Arial" w:hAnsi="Arial"/>
                <w:sz w:val="17"/>
                <w:szCs w:val="17"/>
                <w:color w:val="auto"/>
              </w:rPr>
              <w:t>(405 )</w:t>
            </w:r>
          </w:p>
        </w:tc>
        <w:tc>
          <w:tcPr>
            <w:tcW w:w="98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75"/>
              <w:spacing w:after="0"/>
              <w:rPr>
                <w:sz w:val="20"/>
                <w:szCs w:val="20"/>
                <w:color w:val="auto"/>
              </w:rPr>
            </w:pPr>
            <w:r>
              <w:rPr>
                <w:rFonts w:ascii="Arial" w:cs="Arial" w:eastAsia="Arial" w:hAnsi="Arial"/>
                <w:sz w:val="17"/>
                <w:szCs w:val="17"/>
                <w:color w:val="auto"/>
              </w:rPr>
              <w:t>—</w:t>
            </w:r>
          </w:p>
        </w:tc>
      </w:tr>
      <w:tr>
        <w:trPr>
          <w:trHeight w:val="223"/>
        </w:trPr>
        <w:tc>
          <w:tcPr>
            <w:tcW w:w="7640" w:type="dxa"/>
            <w:vAlign w:val="bottom"/>
          </w:tcPr>
          <w:p>
            <w:pPr>
              <w:ind w:left="200"/>
              <w:spacing w:after="0"/>
              <w:rPr>
                <w:sz w:val="20"/>
                <w:szCs w:val="20"/>
                <w:color w:val="auto"/>
              </w:rPr>
            </w:pPr>
            <w:r>
              <w:rPr>
                <w:rFonts w:ascii="Arial" w:cs="Arial" w:eastAsia="Arial" w:hAnsi="Arial"/>
                <w:sz w:val="17"/>
                <w:szCs w:val="17"/>
                <w:color w:val="auto"/>
              </w:rPr>
              <w:t>Tax withholding payments on restricted stock units</w:t>
            </w:r>
          </w:p>
        </w:tc>
        <w:tc>
          <w:tcPr>
            <w:tcW w:w="980" w:type="dxa"/>
            <w:vAlign w:val="bottom"/>
          </w:tcPr>
          <w:p>
            <w:pPr>
              <w:spacing w:after="0"/>
              <w:rPr>
                <w:sz w:val="19"/>
                <w:szCs w:val="19"/>
                <w:color w:val="auto"/>
              </w:rPr>
            </w:pPr>
          </w:p>
        </w:tc>
        <w:tc>
          <w:tcPr>
            <w:tcW w:w="920" w:type="dxa"/>
            <w:vAlign w:val="bottom"/>
            <w:gridSpan w:val="2"/>
          </w:tcPr>
          <w:p>
            <w:pPr>
              <w:jc w:val="right"/>
              <w:ind w:right="175"/>
              <w:spacing w:after="0"/>
              <w:rPr>
                <w:sz w:val="20"/>
                <w:szCs w:val="20"/>
                <w:color w:val="auto"/>
              </w:rPr>
            </w:pPr>
            <w:r>
              <w:rPr>
                <w:rFonts w:ascii="Arial" w:cs="Arial" w:eastAsia="Arial" w:hAnsi="Arial"/>
                <w:sz w:val="17"/>
                <w:szCs w:val="17"/>
                <w:color w:val="auto"/>
              </w:rPr>
              <w:t>(23 )</w:t>
            </w:r>
          </w:p>
        </w:tc>
        <w:tc>
          <w:tcPr>
            <w:tcW w:w="980" w:type="dxa"/>
            <w:vAlign w:val="bottom"/>
          </w:tcPr>
          <w:p>
            <w:pPr>
              <w:spacing w:after="0"/>
              <w:rPr>
                <w:sz w:val="19"/>
                <w:szCs w:val="19"/>
                <w:color w:val="auto"/>
              </w:rPr>
            </w:pPr>
          </w:p>
        </w:tc>
        <w:tc>
          <w:tcPr>
            <w:tcW w:w="720" w:type="dxa"/>
            <w:vAlign w:val="bottom"/>
            <w:gridSpan w:val="2"/>
          </w:tcPr>
          <w:p>
            <w:pPr>
              <w:jc w:val="right"/>
              <w:ind w:right="75"/>
              <w:spacing w:after="0"/>
              <w:rPr>
                <w:sz w:val="20"/>
                <w:szCs w:val="20"/>
                <w:color w:val="auto"/>
              </w:rPr>
            </w:pPr>
            <w:r>
              <w:rPr>
                <w:rFonts w:ascii="Arial" w:cs="Arial" w:eastAsia="Arial" w:hAnsi="Arial"/>
                <w:sz w:val="17"/>
                <w:szCs w:val="17"/>
                <w:color w:val="auto"/>
              </w:rPr>
              <w:t>—</w:t>
            </w:r>
          </w:p>
        </w:tc>
      </w:tr>
      <w:tr>
        <w:trPr>
          <w:trHeight w:val="236"/>
        </w:trPr>
        <w:tc>
          <w:tcPr>
            <w:tcW w:w="7640" w:type="dxa"/>
            <w:vAlign w:val="bottom"/>
            <w:shd w:val="clear" w:color="auto" w:fill="CFF0FC"/>
          </w:tcPr>
          <w:p>
            <w:pPr>
              <w:ind w:left="200"/>
              <w:spacing w:after="0"/>
              <w:rPr>
                <w:sz w:val="20"/>
                <w:szCs w:val="20"/>
                <w:color w:val="auto"/>
              </w:rPr>
            </w:pPr>
            <w:r>
              <w:rPr>
                <w:rFonts w:ascii="Arial" w:cs="Arial" w:eastAsia="Arial" w:hAnsi="Arial"/>
                <w:sz w:val="17"/>
                <w:szCs w:val="17"/>
                <w:color w:val="auto"/>
              </w:rPr>
              <w:t>Proceeds from exercise of common stock options</w:t>
            </w:r>
          </w:p>
        </w:tc>
        <w:tc>
          <w:tcPr>
            <w:tcW w:w="9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55"/>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40" w:type="dxa"/>
            <w:vAlign w:val="bottom"/>
            <w:shd w:val="clear" w:color="auto" w:fill="CFF0FC"/>
          </w:tcPr>
          <w:p>
            <w:pPr>
              <w:spacing w:after="0"/>
              <w:rPr>
                <w:sz w:val="20"/>
                <w:szCs w:val="20"/>
                <w:color w:val="auto"/>
              </w:rPr>
            </w:pPr>
          </w:p>
        </w:tc>
      </w:tr>
      <w:tr>
        <w:trPr>
          <w:trHeight w:val="223"/>
        </w:trPr>
        <w:tc>
          <w:tcPr>
            <w:tcW w:w="7640" w:type="dxa"/>
            <w:vAlign w:val="bottom"/>
          </w:tcPr>
          <w:p>
            <w:pPr>
              <w:ind w:left="200"/>
              <w:spacing w:after="0"/>
              <w:rPr>
                <w:sz w:val="20"/>
                <w:szCs w:val="20"/>
                <w:color w:val="auto"/>
              </w:rPr>
            </w:pPr>
            <w:r>
              <w:rPr>
                <w:rFonts w:ascii="Arial" w:cs="Arial" w:eastAsia="Arial" w:hAnsi="Arial"/>
                <w:sz w:val="17"/>
                <w:szCs w:val="17"/>
                <w:color w:val="auto"/>
              </w:rPr>
              <w:t>Payment of deferred offering costs</w:t>
            </w:r>
          </w:p>
        </w:tc>
        <w:tc>
          <w:tcPr>
            <w:tcW w:w="980" w:type="dxa"/>
            <w:vAlign w:val="bottom"/>
          </w:tcPr>
          <w:p>
            <w:pPr>
              <w:spacing w:after="0"/>
              <w:rPr>
                <w:sz w:val="19"/>
                <w:szCs w:val="19"/>
                <w:color w:val="auto"/>
              </w:rPr>
            </w:pPr>
          </w:p>
        </w:tc>
        <w:tc>
          <w:tcPr>
            <w:tcW w:w="920" w:type="dxa"/>
            <w:vAlign w:val="bottom"/>
            <w:gridSpan w:val="2"/>
          </w:tcPr>
          <w:p>
            <w:pPr>
              <w:jc w:val="right"/>
              <w:ind w:right="255"/>
              <w:spacing w:after="0"/>
              <w:rPr>
                <w:sz w:val="20"/>
                <w:szCs w:val="20"/>
                <w:color w:val="auto"/>
              </w:rPr>
            </w:pPr>
            <w:r>
              <w:rPr>
                <w:rFonts w:ascii="Arial" w:cs="Arial" w:eastAsia="Arial" w:hAnsi="Arial"/>
                <w:sz w:val="17"/>
                <w:szCs w:val="17"/>
                <w:color w:val="auto"/>
              </w:rPr>
              <w:t>—</w:t>
            </w:r>
          </w:p>
        </w:tc>
        <w:tc>
          <w:tcPr>
            <w:tcW w:w="9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(90 )</w:t>
            </w:r>
          </w:p>
        </w:tc>
      </w:tr>
      <w:tr>
        <w:trPr>
          <w:trHeight w:val="223"/>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Net cash provided by (used in) financing activities</w:t>
            </w: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50,529</w:t>
            </w:r>
          </w:p>
        </w:tc>
        <w:tc>
          <w:tcPr>
            <w:tcW w:w="34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(88</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7640" w:type="dxa"/>
            <w:vAlign w:val="bottom"/>
          </w:tcPr>
          <w:p>
            <w:pPr>
              <w:ind w:left="20"/>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49,223</w:t>
            </w: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w w:val="93"/>
              </w:rPr>
              <w:t>(19,405 )</w:t>
            </w:r>
          </w:p>
        </w:tc>
      </w:tr>
      <w:tr>
        <w:trPr>
          <w:trHeight w:val="230"/>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Cash, cash equivalents, and restricted cash at beginning of period</w:t>
            </w: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24,732</w:t>
            </w:r>
          </w:p>
        </w:tc>
        <w:tc>
          <w:tcPr>
            <w:tcW w:w="34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42,964</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23"/>
        </w:trPr>
        <w:tc>
          <w:tcPr>
            <w:tcW w:w="7640" w:type="dxa"/>
            <w:vAlign w:val="bottom"/>
          </w:tcPr>
          <w:p>
            <w:pPr>
              <w:ind w:left="20"/>
              <w:spacing w:after="0"/>
              <w:rPr>
                <w:sz w:val="20"/>
                <w:szCs w:val="20"/>
                <w:color w:val="auto"/>
              </w:rPr>
            </w:pPr>
            <w:r>
              <w:rPr>
                <w:rFonts w:ascii="Arial" w:cs="Arial" w:eastAsia="Arial" w:hAnsi="Arial"/>
                <w:sz w:val="17"/>
                <w:szCs w:val="17"/>
                <w:color w:val="auto"/>
              </w:rPr>
              <w:t>Cash, cash equivalents, and restricted cash at end of period</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73,955</w:t>
            </w:r>
          </w:p>
        </w:tc>
        <w:tc>
          <w:tcPr>
            <w:tcW w:w="340" w:type="dxa"/>
            <w:vAlign w:val="bottom"/>
          </w:tcPr>
          <w:p>
            <w:pPr>
              <w:spacing w:after="0"/>
              <w:rPr>
                <w:sz w:val="19"/>
                <w:szCs w:val="19"/>
                <w:color w:val="auto"/>
              </w:rPr>
            </w:pPr>
          </w:p>
        </w:tc>
        <w:tc>
          <w:tcPr>
            <w:tcW w:w="980" w:type="dxa"/>
            <w:vAlign w:val="bottom"/>
            <w:tcBorders>
              <w:bottom w:val="single" w:sz="8" w:color="auto"/>
            </w:tcBorders>
          </w:tcPr>
          <w:p>
            <w:pPr>
              <w:jc w:val="right"/>
              <w:ind w:right="797"/>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23,559</w:t>
            </w:r>
          </w:p>
        </w:tc>
        <w:tc>
          <w:tcPr>
            <w:tcW w:w="140" w:type="dxa"/>
            <w:vAlign w:val="bottom"/>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Reconciliation of cash, cash equivalents, and restricted cash</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23"/>
        </w:trPr>
        <w:tc>
          <w:tcPr>
            <w:tcW w:w="7640" w:type="dxa"/>
            <w:vAlign w:val="bottom"/>
          </w:tcPr>
          <w:p>
            <w:pPr>
              <w:ind w:left="200"/>
              <w:spacing w:after="0"/>
              <w:rPr>
                <w:sz w:val="20"/>
                <w:szCs w:val="20"/>
                <w:color w:val="auto"/>
              </w:rPr>
            </w:pPr>
            <w:r>
              <w:rPr>
                <w:rFonts w:ascii="Arial" w:cs="Arial" w:eastAsia="Arial" w:hAnsi="Arial"/>
                <w:sz w:val="17"/>
                <w:szCs w:val="17"/>
                <w:color w:val="auto"/>
              </w:rPr>
              <w:t>Cash and cash equivalents</w:t>
            </w:r>
          </w:p>
        </w:tc>
        <w:tc>
          <w:tcPr>
            <w:tcW w:w="980" w:type="dxa"/>
            <w:vAlign w:val="bottom"/>
          </w:tcPr>
          <w:p>
            <w:pPr>
              <w:jc w:val="right"/>
              <w:ind w:right="799"/>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73,926</w:t>
            </w:r>
          </w:p>
        </w:tc>
        <w:tc>
          <w:tcPr>
            <w:tcW w:w="340" w:type="dxa"/>
            <w:vAlign w:val="bottom"/>
          </w:tcPr>
          <w:p>
            <w:pPr>
              <w:spacing w:after="0"/>
              <w:rPr>
                <w:sz w:val="19"/>
                <w:szCs w:val="19"/>
                <w:color w:val="auto"/>
              </w:rPr>
            </w:pPr>
          </w:p>
        </w:tc>
        <w:tc>
          <w:tcPr>
            <w:tcW w:w="980" w:type="dxa"/>
            <w:vAlign w:val="bottom"/>
          </w:tcPr>
          <w:p>
            <w:pPr>
              <w:jc w:val="right"/>
              <w:ind w:right="797"/>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23,343</w:t>
            </w:r>
          </w:p>
        </w:tc>
        <w:tc>
          <w:tcPr>
            <w:tcW w:w="140" w:type="dxa"/>
            <w:vAlign w:val="bottom"/>
          </w:tcPr>
          <w:p>
            <w:pPr>
              <w:spacing w:after="0"/>
              <w:rPr>
                <w:sz w:val="19"/>
                <w:szCs w:val="19"/>
                <w:color w:val="auto"/>
              </w:rPr>
            </w:pPr>
          </w:p>
        </w:tc>
      </w:tr>
      <w:tr>
        <w:trPr>
          <w:trHeight w:val="230"/>
        </w:trPr>
        <w:tc>
          <w:tcPr>
            <w:tcW w:w="7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7"/>
                <w:szCs w:val="17"/>
                <w:color w:val="auto"/>
              </w:rPr>
              <w:t>Restricted cash, long-term (included in other assets)</w:t>
            </w: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w:t>
            </w:r>
          </w:p>
        </w:tc>
        <w:tc>
          <w:tcPr>
            <w:tcW w:w="34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216</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23"/>
        </w:trPr>
        <w:tc>
          <w:tcPr>
            <w:tcW w:w="7640" w:type="dxa"/>
            <w:vAlign w:val="bottom"/>
          </w:tcPr>
          <w:p>
            <w:pPr>
              <w:ind w:left="20"/>
              <w:spacing w:after="0"/>
              <w:rPr>
                <w:sz w:val="20"/>
                <w:szCs w:val="20"/>
                <w:color w:val="auto"/>
              </w:rPr>
            </w:pPr>
            <w:r>
              <w:rPr>
                <w:rFonts w:ascii="Arial" w:cs="Arial" w:eastAsia="Arial" w:hAnsi="Arial"/>
                <w:sz w:val="17"/>
                <w:szCs w:val="17"/>
                <w:color w:val="auto"/>
              </w:rPr>
              <w:t>Total cash, cash equivalents, and restricted cash</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73,955</w:t>
            </w:r>
          </w:p>
        </w:tc>
        <w:tc>
          <w:tcPr>
            <w:tcW w:w="340" w:type="dxa"/>
            <w:vAlign w:val="bottom"/>
          </w:tcPr>
          <w:p>
            <w:pPr>
              <w:spacing w:after="0"/>
              <w:rPr>
                <w:sz w:val="19"/>
                <w:szCs w:val="19"/>
                <w:color w:val="auto"/>
              </w:rPr>
            </w:pPr>
          </w:p>
        </w:tc>
        <w:tc>
          <w:tcPr>
            <w:tcW w:w="980" w:type="dxa"/>
            <w:vAlign w:val="bottom"/>
            <w:tcBorders>
              <w:bottom w:val="single" w:sz="8" w:color="auto"/>
            </w:tcBorders>
          </w:tcPr>
          <w:p>
            <w:pPr>
              <w:jc w:val="right"/>
              <w:ind w:right="797"/>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23,559</w:t>
            </w:r>
          </w:p>
        </w:tc>
        <w:tc>
          <w:tcPr>
            <w:tcW w:w="140" w:type="dxa"/>
            <w:vAlign w:val="bottom"/>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-2879725</wp:posOffset>
            </wp:positionV>
            <wp:extent cx="9398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-2879725</wp:posOffset>
            </wp:positionV>
            <wp:extent cx="85725"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-2279650</wp:posOffset>
            </wp:positionV>
            <wp:extent cx="9398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-2279650</wp:posOffset>
            </wp:positionV>
            <wp:extent cx="85725"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-1096645</wp:posOffset>
            </wp:positionV>
            <wp:extent cx="9398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-1096645</wp:posOffset>
            </wp:positionV>
            <wp:extent cx="85725"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-796290</wp:posOffset>
            </wp:positionV>
            <wp:extent cx="93980" cy="1803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3980" cy="18034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-796290</wp:posOffset>
            </wp:positionV>
            <wp:extent cx="85725" cy="1803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-179070</wp:posOffset>
            </wp:positionV>
            <wp:extent cx="93980" cy="1797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-179070</wp:posOffset>
            </wp:positionV>
            <wp:extent cx="85725" cy="179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SPRUCE BIOSCIENCES,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right="8160" w:firstLine="8"/>
        <w:spacing w:after="0" w:line="378"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Description of Business</w:t>
      </w:r>
    </w:p>
    <w:p>
      <w:pPr>
        <w:ind w:right="40" w:firstLine="509"/>
        <w:spacing w:after="0" w:line="257" w:lineRule="auto"/>
        <w:rPr>
          <w:sz w:val="20"/>
          <w:szCs w:val="20"/>
          <w:color w:val="auto"/>
        </w:rPr>
      </w:pPr>
      <w:r>
        <w:rPr>
          <w:rFonts w:ascii="Arial" w:cs="Arial" w:eastAsia="Arial" w:hAnsi="Arial"/>
          <w:sz w:val="18"/>
          <w:szCs w:val="18"/>
          <w:color w:val="auto"/>
        </w:rPr>
        <w:t>Spruce Biosciences, Inc. (the "Company") is a late-stage biopharmaceutical company focused on developing and commercializing novel therapies for rare endocrine disorders with significant unmet medical need. The Company is initially developing its wholly-owned product candidate, tildacerfont, as the potential first non-steroidal therapy for patients suffering from classic congenital adrenal hyperplasia ("CAH"). The Company is also developing tildacerfont for females suffering from polycystic ovary syndrome ("PCOS") with adrenal dysfunction. The Company is located in South San Francisco, California and was incorporated in the state of Delaware in April 2016.</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 of Common Stock and Warrants</w:t>
      </w:r>
    </w:p>
    <w:p>
      <w:pPr>
        <w:spacing w:after="0" w:line="121"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In February 2023, the Company entered into a Securities Purchase Agreement (the “Purchase Agreement”) with certain institutional investors (the “Purchasers”), pursuant to which the Company agreed to sell and issue (i) 16,116,000 shares of the Company’s common stock (“Common Stock”), (ii) pre-funded warrants to purchase 800,000 shares of Common Stock (the “Pre-Funded Warrants”) to a Purchaser and (iii) 12,687,000 warrants to purchase Common Stock (the “Standard Warrants” and together with the Pre-Funded Warrants, the “Warrants”) in a private placement transaction (the “Private Placement”). The total gross proceeds to the Company were approximately $53.6 million, which does not include any proceeds that may be received upon exercise of the Standard Warrants.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Open Market Sales Agreement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February 2022, the U.S. Securities and Exchange Commission ("SEC") declared effective a registration statement on Form S-3 (the "Shelf</w:t>
      </w:r>
    </w:p>
    <w:p>
      <w:pPr>
        <w:spacing w:after="0" w:line="35"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Registration"), covering the sale of up to $200.0 million of our securities. Also, in February 2022, we entered into an Open Market Sales Agreement</w:t>
      </w:r>
      <w:r>
        <w:rPr>
          <w:rFonts w:ascii="Arial" w:cs="Arial" w:eastAsia="Arial" w:hAnsi="Arial"/>
          <w:sz w:val="24"/>
          <w:szCs w:val="24"/>
          <w:color w:val="auto"/>
          <w:vertAlign w:val="superscript"/>
        </w:rPr>
        <w:t>SM</w:t>
      </w:r>
      <w:r>
        <w:rPr>
          <w:rFonts w:ascii="Arial" w:cs="Arial" w:eastAsia="Arial" w:hAnsi="Arial"/>
          <w:sz w:val="18"/>
          <w:szCs w:val="18"/>
          <w:color w:val="auto"/>
        </w:rPr>
        <w:t xml:space="preserve"> (the "Sales Agreement") with Jefferies LLC ("Jefferies") pursuant to which we may elect to issue and sell, from time to time, shares of Common Stock having an aggregate offering price of up to $21.0 million under the Shelf Registration through Jefferies acting as the sales agent and/or principal. As of March 31, 2023, we have not issued any shares of Common Stock under the Sales Agreement.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140" w:firstLine="509"/>
        <w:spacing w:after="0" w:line="286" w:lineRule="auto"/>
        <w:rPr>
          <w:sz w:val="20"/>
          <w:szCs w:val="20"/>
          <w:color w:val="auto"/>
        </w:rPr>
      </w:pPr>
      <w:r>
        <w:rPr>
          <w:rFonts w:ascii="Arial" w:cs="Arial" w:eastAsia="Arial" w:hAnsi="Arial"/>
          <w:sz w:val="17"/>
          <w:szCs w:val="17"/>
          <w:color w:val="auto"/>
        </w:rPr>
        <w:t>The Company believes that based on its current operating plan, its cash, cash equivalents and investments of $118.6 million as of March 31, 2023, along with the $15.0 million upfront payment received by the Company in April 2023 under the Kaken License Agreement (see Note 7), will be sufficient to fund its planned operations and debt obligations for at least 12 months following the issuance date of these financial statements.</w:t>
      </w:r>
    </w:p>
    <w:p>
      <w:pPr>
        <w:spacing w:after="0" w:line="57"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The Company has incurred significant losses and negative cash flows from operations. During the three months ended March 31, 2023, the Company incurred a net loss of $12.8 million and used $11.8 million of cash in operations. As of March 31, 2023, the Company had an accumulated deficit of $162.1 million and does not expect positive cash flows from operations in the foreseeable future. The Company has funded its operations primarily through the issuance and sale of equity securities and debt.</w:t>
      </w:r>
    </w:p>
    <w:p>
      <w:pPr>
        <w:spacing w:after="0" w:line="79"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The Company anticipates that it will need to raise substantial additional financing in the future to fund its operations. In order to meet these additional cash requirements, the Company may seek to sell additional equity or issue debt, convertible debt or other securities that may result in dilution to its stockholders. If the Company raises additional funds through the issuance of debt or convertible debt securities, these securities could have rights senior to those of its shares of Common Stock and could contain covenants that restrict its operations. There can be no assurance that the Company will be able to obtain additional equity or debt financing on terms acceptable to it, if at all. Additional debt financing, if available, would result in increased fixed payment obligations and may involve agreements that include covenants limiting or restricting the Company’s ability to take specific actions such as incurring debt, making capital expenditures or declaring dividends. The Company’s failure to obtain sufficient funds on acceptable terms when needed could have a material adverse effect on its business, results of operations, and financial condition.</w:t>
      </w:r>
    </w:p>
    <w:p>
      <w:pPr>
        <w:spacing w:after="0" w:line="174" w:lineRule="exact"/>
        <w:rPr>
          <w:sz w:val="20"/>
          <w:szCs w:val="20"/>
          <w:color w:val="auto"/>
        </w:rPr>
      </w:pPr>
    </w:p>
    <w:p>
      <w:pPr>
        <w:ind w:right="7660" w:firstLine="8"/>
        <w:spacing w:after="0" w:line="378" w:lineRule="auto"/>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ind w:right="160" w:firstLine="509"/>
        <w:spacing w:after="0" w:line="259" w:lineRule="auto"/>
        <w:rPr>
          <w:sz w:val="20"/>
          <w:szCs w:val="20"/>
          <w:color w:val="auto"/>
        </w:rPr>
      </w:pPr>
      <w:r>
        <w:rPr>
          <w:rFonts w:ascii="Arial" w:cs="Arial" w:eastAsia="Arial" w:hAnsi="Arial"/>
          <w:sz w:val="18"/>
          <w:szCs w:val="18"/>
          <w:color w:val="auto"/>
        </w:rPr>
        <w:t>The financial statements have been prepared in accordance with accounting principles generally accepted in the United States of America ("U.S. GAAP") and applicable rules and regulations of the U.S. Securities and Exchange Commission ("SEC") for interim reporting. As permitted under those rules and regulations, certain notes or other financial information normally included in financial statements prepared in accordance with U.S. GAAP have been condensed or omitted. The condensed balance sheet as of March 31,</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2023, the condensed statements of operations and comprehensive loss for the three months ended March 31, 2023 and 2022, the condensed statement of stockholders’ equity for the three months ended March 31, 2023 and 2022, and the condensed statements of cash flows for the three months ended March 31, 2023 and 2022 are unaudited. The interim condensed financial statements have been prepared on the same basis as the annual financial statements and, in the opinion of management, reflect all adjustments, which include only normal, recurring adjustments that are necessary to present fairly the Company’s results for the interim periods presented. The condensed balance sheet as of December 31, 2022 is derived from the Company’s audited financial statements. The results of operations for the three months ended March 31, 2023 are not necessarily indicative of the results to be expected for the year ending December 31, 2023, or for any other future annual or interim period.</w:t>
      </w:r>
    </w:p>
    <w:p>
      <w:pPr>
        <w:spacing w:after="0" w:line="69"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These interim condensed financial statements should be read in conjunction with the Company’s Annual Report on Form 10-K for the year ended December 31, 2022 filed with the SEC on March 16, 2023 ("Annual Report").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liabilities and expenses as well as related disclosure of contingent assets and liabilities. Significant estimates and assumptions reflected in these financial statements include, but are not limited to, accrued research and development expenses, revenue recognition, stock-based compensation, and uncertain tax positions. The Company bases its estimates on its historical experience and on assumptions that it believes are reasonable; however, actual results could significantly differ from those estimates.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ind w:right="460" w:firstLine="509"/>
        <w:spacing w:after="0" w:line="259" w:lineRule="auto"/>
        <w:rPr>
          <w:sz w:val="20"/>
          <w:szCs w:val="20"/>
          <w:color w:val="auto"/>
        </w:rPr>
      </w:pPr>
      <w:r>
        <w:rPr>
          <w:rFonts w:ascii="Arial" w:cs="Arial" w:eastAsia="Arial" w:hAnsi="Arial"/>
          <w:sz w:val="18"/>
          <w:szCs w:val="18"/>
          <w:color w:val="auto"/>
        </w:rPr>
        <w:t>Any product candidates developed by the Company will require approvals from the U.S. Food and Drug Administration ("FDA") or foreign regulatory agencies prior to commercial sales. There can be no assurance that the Company’s current and future product candidates will meet desired efficacy and safety requirements to obtain the necessary approvals. If approval is denied or delayed, it may have a material adverse impact on the Company’s business and its financial statements.</w:t>
      </w:r>
    </w:p>
    <w:p>
      <w:pPr>
        <w:spacing w:after="0" w:line="79" w:lineRule="exact"/>
        <w:rPr>
          <w:sz w:val="20"/>
          <w:szCs w:val="20"/>
          <w:color w:val="auto"/>
        </w:rPr>
      </w:pPr>
    </w:p>
    <w:p>
      <w:pPr>
        <w:ind w:right="140" w:firstLine="509"/>
        <w:spacing w:after="0" w:line="279" w:lineRule="auto"/>
        <w:rPr>
          <w:sz w:val="20"/>
          <w:szCs w:val="20"/>
          <w:color w:val="auto"/>
        </w:rPr>
      </w:pPr>
      <w:r>
        <w:rPr>
          <w:rFonts w:ascii="Arial" w:cs="Arial" w:eastAsia="Arial" w:hAnsi="Arial"/>
          <w:sz w:val="17"/>
          <w:szCs w:val="17"/>
          <w:color w:val="auto"/>
        </w:rPr>
        <w:t>The Company is subject to a number of risks similar to other late-stage biopharmaceutical companies including, but not limited to, dependency on the clinical success of the Company’s product candidate, tildacerfont, ability to obtain regulatory approval of tildacerfont, the need for substantial additional financing to achieve its goals, uncertainty of broad adoption of its approved products, if any, by physicians and consumers, significant competition, untested manufacturing capabilities, and dependence on key individuals and sole source suppliers.</w:t>
      </w:r>
    </w:p>
    <w:p>
      <w:pPr>
        <w:spacing w:after="0" w:line="63"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Global economic and business activities continue to face widespread macroeconomic and geopolitical uncertainties, including recent and potential future disruptions in access to bank deposits or lending commitments due to bank failures, labor shortages, inflation and monetary supply shifts, recession risks and potential disruptions from the ongoing Russia-Ukraine conflict and related sanctions. The Company continues to actively monitor the impact of these macroeconomic and geopolitical factors on its financial condition, liquidity, operations, and workforce. The extent of the impact of these factors on the Company’s operational and financial performance, including its ability to execute its business strategies and initiatives in the expected time frame, will depend on future developments, which are uncertain and cannot be predicted; however, any continued or renewed disruption resulting from these factors could negatively impact the Company’s business.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Financial instruments, which potentially subject the Company to significant concentration of credit risk, consist primarily of cash, cash equivalents and investments. The Company maintains deposits in federally insured financial institutions in excess of federally insured limits. The Company is exposed to credit risk in the event of default by the financial institutions holding its cash and cash equivalents to the extent recorded in the balance sheets. While the Company has not experienced any losses in such accounts, the recent failure of Silicon Valley Bank ("SVB"), at which the Company held cash and cash equivalents in multiple accounts, potentially exposed the Company to significant credit risk prior to the completion by the Federal Deposit Insurance Corporation of the resolution of SVB in a manner that fully protected all depositors.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There have been no significant changes to the significant accounting policies during the three months ended March 31, 2023, as compared to the significant accounting policies described in the Annual Report, with exception to the below policies.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320" w:firstLine="509"/>
        <w:spacing w:after="0" w:line="263" w:lineRule="auto"/>
        <w:rPr>
          <w:sz w:val="20"/>
          <w:szCs w:val="20"/>
          <w:color w:val="auto"/>
        </w:rPr>
      </w:pPr>
      <w:r>
        <w:rPr>
          <w:rFonts w:ascii="Arial" w:cs="Arial" w:eastAsia="Arial" w:hAnsi="Arial"/>
          <w:sz w:val="18"/>
          <w:szCs w:val="18"/>
          <w:color w:val="auto"/>
        </w:rPr>
        <w:t xml:space="preserve">The Company adopted Accounting Standards Update ("ASU")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on January 1, 2023. The Company’s investments are classified as available-for-sale and carried at estimated fair values and reported in cash equivalents, short-term investments, or long-term investments. Management determines the appropriate</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color w:val="auto"/>
        </w:rPr>
        <w:t>classification of the investments at the time they are acquired and evaluates the appropriateness of such classifications at each balance sheet date.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Investments with contractual maturities greater than 12 months are considered long-term investments.</w:t>
      </w:r>
    </w:p>
    <w:p>
      <w:pPr>
        <w:spacing w:after="0" w:line="103"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For available-for-sale debt securities in an unrealized loss position, the Company first assesses whether it intends to sell, or it is more likely than not that it will be required to sell the security before recovery of its amortized cost basis. If either of the criteria regarding intent or requirement to sell is met, the security’s amortized cost basis is written down to fair value and recognized in interest and other income, net in the statement of operations and comprehensive loss. If neither criteria is met, the Company evaluates whether the decline in fair value is related to credit-related factors or other factors. In making this assessment, management considers the extent to which fair value is less than amortized cost, any changes to the rating of the security by a rating agency, and adverse conditions specifically related to the security, among other factors. Credit-related impairment losses, limited by the amount that the fair value is less than the amortized cost basis, are recorded through an allowance for credit losses in interest and other income, net.</w:t>
      </w:r>
    </w:p>
    <w:p>
      <w:pPr>
        <w:spacing w:after="0" w:line="58"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Any unrealized losses from declines in fair value below the amortized cost basis as a result of non-credit factors are recognized in accumulated other comprehensive loss, net of tax as a separate component of stockholders’ equity, along with unrealized gains. Realized gains and losses and declines in fair value, if any, on available-for-sale securities are included in interest and other income, net in the statement of operations and comprehensive loss.</w:t>
      </w:r>
    </w:p>
    <w:p>
      <w:pPr>
        <w:spacing w:after="0" w:line="41" w:lineRule="exact"/>
        <w:rPr>
          <w:sz w:val="20"/>
          <w:szCs w:val="20"/>
          <w:color w:val="auto"/>
        </w:rPr>
      </w:pPr>
    </w:p>
    <w:p>
      <w:pPr>
        <w:ind w:right="80" w:firstLine="509"/>
        <w:spacing w:after="0" w:line="279" w:lineRule="auto"/>
        <w:rPr>
          <w:sz w:val="20"/>
          <w:szCs w:val="20"/>
          <w:color w:val="auto"/>
        </w:rPr>
      </w:pPr>
      <w:r>
        <w:rPr>
          <w:rFonts w:ascii="Arial" w:cs="Arial" w:eastAsia="Arial" w:hAnsi="Arial"/>
          <w:sz w:val="17"/>
          <w:szCs w:val="17"/>
          <w:color w:val="auto"/>
        </w:rPr>
        <w:t>For purposes of identifying and measuring credit-related impairments, the Company’s policy is to exclude applicable accrued interest from both the fair value and amortized cost basis of the related security. The Company has elected to write-off uncollectible accrued interest receivable balances in a timely manner, which is defined by the Company as when interest due becomes 90 days delinquent. The accrued interest write-off will be recorded by reversing interest income. Accrued interest receivable is recorded in other current assets on the balance sheets.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ind w:right="60" w:firstLine="509"/>
        <w:spacing w:after="0" w:line="301" w:lineRule="auto"/>
        <w:rPr>
          <w:sz w:val="20"/>
          <w:szCs w:val="20"/>
          <w:color w:val="auto"/>
        </w:rPr>
      </w:pPr>
      <w:r>
        <w:rPr>
          <w:rFonts w:ascii="Arial" w:cs="Arial" w:eastAsia="Arial" w:hAnsi="Arial"/>
          <w:sz w:val="16"/>
          <w:szCs w:val="16"/>
          <w:color w:val="auto"/>
        </w:rPr>
        <w:t>Trade accounts receivable are recorded at the invoiced amount and do not bear interest. Accounts receivables are reduced by an allowance for credit losses, if applicable, which is the Company’s best estimate of the amount of probable credit losses in its existing accounts receivable. The Company determines the allowance based on customer specific experience and the aging of such receivables, among other factors. There was no allowance for credit losses as of March 31, 2023 and December 31, 2022. The Company does not have any off-balance-sheet credit exposure related to its customers.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220" w:firstLine="509"/>
        <w:spacing w:after="0" w:line="257" w:lineRule="auto"/>
        <w:rPr>
          <w:sz w:val="20"/>
          <w:szCs w:val="20"/>
          <w:color w:val="auto"/>
        </w:rPr>
      </w:pPr>
      <w:r>
        <w:rPr>
          <w:rFonts w:ascii="Arial" w:cs="Arial" w:eastAsia="Arial" w:hAnsi="Arial"/>
          <w:sz w:val="18"/>
          <w:szCs w:val="18"/>
          <w:color w:val="auto"/>
        </w:rPr>
        <w:t>The Company recognizes revenues when, or as, the promised goods or services are transferred to customers in an amount that reflects the consideration to which the Company expects to be entitled in exchange for those services. To determine revenue recognition for arrangements, the Company performs the following five steps: (1) identify the contract(s) with a customer; (2) identify the performance obligation(s) in the contract; (3) determine the transaction price; (4) allocate the transaction price to the performance obligation(s) in the contract; and (5) recognize revenue when (or as) the performance obligation(s) are satisfied.</w:t>
      </w:r>
    </w:p>
    <w:p>
      <w:pPr>
        <w:spacing w:after="0" w:line="80"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The Company has entered into a licensing and collaboration agreement that primarily includes the following: (i) upfront cash consideration; (ii) payments associated with achieving certain milestones; and (iii) royalties based on specified percentages of net product sales, if any. At the initiation of an agreement, the Company analyzes each unit of account within the contract to determine if the counterparty is a customer in the context of the unit of account.</w:t>
      </w:r>
    </w:p>
    <w:p>
      <w:pPr>
        <w:spacing w:after="0" w:line="79" w:lineRule="exact"/>
        <w:rPr>
          <w:sz w:val="20"/>
          <w:szCs w:val="20"/>
          <w:color w:val="auto"/>
        </w:rPr>
      </w:pPr>
    </w:p>
    <w:p>
      <w:pPr>
        <w:ind w:right="440" w:firstLine="509"/>
        <w:spacing w:after="0" w:line="296" w:lineRule="auto"/>
        <w:rPr>
          <w:sz w:val="20"/>
          <w:szCs w:val="20"/>
          <w:color w:val="auto"/>
        </w:rPr>
      </w:pPr>
      <w:r>
        <w:rPr>
          <w:rFonts w:ascii="Arial" w:cs="Arial" w:eastAsia="Arial" w:hAnsi="Arial"/>
          <w:sz w:val="16"/>
          <w:szCs w:val="16"/>
          <w:color w:val="auto"/>
        </w:rPr>
        <w:t>At contract inception, the Company assesses the goods or services promised and enforceable in a contract with a customer and identifies those distinct goods and services that represent a performance obligation. If a promised good or service is not distinct, the Company combines that good or service with other promised goods or services until it identifies a bundle of goods or services that is distinct. Promised goods and services that are not material in the context of the contract are not considered performance obligations. Additional goods or services that are exercisable at a customer’s discretion are assessed to determine if they provide a material right to the customer and if so, they are considered performance obligations.</w:t>
      </w:r>
    </w:p>
    <w:p>
      <w:pPr>
        <w:spacing w:after="0" w:line="53" w:lineRule="exact"/>
        <w:rPr>
          <w:sz w:val="20"/>
          <w:szCs w:val="20"/>
          <w:color w:val="auto"/>
        </w:rPr>
      </w:pPr>
    </w:p>
    <w:p>
      <w:pPr>
        <w:ind w:right="100" w:firstLine="509"/>
        <w:spacing w:after="0" w:line="269" w:lineRule="auto"/>
        <w:rPr>
          <w:sz w:val="20"/>
          <w:szCs w:val="20"/>
          <w:color w:val="auto"/>
        </w:rPr>
      </w:pPr>
      <w:r>
        <w:rPr>
          <w:rFonts w:ascii="Arial" w:cs="Arial" w:eastAsia="Arial" w:hAnsi="Arial"/>
          <w:sz w:val="17"/>
          <w:szCs w:val="17"/>
          <w:color w:val="auto"/>
        </w:rPr>
        <w:t>The transaction price is the amount of consideration to which the Company expects to be entitled in exchange for transferring promised goods or services to a customer. The consideration promised in a contract with a customer may include fixed amounts, variable amounts, or both. Non-refundable upfront payments are considered fixed consideration and included in the transaction price. At the inception of arrangements that include variable consideration, the Company uses judgment to estimate the amount of variable consideration to include in the transaction price using the most likely method. If it is probable that a significant revenue reversal will not occur, then the estimated amount is included in the transaction price. Milestone payments that are not within the Company’s or the licensee’s control, such as regulatory approvals, are not included in the transaction price until those approvals are received. For arrangements with licenses of intellectual property that include sales-based royalties, including milestone payments based on the level of sales, and if the license is deemed to be the predominant item to which the royalties relate, the Company recognizes royalty revenue and sales-based milestones at the later of (i) when the related sales occur, or (ii) when the performance obligation to which the royalty has been allocated has been satisfied. At the end of each reporting period, the Company re-evaluates the estimated variable consideration included in the transaction price and any related constraint and, as necessary, adjusts the estimate of the overall</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transaction price. Any adjustments will be recorded on a cumulative catch-up basis, which would affect revenues and earnings in the period of adjustment.</w:t>
      </w:r>
    </w:p>
    <w:p>
      <w:pPr>
        <w:spacing w:after="0" w:line="140"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If it is determined that multiple performance obligations exist, the transaction price is allocated at the inception of the agreement to all identified performance obligations based on the relative standalone selling prices, unless the consideration is variable and meets the criteria to be allocated entirely to one or more, but not all, performance obligations in the contract. Other components of the transaction price are allocated based on the relative standalone selling price, over which the Company applies significant judgment. The Company develops assumptions that require judgment to determine the standalone selling price for license-related performance obligations under the adjusted market assessment approach, which may include forecasted revenues, development timelines, discount rates and probabilities of success.</w:t>
      </w:r>
    </w:p>
    <w:p>
      <w:pPr>
        <w:spacing w:after="0" w:line="84"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Revenue is recognized when, or as, the Company satisfies a performance obligation. The Company recognizes revenue over time by measuring the progress toward complete satisfaction of the relevant performance obligation using an appropriate input method based on the nature of the good or service promised to the customer. The Company uses judgment to assess the nature of the performance obligation to determine whether the performance obligation is satisfied over time or at a point in time. The selection of the method to measure progress towards completion requires judgment and is based on the nature of the products or services to be provided.</w:t>
      </w:r>
    </w:p>
    <w:p>
      <w:pPr>
        <w:spacing w:after="0" w:line="80"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If a customer pays consideration, or the Company has an unconditional right to the consideration, before the satisfaction of the revenue recognition criteria, the amounts are recorded as deferred revenue in the Company’s balance sheet. The current portion of deferred revenue represents the amount of the performance obligation that is expected to be satisfied within the next twelve months. Amounts recognized as revenue prior to receipt or before they are due are recorded as contract assets in the Company’s balance sheet, excluding any amounts presented as accounts receivable. If the Company has an unconditional right to receive consideration, the contract assets are accounted for as accounts receivable and presented separately from contract assets. A net contract asset or liability is presented for each contract with a customer.</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right="120" w:firstLine="509"/>
        <w:spacing w:after="0" w:line="301" w:lineRule="auto"/>
        <w:rPr>
          <w:sz w:val="20"/>
          <w:szCs w:val="20"/>
          <w:color w:val="auto"/>
        </w:rPr>
      </w:pPr>
      <w:r>
        <w:rPr>
          <w:rFonts w:ascii="Arial" w:cs="Arial" w:eastAsia="Arial" w:hAnsi="Arial"/>
          <w:sz w:val="16"/>
          <w:szCs w:val="16"/>
          <w:color w:val="auto"/>
        </w:rPr>
        <w:t>The Company is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The Company has elected to use the extended transition period for complying with new or revised accounting standards.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 xml:space="preserve">In June 2016, the Financial Accounting Standards Board ("FASB") issued ASU 2016-13,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 of Credit Losses on Financial Instruments </w:t>
      </w:r>
      <w:r>
        <w:rPr>
          <w:rFonts w:ascii="Arial" w:cs="Arial" w:eastAsia="Arial" w:hAnsi="Arial"/>
          <w:sz w:val="18"/>
          <w:szCs w:val="18"/>
          <w:color w:val="auto"/>
        </w:rPr>
        <w:t>("ASU 2016-13"). ASU 2016-13 requires that financial assets measured at amortized cost be</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at the net amount expected to be collected. The measurement of expected credit losses is based on historical experience, current conditions, and reasonable and supportable forecasts that affect collectability. ASU 2016-13 also eliminates the concept of “other-than-temporary” impairment when evaluating available-for-sale debt securities and instead focuses on determining whether any impairment is a result of a credit loss or other factors. An entity will recognize an allowance for credit losses on available-for-sale debt securities rather than an other-than-temporary impairment that reduces the cost basis of the investment. The Company adopted ASU 2016-13 on January 1, 2023 and the adoption did not have any impact on the Company's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or an exit price, in the principal or most advantageous market for that asset or liability in an orderly transaction between market participants on the measurement date. Fair value measurement establishes a fair value hierarchy that requires an entity to maximize the use of observable inputs, where available, and minimize the use of unobservable inputs when measuring fair value.</w:t>
      </w:r>
    </w:p>
    <w:p>
      <w:pPr>
        <w:spacing w:after="0" w:line="79"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The Company determined the fair value of financial assets and liabilities using the fair value hierarchy that describes three levels of inputs that may be used to measure fair value, as follows: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 Quoted prices in active markets for identical assets and liabilities;</w:t>
      </w:r>
    </w:p>
    <w:p>
      <w:pPr>
        <w:spacing w:after="0" w:line="117" w:lineRule="exact"/>
        <w:rPr>
          <w:sz w:val="20"/>
          <w:szCs w:val="20"/>
          <w:color w:val="auto"/>
        </w:rPr>
      </w:pPr>
    </w:p>
    <w:p>
      <w:pPr>
        <w:jc w:val="both"/>
        <w:ind w:left="520" w:right="240"/>
        <w:spacing w:after="0" w:line="263" w:lineRule="auto"/>
        <w:rPr>
          <w:sz w:val="20"/>
          <w:szCs w:val="20"/>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76"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140" w:firstLine="509"/>
        <w:spacing w:after="0" w:line="291" w:lineRule="auto"/>
        <w:rPr>
          <w:sz w:val="20"/>
          <w:szCs w:val="20"/>
          <w:color w:val="auto"/>
        </w:rPr>
      </w:pPr>
      <w:r>
        <w:rPr>
          <w:rFonts w:ascii="Arial" w:cs="Arial" w:eastAsia="Arial" w:hAnsi="Arial"/>
          <w:sz w:val="16"/>
          <w:szCs w:val="16"/>
          <w:color w:val="auto"/>
        </w:rPr>
        <w:t>Assets and liabilities measured at fair value are classified in their entirety based on the lowest level of input that is significant to the fair value measurement. The Company classifies money market funds, U.S. government treasury securities and U.S. government agency securities as Level 1 investments as the Company uses quoted prices in active markets for identical assets to determine the fair value. The Company classifies corporate bonds as Level 2 investments as the Company uses quoted prices for similar assets sourced from certain third-party pricing services. The third-party pricing services generally utilize industry standard valuation models for which all significant inputs are observable, either directly or indirectly, to estimate the price or fair value of the securities. The primary input generally includes reported trades of or quotes on the same or similar securities. The Company does not make additional judgments or assumptions made to the pricing data sourced from the third-party pricing services.</w:t>
      </w:r>
    </w:p>
    <w:p>
      <w:pPr>
        <w:spacing w:after="0" w:line="58"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The following table summarizes the Company's financial assets measured at fair value on a recurring basis by level within the fair value hierarchy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center"/>
              <w:ind w:left="15"/>
              <w:spacing w:after="0"/>
              <w:rPr>
                <w:sz w:val="20"/>
                <w:szCs w:val="20"/>
                <w:color w:val="auto"/>
              </w:rPr>
            </w:pPr>
            <w:r>
              <w:rPr>
                <w:rFonts w:ascii="Arial" w:cs="Arial" w:eastAsia="Arial" w:hAnsi="Arial"/>
                <w:sz w:val="14"/>
                <w:szCs w:val="14"/>
                <w:b w:val="1"/>
                <w:bCs w:val="1"/>
                <w:color w:val="auto"/>
                <w:w w:val="96"/>
              </w:rPr>
              <w:t>March 31, 2023</w:t>
            </w:r>
          </w:p>
        </w:tc>
        <w:tc>
          <w:tcPr>
            <w:tcW w:w="3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760" w:type="dxa"/>
            <w:vAlign w:val="bottom"/>
          </w:tcPr>
          <w:p>
            <w:pPr>
              <w:spacing w:after="0"/>
              <w:rPr>
                <w:sz w:val="11"/>
                <w:szCs w:val="11"/>
                <w:color w:val="auto"/>
              </w:rPr>
            </w:pPr>
          </w:p>
        </w:tc>
        <w:tc>
          <w:tcPr>
            <w:tcW w:w="1860" w:type="dxa"/>
            <w:vAlign w:val="bottom"/>
          </w:tcPr>
          <w:p>
            <w:pPr>
              <w:jc w:val="center"/>
              <w:ind w:left="219"/>
              <w:spacing w:after="0" w:line="133" w:lineRule="exact"/>
              <w:rPr>
                <w:sz w:val="20"/>
                <w:szCs w:val="20"/>
                <w:color w:val="auto"/>
              </w:rPr>
            </w:pPr>
            <w:r>
              <w:rPr>
                <w:rFonts w:ascii="Arial" w:cs="Arial" w:eastAsia="Arial" w:hAnsi="Arial"/>
                <w:sz w:val="14"/>
                <w:szCs w:val="14"/>
                <w:b w:val="1"/>
                <w:bCs w:val="1"/>
                <w:color w:val="auto"/>
                <w:w w:val="95"/>
              </w:rPr>
              <w:t>Fair Value</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7"/>
              </w:rPr>
              <w:t>Gross Unrealized</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Gross Unrealized</w:t>
            </w: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760" w:type="dxa"/>
            <w:vAlign w:val="bottom"/>
          </w:tcPr>
          <w:p>
            <w:pPr>
              <w:spacing w:after="0"/>
              <w:rPr>
                <w:sz w:val="12"/>
                <w:szCs w:val="12"/>
                <w:color w:val="auto"/>
              </w:rPr>
            </w:pPr>
          </w:p>
        </w:tc>
        <w:tc>
          <w:tcPr>
            <w:tcW w:w="1860" w:type="dxa"/>
            <w:vAlign w:val="bottom"/>
          </w:tcPr>
          <w:p>
            <w:pPr>
              <w:jc w:val="center"/>
              <w:ind w:left="199"/>
              <w:spacing w:after="0" w:line="145" w:lineRule="exact"/>
              <w:rPr>
                <w:sz w:val="20"/>
                <w:szCs w:val="20"/>
                <w:color w:val="auto"/>
              </w:rPr>
            </w:pPr>
            <w:r>
              <w:rPr>
                <w:rFonts w:ascii="Arial" w:cs="Arial" w:eastAsia="Arial" w:hAnsi="Arial"/>
                <w:sz w:val="14"/>
                <w:szCs w:val="14"/>
                <w:b w:val="1"/>
                <w:bCs w:val="1"/>
                <w:color w:val="auto"/>
                <w:w w:val="95"/>
              </w:rPr>
              <w:t>Hierarchy</w:t>
            </w: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Amortized Cost</w:t>
            </w:r>
          </w:p>
        </w:tc>
        <w:tc>
          <w:tcPr>
            <w:tcW w:w="3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760" w:type="dxa"/>
            <w:vAlign w:val="bottom"/>
          </w:tcPr>
          <w:p>
            <w:pPr>
              <w:spacing w:after="0"/>
              <w:rPr>
                <w:sz w:val="15"/>
                <w:szCs w:val="15"/>
                <w:color w:val="auto"/>
              </w:rPr>
            </w:pPr>
          </w:p>
        </w:tc>
        <w:tc>
          <w:tcPr>
            <w:tcW w:w="1860" w:type="dxa"/>
            <w:vAlign w:val="bottom"/>
          </w:tcPr>
          <w:p>
            <w:pPr>
              <w:jc w:val="center"/>
              <w:ind w:left="199"/>
              <w:spacing w:after="0"/>
              <w:rPr>
                <w:sz w:val="20"/>
                <w:szCs w:val="20"/>
                <w:color w:val="auto"/>
              </w:rPr>
            </w:pPr>
            <w:r>
              <w:rPr>
                <w:rFonts w:ascii="Arial" w:cs="Arial" w:eastAsia="Arial" w:hAnsi="Arial"/>
                <w:sz w:val="14"/>
                <w:szCs w:val="14"/>
                <w:b w:val="1"/>
                <w:bCs w:val="1"/>
                <w:color w:val="auto"/>
                <w:w w:val="94"/>
              </w:rPr>
              <w:t>Level</w:t>
            </w:r>
          </w:p>
        </w:tc>
        <w:tc>
          <w:tcPr>
            <w:tcW w:w="1140" w:type="dxa"/>
            <w:vAlign w:val="bottom"/>
            <w:tcBorders>
              <w:bottom w:val="single" w:sz="8" w:color="auto"/>
            </w:tcBorders>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w w:val="82"/>
              </w:rPr>
              <w:t>Losses</w:t>
            </w:r>
          </w:p>
        </w:tc>
        <w:tc>
          <w:tcPr>
            <w:tcW w:w="3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Money market funds</w:t>
            </w:r>
          </w:p>
        </w:tc>
        <w:tc>
          <w:tcPr>
            <w:tcW w:w="1860" w:type="dxa"/>
            <w:vAlign w:val="bottom"/>
            <w:tcBorders>
              <w:bottom w:val="single" w:sz="8" w:color="CFF0FC"/>
            </w:tcBorders>
            <w:shd w:val="clear" w:color="auto" w:fill="CFF0FC"/>
          </w:tcPr>
          <w:p>
            <w:pPr>
              <w:jc w:val="center"/>
              <w:ind w:left="199"/>
              <w:spacing w:after="0"/>
              <w:rPr>
                <w:sz w:val="20"/>
                <w:szCs w:val="20"/>
                <w:color w:val="auto"/>
              </w:rPr>
            </w:pPr>
            <w:r>
              <w:rPr>
                <w:rFonts w:ascii="Arial" w:cs="Arial" w:eastAsia="Arial" w:hAnsi="Arial"/>
                <w:sz w:val="18"/>
                <w:szCs w:val="18"/>
                <w:color w:val="auto"/>
                <w:w w:val="92"/>
              </w:rPr>
              <w:t>Level 1</w:t>
            </w:r>
          </w:p>
        </w:tc>
        <w:tc>
          <w:tcPr>
            <w:tcW w:w="320" w:type="dxa"/>
            <w:vAlign w:val="bottom"/>
            <w:tcBorders>
              <w:bottom w:val="single" w:sz="8" w:color="auto"/>
            </w:tcBorders>
            <w:shd w:val="clear" w:color="auto" w:fill="CFF0FC"/>
          </w:tcPr>
          <w:p>
            <w:pPr>
              <w:jc w:val="right"/>
              <w:ind w:right="13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71,010</w:t>
            </w:r>
          </w:p>
        </w:tc>
        <w:tc>
          <w:tcPr>
            <w:tcW w:w="3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71,010</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760" w:type="dxa"/>
            <w:vAlign w:val="bottom"/>
          </w:tcPr>
          <w:p>
            <w:pPr>
              <w:ind w:left="120"/>
              <w:spacing w:after="0"/>
              <w:rPr>
                <w:sz w:val="20"/>
                <w:szCs w:val="20"/>
                <w:color w:val="auto"/>
              </w:rPr>
            </w:pPr>
            <w:r>
              <w:rPr>
                <w:rFonts w:ascii="Arial" w:cs="Arial" w:eastAsia="Arial" w:hAnsi="Arial"/>
                <w:sz w:val="18"/>
                <w:szCs w:val="18"/>
                <w:color w:val="auto"/>
              </w:rPr>
              <w:t>Total cash equivalents</w:t>
            </w: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71,010</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71,010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government treasury securities</w:t>
            </w:r>
          </w:p>
        </w:tc>
        <w:tc>
          <w:tcPr>
            <w:tcW w:w="1860" w:type="dxa"/>
            <w:vAlign w:val="bottom"/>
            <w:shd w:val="clear" w:color="auto" w:fill="CFF0FC"/>
          </w:tcPr>
          <w:p>
            <w:pPr>
              <w:jc w:val="center"/>
              <w:ind w:left="199"/>
              <w:spacing w:after="0"/>
              <w:rPr>
                <w:sz w:val="20"/>
                <w:szCs w:val="20"/>
                <w:color w:val="auto"/>
              </w:rPr>
            </w:pPr>
            <w:r>
              <w:rPr>
                <w:rFonts w:ascii="Arial" w:cs="Arial" w:eastAsia="Arial" w:hAnsi="Arial"/>
                <w:sz w:val="18"/>
                <w:szCs w:val="18"/>
                <w:color w:val="auto"/>
                <w:w w:val="92"/>
              </w:rPr>
              <w:t>Level 1</w:t>
            </w:r>
          </w:p>
        </w:tc>
        <w:tc>
          <w:tcPr>
            <w:tcW w:w="32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40,009</w:t>
            </w:r>
          </w:p>
        </w:tc>
        <w:tc>
          <w:tcPr>
            <w:tcW w:w="30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(219</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39,800</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U.S. government agency securities</w:t>
            </w:r>
          </w:p>
        </w:tc>
        <w:tc>
          <w:tcPr>
            <w:tcW w:w="1860" w:type="dxa"/>
            <w:vAlign w:val="bottom"/>
          </w:tcPr>
          <w:p>
            <w:pPr>
              <w:jc w:val="center"/>
              <w:ind w:left="199"/>
              <w:spacing w:after="0"/>
              <w:rPr>
                <w:sz w:val="20"/>
                <w:szCs w:val="20"/>
                <w:color w:val="auto"/>
              </w:rPr>
            </w:pPr>
            <w:r>
              <w:rPr>
                <w:rFonts w:ascii="Arial" w:cs="Arial" w:eastAsia="Arial" w:hAnsi="Arial"/>
                <w:sz w:val="18"/>
                <w:szCs w:val="18"/>
                <w:color w:val="auto"/>
                <w:w w:val="92"/>
              </w:rPr>
              <w:t>Level 1</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4,838</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4,859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short-term investments</w:t>
            </w:r>
          </w:p>
        </w:tc>
        <w:tc>
          <w:tcPr>
            <w:tcW w:w="18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44,847</w:t>
            </w:r>
          </w:p>
        </w:tc>
        <w:tc>
          <w:tcPr>
            <w:tcW w:w="3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top w:val="single" w:sz="8" w:color="auto"/>
              <w:bottom w:val="single" w:sz="8" w:color="auto"/>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(219</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44,659</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760" w:type="dxa"/>
            <w:vAlign w:val="bottom"/>
          </w:tcPr>
          <w:p>
            <w:pPr>
              <w:ind w:left="200"/>
              <w:spacing w:after="0"/>
              <w:rPr>
                <w:sz w:val="20"/>
                <w:szCs w:val="20"/>
                <w:color w:val="auto"/>
              </w:rPr>
            </w:pPr>
            <w:r>
              <w:rPr>
                <w:rFonts w:ascii="Arial" w:cs="Arial" w:eastAsia="Arial" w:hAnsi="Arial"/>
                <w:sz w:val="18"/>
                <w:szCs w:val="18"/>
                <w:color w:val="auto"/>
              </w:rPr>
              <w:t>Total cash equivalents and investments</w:t>
            </w:r>
          </w:p>
        </w:tc>
        <w:tc>
          <w:tcPr>
            <w:tcW w:w="1860" w:type="dxa"/>
            <w:vAlign w:val="bottom"/>
          </w:tcPr>
          <w:p>
            <w:pPr>
              <w:spacing w:after="0"/>
              <w:rPr>
                <w:sz w:val="20"/>
                <w:szCs w:val="20"/>
                <w:color w:val="auto"/>
              </w:rPr>
            </w:pPr>
          </w:p>
        </w:tc>
        <w:tc>
          <w:tcPr>
            <w:tcW w:w="320" w:type="dxa"/>
            <w:vAlign w:val="bottom"/>
          </w:tcPr>
          <w:p>
            <w:pPr>
              <w:jc w:val="right"/>
              <w:ind w:right="136"/>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115,857</w:t>
            </w:r>
          </w:p>
        </w:tc>
        <w:tc>
          <w:tcPr>
            <w:tcW w:w="30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300" w:type="dxa"/>
            <w:vAlign w:val="bottom"/>
            <w:gridSpan w:val="2"/>
          </w:tcPr>
          <w:p>
            <w:pPr>
              <w:spacing w:after="0"/>
              <w:rPr>
                <w:sz w:val="20"/>
                <w:szCs w:val="20"/>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30"/>
              <w:spacing w:after="0"/>
              <w:rPr>
                <w:sz w:val="20"/>
                <w:szCs w:val="20"/>
                <w:color w:val="auto"/>
              </w:rPr>
            </w:pPr>
            <w:r>
              <w:rPr>
                <w:rFonts w:ascii="Arial" w:cs="Arial" w:eastAsia="Arial" w:hAnsi="Arial"/>
                <w:sz w:val="18"/>
                <w:szCs w:val="18"/>
                <w:color w:val="auto"/>
                <w:w w:val="89"/>
              </w:rPr>
              <w:t>(219 )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115,669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7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jc w:val="center"/>
              <w:ind w:left="15"/>
              <w:spacing w:after="0"/>
              <w:rPr>
                <w:sz w:val="20"/>
                <w:szCs w:val="20"/>
                <w:color w:val="auto"/>
              </w:rPr>
            </w:pPr>
            <w:r>
              <w:rPr>
                <w:rFonts w:ascii="Arial" w:cs="Arial" w:eastAsia="Arial" w:hAnsi="Arial"/>
                <w:sz w:val="14"/>
                <w:szCs w:val="14"/>
                <w:b w:val="1"/>
                <w:bCs w:val="1"/>
                <w:color w:val="auto"/>
                <w:w w:val="91"/>
              </w:rPr>
              <w:t>December 31, 2022</w:t>
            </w: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760" w:type="dxa"/>
            <w:vAlign w:val="bottom"/>
          </w:tcPr>
          <w:p>
            <w:pPr>
              <w:spacing w:after="0"/>
              <w:rPr>
                <w:sz w:val="11"/>
                <w:szCs w:val="11"/>
                <w:color w:val="auto"/>
              </w:rPr>
            </w:pPr>
          </w:p>
        </w:tc>
        <w:tc>
          <w:tcPr>
            <w:tcW w:w="1860" w:type="dxa"/>
            <w:vAlign w:val="bottom"/>
          </w:tcPr>
          <w:p>
            <w:pPr>
              <w:jc w:val="center"/>
              <w:ind w:left="219"/>
              <w:spacing w:after="0" w:line="133" w:lineRule="exact"/>
              <w:rPr>
                <w:sz w:val="20"/>
                <w:szCs w:val="20"/>
                <w:color w:val="auto"/>
              </w:rPr>
            </w:pPr>
            <w:r>
              <w:rPr>
                <w:rFonts w:ascii="Arial" w:cs="Arial" w:eastAsia="Arial" w:hAnsi="Arial"/>
                <w:sz w:val="14"/>
                <w:szCs w:val="14"/>
                <w:b w:val="1"/>
                <w:bCs w:val="1"/>
                <w:color w:val="auto"/>
                <w:w w:val="95"/>
              </w:rPr>
              <w:t>Fair Value</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7"/>
              </w:rPr>
              <w:t>Gross Unrealized</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Gross Unrealized</w:t>
            </w: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760" w:type="dxa"/>
            <w:vAlign w:val="bottom"/>
          </w:tcPr>
          <w:p>
            <w:pPr>
              <w:spacing w:after="0"/>
              <w:rPr>
                <w:sz w:val="12"/>
                <w:szCs w:val="12"/>
                <w:color w:val="auto"/>
              </w:rPr>
            </w:pPr>
          </w:p>
        </w:tc>
        <w:tc>
          <w:tcPr>
            <w:tcW w:w="1860" w:type="dxa"/>
            <w:vAlign w:val="bottom"/>
          </w:tcPr>
          <w:p>
            <w:pPr>
              <w:jc w:val="center"/>
              <w:ind w:left="199"/>
              <w:spacing w:after="0" w:line="145" w:lineRule="exact"/>
              <w:rPr>
                <w:sz w:val="20"/>
                <w:szCs w:val="20"/>
                <w:color w:val="auto"/>
              </w:rPr>
            </w:pPr>
            <w:r>
              <w:rPr>
                <w:rFonts w:ascii="Arial" w:cs="Arial" w:eastAsia="Arial" w:hAnsi="Arial"/>
                <w:sz w:val="14"/>
                <w:szCs w:val="14"/>
                <w:b w:val="1"/>
                <w:bCs w:val="1"/>
                <w:color w:val="auto"/>
                <w:w w:val="95"/>
              </w:rPr>
              <w:t>Hierarchy</w:t>
            </w: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Amortized Cost</w:t>
            </w:r>
          </w:p>
        </w:tc>
        <w:tc>
          <w:tcPr>
            <w:tcW w:w="3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760" w:type="dxa"/>
            <w:vAlign w:val="bottom"/>
          </w:tcPr>
          <w:p>
            <w:pPr>
              <w:spacing w:after="0"/>
              <w:rPr>
                <w:sz w:val="15"/>
                <w:szCs w:val="15"/>
                <w:color w:val="auto"/>
              </w:rPr>
            </w:pPr>
          </w:p>
        </w:tc>
        <w:tc>
          <w:tcPr>
            <w:tcW w:w="1860" w:type="dxa"/>
            <w:vAlign w:val="bottom"/>
          </w:tcPr>
          <w:p>
            <w:pPr>
              <w:jc w:val="center"/>
              <w:ind w:left="199"/>
              <w:spacing w:after="0"/>
              <w:rPr>
                <w:sz w:val="20"/>
                <w:szCs w:val="20"/>
                <w:color w:val="auto"/>
              </w:rPr>
            </w:pPr>
            <w:r>
              <w:rPr>
                <w:rFonts w:ascii="Arial" w:cs="Arial" w:eastAsia="Arial" w:hAnsi="Arial"/>
                <w:sz w:val="14"/>
                <w:szCs w:val="14"/>
                <w:b w:val="1"/>
                <w:bCs w:val="1"/>
                <w:color w:val="auto"/>
                <w:w w:val="94"/>
              </w:rPr>
              <w:t>Level</w:t>
            </w:r>
          </w:p>
        </w:tc>
        <w:tc>
          <w:tcPr>
            <w:tcW w:w="1140" w:type="dxa"/>
            <w:vAlign w:val="bottom"/>
            <w:tcBorders>
              <w:bottom w:val="single" w:sz="8" w:color="auto"/>
            </w:tcBorders>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w w:val="82"/>
              </w:rPr>
              <w:t>Losses</w:t>
            </w:r>
          </w:p>
        </w:tc>
        <w:tc>
          <w:tcPr>
            <w:tcW w:w="3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Money market funds</w:t>
            </w:r>
          </w:p>
        </w:tc>
        <w:tc>
          <w:tcPr>
            <w:tcW w:w="1860" w:type="dxa"/>
            <w:vAlign w:val="bottom"/>
            <w:tcBorders>
              <w:bottom w:val="single" w:sz="8" w:color="CFF0FC"/>
            </w:tcBorders>
            <w:shd w:val="clear" w:color="auto" w:fill="CFF0FC"/>
          </w:tcPr>
          <w:p>
            <w:pPr>
              <w:jc w:val="center"/>
              <w:ind w:left="199"/>
              <w:spacing w:after="0"/>
              <w:rPr>
                <w:sz w:val="20"/>
                <w:szCs w:val="20"/>
                <w:color w:val="auto"/>
              </w:rPr>
            </w:pPr>
            <w:r>
              <w:rPr>
                <w:rFonts w:ascii="Arial" w:cs="Arial" w:eastAsia="Arial" w:hAnsi="Arial"/>
                <w:sz w:val="18"/>
                <w:szCs w:val="18"/>
                <w:color w:val="auto"/>
                <w:w w:val="92"/>
              </w:rPr>
              <w:t>Level 1</w:t>
            </w:r>
          </w:p>
        </w:tc>
        <w:tc>
          <w:tcPr>
            <w:tcW w:w="320" w:type="dxa"/>
            <w:vAlign w:val="bottom"/>
            <w:tcBorders>
              <w:bottom w:val="single" w:sz="8" w:color="auto"/>
            </w:tcBorders>
            <w:shd w:val="clear" w:color="auto" w:fill="CFF0FC"/>
          </w:tcPr>
          <w:p>
            <w:pPr>
              <w:jc w:val="right"/>
              <w:ind w:right="13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22,496</w:t>
            </w:r>
          </w:p>
        </w:tc>
        <w:tc>
          <w:tcPr>
            <w:tcW w:w="3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22,496</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760" w:type="dxa"/>
            <w:vAlign w:val="bottom"/>
          </w:tcPr>
          <w:p>
            <w:pPr>
              <w:ind w:left="120"/>
              <w:spacing w:after="0"/>
              <w:rPr>
                <w:sz w:val="20"/>
                <w:szCs w:val="20"/>
                <w:color w:val="auto"/>
              </w:rPr>
            </w:pPr>
            <w:r>
              <w:rPr>
                <w:rFonts w:ascii="Arial" w:cs="Arial" w:eastAsia="Arial" w:hAnsi="Arial"/>
                <w:sz w:val="18"/>
                <w:szCs w:val="18"/>
                <w:color w:val="auto"/>
              </w:rPr>
              <w:t>Total cash equivalents</w:t>
            </w: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22,496</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22,496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government treasury securities</w:t>
            </w:r>
          </w:p>
        </w:tc>
        <w:tc>
          <w:tcPr>
            <w:tcW w:w="1860" w:type="dxa"/>
            <w:vAlign w:val="bottom"/>
            <w:shd w:val="clear" w:color="auto" w:fill="CFF0FC"/>
          </w:tcPr>
          <w:p>
            <w:pPr>
              <w:jc w:val="center"/>
              <w:ind w:left="199"/>
              <w:spacing w:after="0"/>
              <w:rPr>
                <w:sz w:val="20"/>
                <w:szCs w:val="20"/>
                <w:color w:val="auto"/>
              </w:rPr>
            </w:pPr>
            <w:r>
              <w:rPr>
                <w:rFonts w:ascii="Arial" w:cs="Arial" w:eastAsia="Arial" w:hAnsi="Arial"/>
                <w:sz w:val="18"/>
                <w:szCs w:val="18"/>
                <w:color w:val="auto"/>
                <w:w w:val="92"/>
              </w:rPr>
              <w:t>Level 1</w:t>
            </w:r>
          </w:p>
        </w:tc>
        <w:tc>
          <w:tcPr>
            <w:tcW w:w="32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43,779</w:t>
            </w:r>
          </w:p>
        </w:tc>
        <w:tc>
          <w:tcPr>
            <w:tcW w:w="30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(516</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43,264</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1860" w:type="dxa"/>
            <w:vAlign w:val="bottom"/>
          </w:tcPr>
          <w:p>
            <w:pPr>
              <w:jc w:val="center"/>
              <w:ind w:left="199"/>
              <w:spacing w:after="0"/>
              <w:rPr>
                <w:sz w:val="20"/>
                <w:szCs w:val="20"/>
                <w:color w:val="auto"/>
              </w:rPr>
            </w:pPr>
            <w:r>
              <w:rPr>
                <w:rFonts w:ascii="Arial" w:cs="Arial" w:eastAsia="Arial" w:hAnsi="Arial"/>
                <w:sz w:val="18"/>
                <w:szCs w:val="18"/>
                <w:color w:val="auto"/>
                <w:w w:val="92"/>
              </w:rPr>
              <w:t>Level 2</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11,369</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gridSpan w:val="2"/>
          </w:tcPr>
          <w:p>
            <w:pPr>
              <w:jc w:val="right"/>
              <w:ind w:right="130"/>
              <w:spacing w:after="0"/>
              <w:rPr>
                <w:sz w:val="20"/>
                <w:szCs w:val="20"/>
                <w:color w:val="auto"/>
              </w:rPr>
            </w:pPr>
            <w:r>
              <w:rPr>
                <w:rFonts w:ascii="Arial" w:cs="Arial" w:eastAsia="Arial" w:hAnsi="Arial"/>
                <w:sz w:val="18"/>
                <w:szCs w:val="18"/>
                <w:color w:val="auto"/>
              </w:rPr>
              <w:t>(43 )</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11,326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7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short-term investments</w:t>
            </w:r>
          </w:p>
        </w:tc>
        <w:tc>
          <w:tcPr>
            <w:tcW w:w="18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55,148</w:t>
            </w:r>
          </w:p>
        </w:tc>
        <w:tc>
          <w:tcPr>
            <w:tcW w:w="3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top w:val="single" w:sz="8" w:color="auto"/>
              <w:bottom w:val="single" w:sz="8" w:color="auto"/>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(559</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54,590</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760" w:type="dxa"/>
            <w:vAlign w:val="bottom"/>
          </w:tcPr>
          <w:p>
            <w:pPr>
              <w:ind w:left="200"/>
              <w:spacing w:after="0"/>
              <w:rPr>
                <w:sz w:val="20"/>
                <w:szCs w:val="20"/>
                <w:color w:val="auto"/>
              </w:rPr>
            </w:pPr>
            <w:r>
              <w:rPr>
                <w:rFonts w:ascii="Arial" w:cs="Arial" w:eastAsia="Arial" w:hAnsi="Arial"/>
                <w:sz w:val="18"/>
                <w:szCs w:val="18"/>
                <w:color w:val="auto"/>
              </w:rPr>
              <w:t>Total cash equivalents and investments</w:t>
            </w:r>
          </w:p>
        </w:tc>
        <w:tc>
          <w:tcPr>
            <w:tcW w:w="1860" w:type="dxa"/>
            <w:vAlign w:val="bottom"/>
          </w:tcPr>
          <w:p>
            <w:pPr>
              <w:spacing w:after="0"/>
              <w:rPr>
                <w:sz w:val="20"/>
                <w:szCs w:val="20"/>
                <w:color w:val="auto"/>
              </w:rPr>
            </w:pPr>
          </w:p>
        </w:tc>
        <w:tc>
          <w:tcPr>
            <w:tcW w:w="320" w:type="dxa"/>
            <w:vAlign w:val="bottom"/>
          </w:tcPr>
          <w:p>
            <w:pPr>
              <w:jc w:val="right"/>
              <w:ind w:right="136"/>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77,644</w:t>
            </w:r>
          </w:p>
        </w:tc>
        <w:tc>
          <w:tcPr>
            <w:tcW w:w="5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8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30"/>
              <w:spacing w:after="0"/>
              <w:rPr>
                <w:sz w:val="20"/>
                <w:szCs w:val="20"/>
                <w:color w:val="auto"/>
              </w:rPr>
            </w:pPr>
            <w:r>
              <w:rPr>
                <w:rFonts w:ascii="Arial" w:cs="Arial" w:eastAsia="Arial" w:hAnsi="Arial"/>
                <w:sz w:val="18"/>
                <w:szCs w:val="18"/>
                <w:color w:val="auto"/>
                <w:w w:val="89"/>
              </w:rPr>
              <w:t>(559 )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77,086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-2425065</wp:posOffset>
            </wp:positionV>
            <wp:extent cx="85725"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-2425065</wp:posOffset>
            </wp:positionV>
            <wp:extent cx="76835"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-2425065</wp:posOffset>
            </wp:positionV>
            <wp:extent cx="85725"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-2425065</wp:posOffset>
            </wp:positionV>
            <wp:extent cx="85725"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-1782445</wp:posOffset>
            </wp:positionV>
            <wp:extent cx="85725" cy="1885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-1782445</wp:posOffset>
            </wp:positionV>
            <wp:extent cx="76835" cy="1885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-1782445</wp:posOffset>
            </wp:positionV>
            <wp:extent cx="85725" cy="1885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-1782445</wp:posOffset>
            </wp:positionV>
            <wp:extent cx="85725"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-831215</wp:posOffset>
            </wp:positionV>
            <wp:extent cx="85725"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-831215</wp:posOffset>
            </wp:positionV>
            <wp:extent cx="76835"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-831215</wp:posOffset>
            </wp:positionV>
            <wp:extent cx="85725"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-831215</wp:posOffset>
            </wp:positionV>
            <wp:extent cx="85725"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-187960</wp:posOffset>
            </wp:positionV>
            <wp:extent cx="85725" cy="1885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-187960</wp:posOffset>
            </wp:positionV>
            <wp:extent cx="76835" cy="1885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-187960</wp:posOffset>
            </wp:positionV>
            <wp:extent cx="85725" cy="1885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74"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There have been no realized gains or losses on available for sale securities for the periods presented. Unrealized gains and losses are included in “accumulated other comprehensive loss” within stockholders' equity on the balance sheets. Investments that were in an unrealized loss position as of March 31, 2023 and December 31, 2022, consisted of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jc w:val="center"/>
              <w:ind w:right="330"/>
              <w:spacing w:after="0"/>
              <w:rPr>
                <w:sz w:val="20"/>
                <w:szCs w:val="20"/>
                <w:color w:val="auto"/>
              </w:rPr>
            </w:pPr>
            <w:r>
              <w:rPr>
                <w:rFonts w:ascii="Arial" w:cs="Arial" w:eastAsia="Arial" w:hAnsi="Arial"/>
                <w:sz w:val="14"/>
                <w:szCs w:val="14"/>
                <w:b w:val="1"/>
                <w:bCs w:val="1"/>
                <w:color w:val="auto"/>
                <w:w w:val="96"/>
              </w:rPr>
              <w:t>March 31, 2023</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20" w:type="dxa"/>
            <w:vAlign w:val="bottom"/>
            <w:gridSpan w:val="5"/>
          </w:tcPr>
          <w:p>
            <w:pPr>
              <w:jc w:val="right"/>
              <w:ind w:right="690"/>
              <w:spacing w:after="0"/>
              <w:rPr>
                <w:sz w:val="20"/>
                <w:szCs w:val="20"/>
                <w:color w:val="auto"/>
              </w:rPr>
            </w:pPr>
            <w:r>
              <w:rPr>
                <w:rFonts w:ascii="Arial" w:cs="Arial" w:eastAsia="Arial" w:hAnsi="Arial"/>
                <w:sz w:val="14"/>
                <w:szCs w:val="14"/>
                <w:b w:val="1"/>
                <w:bCs w:val="1"/>
                <w:color w:val="auto"/>
              </w:rPr>
              <w:t>Less than 12 months</w:t>
            </w:r>
          </w:p>
        </w:tc>
        <w:tc>
          <w:tcPr>
            <w:tcW w:w="140" w:type="dxa"/>
            <w:vAlign w:val="bottom"/>
          </w:tcPr>
          <w:p>
            <w:pPr>
              <w:spacing w:after="0"/>
              <w:rPr>
                <w:sz w:val="19"/>
                <w:szCs w:val="19"/>
                <w:color w:val="auto"/>
              </w:rPr>
            </w:pPr>
          </w:p>
        </w:tc>
        <w:tc>
          <w:tcPr>
            <w:tcW w:w="2420" w:type="dxa"/>
            <w:vAlign w:val="bottom"/>
            <w:gridSpan w:val="5"/>
          </w:tcPr>
          <w:p>
            <w:pPr>
              <w:jc w:val="center"/>
              <w:ind w:right="330"/>
              <w:spacing w:after="0"/>
              <w:rPr>
                <w:sz w:val="20"/>
                <w:szCs w:val="20"/>
                <w:color w:val="auto"/>
              </w:rPr>
            </w:pPr>
            <w:r>
              <w:rPr>
                <w:rFonts w:ascii="Arial" w:cs="Arial" w:eastAsia="Arial" w:hAnsi="Arial"/>
                <w:sz w:val="14"/>
                <w:szCs w:val="14"/>
                <w:b w:val="1"/>
                <w:bCs w:val="1"/>
                <w:color w:val="auto"/>
                <w:w w:val="94"/>
              </w:rPr>
              <w:t>Greater than 12 months</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89"/>
              </w:rPr>
              <w:t>Total</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37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99"/>
              <w:spacing w:after="0"/>
              <w:rPr>
                <w:sz w:val="20"/>
                <w:szCs w:val="20"/>
                <w:color w:val="auto"/>
              </w:rPr>
            </w:pPr>
            <w:r>
              <w:rPr>
                <w:rFonts w:ascii="Arial" w:cs="Arial" w:eastAsia="Arial" w:hAnsi="Arial"/>
                <w:sz w:val="14"/>
                <w:szCs w:val="14"/>
                <w:b w:val="1"/>
                <w:bCs w:val="1"/>
                <w:color w:val="auto"/>
                <w:w w:val="98"/>
              </w:rPr>
              <w:t>Fair Value</w:t>
            </w:r>
          </w:p>
        </w:tc>
        <w:tc>
          <w:tcPr>
            <w:tcW w:w="2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79"/>
              <w:spacing w:after="0" w:line="133"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101"/>
              <w:spacing w:after="0"/>
              <w:rPr>
                <w:sz w:val="20"/>
                <w:szCs w:val="20"/>
                <w:color w:val="auto"/>
              </w:rPr>
            </w:pPr>
            <w:r>
              <w:rPr>
                <w:rFonts w:ascii="Arial" w:cs="Arial" w:eastAsia="Arial" w:hAnsi="Arial"/>
                <w:sz w:val="14"/>
                <w:szCs w:val="14"/>
                <w:b w:val="1"/>
                <w:bCs w:val="1"/>
                <w:color w:val="auto"/>
                <w:w w:val="98"/>
              </w:rPr>
              <w:t>Fair Value</w:t>
            </w:r>
          </w:p>
        </w:tc>
        <w:tc>
          <w:tcPr>
            <w:tcW w:w="2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79"/>
              <w:spacing w:after="0" w:line="133"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76"/>
              <w:spacing w:after="0"/>
              <w:rPr>
                <w:sz w:val="20"/>
                <w:szCs w:val="20"/>
                <w:color w:val="auto"/>
              </w:rPr>
            </w:pPr>
            <w:r>
              <w:rPr>
                <w:rFonts w:ascii="Arial" w:cs="Arial" w:eastAsia="Arial" w:hAnsi="Arial"/>
                <w:sz w:val="14"/>
                <w:szCs w:val="14"/>
                <w:b w:val="1"/>
                <w:bCs w:val="1"/>
                <w:color w:val="auto"/>
                <w:w w:val="98"/>
              </w:rPr>
              <w:t>Fair Value</w:t>
            </w:r>
          </w:p>
        </w:tc>
        <w:tc>
          <w:tcPr>
            <w:tcW w:w="3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79"/>
              <w:spacing w:after="0" w:line="133"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31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31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36"/>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government treasury securities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11,891</w:t>
            </w: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17,812</w:t>
            </w: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29,703</w:t>
            </w:r>
          </w:p>
        </w:tc>
        <w:tc>
          <w:tcPr>
            <w:tcW w:w="3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473"/>
        </w:trPr>
        <w:tc>
          <w:tcPr>
            <w:tcW w:w="37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center"/>
              <w:ind w:right="330"/>
              <w:spacing w:after="0"/>
              <w:rPr>
                <w:sz w:val="20"/>
                <w:szCs w:val="20"/>
                <w:color w:val="auto"/>
              </w:rPr>
            </w:pPr>
            <w:r>
              <w:rPr>
                <w:rFonts w:ascii="Arial" w:cs="Arial" w:eastAsia="Arial" w:hAnsi="Arial"/>
                <w:sz w:val="14"/>
                <w:szCs w:val="14"/>
                <w:b w:val="1"/>
                <w:bCs w:val="1"/>
                <w:color w:val="auto"/>
                <w:w w:val="91"/>
              </w:rPr>
              <w:t>December 31, 2022</w:t>
            </w: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20" w:type="dxa"/>
            <w:vAlign w:val="bottom"/>
            <w:gridSpan w:val="5"/>
          </w:tcPr>
          <w:p>
            <w:pPr>
              <w:jc w:val="right"/>
              <w:ind w:right="690"/>
              <w:spacing w:after="0"/>
              <w:rPr>
                <w:sz w:val="20"/>
                <w:szCs w:val="20"/>
                <w:color w:val="auto"/>
              </w:rPr>
            </w:pPr>
            <w:r>
              <w:rPr>
                <w:rFonts w:ascii="Arial" w:cs="Arial" w:eastAsia="Arial" w:hAnsi="Arial"/>
                <w:sz w:val="14"/>
                <w:szCs w:val="14"/>
                <w:b w:val="1"/>
                <w:bCs w:val="1"/>
                <w:color w:val="auto"/>
              </w:rPr>
              <w:t>Less than 12 months</w:t>
            </w:r>
          </w:p>
        </w:tc>
        <w:tc>
          <w:tcPr>
            <w:tcW w:w="140" w:type="dxa"/>
            <w:vAlign w:val="bottom"/>
          </w:tcPr>
          <w:p>
            <w:pPr>
              <w:spacing w:after="0"/>
              <w:rPr>
                <w:sz w:val="19"/>
                <w:szCs w:val="19"/>
                <w:color w:val="auto"/>
              </w:rPr>
            </w:pPr>
          </w:p>
        </w:tc>
        <w:tc>
          <w:tcPr>
            <w:tcW w:w="2420" w:type="dxa"/>
            <w:vAlign w:val="bottom"/>
            <w:gridSpan w:val="5"/>
          </w:tcPr>
          <w:p>
            <w:pPr>
              <w:jc w:val="center"/>
              <w:ind w:right="330"/>
              <w:spacing w:after="0"/>
              <w:rPr>
                <w:sz w:val="20"/>
                <w:szCs w:val="20"/>
                <w:color w:val="auto"/>
              </w:rPr>
            </w:pPr>
            <w:r>
              <w:rPr>
                <w:rFonts w:ascii="Arial" w:cs="Arial" w:eastAsia="Arial" w:hAnsi="Arial"/>
                <w:sz w:val="14"/>
                <w:szCs w:val="14"/>
                <w:b w:val="1"/>
                <w:bCs w:val="1"/>
                <w:color w:val="auto"/>
                <w:w w:val="94"/>
              </w:rPr>
              <w:t>Greater than 12 months</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89"/>
              </w:rPr>
              <w:t>Total</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37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99"/>
              <w:spacing w:after="0"/>
              <w:rPr>
                <w:sz w:val="20"/>
                <w:szCs w:val="20"/>
                <w:color w:val="auto"/>
              </w:rPr>
            </w:pPr>
            <w:r>
              <w:rPr>
                <w:rFonts w:ascii="Arial" w:cs="Arial" w:eastAsia="Arial" w:hAnsi="Arial"/>
                <w:sz w:val="14"/>
                <w:szCs w:val="14"/>
                <w:b w:val="1"/>
                <w:bCs w:val="1"/>
                <w:color w:val="auto"/>
                <w:w w:val="98"/>
              </w:rPr>
              <w:t>Fair Value</w:t>
            </w:r>
          </w:p>
        </w:tc>
        <w:tc>
          <w:tcPr>
            <w:tcW w:w="2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79"/>
              <w:spacing w:after="0" w:line="133"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101"/>
              <w:spacing w:after="0"/>
              <w:rPr>
                <w:sz w:val="20"/>
                <w:szCs w:val="20"/>
                <w:color w:val="auto"/>
              </w:rPr>
            </w:pPr>
            <w:r>
              <w:rPr>
                <w:rFonts w:ascii="Arial" w:cs="Arial" w:eastAsia="Arial" w:hAnsi="Arial"/>
                <w:sz w:val="14"/>
                <w:szCs w:val="14"/>
                <w:b w:val="1"/>
                <w:bCs w:val="1"/>
                <w:color w:val="auto"/>
                <w:w w:val="98"/>
              </w:rPr>
              <w:t>Fair Value</w:t>
            </w:r>
          </w:p>
        </w:tc>
        <w:tc>
          <w:tcPr>
            <w:tcW w:w="2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79"/>
              <w:spacing w:after="0" w:line="133"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76"/>
              <w:spacing w:after="0"/>
              <w:rPr>
                <w:sz w:val="20"/>
                <w:szCs w:val="20"/>
                <w:color w:val="auto"/>
              </w:rPr>
            </w:pPr>
            <w:r>
              <w:rPr>
                <w:rFonts w:ascii="Arial" w:cs="Arial" w:eastAsia="Arial" w:hAnsi="Arial"/>
                <w:sz w:val="14"/>
                <w:szCs w:val="14"/>
                <w:b w:val="1"/>
                <w:bCs w:val="1"/>
                <w:color w:val="auto"/>
                <w:w w:val="98"/>
              </w:rPr>
              <w:t>Fair Value</w:t>
            </w:r>
          </w:p>
        </w:tc>
        <w:tc>
          <w:tcPr>
            <w:tcW w:w="3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79"/>
              <w:spacing w:after="0" w:line="133"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31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31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37"/>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government treasury securities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16,743</w:t>
            </w: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23,585</w:t>
            </w: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40,328</w:t>
            </w:r>
          </w:p>
        </w:tc>
        <w:tc>
          <w:tcPr>
            <w:tcW w:w="3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11,326</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(43 )</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11,326</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77"/>
        </w:trPr>
        <w:tc>
          <w:tcPr>
            <w:tcW w:w="37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short-term investments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16,743</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34,911</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51,654</w:t>
            </w:r>
          </w:p>
        </w:tc>
        <w:tc>
          <w:tcPr>
            <w:tcW w:w="3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-24765</wp:posOffset>
            </wp:positionV>
            <wp:extent cx="774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-8255</wp:posOffset>
            </wp:positionV>
            <wp:extent cx="774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-24765</wp:posOffset>
            </wp:positionV>
            <wp:extent cx="857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-8255</wp:posOffset>
            </wp:positionV>
            <wp:extent cx="857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-24765</wp:posOffset>
            </wp:positionV>
            <wp:extent cx="857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-8255</wp:posOffset>
            </wp:positionV>
            <wp:extent cx="857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-24765</wp:posOffset>
            </wp:positionV>
            <wp:extent cx="857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-8255</wp:posOffset>
            </wp:positionV>
            <wp:extent cx="857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857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-8255</wp:posOffset>
            </wp:positionV>
            <wp:extent cx="857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74"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The Company does not intend to sell the securities in an unrealized loss position and does not expect it will be required to sell the securities before recovery of the unamortized cost basis. Additionally, the Company evaluated its securities for credit losses and considered the decline in market value to be primarily attributable to current economic and market conditions and not credit related. Accordingly, no allowance for credit losses has been recognized as of March 31, 2023. During the three months ended March 31, 2023 and 2022, the Company did not recognize any impairment losses related to investments.</w:t>
      </w:r>
    </w:p>
    <w:p>
      <w:pPr>
        <w:spacing w:after="0" w:line="49"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As of March 31, 2023 and December 31, 2022, the Company did not have material accrued interest, which is recorded in other current assets. As of March 31, 2023, the weighted-average remaining contractual maturities of available for sale securities was approximately four months. The Company’s cash equivalents and short-term investments are due within one year.</w:t>
      </w:r>
    </w:p>
    <w:p>
      <w:pPr>
        <w:sectPr>
          <w:pgSz w:w="11900" w:h="16838" w:orient="portrait"/>
          <w:cols w:equalWidth="0" w:num="1">
            <w:col w:w="11240"/>
          </w:cols>
          <w:pgMar w:left="320" w:top="121" w:right="339"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The estimated fair value of the term loan was $4.5 million and $4.9 million as of March 31, 2023 and December 31, 2022, respectively, and was based on market observable interest rates, a Level 2 input.</w:t>
      </w:r>
    </w:p>
    <w:p>
      <w:pPr>
        <w:spacing w:after="0" w:line="62"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The Company did not have any financial liabilities recorded at fair value on a recurring or non-recurring basis as of March 31, 2023 and December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Balance Sheet Components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 and Other Current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137"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275"/>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r>
      <w:tr>
        <w:trPr>
          <w:trHeight w:val="185"/>
        </w:trPr>
        <w:tc>
          <w:tcPr>
            <w:tcW w:w="5500" w:type="dxa"/>
            <w:vAlign w:val="bottom"/>
          </w:tcPr>
          <w:p>
            <w:pPr>
              <w:spacing w:after="0"/>
              <w:rPr>
                <w:sz w:val="16"/>
                <w:szCs w:val="16"/>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r>
      <w:tr>
        <w:trPr>
          <w:trHeight w:val="237"/>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research and development expenses</w:t>
            </w:r>
          </w:p>
        </w:tc>
        <w:tc>
          <w:tcPr>
            <w:tcW w:w="1100" w:type="dxa"/>
            <w:vAlign w:val="bottom"/>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6,969</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7,449</w:t>
            </w:r>
          </w:p>
        </w:tc>
        <w:tc>
          <w:tcPr>
            <w:tcW w:w="120" w:type="dxa"/>
            <w:vAlign w:val="bottom"/>
            <w:shd w:val="clear" w:color="auto" w:fill="CFF0FC"/>
          </w:tcPr>
          <w:p>
            <w:pPr>
              <w:spacing w:after="0"/>
              <w:rPr>
                <w:sz w:val="20"/>
                <w:szCs w:val="20"/>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8"/>
                <w:szCs w:val="18"/>
                <w:color w:val="auto"/>
              </w:rPr>
              <w:t>Accrued compensation and benefits</w:t>
            </w:r>
          </w:p>
        </w:tc>
        <w:tc>
          <w:tcPr>
            <w:tcW w:w="1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998</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1,286</w:t>
            </w:r>
          </w:p>
        </w:tc>
        <w:tc>
          <w:tcPr>
            <w:tcW w:w="120" w:type="dxa"/>
            <w:vAlign w:val="bottom"/>
          </w:tcPr>
          <w:p>
            <w:pPr>
              <w:spacing w:after="0"/>
              <w:rPr>
                <w:sz w:val="20"/>
                <w:szCs w:val="20"/>
                <w:color w:val="auto"/>
              </w:rPr>
            </w:pPr>
          </w:p>
        </w:tc>
      </w:tr>
      <w:tr>
        <w:trPr>
          <w:trHeight w:val="249"/>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general and administrative expenses</w:t>
            </w:r>
          </w:p>
        </w:tc>
        <w:tc>
          <w:tcPr>
            <w:tcW w:w="110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120" w:type="dxa"/>
            <w:vAlign w:val="bottom"/>
            <w:shd w:val="clear" w:color="auto" w:fill="CFF0FC"/>
          </w:tcPr>
          <w:p>
            <w:pPr>
              <w:spacing w:after="0"/>
              <w:rPr>
                <w:sz w:val="21"/>
                <w:szCs w:val="21"/>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8"/>
                <w:szCs w:val="18"/>
                <w:color w:val="auto"/>
              </w:rPr>
              <w:t>Lease liabilities, current portion</w:t>
            </w:r>
          </w:p>
        </w:tc>
        <w:tc>
          <w:tcPr>
            <w:tcW w:w="1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0"/>
                <w:szCs w:val="20"/>
                <w:color w:val="auto"/>
              </w:rPr>
            </w:pPr>
          </w:p>
        </w:tc>
      </w:tr>
      <w:tr>
        <w:trPr>
          <w:trHeight w:val="276"/>
        </w:trPr>
        <w:tc>
          <w:tcPr>
            <w:tcW w:w="55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accrued expenses and other current liabilities</w:t>
            </w:r>
          </w:p>
        </w:tc>
        <w:tc>
          <w:tcPr>
            <w:tcW w:w="1100" w:type="dxa"/>
            <w:vAlign w:val="bottom"/>
            <w:tcBorders>
              <w:bottom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8,720</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9,399</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-25400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-25400</wp:posOffset>
            </wp:positionV>
            <wp:extent cx="774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77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research and development expenses were primarily related to clinical trials and manufacturing of clinical drug supply.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121" w:lineRule="exact"/>
        <w:rPr>
          <w:sz w:val="20"/>
          <w:szCs w:val="20"/>
          <w:color w:val="auto"/>
        </w:rPr>
      </w:pPr>
    </w:p>
    <w:p>
      <w:pPr>
        <w:ind w:right="280" w:firstLine="509"/>
        <w:spacing w:after="0" w:line="275" w:lineRule="auto"/>
        <w:rPr>
          <w:sz w:val="20"/>
          <w:szCs w:val="20"/>
          <w:color w:val="auto"/>
        </w:rPr>
      </w:pPr>
      <w:r>
        <w:rPr>
          <w:rFonts w:ascii="Arial" w:cs="Arial" w:eastAsia="Arial" w:hAnsi="Arial"/>
          <w:sz w:val="17"/>
          <w:szCs w:val="17"/>
          <w:color w:val="auto"/>
        </w:rPr>
        <w:t>The Company leases space under a non-cancelable operating lease, which requires the Company to pay base rent, real estate taxes, insurance, general repairs, and maintenance. In December 2022, the Company entered into a non-cancelable operating lease for approximately 6,500 square feet of office space in South San Francisco, California, which commenced in December 2022 and expires in February 2028 (the "South San Francisco Lease"). The Company has an option to extend the lease term of the South San Francisco Lease for an additional three years which has not been included in the lease term as it is not reasonably certain that the Company will exercise this option.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Term Loan</w:t>
      </w:r>
    </w:p>
    <w:p>
      <w:pPr>
        <w:spacing w:after="0" w:line="121" w:lineRule="exact"/>
        <w:rPr>
          <w:sz w:val="20"/>
          <w:szCs w:val="20"/>
          <w:color w:val="auto"/>
        </w:rPr>
      </w:pPr>
    </w:p>
    <w:p>
      <w:pPr>
        <w:ind w:right="620" w:firstLine="509"/>
        <w:spacing w:after="0" w:line="277" w:lineRule="auto"/>
        <w:rPr>
          <w:sz w:val="20"/>
          <w:szCs w:val="20"/>
          <w:color w:val="auto"/>
        </w:rPr>
      </w:pPr>
      <w:r>
        <w:rPr>
          <w:rFonts w:ascii="Arial" w:cs="Arial" w:eastAsia="Arial" w:hAnsi="Arial"/>
          <w:sz w:val="18"/>
          <w:szCs w:val="18"/>
          <w:color w:val="auto"/>
        </w:rPr>
        <w:t>In September 2019, the Company entered into a Loan and Security Agreement, as subsequently amended (the "Loan Agreement") with SVB providing for a term loan (the "Term Loan") for an aggregate principal amount of $4.5 million.</w:t>
      </w:r>
    </w:p>
    <w:p>
      <w:pPr>
        <w:spacing w:after="0" w:line="62" w:lineRule="exact"/>
        <w:rPr>
          <w:sz w:val="20"/>
          <w:szCs w:val="20"/>
          <w:color w:val="auto"/>
        </w:rPr>
      </w:pPr>
    </w:p>
    <w:p>
      <w:pPr>
        <w:ind w:right="120" w:firstLine="509"/>
        <w:spacing w:after="0" w:line="301" w:lineRule="auto"/>
        <w:rPr>
          <w:sz w:val="20"/>
          <w:szCs w:val="20"/>
          <w:color w:val="auto"/>
        </w:rPr>
      </w:pPr>
      <w:r>
        <w:rPr>
          <w:rFonts w:ascii="Arial" w:cs="Arial" w:eastAsia="Arial" w:hAnsi="Arial"/>
          <w:sz w:val="16"/>
          <w:szCs w:val="16"/>
          <w:color w:val="auto"/>
        </w:rPr>
        <w:t>In September 2019 and in connection with the Loan Agreement, the Company issued a warrant to purchase up to an aggregate of 49,609 shares of Common Stock at $1.44 per share. The Company determined the initial fair value of the warrant to be $0.1 million using the Black-Scholes option-pricing model. The fair value of the warrant was recorded to equity and as a debt discount, which was being amortized to interest expense using the effective interest method over the term of the Term Loan. In November 2020, the warrant was net-exercised for 46,358 shares of Common Stock.</w:t>
      </w:r>
    </w:p>
    <w:p>
      <w:pPr>
        <w:spacing w:after="0" w:line="49" w:lineRule="exact"/>
        <w:rPr>
          <w:sz w:val="20"/>
          <w:szCs w:val="20"/>
          <w:color w:val="auto"/>
        </w:rPr>
      </w:pPr>
    </w:p>
    <w:p>
      <w:pPr>
        <w:ind w:right="160" w:firstLine="509"/>
        <w:spacing w:after="0" w:line="279" w:lineRule="auto"/>
        <w:rPr>
          <w:sz w:val="20"/>
          <w:szCs w:val="20"/>
          <w:color w:val="auto"/>
        </w:rPr>
      </w:pPr>
      <w:r>
        <w:rPr>
          <w:rFonts w:ascii="Arial" w:cs="Arial" w:eastAsia="Arial" w:hAnsi="Arial"/>
          <w:sz w:val="17"/>
          <w:szCs w:val="17"/>
          <w:color w:val="auto"/>
        </w:rPr>
        <w:t>In March 2021, the Company entered into a First Amendment to Loan and Security Agreement (the "First Amendment"), which increased the aggregate principal amount of the Term Loan to $30.0 million, of which $20.0 million was immediately available under the first tranche ("First Tranche") and $10.0 million was available under the second tranche through December 31, 2022 ("Second Tranche"), subject to the completion of certain clinical or financial milestones. Pursuant to the First Amendment, the Term Loan will mature on January 1, 2026 (the "Maturity Date").</w:t>
      </w:r>
    </w:p>
    <w:p>
      <w:pPr>
        <w:spacing w:after="0" w:line="63" w:lineRule="exact"/>
        <w:rPr>
          <w:sz w:val="20"/>
          <w:szCs w:val="20"/>
          <w:color w:val="auto"/>
        </w:rPr>
      </w:pPr>
    </w:p>
    <w:p>
      <w:pPr>
        <w:ind w:right="320" w:firstLine="509"/>
        <w:spacing w:after="0" w:line="342" w:lineRule="auto"/>
        <w:rPr>
          <w:sz w:val="20"/>
          <w:szCs w:val="20"/>
          <w:color w:val="auto"/>
        </w:rPr>
      </w:pPr>
      <w:r>
        <w:rPr>
          <w:rFonts w:ascii="Arial" w:cs="Arial" w:eastAsia="Arial" w:hAnsi="Arial"/>
          <w:sz w:val="16"/>
          <w:szCs w:val="16"/>
          <w:color w:val="auto"/>
        </w:rPr>
        <w:t>In May 2022, the Company entered into a Second Amendment to Loan and Security Agreement (the "Second Amendment"), which amended the milestones for the Second Tranche, added a liquidity covenant for the Second Tranche and amended the interest and prepayment terms.</w:t>
      </w:r>
    </w:p>
    <w:p>
      <w:pPr>
        <w:spacing w:after="0" w:line="16"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As of March 31, 2023, the carrying value of the Term Loan was $4.5 million, consisting of the outstanding principal under the First Tranche of $4.6 million, less unamortized debt discount and issuance costs of $0.1 million, which are being amortized using the effective interest method over the life of the Term Loan. Commitments available under the Second Tranche of $10.0 million expired on December 31, 2022.</w:t>
      </w:r>
    </w:p>
    <w:p>
      <w:pPr>
        <w:spacing w:after="0" w:line="57" w:lineRule="exact"/>
        <w:rPr>
          <w:sz w:val="20"/>
          <w:szCs w:val="20"/>
          <w:color w:val="auto"/>
        </w:rPr>
      </w:pPr>
    </w:p>
    <w:p>
      <w:pPr>
        <w:ind w:right="320" w:firstLine="509"/>
        <w:spacing w:after="0" w:line="293" w:lineRule="auto"/>
        <w:rPr>
          <w:sz w:val="20"/>
          <w:szCs w:val="20"/>
          <w:color w:val="auto"/>
        </w:rPr>
      </w:pPr>
      <w:r>
        <w:rPr>
          <w:rFonts w:ascii="Arial" w:cs="Arial" w:eastAsia="Arial" w:hAnsi="Arial"/>
          <w:sz w:val="16"/>
          <w:szCs w:val="16"/>
          <w:color w:val="auto"/>
        </w:rPr>
        <w:t>The Loan Agreement provides for monthly cash interest-only payments following the funding date of each respective tranche and continuing thereafter through December 31, 2022. The Term Loan is subject to a floating per annum interest rate equal to the greater of (a) 0.50% above the Prime Rate (as defined in the Loan Agreement) or (b) 3.75%. Following the interest-only period, the outstanding Term Loan balance will be payable in (i) 37 consecutive monthly payments after the end of the interest-only period and continuing on the same day of each month thereafter, in amounts that would fully amortize such Term Loan balance, as of the first business day of the first month following the amended interest-only period, over the repayment period, plus (ii) monthly payments of accrued but unpaid interest. As of March 31, 2023, the stated interest rate of the Term Loan was 8.5%.</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The final payment is due on the Maturity Date and includes all outstanding principal plus accrued unpaid interest and an end of term payment totaling $0.3 million, which is 6.0% of the original funded principal amount of the First Tranche (the "Supplemental Final Payment"). The Company may prepay amounts outstanding under the Term Loan at any time provided certain notification conditions are met, in which case, all outstanding principal plus accrued and unpaid interest, the Supplemental Final Payment, a prepayment fee of 1% or 2% of the principal amount of the First Tranche, and any bank expenses become due and payable.</w:t>
      </w:r>
    </w:p>
    <w:p>
      <w:pPr>
        <w:spacing w:after="0" w:line="80" w:lineRule="exact"/>
        <w:rPr>
          <w:sz w:val="20"/>
          <w:szCs w:val="20"/>
          <w:color w:val="auto"/>
        </w:rPr>
      </w:pPr>
    </w:p>
    <w:p>
      <w:pPr>
        <w:jc w:val="both"/>
        <w:ind w:right="120" w:firstLine="509"/>
        <w:spacing w:after="0" w:line="284" w:lineRule="auto"/>
        <w:rPr>
          <w:sz w:val="20"/>
          <w:szCs w:val="20"/>
          <w:color w:val="auto"/>
        </w:rPr>
      </w:pPr>
      <w:r>
        <w:rPr>
          <w:rFonts w:ascii="Arial" w:cs="Arial" w:eastAsia="Arial" w:hAnsi="Arial"/>
          <w:sz w:val="17"/>
          <w:szCs w:val="17"/>
          <w:color w:val="auto"/>
        </w:rPr>
        <w:t>The Company is subject to customary affirmative and restrictive covenants under the Loan Agreement. The Company’s obligations under the Loan Agreement are secured by a first priority security interest in substantially all of its current and future assets, other than intellectual property. The Company also agreed not to encumber its intellectual property assets, except as permitted by the Loan Agreement</w:t>
      </w:r>
      <w:r>
        <w:rPr>
          <w:rFonts w:ascii="Arial" w:cs="Arial" w:eastAsia="Arial" w:hAnsi="Arial"/>
          <w:sz w:val="20"/>
          <w:szCs w:val="20"/>
          <w:color w:val="auto"/>
        </w:rPr>
        <w:t>.</w:t>
      </w:r>
    </w:p>
    <w:p>
      <w:pPr>
        <w:spacing w:after="0" w:line="48" w:lineRule="exact"/>
        <w:rPr>
          <w:sz w:val="20"/>
          <w:szCs w:val="20"/>
          <w:color w:val="auto"/>
        </w:rPr>
      </w:pPr>
    </w:p>
    <w:p>
      <w:pPr>
        <w:ind w:right="60" w:firstLine="509"/>
        <w:spacing w:after="0" w:line="260" w:lineRule="auto"/>
        <w:rPr>
          <w:sz w:val="20"/>
          <w:szCs w:val="20"/>
          <w:color w:val="auto"/>
        </w:rPr>
      </w:pPr>
      <w:r>
        <w:rPr>
          <w:rFonts w:ascii="Arial" w:cs="Arial" w:eastAsia="Arial" w:hAnsi="Arial"/>
          <w:sz w:val="18"/>
          <w:szCs w:val="18"/>
          <w:color w:val="auto"/>
        </w:rPr>
        <w:t>The Loan Agreement also contains customary indemnification obligations and customary events of default, including, among other things, the Company’s failure to fulfill certain obligations under the Loan Agreement and the occurrence of a material adverse change in its business, operations, or condition (financial or otherwise), a material impairment of the prospect of repayment of any portion of the loan, or a material impairment in the perfection or priority of lender’s lien in the collateral or in the value of such collateral. In the event of default by the Company under the Loan Agreement, the lender would be entitled to exercise their remedies thereunder, including the right to accelerate the debt, upon which the Company may be required to repay all amounts then outstanding under the Loan Agreement. As of March 31, 2023, the Company was in compliance with all covenants under the Loan Agreement and there has been no material adverse change.</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2023, future payments of principal and interest are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2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237"/>
        </w:trPr>
        <w:tc>
          <w:tcPr>
            <w:tcW w:w="8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 (remaining 9 months)</w:t>
            </w: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1,479</w:t>
            </w:r>
          </w:p>
        </w:tc>
        <w:tc>
          <w:tcPr>
            <w:tcW w:w="140" w:type="dxa"/>
            <w:vAlign w:val="bottom"/>
            <w:shd w:val="clear" w:color="auto" w:fill="CFF0FC"/>
          </w:tcPr>
          <w:p>
            <w:pPr>
              <w:spacing w:after="0"/>
              <w:rPr>
                <w:sz w:val="20"/>
                <w:szCs w:val="20"/>
                <w:color w:val="auto"/>
              </w:rPr>
            </w:pPr>
          </w:p>
        </w:tc>
      </w:tr>
      <w:tr>
        <w:trPr>
          <w:trHeight w:val="237"/>
        </w:trPr>
        <w:tc>
          <w:tcPr>
            <w:tcW w:w="898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1,849</w:t>
            </w:r>
          </w:p>
        </w:tc>
        <w:tc>
          <w:tcPr>
            <w:tcW w:w="140" w:type="dxa"/>
            <w:vAlign w:val="bottom"/>
          </w:tcPr>
          <w:p>
            <w:pPr>
              <w:spacing w:after="0"/>
              <w:rPr>
                <w:sz w:val="20"/>
                <w:szCs w:val="20"/>
                <w:color w:val="auto"/>
              </w:rPr>
            </w:pPr>
          </w:p>
        </w:tc>
      </w:tr>
      <w:tr>
        <w:trPr>
          <w:trHeight w:val="249"/>
        </w:trPr>
        <w:tc>
          <w:tcPr>
            <w:tcW w:w="8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1,709</w:t>
            </w:r>
          </w:p>
        </w:tc>
        <w:tc>
          <w:tcPr>
            <w:tcW w:w="140" w:type="dxa"/>
            <w:vAlign w:val="bottom"/>
            <w:shd w:val="clear" w:color="auto" w:fill="CFF0FC"/>
          </w:tcPr>
          <w:p>
            <w:pPr>
              <w:spacing w:after="0"/>
              <w:rPr>
                <w:sz w:val="21"/>
                <w:szCs w:val="21"/>
                <w:color w:val="auto"/>
              </w:rPr>
            </w:pPr>
          </w:p>
        </w:tc>
      </w:tr>
      <w:tr>
        <w:trPr>
          <w:trHeight w:val="237"/>
        </w:trPr>
        <w:tc>
          <w:tcPr>
            <w:tcW w:w="8980" w:type="dxa"/>
            <w:vAlign w:val="bottom"/>
          </w:tcPr>
          <w:p>
            <w:pPr>
              <w:ind w:left="20"/>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40" w:type="dxa"/>
            <w:vAlign w:val="bottom"/>
          </w:tcPr>
          <w:p>
            <w:pPr>
              <w:spacing w:after="0"/>
              <w:rPr>
                <w:sz w:val="20"/>
                <w:szCs w:val="20"/>
                <w:color w:val="auto"/>
              </w:rPr>
            </w:pPr>
          </w:p>
        </w:tc>
      </w:tr>
      <w:tr>
        <w:trPr>
          <w:trHeight w:val="277"/>
        </w:trPr>
        <w:tc>
          <w:tcPr>
            <w:tcW w:w="89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5,173</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223"/>
        </w:trPr>
        <w:tc>
          <w:tcPr>
            <w:tcW w:w="8980" w:type="dxa"/>
            <w:vAlign w:val="bottom"/>
          </w:tcPr>
          <w:p>
            <w:pPr>
              <w:ind w:left="20"/>
              <w:spacing w:after="0"/>
              <w:rPr>
                <w:sz w:val="20"/>
                <w:szCs w:val="20"/>
                <w:color w:val="auto"/>
              </w:rPr>
            </w:pPr>
            <w:r>
              <w:rPr>
                <w:rFonts w:ascii="Arial" w:cs="Arial" w:eastAsia="Arial" w:hAnsi="Arial"/>
                <w:sz w:val="18"/>
                <w:szCs w:val="18"/>
                <w:color w:val="auto"/>
              </w:rPr>
              <w:t>Less: interest</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(578 )</w:t>
            </w:r>
          </w:p>
        </w:tc>
      </w:tr>
      <w:tr>
        <w:trPr>
          <w:trHeight w:val="277"/>
        </w:trPr>
        <w:tc>
          <w:tcPr>
            <w:tcW w:w="89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Term loan, gross</w:t>
            </w:r>
          </w:p>
        </w:tc>
        <w:tc>
          <w:tcPr>
            <w:tcW w:w="20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top w:val="single" w:sz="8" w:color="auto"/>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4,595</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223"/>
        </w:trPr>
        <w:tc>
          <w:tcPr>
            <w:tcW w:w="8980" w:type="dxa"/>
            <w:vAlign w:val="bottom"/>
          </w:tcPr>
          <w:p>
            <w:pPr>
              <w:ind w:left="20"/>
              <w:spacing w:after="0"/>
              <w:rPr>
                <w:sz w:val="20"/>
                <w:szCs w:val="20"/>
                <w:color w:val="auto"/>
              </w:rPr>
            </w:pPr>
            <w:r>
              <w:rPr>
                <w:rFonts w:ascii="Arial" w:cs="Arial" w:eastAsia="Arial" w:hAnsi="Arial"/>
                <w:sz w:val="18"/>
                <w:szCs w:val="18"/>
                <w:color w:val="auto"/>
              </w:rPr>
              <w:t>Less: unamortized debt issuance costs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(72 )</w:t>
            </w:r>
          </w:p>
        </w:tc>
      </w:tr>
      <w:tr>
        <w:trPr>
          <w:trHeight w:val="243"/>
        </w:trPr>
        <w:tc>
          <w:tcPr>
            <w:tcW w:w="8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term loan, current portion</w:t>
            </w: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(1,622 )</w:t>
            </w:r>
          </w:p>
        </w:tc>
      </w:tr>
      <w:tr>
        <w:trPr>
          <w:trHeight w:val="236"/>
        </w:trPr>
        <w:tc>
          <w:tcPr>
            <w:tcW w:w="898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Term loan, net of current portion</w:t>
            </w:r>
          </w:p>
        </w:tc>
        <w:tc>
          <w:tcPr>
            <w:tcW w:w="200" w:type="dxa"/>
            <w:vAlign w:val="bottom"/>
            <w:tcBorders>
              <w:top w:val="single" w:sz="8" w:color="CFF0FC"/>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2,901</w:t>
            </w:r>
          </w:p>
        </w:tc>
        <w:tc>
          <w:tcPr>
            <w:tcW w:w="140" w:type="dxa"/>
            <w:vAlign w:val="bottom"/>
            <w:tcBorders>
              <w:top w:val="single" w:sz="8" w:color="CFF0FC"/>
            </w:tcBorders>
          </w:tcPr>
          <w:p>
            <w:pPr>
              <w:spacing w:after="0"/>
              <w:rPr>
                <w:sz w:val="20"/>
                <w:szCs w:val="20"/>
                <w:color w:val="auto"/>
              </w:rPr>
            </w:pPr>
          </w:p>
        </w:tc>
      </w:tr>
      <w:tr>
        <w:trPr>
          <w:trHeight w:val="20"/>
        </w:trPr>
        <w:tc>
          <w:tcPr>
            <w:tcW w:w="8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-865505</wp:posOffset>
            </wp:positionV>
            <wp:extent cx="85725" cy="1885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-521970</wp:posOffset>
            </wp:positionV>
            <wp:extent cx="85725" cy="1797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Collaboration and License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 Lily and Company</w:t>
      </w:r>
    </w:p>
    <w:p>
      <w:pPr>
        <w:spacing w:after="0" w:line="121"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In May 2016, the Company entered into a license agreement (the "Lilly License Agreement"), with Eli Lilly and Company ("Lilly"). Pursuant to the terms of the Lilly License Agreement, Lilly granted the Company an exclusive, worldwide, royalty bearing, sublicensable license under certain technology, patent rights, know-how and proprietary materials related to certain compounds, to research, develop, and commercialize such compounds for all pharmaceutical uses.</w:t>
      </w:r>
    </w:p>
    <w:p>
      <w:pPr>
        <w:spacing w:after="0" w:line="79"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As partial consideration for the rights granted to the Company under the Lilly License Agreement, the Company made a one-time upfront payment to Lilly of $0.8 million during the year ended December 31, 2016, which was recorded as research and development expense as there was no alternative use due to the early stage of the technology. The Company is also required to pay Lilly up to an aggregate of $23.0 million upon the achievement, during the time the Lilly License Agreement remains in effect, of certain milestones relating to the clinical development and commercial sales of products licensed under the Lilly License Agreement. Such payments are for predetermined fixed amounts, are paid only upon the first occurrence of each event, and are due shortly after achieving the applicable milestone. In addition, the Company is required to pay Lilly tiered royalties on annual worldwide net sales with rates ranging from mid-single-digits to sub-teens. No additional amounts were paid by the Company to Lilly during any of the periods presented, nor were due as of such dates pursuant to the Lilly License Agreement.</w:t>
      </w:r>
    </w:p>
    <w:p>
      <w:pPr>
        <w:spacing w:after="0" w:line="70"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The Lilly License Agreement will remain in effect, unless earlier terminated, until the expiration of the royalty payment obligations. Royalties are payable on a product-by-product and country-by-country basis from the first commercial sale of the product until the later of (i) the tenth anniversary of the date of first commercial sale in such country, (ii) the expiration in such country of the last-to-expire licensed patent having a valid claim covering the manufacture, use or sale of the licensed product as commercialized in such country, and (iii) the expiration of any data or regulatory exclusivity period for the licensed product in such country.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Kaken Pharmaceutical Co, Ltd.</w:t>
      </w:r>
    </w:p>
    <w:p>
      <w:pPr>
        <w:spacing w:after="0" w:line="121"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On January 5, 2023, the Company entered into a collaboration and license agreement (the "Kaken License Agreement") with Kaken Pharmaceutical Co, Ltd. ("Kaken"). Under the terms of the Kaken License Agreement, the Company granted to Kaken the exclusive right to develop, manufacture and commercialize the Company’s product candidate, tildacerfont, for the treatment of CAH in Japan. Pursuant to the Kaken License Agreement, Kaken will be responsible for securing and maintaining regulatory approvals necessary to commercialize tildacerfont in Japan. The Company will retain all rights to tildacerfont in all other geographies.</w:t>
      </w:r>
    </w:p>
    <w:p>
      <w:pPr>
        <w:spacing w:after="0" w:line="80"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Pursuant to the Kaken License Agreement, Kaken is required to make an upfront payment to the Company of $15.0 million. In addition to the upfront payment, the Company is entitled to receive up to an aggregate of approximately $65.0 million (at exchange rates in effect on the date of the Kaken License Agreement) upon the achievement of specified milestones related to the development, regulatory approval and commercialization of tildacerfont in Japan, including the achievement of specified net sales thresholds, if approved. Kaken has agreed to pay the Company a non-creditable, non-refundable specified purchase price for each unit of Company-manufactured product supplied to Kaken for commercial sale. In addition, the Company will also be entitled to receive a royalty for each unit of non-Company manufactured product sold equal to a range of double-digit percentages up to the mid-twenties based on annual net sales of tildacerfont in Japan. Both the purchase price for each unit and the royalty rate are subject to reduction in certain circumstances as specified in the Kaken License Agreement. Kaken’s obligation to pay royalties will continue for ten years after the first commercial sale in Japan or, if later, until the expiration of regulatory exclusivity of tildacerfont or the expiration of the last valid claim of a Company-licensed patent covering tildacerfont in Japan.</w:t>
      </w:r>
    </w:p>
    <w:p>
      <w:pPr>
        <w:spacing w:after="0" w:line="77" w:lineRule="exact"/>
        <w:rPr>
          <w:sz w:val="20"/>
          <w:szCs w:val="20"/>
          <w:color w:val="auto"/>
        </w:rPr>
      </w:pPr>
    </w:p>
    <w:p>
      <w:pPr>
        <w:ind w:right="380" w:firstLine="509"/>
        <w:spacing w:after="0" w:line="279" w:lineRule="auto"/>
        <w:rPr>
          <w:sz w:val="20"/>
          <w:szCs w:val="20"/>
          <w:color w:val="auto"/>
        </w:rPr>
      </w:pPr>
      <w:r>
        <w:rPr>
          <w:rFonts w:ascii="Arial" w:cs="Arial" w:eastAsia="Arial" w:hAnsi="Arial"/>
          <w:sz w:val="17"/>
          <w:szCs w:val="17"/>
          <w:color w:val="auto"/>
        </w:rPr>
        <w:t>The Company identified a combined performance obligation consisting of the license and know-how granted to Kaken as well as certain non-contingent research and development activities. The Company determined that the transaction price at the inception of the Kaken License Agreement consisted of the upfront payment of $15.0 million. The transaction price is recognized as revenue using the cost-based input method over the estimated period of its non-contingent research and development obligations, which is approximately two years.</w:t>
      </w:r>
    </w:p>
    <w:p>
      <w:pPr>
        <w:spacing w:after="0" w:line="63" w:lineRule="exact"/>
        <w:rPr>
          <w:sz w:val="20"/>
          <w:szCs w:val="20"/>
          <w:color w:val="auto"/>
        </w:rPr>
      </w:pPr>
    </w:p>
    <w:p>
      <w:pPr>
        <w:ind w:right="340" w:firstLine="509"/>
        <w:spacing w:after="0" w:line="263" w:lineRule="auto"/>
        <w:rPr>
          <w:sz w:val="20"/>
          <w:szCs w:val="20"/>
          <w:color w:val="auto"/>
        </w:rPr>
      </w:pPr>
      <w:r>
        <w:rPr>
          <w:rFonts w:ascii="Arial" w:cs="Arial" w:eastAsia="Arial" w:hAnsi="Arial"/>
          <w:sz w:val="18"/>
          <w:szCs w:val="18"/>
          <w:color w:val="auto"/>
        </w:rPr>
        <w:t>During the three months ended March 31, 2023, the Company recognized $2.0 million as collaboration revenue. As of March 31, 2023, deferred revenue was $13.0 million, of which $9.2 million was current. As of March 31, 2023, the Company recorded the upfront payment of $15.0 million in accounts receivable on the balance sheet. The upfront payment was subsequently received in April 2023.</w:t>
      </w:r>
    </w:p>
    <w:p>
      <w:pPr>
        <w:spacing w:after="0" w:line="180" w:lineRule="exact"/>
        <w:rPr>
          <w:sz w:val="20"/>
          <w:szCs w:val="20"/>
          <w:color w:val="auto"/>
        </w:rPr>
      </w:pPr>
    </w:p>
    <w:p>
      <w:pPr>
        <w:ind w:right="9700" w:firstLine="8"/>
        <w:spacing w:after="0" w:line="425" w:lineRule="auto"/>
        <w:tabs>
          <w:tab w:leader="none" w:pos="18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Capital Structure Common Stock</w:t>
      </w:r>
    </w:p>
    <w:p>
      <w:pPr>
        <w:ind w:right="180" w:firstLine="509"/>
        <w:spacing w:after="0" w:line="286" w:lineRule="auto"/>
        <w:rPr>
          <w:sz w:val="20"/>
          <w:szCs w:val="20"/>
          <w:color w:val="auto"/>
        </w:rPr>
      </w:pPr>
      <w:r>
        <w:rPr>
          <w:rFonts w:ascii="Arial" w:cs="Arial" w:eastAsia="Arial" w:hAnsi="Arial"/>
          <w:sz w:val="17"/>
          <w:szCs w:val="17"/>
          <w:color w:val="auto"/>
        </w:rPr>
        <w:t>As of March 31, 2023 and December 31, 2022, the Company was authorized to issue 200,000,000 shares of Common Stock $0.0001 par value per share. Holders of Common Stock are entitled to dividends if and when declared by the board of directors of the Company ("Board of Directors"). The holder of each share of Common Stock is entitled to one vote. As of March 31, 2023, no dividends were declared.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Shares reserved for future issuance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Common Stock reserved for future issuance, on an as converted basis, consisted of the following:</w:t>
      </w:r>
    </w:p>
    <w:p>
      <w:pPr>
        <w:spacing w:after="0" w:line="13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480" w:type="dxa"/>
            <w:vAlign w:val="bottom"/>
          </w:tcPr>
          <w:p>
            <w:pPr>
              <w:jc w:val="right"/>
              <w:ind w:right="335"/>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480" w:type="dxa"/>
            <w:vAlign w:val="bottom"/>
          </w:tcPr>
          <w:p>
            <w:pPr>
              <w:jc w:val="right"/>
              <w:ind w:right="236"/>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r>
      <w:tr>
        <w:trPr>
          <w:trHeight w:val="185"/>
        </w:trPr>
        <w:tc>
          <w:tcPr>
            <w:tcW w:w="6780" w:type="dxa"/>
            <w:vAlign w:val="bottom"/>
          </w:tcPr>
          <w:p>
            <w:pPr>
              <w:spacing w:after="0"/>
              <w:rPr>
                <w:sz w:val="16"/>
                <w:szCs w:val="16"/>
                <w:color w:val="auto"/>
              </w:rPr>
            </w:pPr>
          </w:p>
        </w:tc>
        <w:tc>
          <w:tcPr>
            <w:tcW w:w="1480" w:type="dxa"/>
            <w:vAlign w:val="bottom"/>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1720" w:type="dxa"/>
            <w:vAlign w:val="bottom"/>
            <w:gridSpan w:val="2"/>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r>
      <w:tr>
        <w:trPr>
          <w:trHeight w:val="236"/>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Stock options, issued and outstanding</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4,045,310</w:t>
            </w:r>
          </w:p>
        </w:tc>
        <w:tc>
          <w:tcPr>
            <w:tcW w:w="240" w:type="dxa"/>
            <w:vAlign w:val="bottom"/>
            <w:shd w:val="clear" w:color="auto" w:fill="CFF0FC"/>
          </w:tcPr>
          <w:p>
            <w:pPr>
              <w:spacing w:after="0"/>
              <w:rPr>
                <w:sz w:val="20"/>
                <w:szCs w:val="20"/>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4,166,194</w:t>
            </w:r>
          </w:p>
        </w:tc>
        <w:tc>
          <w:tcPr>
            <w:tcW w:w="120" w:type="dxa"/>
            <w:vAlign w:val="bottom"/>
            <w:shd w:val="clear" w:color="auto" w:fill="CFF0FC"/>
          </w:tcPr>
          <w:p>
            <w:pPr>
              <w:spacing w:after="0"/>
              <w:rPr>
                <w:sz w:val="20"/>
                <w:szCs w:val="20"/>
                <w:color w:val="auto"/>
              </w:rPr>
            </w:pPr>
          </w:p>
        </w:tc>
      </w:tr>
      <w:tr>
        <w:trPr>
          <w:trHeight w:val="237"/>
        </w:trPr>
        <w:tc>
          <w:tcPr>
            <w:tcW w:w="6780" w:type="dxa"/>
            <w:vAlign w:val="bottom"/>
          </w:tcPr>
          <w:p>
            <w:pPr>
              <w:spacing w:after="0"/>
              <w:rPr>
                <w:sz w:val="20"/>
                <w:szCs w:val="20"/>
                <w:color w:val="auto"/>
              </w:rPr>
            </w:pPr>
            <w:r>
              <w:rPr>
                <w:rFonts w:ascii="Arial" w:cs="Arial" w:eastAsia="Arial" w:hAnsi="Arial"/>
                <w:sz w:val="18"/>
                <w:szCs w:val="18"/>
                <w:color w:val="auto"/>
              </w:rPr>
              <w:t>Restricted stock units, issued and outstanding</w:t>
            </w:r>
          </w:p>
        </w:tc>
        <w:tc>
          <w:tcPr>
            <w:tcW w:w="1480" w:type="dxa"/>
            <w:vAlign w:val="bottom"/>
          </w:tcPr>
          <w:p>
            <w:pPr>
              <w:jc w:val="right"/>
              <w:spacing w:after="0"/>
              <w:rPr>
                <w:sz w:val="20"/>
                <w:szCs w:val="20"/>
                <w:color w:val="auto"/>
              </w:rPr>
            </w:pPr>
            <w:r>
              <w:rPr>
                <w:rFonts w:ascii="Arial" w:cs="Arial" w:eastAsia="Arial" w:hAnsi="Arial"/>
                <w:sz w:val="18"/>
                <w:szCs w:val="18"/>
                <w:color w:val="auto"/>
              </w:rPr>
              <w:t>2,373,915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1,996,128</w:t>
            </w:r>
          </w:p>
        </w:tc>
        <w:tc>
          <w:tcPr>
            <w:tcW w:w="120" w:type="dxa"/>
            <w:vAlign w:val="bottom"/>
          </w:tcPr>
          <w:p>
            <w:pPr>
              <w:spacing w:after="0"/>
              <w:rPr>
                <w:sz w:val="20"/>
                <w:szCs w:val="20"/>
                <w:color w:val="auto"/>
              </w:rPr>
            </w:pPr>
          </w:p>
        </w:tc>
      </w:tr>
      <w:tr>
        <w:trPr>
          <w:trHeight w:val="249"/>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Shares available for future issuance under 2020 Equity Incentive Plan</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1,820,106</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940,061</w:t>
            </w:r>
          </w:p>
        </w:tc>
        <w:tc>
          <w:tcPr>
            <w:tcW w:w="120" w:type="dxa"/>
            <w:vAlign w:val="bottom"/>
            <w:shd w:val="clear" w:color="auto" w:fill="CFF0FC"/>
          </w:tcPr>
          <w:p>
            <w:pPr>
              <w:spacing w:after="0"/>
              <w:rPr>
                <w:sz w:val="21"/>
                <w:szCs w:val="21"/>
                <w:color w:val="auto"/>
              </w:rPr>
            </w:pPr>
          </w:p>
        </w:tc>
      </w:tr>
      <w:tr>
        <w:trPr>
          <w:trHeight w:val="237"/>
        </w:trPr>
        <w:tc>
          <w:tcPr>
            <w:tcW w:w="6780" w:type="dxa"/>
            <w:vAlign w:val="bottom"/>
          </w:tcPr>
          <w:p>
            <w:pPr>
              <w:spacing w:after="0"/>
              <w:rPr>
                <w:sz w:val="20"/>
                <w:szCs w:val="20"/>
                <w:color w:val="auto"/>
              </w:rPr>
            </w:pPr>
            <w:r>
              <w:rPr>
                <w:rFonts w:ascii="Arial" w:cs="Arial" w:eastAsia="Arial" w:hAnsi="Arial"/>
                <w:sz w:val="18"/>
                <w:szCs w:val="18"/>
                <w:color w:val="auto"/>
              </w:rPr>
              <w:t>Shares available for future issuance under 2020 Employee Stock Purchase Plan</w:t>
            </w:r>
          </w:p>
        </w:tc>
        <w:tc>
          <w:tcPr>
            <w:tcW w:w="1480" w:type="dxa"/>
            <w:vAlign w:val="bottom"/>
          </w:tcPr>
          <w:p>
            <w:pPr>
              <w:jc w:val="right"/>
              <w:spacing w:after="0"/>
              <w:rPr>
                <w:sz w:val="20"/>
                <w:szCs w:val="20"/>
                <w:color w:val="auto"/>
              </w:rPr>
            </w:pPr>
            <w:r>
              <w:rPr>
                <w:rFonts w:ascii="Arial" w:cs="Arial" w:eastAsia="Arial" w:hAnsi="Arial"/>
                <w:sz w:val="18"/>
                <w:szCs w:val="18"/>
                <w:color w:val="auto"/>
              </w:rPr>
              <w:t>837,829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601,819</w:t>
            </w:r>
          </w:p>
        </w:tc>
        <w:tc>
          <w:tcPr>
            <w:tcW w:w="120" w:type="dxa"/>
            <w:vAlign w:val="bottom"/>
          </w:tcPr>
          <w:p>
            <w:pPr>
              <w:spacing w:after="0"/>
              <w:rPr>
                <w:sz w:val="20"/>
                <w:szCs w:val="20"/>
                <w:color w:val="auto"/>
              </w:rPr>
            </w:pPr>
          </w:p>
        </w:tc>
      </w:tr>
      <w:tr>
        <w:trPr>
          <w:trHeight w:val="243"/>
        </w:trPr>
        <w:tc>
          <w:tcPr>
            <w:tcW w:w="6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Common Stock Warrants, issued and outstanding</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13,487,000</w:t>
            </w:r>
          </w:p>
        </w:tc>
        <w:tc>
          <w:tcPr>
            <w:tcW w:w="24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6"/>
        </w:trPr>
        <w:tc>
          <w:tcPr>
            <w:tcW w:w="6780" w:type="dxa"/>
            <w:vAlign w:val="bottom"/>
          </w:tcPr>
          <w:p>
            <w:pPr>
              <w:ind w:left="180"/>
              <w:spacing w:after="0"/>
              <w:rPr>
                <w:sz w:val="20"/>
                <w:szCs w:val="20"/>
                <w:color w:val="auto"/>
              </w:rPr>
            </w:pPr>
            <w:r>
              <w:rPr>
                <w:rFonts w:ascii="Arial" w:cs="Arial" w:eastAsia="Arial" w:hAnsi="Arial"/>
                <w:sz w:val="18"/>
                <w:szCs w:val="18"/>
                <w:color w:val="auto"/>
              </w:rPr>
              <w:t>Total shares reserved</w:t>
            </w:r>
          </w:p>
        </w:tc>
        <w:tc>
          <w:tcPr>
            <w:tcW w:w="1480" w:type="dxa"/>
            <w:vAlign w:val="bottom"/>
          </w:tcPr>
          <w:p>
            <w:pPr>
              <w:jc w:val="right"/>
              <w:spacing w:after="0"/>
              <w:rPr>
                <w:sz w:val="20"/>
                <w:szCs w:val="20"/>
                <w:color w:val="auto"/>
              </w:rPr>
            </w:pPr>
            <w:r>
              <w:rPr>
                <w:rFonts w:ascii="Arial" w:cs="Arial" w:eastAsia="Arial" w:hAnsi="Arial"/>
                <w:sz w:val="18"/>
                <w:szCs w:val="18"/>
                <w:color w:val="auto"/>
              </w:rPr>
              <w:t>22,564,160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7,704,202</w:t>
            </w:r>
          </w:p>
        </w:tc>
        <w:tc>
          <w:tcPr>
            <w:tcW w:w="120" w:type="dxa"/>
            <w:vAlign w:val="bottom"/>
          </w:tcPr>
          <w:p>
            <w:pPr>
              <w:spacing w:after="0"/>
              <w:rPr>
                <w:sz w:val="20"/>
                <w:szCs w:val="20"/>
                <w:color w:val="auto"/>
              </w:rPr>
            </w:pPr>
          </w:p>
        </w:tc>
      </w:tr>
      <w:tr>
        <w:trPr>
          <w:trHeight w:val="20"/>
        </w:trPr>
        <w:tc>
          <w:tcPr>
            <w:tcW w:w="67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-187960</wp:posOffset>
            </wp:positionV>
            <wp:extent cx="77470" cy="1885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-187960</wp:posOffset>
            </wp:positionV>
            <wp:extent cx="77470" cy="1885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February 2023, the Company entered into the Purchase Agreement with the Purchasers, pursuant to which the Company agreed to sell and issue</w:t>
      </w:r>
    </w:p>
    <w:p>
      <w:pPr>
        <w:spacing w:after="0" w:line="46" w:lineRule="exact"/>
        <w:rPr>
          <w:sz w:val="20"/>
          <w:szCs w:val="20"/>
          <w:color w:val="auto"/>
        </w:rPr>
      </w:pPr>
    </w:p>
    <w:p>
      <w:pPr>
        <w:ind w:right="580" w:firstLine="8"/>
        <w:spacing w:after="0" w:line="260" w:lineRule="auto"/>
        <w:tabs>
          <w:tab w:leader="none" w:pos="215" w:val="left"/>
        </w:tabs>
        <w:numPr>
          <w:ilvl w:val="0"/>
          <w:numId w:val="8"/>
        </w:numPr>
        <w:rPr>
          <w:rFonts w:ascii="Arial" w:cs="Arial" w:eastAsia="Arial" w:hAnsi="Arial"/>
          <w:sz w:val="18"/>
          <w:szCs w:val="18"/>
          <w:color w:val="auto"/>
        </w:rPr>
      </w:pPr>
      <w:r>
        <w:rPr>
          <w:rFonts w:ascii="Arial" w:cs="Arial" w:eastAsia="Arial" w:hAnsi="Arial"/>
          <w:sz w:val="18"/>
          <w:szCs w:val="18"/>
          <w:color w:val="auto"/>
        </w:rPr>
        <w:t>16,116,000 shares of Common Stock, (ii) Pre-Funded Warrants to purchase 800,000 shares of Common Stock to a Purchaser and (iii) 12,687,000 Standard Warrants to purchase Common Stock in the Private Placement.</w:t>
      </w:r>
    </w:p>
    <w:p>
      <w:pPr>
        <w:spacing w:after="0" w:line="77" w:lineRule="exact"/>
        <w:rPr>
          <w:sz w:val="20"/>
          <w:szCs w:val="20"/>
          <w:color w:val="auto"/>
        </w:rPr>
      </w:pPr>
    </w:p>
    <w:p>
      <w:pPr>
        <w:jc w:val="both"/>
        <w:ind w:right="40" w:firstLine="509"/>
        <w:spacing w:after="0" w:line="311" w:lineRule="auto"/>
        <w:rPr>
          <w:sz w:val="20"/>
          <w:szCs w:val="20"/>
          <w:color w:val="auto"/>
        </w:rPr>
      </w:pPr>
      <w:r>
        <w:rPr>
          <w:rFonts w:ascii="Arial" w:cs="Arial" w:eastAsia="Arial" w:hAnsi="Arial"/>
          <w:sz w:val="16"/>
          <w:szCs w:val="16"/>
          <w:color w:val="auto"/>
        </w:rPr>
        <w:t>The Pre-Funded Warrants have a per share exercise price of $0.01 and the Standard Warrants have an exercise price of $3.96 per share, in each case subject to proportional adjustments in the event of stock splits or combinations or similar events. The Warrants will be exercisable for a period of five years following the date of issuance. The Warrants were recorded as a component of stockholders’ equity within additional paid-in-capital.</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540" w:firstLine="509"/>
        <w:spacing w:after="0" w:line="342" w:lineRule="auto"/>
        <w:rPr>
          <w:sz w:val="20"/>
          <w:szCs w:val="20"/>
          <w:color w:val="auto"/>
        </w:rPr>
      </w:pPr>
      <w:r>
        <w:rPr>
          <w:rFonts w:ascii="Arial" w:cs="Arial" w:eastAsia="Arial" w:hAnsi="Arial"/>
          <w:sz w:val="16"/>
          <w:szCs w:val="16"/>
          <w:color w:val="auto"/>
        </w:rPr>
        <w:t>As of March 31, 2023, no shares underlying the Warrants had been exercised. The Pre-Funded Warrants are included in the weighted-average number of shares of Common Stock used to calculate basic and diluted net loss per share attributable to common stockholders (see Note 10).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 Expense</w:t>
      </w:r>
    </w:p>
    <w:p>
      <w:pPr>
        <w:spacing w:after="0" w:line="121" w:lineRule="exact"/>
        <w:rPr>
          <w:sz w:val="20"/>
          <w:szCs w:val="20"/>
          <w:color w:val="auto"/>
        </w:rPr>
      </w:pPr>
    </w:p>
    <w:p>
      <w:pPr>
        <w:ind w:right="500" w:firstLine="509"/>
        <w:spacing w:after="0" w:line="277" w:lineRule="auto"/>
        <w:rPr>
          <w:sz w:val="20"/>
          <w:szCs w:val="20"/>
          <w:color w:val="auto"/>
        </w:rPr>
      </w:pPr>
      <w:r>
        <w:rPr>
          <w:rFonts w:ascii="Arial" w:cs="Arial" w:eastAsia="Arial" w:hAnsi="Arial"/>
          <w:sz w:val="18"/>
          <w:szCs w:val="18"/>
          <w:color w:val="auto"/>
        </w:rPr>
        <w:t>The following table summarizes the components of stock-based compensation expense recognized in the Company’s condensed statements of operations and comprehensive loss during the three months ended March 31, 2023 and 2022 (in thousands):</w:t>
      </w:r>
    </w:p>
    <w:p>
      <w:pPr>
        <w:spacing w:after="0" w:line="94"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320" w:type="dxa"/>
            <w:vAlign w:val="bottom"/>
          </w:tcPr>
          <w:p>
            <w:pPr>
              <w:spacing w:after="0"/>
              <w:rPr>
                <w:sz w:val="16"/>
                <w:szCs w:val="16"/>
                <w:color w:val="auto"/>
              </w:rPr>
            </w:pPr>
          </w:p>
        </w:tc>
        <w:tc>
          <w:tcPr>
            <w:tcW w:w="310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6320" w:type="dxa"/>
            <w:vAlign w:val="bottom"/>
          </w:tcPr>
          <w:p>
            <w:pPr>
              <w:spacing w:after="0"/>
              <w:rPr>
                <w:sz w:val="14"/>
                <w:szCs w:val="14"/>
                <w:color w:val="auto"/>
              </w:rPr>
            </w:pPr>
          </w:p>
        </w:tc>
        <w:tc>
          <w:tcPr>
            <w:tcW w:w="1120" w:type="dxa"/>
            <w:vAlign w:val="bottom"/>
          </w:tcPr>
          <w:p>
            <w:pPr>
              <w:jc w:val="right"/>
              <w:ind w:right="59"/>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4"/>
                <w:szCs w:val="14"/>
                <w:color w:val="auto"/>
              </w:rPr>
            </w:pPr>
          </w:p>
        </w:tc>
        <w:tc>
          <w:tcPr>
            <w:tcW w:w="144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37"/>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120" w:type="dxa"/>
            <w:vAlign w:val="bottom"/>
            <w:tcBorders>
              <w:top w:val="single" w:sz="8" w:color="auto"/>
            </w:tcBorders>
            <w:shd w:val="clear" w:color="auto" w:fill="CFF0FC"/>
          </w:tcPr>
          <w:p>
            <w:pPr>
              <w:jc w:val="right"/>
              <w:ind w:right="939"/>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340" w:type="dxa"/>
            <w:vAlign w:val="bottom"/>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FF0FC"/>
          </w:tcPr>
          <w:p>
            <w:pPr>
              <w:spacing w:after="0"/>
              <w:rPr>
                <w:sz w:val="20"/>
                <w:szCs w:val="20"/>
                <w:color w:val="auto"/>
              </w:rPr>
            </w:pPr>
          </w:p>
        </w:tc>
      </w:tr>
      <w:tr>
        <w:trPr>
          <w:trHeight w:val="237"/>
        </w:trPr>
        <w:tc>
          <w:tcPr>
            <w:tcW w:w="63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3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120" w:type="dxa"/>
            <w:vAlign w:val="bottom"/>
          </w:tcPr>
          <w:p>
            <w:pPr>
              <w:spacing w:after="0"/>
              <w:rPr>
                <w:sz w:val="20"/>
                <w:szCs w:val="20"/>
                <w:color w:val="auto"/>
              </w:rPr>
            </w:pPr>
          </w:p>
        </w:tc>
      </w:tr>
      <w:tr>
        <w:trPr>
          <w:trHeight w:val="277"/>
        </w:trPr>
        <w:tc>
          <w:tcPr>
            <w:tcW w:w="63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stock-based compensation expense</w:t>
            </w:r>
          </w:p>
        </w:tc>
        <w:tc>
          <w:tcPr>
            <w:tcW w:w="1120" w:type="dxa"/>
            <w:vAlign w:val="bottom"/>
            <w:tcBorders>
              <w:bottom w:val="single" w:sz="8" w:color="auto"/>
            </w:tcBorders>
            <w:shd w:val="clear" w:color="auto" w:fill="CFF0FC"/>
          </w:tcPr>
          <w:p>
            <w:pPr>
              <w:jc w:val="right"/>
              <w:ind w:right="93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1,060</w:t>
            </w:r>
          </w:p>
        </w:tc>
        <w:tc>
          <w:tcPr>
            <w:tcW w:w="34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1,141</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-25400</wp:posOffset>
            </wp:positionV>
            <wp:extent cx="774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-8255</wp:posOffset>
            </wp:positionV>
            <wp:extent cx="7747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-25400</wp:posOffset>
            </wp:positionV>
            <wp:extent cx="774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-8255</wp:posOffset>
            </wp:positionV>
            <wp:extent cx="774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During the three months ended March 31, 2023, the Company granted 382,850 restricted stock units ("RSUs") with a weighted-average grant date fair value of $2.02 per unit. RSU grants in the period included 84,750 RSUs subject to performance-based vesting conditions related to the satisfaction of certain clinical development milestones. As of March 31, 2023, the Company had 1,093,875 RSUs outstanding subject to performance-based vesting conditions, of which 125,063 RSUs are considered probable of achievement.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sets forth the computation of the basic and diluted net loss per share (in thousands, except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40" w:type="dxa"/>
            <w:vAlign w:val="bottom"/>
            <w:gridSpan w:val="5"/>
          </w:tcPr>
          <w:p>
            <w:pPr>
              <w:jc w:val="right"/>
              <w:ind w:right="1030"/>
              <w:spacing w:after="0"/>
              <w:rPr>
                <w:sz w:val="20"/>
                <w:szCs w:val="20"/>
                <w:color w:val="auto"/>
              </w:rPr>
            </w:pPr>
            <w:r>
              <w:rPr>
                <w:rFonts w:ascii="Arial" w:cs="Arial" w:eastAsia="Arial" w:hAnsi="Arial"/>
                <w:sz w:val="14"/>
                <w:szCs w:val="14"/>
                <w:b w:val="1"/>
                <w:bCs w:val="1"/>
                <w:color w:val="auto"/>
              </w:rPr>
              <w:t>Three Months Ended March 31,</w:t>
            </w:r>
          </w:p>
        </w:tc>
      </w:tr>
      <w:tr>
        <w:trPr>
          <w:trHeight w:val="223"/>
        </w:trPr>
        <w:tc>
          <w:tcPr>
            <w:tcW w:w="718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9"/>
                <w:szCs w:val="19"/>
                <w:color w:val="auto"/>
              </w:rPr>
            </w:pPr>
          </w:p>
        </w:tc>
      </w:tr>
      <w:tr>
        <w:trPr>
          <w:trHeight w:val="237"/>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42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Net loss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201"/>
              <w:spacing w:after="0"/>
              <w:rPr>
                <w:sz w:val="20"/>
                <w:szCs w:val="20"/>
                <w:color w:val="auto"/>
              </w:rPr>
            </w:pPr>
            <w:r>
              <w:rPr>
                <w:rFonts w:ascii="Arial" w:cs="Arial" w:eastAsia="Arial" w:hAnsi="Arial"/>
                <w:sz w:val="18"/>
                <w:szCs w:val="18"/>
                <w:color w:val="auto"/>
              </w:rPr>
              <w:t>(12,791 )</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(11,762 )</w:t>
            </w:r>
          </w:p>
        </w:tc>
      </w:tr>
      <w:tr>
        <w:trPr>
          <w:trHeight w:val="249"/>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Denominator:</w:t>
            </w:r>
          </w:p>
        </w:tc>
        <w:tc>
          <w:tcPr>
            <w:tcW w:w="4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Weighted-average shares of Common Stock outstanding</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31,900,160</w:t>
            </w:r>
          </w:p>
        </w:tc>
        <w:tc>
          <w:tcPr>
            <w:tcW w:w="3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23,492,295</w:t>
            </w:r>
          </w:p>
        </w:tc>
        <w:tc>
          <w:tcPr>
            <w:tcW w:w="140" w:type="dxa"/>
            <w:vAlign w:val="bottom"/>
          </w:tcPr>
          <w:p>
            <w:pPr>
              <w:spacing w:after="0"/>
              <w:rPr>
                <w:sz w:val="20"/>
                <w:szCs w:val="20"/>
                <w:color w:val="auto"/>
              </w:rPr>
            </w:pPr>
          </w:p>
        </w:tc>
      </w:tr>
      <w:tr>
        <w:trPr>
          <w:trHeight w:val="276"/>
        </w:trPr>
        <w:tc>
          <w:tcPr>
            <w:tcW w:w="7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per share, basic and diluted</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(0.40</w:t>
            </w:r>
          </w:p>
        </w:tc>
        <w:tc>
          <w:tcPr>
            <w:tcW w:w="34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16"/>
                <w:szCs w:val="16"/>
                <w:color w:val="auto"/>
                <w:w w:val="74"/>
              </w:rPr>
              <w:t>)</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-24765</wp:posOffset>
            </wp:positionV>
            <wp:extent cx="857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-8255</wp:posOffset>
            </wp:positionV>
            <wp:extent cx="857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74"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Basic net loss per share was the same as diluted net loss per share for all periods as the inclusion of potentially dilutive securities would have been anti-dilutive. Potentially dilutive securities that were not included in the diluted per share calculations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620" w:type="dxa"/>
            <w:vAlign w:val="bottom"/>
            <w:tcBorders>
              <w:bottom w:val="single" w:sz="8" w:color="auto"/>
            </w:tcBorders>
            <w:gridSpan w:val="3"/>
          </w:tcPr>
          <w:p>
            <w:pPr>
              <w:ind w:left="1680"/>
              <w:spacing w:after="0"/>
              <w:rPr>
                <w:sz w:val="20"/>
                <w:szCs w:val="20"/>
                <w:color w:val="auto"/>
              </w:rPr>
            </w:pPr>
            <w:r>
              <w:rPr>
                <w:rFonts w:ascii="Arial" w:cs="Arial" w:eastAsia="Arial" w:hAnsi="Arial"/>
                <w:sz w:val="14"/>
                <w:szCs w:val="14"/>
                <w:b w:val="1"/>
                <w:bCs w:val="1"/>
                <w:color w:val="auto"/>
              </w:rPr>
              <w:t>March 31,</w:t>
            </w:r>
          </w:p>
        </w:tc>
        <w:tc>
          <w:tcPr>
            <w:tcW w:w="13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223"/>
        </w:trPr>
        <w:tc>
          <w:tcPr>
            <w:tcW w:w="5400" w:type="dxa"/>
            <w:vAlign w:val="bottom"/>
          </w:tcPr>
          <w:p>
            <w:pPr>
              <w:spacing w:after="0"/>
              <w:rPr>
                <w:sz w:val="19"/>
                <w:szCs w:val="19"/>
                <w:color w:val="auto"/>
              </w:rPr>
            </w:pPr>
          </w:p>
        </w:tc>
        <w:tc>
          <w:tcPr>
            <w:tcW w:w="3580" w:type="dxa"/>
            <w:vAlign w:val="bottom"/>
            <w:gridSpan w:val="2"/>
          </w:tcPr>
          <w:p>
            <w:pPr>
              <w:jc w:val="right"/>
              <w:ind w:right="716"/>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60" w:type="dxa"/>
            <w:vAlign w:val="bottom"/>
          </w:tcPr>
          <w:p>
            <w:pPr>
              <w:jc w:val="right"/>
              <w:ind w:right="693"/>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9"/>
                <w:szCs w:val="19"/>
                <w:color w:val="auto"/>
              </w:rPr>
            </w:pPr>
          </w:p>
        </w:tc>
      </w:tr>
      <w:tr>
        <w:trPr>
          <w:trHeight w:val="236"/>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Shares subject to outstanding Common Stock options</w:t>
            </w:r>
          </w:p>
        </w:tc>
        <w:tc>
          <w:tcPr>
            <w:tcW w:w="1720" w:type="dxa"/>
            <w:vAlign w:val="bottom"/>
            <w:shd w:val="clear" w:color="auto" w:fill="CFF0FC"/>
          </w:tcPr>
          <w:p>
            <w:pPr>
              <w:spacing w:after="0"/>
              <w:rPr>
                <w:sz w:val="20"/>
                <w:szCs w:val="20"/>
                <w:color w:val="auto"/>
              </w:rPr>
            </w:pPr>
          </w:p>
        </w:tc>
        <w:tc>
          <w:tcPr>
            <w:tcW w:w="1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4,045,310</w:t>
            </w:r>
          </w:p>
        </w:tc>
        <w:tc>
          <w:tcPr>
            <w:tcW w:w="280" w:type="dxa"/>
            <w:vAlign w:val="bottom"/>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3,116,334</w:t>
            </w:r>
          </w:p>
        </w:tc>
        <w:tc>
          <w:tcPr>
            <w:tcW w:w="140" w:type="dxa"/>
            <w:vAlign w:val="bottom"/>
            <w:shd w:val="clear" w:color="auto" w:fill="CFF0FC"/>
          </w:tcPr>
          <w:p>
            <w:pPr>
              <w:spacing w:after="0"/>
              <w:rPr>
                <w:sz w:val="20"/>
                <w:szCs w:val="20"/>
                <w:color w:val="auto"/>
              </w:rPr>
            </w:pPr>
          </w:p>
        </w:tc>
      </w:tr>
      <w:tr>
        <w:trPr>
          <w:trHeight w:val="237"/>
        </w:trPr>
        <w:tc>
          <w:tcPr>
            <w:tcW w:w="5400" w:type="dxa"/>
            <w:vAlign w:val="bottom"/>
          </w:tcPr>
          <w:p>
            <w:pPr>
              <w:ind w:left="20"/>
              <w:spacing w:after="0"/>
              <w:rPr>
                <w:sz w:val="20"/>
                <w:szCs w:val="20"/>
                <w:color w:val="auto"/>
              </w:rPr>
            </w:pPr>
            <w:r>
              <w:rPr>
                <w:rFonts w:ascii="Arial" w:cs="Arial" w:eastAsia="Arial" w:hAnsi="Arial"/>
                <w:sz w:val="18"/>
                <w:szCs w:val="18"/>
                <w:color w:val="auto"/>
              </w:rPr>
              <w:t>Shares subject to outstanding RSUs</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2,373,915</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528,200</w:t>
            </w:r>
          </w:p>
        </w:tc>
        <w:tc>
          <w:tcPr>
            <w:tcW w:w="140" w:type="dxa"/>
            <w:vAlign w:val="bottom"/>
          </w:tcPr>
          <w:p>
            <w:pPr>
              <w:spacing w:after="0"/>
              <w:rPr>
                <w:sz w:val="20"/>
                <w:szCs w:val="20"/>
                <w:color w:val="auto"/>
              </w:rPr>
            </w:pPr>
          </w:p>
        </w:tc>
      </w:tr>
      <w:tr>
        <w:trPr>
          <w:trHeight w:val="249"/>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w w:val="90"/>
              </w:rPr>
              <w:t>Estimated shares issuable under the 2020 Employee Stock Purchase Plan</w:t>
            </w:r>
          </w:p>
        </w:tc>
        <w:tc>
          <w:tcPr>
            <w:tcW w:w="3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336,704</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67,253</w:t>
            </w:r>
          </w:p>
        </w:tc>
        <w:tc>
          <w:tcPr>
            <w:tcW w:w="140" w:type="dxa"/>
            <w:vAlign w:val="bottom"/>
            <w:shd w:val="clear" w:color="auto" w:fill="CFF0FC"/>
          </w:tcPr>
          <w:p>
            <w:pPr>
              <w:spacing w:after="0"/>
              <w:rPr>
                <w:sz w:val="21"/>
                <w:szCs w:val="21"/>
                <w:color w:val="auto"/>
              </w:rPr>
            </w:pPr>
          </w:p>
        </w:tc>
      </w:tr>
      <w:tr>
        <w:trPr>
          <w:trHeight w:val="237"/>
        </w:trPr>
        <w:tc>
          <w:tcPr>
            <w:tcW w:w="5400" w:type="dxa"/>
            <w:vAlign w:val="bottom"/>
          </w:tcPr>
          <w:p>
            <w:pPr>
              <w:ind w:left="20"/>
              <w:spacing w:after="0"/>
              <w:rPr>
                <w:sz w:val="20"/>
                <w:szCs w:val="20"/>
                <w:color w:val="auto"/>
              </w:rPr>
            </w:pPr>
            <w:r>
              <w:rPr>
                <w:rFonts w:ascii="Arial" w:cs="Arial" w:eastAsia="Arial" w:hAnsi="Arial"/>
                <w:sz w:val="18"/>
                <w:szCs w:val="18"/>
                <w:color w:val="auto"/>
              </w:rPr>
              <w:t>Shares subject to outstanding Standard Warrants</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12,687,000</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76"/>
        </w:trPr>
        <w:tc>
          <w:tcPr>
            <w:tcW w:w="54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1720" w:type="dxa"/>
            <w:vAlign w:val="bottom"/>
            <w:tcBorders>
              <w:bottom w:val="single" w:sz="8" w:color="CFF0FC"/>
            </w:tcBorders>
            <w:shd w:val="clear" w:color="auto" w:fill="CFF0FC"/>
          </w:tcPr>
          <w:p>
            <w:pPr>
              <w:spacing w:after="0"/>
              <w:rPr>
                <w:sz w:val="24"/>
                <w:szCs w:val="24"/>
                <w:color w:val="auto"/>
              </w:rPr>
            </w:pPr>
          </w:p>
        </w:tc>
        <w:tc>
          <w:tcPr>
            <w:tcW w:w="1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19,442,929</w:t>
            </w:r>
          </w:p>
        </w:tc>
        <w:tc>
          <w:tcPr>
            <w:tcW w:w="28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top w:val="single" w:sz="8" w:color="auto"/>
              <w:bottom w:val="single" w:sz="8" w:color="auto"/>
            </w:tcBorders>
            <w:shd w:val="clear" w:color="auto" w:fill="CFF0FC"/>
          </w:tcPr>
          <w:p>
            <w:pPr>
              <w:spacing w:after="0"/>
              <w:rPr>
                <w:sz w:val="24"/>
                <w:szCs w:val="24"/>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3,711,787</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635"/>
        </w:trPr>
        <w:tc>
          <w:tcPr>
            <w:tcW w:w="5400" w:type="dxa"/>
            <w:vAlign w:val="bottom"/>
          </w:tcPr>
          <w:p>
            <w:pPr>
              <w:spacing w:after="0"/>
              <w:rPr>
                <w:sz w:val="24"/>
                <w:szCs w:val="24"/>
                <w:color w:val="auto"/>
              </w:rPr>
            </w:pPr>
          </w:p>
        </w:tc>
        <w:tc>
          <w:tcPr>
            <w:tcW w:w="1720" w:type="dxa"/>
            <w:vAlign w:val="bottom"/>
          </w:tcPr>
          <w:p>
            <w:pPr>
              <w:jc w:val="right"/>
              <w:ind w:right="1314"/>
              <w:spacing w:after="0"/>
              <w:rPr>
                <w:sz w:val="20"/>
                <w:szCs w:val="20"/>
                <w:color w:val="auto"/>
              </w:rPr>
            </w:pPr>
            <w:r>
              <w:rPr>
                <w:rFonts w:ascii="Arial" w:cs="Arial" w:eastAsia="Arial" w:hAnsi="Arial"/>
                <w:sz w:val="18"/>
                <w:szCs w:val="18"/>
                <w:color w:val="auto"/>
              </w:rPr>
              <w:t>13</w:t>
            </w:r>
          </w:p>
        </w:tc>
        <w:tc>
          <w:tcPr>
            <w:tcW w:w="1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5"/>
        </w:trPr>
        <w:tc>
          <w:tcPr>
            <w:tcW w:w="54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-521970</wp:posOffset>
            </wp:positionV>
            <wp:extent cx="857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-505460</wp:posOffset>
            </wp:positionV>
            <wp:extent cx="857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-521970</wp:posOffset>
            </wp:positionV>
            <wp:extent cx="857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-505460</wp:posOffset>
            </wp:positionV>
            <wp:extent cx="857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our unaudited condensed financial statements and the related notes to those statements included elsewhere in this Quarterly Report on Form 10-Q and our audited financial statements and notes thereto and the related Management’s Discussion and Analysis of Financial Condition and Results of Operations included in our Annual Report on Form 10-K for the year ended December 31, 2022 filed with the Securities and Exchange Commission ("SEC") on March 16, 2023 (the "Annual Report"). Unless otherwise indicated, all references in this Quarterly Report on Form 10-Q to “Spruce,” the “company,” “we,” “our,” “us” or similar terms refer to Spruce Biosciences, Inc.</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i w:val="1"/>
          <w:iCs w:val="1"/>
          <w:color w:val="auto"/>
        </w:rPr>
        <w:t>In addition to historical financial information, this Quarterly Report on Form 10-Q contains forward-looking statements based upon current expectations that involve risks and uncertainties. Our actual results could differ materially from those anticipated in these forward-looking statements as a result of various factors, including those set forth in the section titled “Risk Factors” under Part II, Item 1A below. In some cases, you can identify forward-looking statements by terminology such as “anticipate,” “believe,” “continue,” “could,” “estimate,” “expect,” “intend,” “may,” “plan,” “potentially,” “predict,” “should,” “will” or the negative of these terms or other similar expressions.</w:t>
      </w:r>
    </w:p>
    <w:p>
      <w:pPr>
        <w:spacing w:after="0" w:line="80"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i w:val="1"/>
          <w:iCs w:val="1"/>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r>
        <w:rPr>
          <w:rFonts w:ascii="Arial" w:cs="Arial" w:eastAsia="Arial" w:hAnsi="Arial"/>
          <w:sz w:val="18"/>
          <w:szCs w:val="18"/>
          <w:i w:val="1"/>
          <w:iCs w:val="1"/>
          <w:color w:val="32406B"/>
        </w:rPr>
        <w: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515"/>
        <w:spacing w:after="0" w:line="291" w:lineRule="auto"/>
        <w:rPr>
          <w:sz w:val="20"/>
          <w:szCs w:val="20"/>
          <w:color w:val="auto"/>
        </w:rPr>
      </w:pPr>
      <w:r>
        <w:rPr>
          <w:rFonts w:ascii="Arial" w:cs="Arial" w:eastAsia="Arial" w:hAnsi="Arial"/>
          <w:sz w:val="16"/>
          <w:szCs w:val="16"/>
          <w:color w:val="auto"/>
        </w:rPr>
        <w:t>We are a late-stage biopharmaceutical company focused on developing and commercializing novel therapies for rare endocrine disorders with significant unmet medical need. We are initially developing our wholly-owned product candidate, tildacerfont, as the potential first non-steroidal therapy to offer markedly improved disease control and reduce steroid burden for patients suffering from classic congenital adrenal hyperplasia ("CAH"). Classic CAH is a serious and life-threatening disease with no known novel therapies approved in approximately 70 years. In a 12-week Phase 2a proof-of-concept clinical trial, tildacerfont-treated adult patients suffering from classic CAH who had elevated adrenal hormones at baseline despite being on standard of care therapy achieved approximately 80% reductions in hormones that are key indicators of elevated adrenal hormones at baseline. Furthermore, over 200 subjects across eight completed clinical trials to date have been administered tildacerfont with no drug-related serious adverse events ("SAEs") reported.</w:t>
      </w:r>
    </w:p>
    <w:p>
      <w:pPr>
        <w:spacing w:after="0" w:line="58" w:lineRule="exact"/>
        <w:rPr>
          <w:sz w:val="20"/>
          <w:szCs w:val="20"/>
          <w:color w:val="auto"/>
        </w:rPr>
      </w:pPr>
    </w:p>
    <w:p>
      <w:pPr>
        <w:ind w:firstLine="515"/>
        <w:spacing w:after="0" w:line="269" w:lineRule="auto"/>
        <w:rPr>
          <w:sz w:val="20"/>
          <w:szCs w:val="20"/>
          <w:color w:val="auto"/>
        </w:rPr>
      </w:pPr>
      <w:r>
        <w:rPr>
          <w:rFonts w:ascii="Arial" w:cs="Arial" w:eastAsia="Arial" w:hAnsi="Arial"/>
          <w:sz w:val="17"/>
          <w:szCs w:val="17"/>
          <w:color w:val="auto"/>
        </w:rPr>
        <w:t>We have initiated CAHmelia-203, a placebo-controlled, double-blind Phase 2b clinical trial in adult patients with classic CAH with highly elevated levels of androstenedione ("A4") at baseline and anticipate topline results in the second half of 2023. We have also initiated CAHmelia-204, a second Phase 2b clinical trial in adult patients with classic CAH on supraphysiologic doses of glucocorticoids with normal or near normal levels of A4 at baseline focused on glucocorticoid reduction and anticipate topline results in the second half of 2024. Based on post-hoc analyses of our clinical data to date, we have chosen to target two distinct groups of classic CAH patients with either supraphysiologic doses of glucocorticoids with normal or near normal levels of A4 at baseline or highly elevated levels of A4 at baseline. These two groups, which together make up the entire classic CAH patient population, have differing disease challenges centered on excessive adrenal androgen levels or excessive glucocorticoid usage, both of which have the potential to be addressed by treatment with tildacerfont, if approved. We believe our strategy to study CAH patients in these two enriched sub-populations may enable us to observe clinically meaningful outcomes. Additionally, we believe these two clinical trials will provide sufficient patient exposures for our registrational safety database, which are designed to potentially support registration in the United States and Europe. Assuming positive results from these clinical trials, we plan to meet with the U.S. Food and Drug Administration ("FDA") and certain comparable foreign regulatory authorities to discuss potential registration.</w:t>
      </w:r>
    </w:p>
    <w:p>
      <w:pPr>
        <w:spacing w:after="0" w:line="71" w:lineRule="exact"/>
        <w:rPr>
          <w:sz w:val="20"/>
          <w:szCs w:val="20"/>
          <w:color w:val="auto"/>
        </w:rPr>
      </w:pPr>
    </w:p>
    <w:p>
      <w:pPr>
        <w:ind w:right="20" w:firstLine="515"/>
        <w:spacing w:after="0" w:line="289" w:lineRule="auto"/>
        <w:rPr>
          <w:sz w:val="20"/>
          <w:szCs w:val="20"/>
          <w:color w:val="auto"/>
        </w:rPr>
      </w:pPr>
      <w:r>
        <w:rPr>
          <w:rFonts w:ascii="Arial" w:cs="Arial" w:eastAsia="Arial" w:hAnsi="Arial"/>
          <w:sz w:val="16"/>
          <w:szCs w:val="16"/>
          <w:color w:val="auto"/>
        </w:rPr>
        <w:t>We are also investigating tildacerfont for the treatment of classic CAH in children. We believe there is a significant medical need to provide androgen-lowering and glucocorticoid-sparing therapies to pediatric classic CAH patients to reduce the risk of premature puberty and the adverse effects of glucocorticoids, including growth inhibition and short-stature as adults. We have initiated CAHptain, a Phase 2 open-label clinical trial, which will utilize a sequential three cohort design, to evaluate the safety, efficacy, and pharmacokinetics of tildacerfont in children two to 17 years of age with classic CAH. We anticipate topline data from adolescents (cohorts 1 and 2) of the Phase 2 open-label clinical trial in the second half of 2023. We have also submitted a pediatric investigational plan ("PIP") to the Pediatric Committee ("PDCO") of the European Medicines Agency ("EMA") regarding a registrational program in children with classic CAH. PDCO issued an opinion on its agreement with the proposed PIP of tildacerfont for the treatment of CAH which endorsed the clinical program to evaluate the safety, tolerability and efficacy of tildacerfont for the treatment of CAH in patients from one year of age to less than 18 years of age. PDCO also granted a waiver for the treatment of CAH in patients less than one year of age.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firstLine="515"/>
        <w:spacing w:after="0" w:line="269" w:lineRule="auto"/>
        <w:rPr>
          <w:sz w:val="20"/>
          <w:szCs w:val="20"/>
          <w:color w:val="auto"/>
        </w:rPr>
      </w:pPr>
      <w:r>
        <w:rPr>
          <w:rFonts w:ascii="Arial" w:cs="Arial" w:eastAsia="Arial" w:hAnsi="Arial"/>
          <w:sz w:val="17"/>
          <w:szCs w:val="17"/>
          <w:color w:val="auto"/>
        </w:rPr>
        <w:t>Beyond classic CAH, we believe tildacerfont has potential utility in polycystic ovary syndrome ("PCOS"), and in a range of diseases where the underlying biology supports a need to reduce excess secretion of or hyperresponsiveness to adrenocorticotropic hormone ("ACTH"). PCOS is a hormonal disorder common among females of reproductive age affecting nearly five million females in the United States and approximately 115 million females worldwide. PCOS is characterized by elevated levels of androgens, cysts in the ovaries, and irregular periods. We have identified a subpopulation of patients where elevated levels of adrenal androgens are the cause of disease. We believe that tildacerfont may present a novel mechanism to reduce ACTH and provide a therapeutic option for females with PCOS. By leveraging our existing Phase 1 program, which includes safety, tolerability, and pharmacokinetics of tildacerfont, we have initiated P.O.W.E.R., a Phase 2 proof-of-concept, placebo-controlled, dose escalation trial which will evaluate the safety and efficacy of tildacerfont titrated to 200 mg QD compared to placebo at 12 weeks of treatment in subjects with PCOS and elevated adrenal androgens as measured by dehydroepiandrosterone sulfate ("DHEAS") levels at baseline. Enrollment for P.O.W.E.R. is closed and we anticipate topline results in the third quarter of 2023.</w:t>
      </w:r>
    </w:p>
    <w:p>
      <w:pPr>
        <w:spacing w:after="0" w:line="77" w:lineRule="exact"/>
        <w:rPr>
          <w:sz w:val="20"/>
          <w:szCs w:val="20"/>
          <w:color w:val="auto"/>
        </w:rPr>
      </w:pPr>
    </w:p>
    <w:p>
      <w:pPr>
        <w:ind w:right="100" w:firstLine="515"/>
        <w:spacing w:after="0" w:line="296" w:lineRule="auto"/>
        <w:rPr>
          <w:sz w:val="20"/>
          <w:szCs w:val="20"/>
          <w:color w:val="auto"/>
        </w:rPr>
      </w:pPr>
      <w:r>
        <w:rPr>
          <w:rFonts w:ascii="Arial" w:cs="Arial" w:eastAsia="Arial" w:hAnsi="Arial"/>
          <w:sz w:val="16"/>
          <w:szCs w:val="16"/>
          <w:color w:val="auto"/>
        </w:rPr>
        <w:t>Since our inception in November 2014, we have focused primarily on raising capital, establishing and protecting our intellectual property portfolio, organizing and staffing our company, business planning, and conducting preclinical and clinical development of, and manufacturing development for, our product candidate, tildacerfont. We have no products approved for commercial sale and have not generated any revenue to date, and we continue to incur significant research and development and other expenses related to our ongoing operations. Our ability to generate product revenue sufficient to achieve profitability, if ever, will depend on the successful development of tildacerfont and any future product candidates.</w:t>
      </w:r>
    </w:p>
    <w:p>
      <w:pPr>
        <w:spacing w:after="0" w:line="53" w:lineRule="exact"/>
        <w:rPr>
          <w:sz w:val="20"/>
          <w:szCs w:val="20"/>
          <w:color w:val="auto"/>
        </w:rPr>
      </w:pPr>
    </w:p>
    <w:p>
      <w:pPr>
        <w:ind w:right="60" w:firstLine="515"/>
        <w:spacing w:after="0" w:line="287" w:lineRule="auto"/>
        <w:rPr>
          <w:sz w:val="20"/>
          <w:szCs w:val="20"/>
          <w:color w:val="auto"/>
        </w:rPr>
      </w:pPr>
      <w:r>
        <w:rPr>
          <w:rFonts w:ascii="Arial" w:cs="Arial" w:eastAsia="Arial" w:hAnsi="Arial"/>
          <w:sz w:val="16"/>
          <w:szCs w:val="16"/>
          <w:color w:val="auto"/>
        </w:rPr>
        <w:t>We intend to build a highly specialized commercial organization to support the commercialization of tildacerfont, if approved, in the United States. Given a relatively small number of endocrinologists and specialists treat a large proportion of patients with classic CAH, we believe this market can be effectively addressed with a modest-sized targeted commercial sales force, alongside various high-touch patient initiatives. If tildacerfont is approved for additional indications, we plan to leverage our rare disorder commercial infrastructure and expertise to efficiently address those patient populations. We will seek strategic collaborations to benefit from the resources of biopharmaceutical companies specialized in either relevant disease areas or geographies in markets outside the United States. In January 2023, we and Kaken Pharmaceutical Co. Ltd. ("Kaken") entered into an exclusive licensing agreement for the development and commercialization of tildacerfont for the treatment of CAH in Japan (the "Kaken License Agreement"). Under the terms of the Kaken License Agreement, we received an upfront payment of $15.0 million from Kaken in April 2023 and will be eligible to receive additional payments upon the achievement of future development and commercial milestones, as well as tiered double-digit royalties on net sales in Japan. Kaken will be responsible for the clinical development and commercialization of tildacerfont in Japan, and we will retain all rights to tildacerfont in all other geographies. Kaken will also be responsible for securing and maintaining regulatory approvals necessary to market and sell tildacerfont in Japan.</w:t>
      </w:r>
    </w:p>
    <w:p>
      <w:pPr>
        <w:spacing w:after="0" w:line="64" w:lineRule="exact"/>
        <w:rPr>
          <w:sz w:val="20"/>
          <w:szCs w:val="20"/>
          <w:color w:val="auto"/>
        </w:rPr>
      </w:pPr>
    </w:p>
    <w:p>
      <w:pPr>
        <w:ind w:right="300" w:firstLine="515"/>
        <w:spacing w:after="0" w:line="257" w:lineRule="auto"/>
        <w:rPr>
          <w:sz w:val="20"/>
          <w:szCs w:val="20"/>
          <w:color w:val="auto"/>
        </w:rPr>
      </w:pPr>
      <w:r>
        <w:rPr>
          <w:rFonts w:ascii="Arial" w:cs="Arial" w:eastAsia="Arial" w:hAnsi="Arial"/>
          <w:sz w:val="18"/>
          <w:szCs w:val="18"/>
          <w:color w:val="auto"/>
        </w:rPr>
        <w:t>We rely, and expect to continue to rely, on third parties for the manufacture of tildacerfont for preclinical studies and clinical trials, as well as for commercial manufacture if tildacerfont obtains marketing approval. We also rely, and expect to continue to rely, on third parties to package, label, store, and distribute tildacerfont,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development of tildacerfont.</w:t>
      </w:r>
    </w:p>
    <w:p>
      <w:pPr>
        <w:spacing w:after="0" w:line="80" w:lineRule="exact"/>
        <w:rPr>
          <w:sz w:val="20"/>
          <w:szCs w:val="20"/>
          <w:color w:val="auto"/>
        </w:rPr>
      </w:pPr>
    </w:p>
    <w:p>
      <w:pPr>
        <w:ind w:right="140" w:firstLine="515"/>
        <w:spacing w:after="0" w:line="255" w:lineRule="auto"/>
        <w:rPr>
          <w:sz w:val="20"/>
          <w:szCs w:val="20"/>
          <w:color w:val="auto"/>
        </w:rPr>
      </w:pPr>
      <w:r>
        <w:rPr>
          <w:rFonts w:ascii="Arial" w:cs="Arial" w:eastAsia="Arial" w:hAnsi="Arial"/>
          <w:sz w:val="18"/>
          <w:szCs w:val="18"/>
          <w:color w:val="auto"/>
        </w:rPr>
        <w:t>Since inception, we have incurred significant losses and negative cash flows from operations. During the three months ended March 31, 2023 and 2022, we incurred net losses of $12.8 million and $11.8 million, respectively, and used $11.8 million and $11.8 million of cash in operations, respectively. As of March 31, 2023 and December 31, 2022, we had an accumulated deficit of $162.1 million and $149.3 million, respectively, and we do not expect positive cash flows from operations for the foreseeable future. We expect to continue to incur significant and increasing losses for the foreseeable future, and our net losses may fluctuate significantly from period to period, depending on the timing of expenditures on our planned research and development activities.</w:t>
      </w:r>
    </w:p>
    <w:p>
      <w:pPr>
        <w:spacing w:after="0" w:line="84" w:lineRule="exact"/>
        <w:rPr>
          <w:sz w:val="20"/>
          <w:szCs w:val="20"/>
          <w:color w:val="auto"/>
        </w:rPr>
      </w:pPr>
    </w:p>
    <w:p>
      <w:pPr>
        <w:ind w:right="20" w:firstLine="515"/>
        <w:spacing w:after="0" w:line="275" w:lineRule="auto"/>
        <w:rPr>
          <w:sz w:val="20"/>
          <w:szCs w:val="20"/>
          <w:color w:val="auto"/>
        </w:rPr>
      </w:pPr>
      <w:r>
        <w:rPr>
          <w:rFonts w:ascii="Arial" w:cs="Arial" w:eastAsia="Arial" w:hAnsi="Arial"/>
          <w:sz w:val="17"/>
          <w:szCs w:val="17"/>
          <w:color w:val="auto"/>
        </w:rPr>
        <w:t>In October 2020, we consummated our initial public offering ("IPO") and issued 6,900,000 shares of common stock for net proceeds of $93.4 million, after deducting underwriting discounts and commissions and offering expenses. Since inception through March 31, 2023, we have raised aggregate gross proceeds of $278.1 million, including $103.5 million from our IPO in October 2020, $116.0 million from the sale of our redeemable convertible preferred stock, $5.0 million from the issuance of debt, and $53.6 million from a private placement financing in February 2023. As of March 31, 2023 and December 31, 2022, we had cash, cash equivalents and investments of $118.6 million and $79.1 million, respectively.</w:t>
      </w:r>
    </w:p>
    <w:p>
      <w:pPr>
        <w:spacing w:after="0" w:line="68" w:lineRule="exact"/>
        <w:rPr>
          <w:sz w:val="20"/>
          <w:szCs w:val="20"/>
          <w:color w:val="auto"/>
        </w:rPr>
      </w:pPr>
    </w:p>
    <w:p>
      <w:pPr>
        <w:ind w:right="20" w:firstLine="515"/>
        <w:spacing w:after="0" w:line="257" w:lineRule="auto"/>
        <w:rPr>
          <w:sz w:val="20"/>
          <w:szCs w:val="20"/>
          <w:color w:val="auto"/>
        </w:rPr>
      </w:pPr>
      <w:r>
        <w:rPr>
          <w:rFonts w:ascii="Arial" w:cs="Arial" w:eastAsia="Arial" w:hAnsi="Arial"/>
          <w:sz w:val="18"/>
          <w:szCs w:val="18"/>
          <w:color w:val="auto"/>
        </w:rPr>
        <w:t>We believe, based on our current operating plan, that our cash, cash equivalents and investments as of March 31, 2023, along with the $15.0 million upfront payment received by us in April 2023 under the Kaken License Agreement, will be sufficient to fund our operations and debt obligations for at least 12 months following the issuance date of our financial statements included elsewhere in this Quarterly Report. We have based this projection on assumptions that may be inaccurate and as a result, we may utilize our capital resources sooner than we expect. We expect our expenses will increase significantly in connection with our ongoing activities, as we:</w:t>
      </w:r>
    </w:p>
    <w:p>
      <w:pPr>
        <w:spacing w:after="0" w:line="80" w:lineRule="exact"/>
        <w:rPr>
          <w:sz w:val="20"/>
          <w:szCs w:val="20"/>
          <w:color w:val="auto"/>
        </w:rPr>
      </w:pPr>
    </w:p>
    <w:p>
      <w:pPr>
        <w:ind w:left="5540" w:right="3000" w:hanging="5023"/>
        <w:spacing w:after="0" w:line="527" w:lineRule="auto"/>
        <w:tabs>
          <w:tab w:leader="none" w:pos="1033"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advance tildacerfont through our ongoing Phase 2b clinical trials in adult patients with classic CAH;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left="1020" w:right="160" w:hanging="503"/>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advance clinical development of tildacerfont in additional indications, including pediatric classic CAH and a subpopulation of females with PCOS;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pursue regulatory approvals of tildacerfont in patients with classic CAH and a subpopulation of females with PCOS;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build a highly specialized commercial organization to support the commercialization of tildacerfont, if approved, in the United States;</w:t>
      </w:r>
    </w:p>
    <w:p>
      <w:pPr>
        <w:spacing w:after="0" w:line="128" w:lineRule="exact"/>
        <w:rPr>
          <w:rFonts w:ascii="Arial" w:cs="Arial" w:eastAsia="Arial" w:hAnsi="Arial"/>
          <w:sz w:val="17"/>
          <w:szCs w:val="17"/>
          <w:color w:val="auto"/>
        </w:rPr>
      </w:pPr>
    </w:p>
    <w:p>
      <w:pPr>
        <w:ind w:left="1020" w:right="400" w:hanging="503"/>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strategic collaborations to benefit from the resources of biopharmaceutical companies specialized in either relevant disease areas or geographies in markets outside the United States;</w:t>
      </w:r>
    </w:p>
    <w:p>
      <w:pPr>
        <w:spacing w:after="0" w:line="62" w:lineRule="exact"/>
        <w:rPr>
          <w:rFonts w:ascii="Arial" w:cs="Arial" w:eastAsia="Arial" w:hAnsi="Arial"/>
          <w:sz w:val="18"/>
          <w:szCs w:val="18"/>
          <w:color w:val="auto"/>
        </w:rPr>
      </w:pPr>
    </w:p>
    <w:p>
      <w:pPr>
        <w:ind w:left="1020" w:right="660" w:hanging="503"/>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identify additional indications and formulations for which to investigate tildacerfont in the future and expand our pipeline of product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hire additional personnel;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 maintain, expand, and protect our intellectual property portfolio.</w:t>
      </w:r>
    </w:p>
    <w:p>
      <w:pPr>
        <w:spacing w:after="0" w:line="117"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In February 2022, the U.S. Securities and Exchange Commission ("SEC") declared effective a registration statement on Form S-3 (the "Shelf</w:t>
      </w:r>
    </w:p>
    <w:p>
      <w:pPr>
        <w:spacing w:after="0" w:line="35"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Registration"), covering the sale of up to $200.0 million of our securities. Also, in February 2022, we entered into an Open Market Sales Agreement</w:t>
      </w:r>
      <w:r>
        <w:rPr>
          <w:rFonts w:ascii="Arial" w:cs="Arial" w:eastAsia="Arial" w:hAnsi="Arial"/>
          <w:sz w:val="24"/>
          <w:szCs w:val="24"/>
          <w:color w:val="auto"/>
          <w:vertAlign w:val="superscript"/>
        </w:rPr>
        <w:t>SM</w:t>
      </w:r>
      <w:r>
        <w:rPr>
          <w:rFonts w:ascii="Arial" w:cs="Arial" w:eastAsia="Arial" w:hAnsi="Arial"/>
          <w:sz w:val="18"/>
          <w:szCs w:val="18"/>
          <w:color w:val="auto"/>
        </w:rPr>
        <w:t xml:space="preserve"> (the "Sales Agreement") with Jefferies LLC ("Jefferies") pursuant to which we may elect to issue and sell, from time to time, shares of common stock having an aggregate offering price of up to $21.0 million under the Shelf Registration through Jefferies acting as the sales agent and/or principal. As of March 31, 2023, we have not issued any shares of common stock under the Sales Agreement.</w:t>
      </w:r>
    </w:p>
    <w:p>
      <w:pPr>
        <w:spacing w:after="0" w:line="9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In February 2023, we entered into a securities purchase agreement with several institutional and accredited investors, including holders of more than 5% of our total common stock outstanding on the date of the securities purchase agreement, pursuant to which we sold 16,116,000 shares of common stock, pre-funded warrants to purchase 800,000 shares of common stock, and warrants to purchase 12,687,000 shares of common stock for gross proceeds of $53.6 million, before deducting offering expenses payable by us.</w:t>
      </w:r>
    </w:p>
    <w:p>
      <w:pPr>
        <w:spacing w:after="0" w:line="79" w:lineRule="exact"/>
        <w:rPr>
          <w:sz w:val="20"/>
          <w:szCs w:val="20"/>
          <w:color w:val="auto"/>
        </w:rPr>
      </w:pPr>
    </w:p>
    <w:p>
      <w:pPr>
        <w:ind w:right="60" w:firstLine="509"/>
        <w:spacing w:after="0" w:line="293" w:lineRule="auto"/>
        <w:rPr>
          <w:sz w:val="20"/>
          <w:szCs w:val="20"/>
          <w:color w:val="auto"/>
        </w:rPr>
      </w:pPr>
      <w:r>
        <w:rPr>
          <w:rFonts w:ascii="Arial" w:cs="Arial" w:eastAsia="Arial" w:hAnsi="Arial"/>
          <w:sz w:val="16"/>
          <w:szCs w:val="16"/>
          <w:color w:val="auto"/>
        </w:rPr>
        <w:t>Global economic and business activities continue to face widespread macroeconomic uncertainties, including recent and potential future disruptions in access to bank deposits or lending commitments due to bank failures, labor shortages, inflation and monetary supply shifts, recession risks and potential disruptions from the ongoing Russia-Ukraine conflict and related sanctions. For example, on March 10, 2023, the Federal Deposit Insurance Corporation ("FDIC") took control and was appointed receiver of Silicon Valley Bank ("SVB"). If other banks and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w:t>
      </w:r>
    </w:p>
    <w:p>
      <w:pPr>
        <w:spacing w:after="0" w:line="56" w:lineRule="exact"/>
        <w:rPr>
          <w:sz w:val="20"/>
          <w:szCs w:val="20"/>
          <w:color w:val="auto"/>
        </w:rPr>
      </w:pPr>
    </w:p>
    <w:p>
      <w:pPr>
        <w:ind w:right="220" w:firstLine="509"/>
        <w:spacing w:after="0" w:line="263" w:lineRule="auto"/>
        <w:rPr>
          <w:sz w:val="20"/>
          <w:szCs w:val="20"/>
          <w:color w:val="auto"/>
        </w:rPr>
      </w:pPr>
      <w:r>
        <w:rPr>
          <w:rFonts w:ascii="Arial" w:cs="Arial" w:eastAsia="Arial" w:hAnsi="Arial"/>
          <w:sz w:val="18"/>
          <w:szCs w:val="18"/>
          <w:color w:val="auto"/>
        </w:rPr>
        <w:t>The extent of the impact of these factors on our operational and financial performance, including our ability to execute our business strategies and initiatives in the expected time frame, will depend on future developments, which are uncertain and cannot be predicted; however, any continued or renewed disruption resulting from these factors could negatively impact our business.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Eli Lilly and Company</w:t>
      </w:r>
    </w:p>
    <w:p>
      <w:pPr>
        <w:spacing w:after="0" w:line="117"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In May 2016, we entered into a license agreement (the "Lilly License Agreement") with Eli Lilly and Company ("Lilly"). Pursuant to the terms of the Lilly License Agreement, Lilly granted us an exclusive, worldwide, royalty bearing, sublicensable license under certain technology, patent rights, know-how, and proprietary materials, which we refer to collectively as the "Lilly IP", and such patents (the "Lilly Licensed Patents"), relating to the CRF1 receptor antagonist compounds either listed in the Lilly License Agreement or covered by patent rights controlled by Lilly, which we refer to collectively as the "Lilly Compounds", to research, develop, commercialize, make, have made, use, sell, offer to sell, and import the Lilly Compounds and any products containing a Lilly Compound, including any products containing a Lilly Compound and one or more additional active pharmaceutical ingredients ("APIs") other than a Lilly Compound, which we refer to collectively as the "Lilly Licensed Products", for all pharmaceutical uses, including all diagnostic, therapeutic, and prophylactic uses, for human or animal administration. Lilly retained rights under the Lilly IP and the Lilly Licensed Patents for internal research purposes.</w:t>
      </w:r>
    </w:p>
    <w:p>
      <w:pPr>
        <w:spacing w:after="0" w:line="88"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As partial consideration for the rights granted to us under the Lilly License Agreement, we made a one-time upfront payment to Lilly of $0.8 million. We are also required to pay Lilly up to an aggregate of $23.0 million upon the achievement, during the time the Lilly License Agreement remains in effect, of certain milestones relating to the clinical development and commercial sales of the Lilly Licensed Products. Such payments are for predetermined fixed amounts, are paid only upon the first occurrence of each such event and are due shortly after achieving the applicable milestone. In addition, we are required to pay Lilly tiered royalties on annual worldwide net sales of Lilly Licensed Products, with rates ranging from mid-single-digits to sub-teens (the "Lilly Royalties"). The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Lilly Royalties shall commence on a country-by-country basis on the date of the first commercial sale of Lilly Licensed Product in such country, and shall expire on a country-by-country basis on the latest of the following dates: (i) the tenth anniversary of the date of first commercial sale in such country, (ii) the expiration in such country of the last-to-expire Lilly Licensed Patent having a valid claim covering the manufacture, use, or sale of the Lilly Licensed Product as commercialized in such country, and (iii) the expiration of any data or regulatory exclusivity period for the Lilly Licensed Product in such country. Upon such expiration, the license granted to us with respect to such country shall become fully paid-up, royalty-free, perpetual and irrevocable. In addition, the Lilly Royalties may be reduced upon the occurrence of certain events.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Kaken</w:t>
      </w:r>
    </w:p>
    <w:p>
      <w:pPr>
        <w:spacing w:after="0" w:line="117"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On January 5, 2023, we entered into the Kaken License Agreement with Kaken. Under the terms of the Kaken License Agreement, we granted to Kaken the exclusive right to develop, manufacture and commercialize our product candidate, tildacerfont, for the treatment of CAH in Japan. Pursuant to the Kaken License Agreement, Kaken will be responsible for securing and maintaining regulatory approvals necessary to commercialize tildacerfont in Japan. We will retain all rights to tildacerfont in all other geographies.</w:t>
      </w:r>
    </w:p>
    <w:p>
      <w:pPr>
        <w:spacing w:after="0" w:line="79"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We have also granted to Kaken a right of first negotiation with respect to the development, manufacturing and commercialization of tildacerfont for CAH in China (including Hong Kong, Taiwan, and Macau), South Korea and other specified southeastern Asian countries, and for indications other than CAH.</w:t>
      </w:r>
    </w:p>
    <w:p>
      <w:pPr>
        <w:spacing w:after="0" w:line="76"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Pursuant to the Kaken License Agreement, Kaken made an upfront payment to us of $15.0 million in April 2023. In addition to the upfront payment, we are entitled to receive up to an aggregate of approximately $65.0 million (at exchange rates in effect on the date of the Kaken License Agreement) upon the achievement of specified milestones related to the development, regulatory approval and commercialization of tildacerfont in Japan, including the achievement of specified net sales thresholds, if approved. Kaken has agreed to pay us a non-creditable, non-refundable specified purchase price for each unit of Company-manufactured product supplied to Kaken for commercial sale. In addition, we will also be entitled to receive a royalty for each unit of non-Company manufactured product sold equal to a range of double-digit percentages up to the mid-twenties based on annual net sales of tildacerfont in Japan. Both the purchase price for each unit and the royalty rate are subject to reduction in certain circumstances as specified in the Kaken License Agreement. Kaken’s obligation to pay royalties will continue for ten years after the first commercial sale in Japan or, if later, until the expiration of regulatory exclusivity of tildacerfont or the expiration of the last valid claim of a Company-licensed patent covering tildacerfont in Japan (the "Royalty Term").</w:t>
      </w:r>
    </w:p>
    <w:p>
      <w:pPr>
        <w:spacing w:after="0" w:line="86" w:lineRule="exact"/>
        <w:rPr>
          <w:sz w:val="20"/>
          <w:szCs w:val="20"/>
          <w:color w:val="auto"/>
        </w:rPr>
      </w:pPr>
    </w:p>
    <w:p>
      <w:pPr>
        <w:ind w:right="240" w:firstLine="509"/>
        <w:spacing w:after="0" w:line="257" w:lineRule="auto"/>
        <w:rPr>
          <w:sz w:val="20"/>
          <w:szCs w:val="20"/>
          <w:color w:val="auto"/>
        </w:rPr>
      </w:pPr>
      <w:r>
        <w:rPr>
          <w:rFonts w:ascii="Arial" w:cs="Arial" w:eastAsia="Arial" w:hAnsi="Arial"/>
          <w:sz w:val="18"/>
          <w:szCs w:val="18"/>
          <w:color w:val="auto"/>
        </w:rPr>
        <w:t>We have agreed to supply Kaken’s clinical drug supply requirements of tildacerfont pursuant to a clinical supply agreement that the parties will consummate. During the Royalty Term, we have agreed to supply Kaken’s requirements of tildacerfont pursuant to the Kaken License Agreement and a commercial supply agreement to be entered into by the parties, though Kaken may procure alternate suppliers. Following the Royalty Term, Kaken at its option may continue to purchase Company-manufactured tildacerfont at a purchase price equal to our manufacturing cost plus a low double-digit administrative fee.</w:t>
      </w:r>
    </w:p>
    <w:p>
      <w:pPr>
        <w:spacing w:after="0" w:line="80" w:lineRule="exact"/>
        <w:rPr>
          <w:sz w:val="20"/>
          <w:szCs w:val="20"/>
          <w:color w:val="auto"/>
        </w:rPr>
      </w:pPr>
    </w:p>
    <w:p>
      <w:pPr>
        <w:ind w:right="160" w:firstLine="509"/>
        <w:spacing w:after="0" w:line="273" w:lineRule="auto"/>
        <w:rPr>
          <w:sz w:val="20"/>
          <w:szCs w:val="20"/>
          <w:color w:val="auto"/>
        </w:rPr>
      </w:pPr>
      <w:r>
        <w:rPr>
          <w:rFonts w:ascii="Arial" w:cs="Arial" w:eastAsia="Arial" w:hAnsi="Arial"/>
          <w:sz w:val="17"/>
          <w:szCs w:val="17"/>
          <w:color w:val="auto"/>
        </w:rPr>
        <w:t>Either party may terminate the Kaken License Agreement (i) in the event the other party shall have materially breached its obligations thereunder and such default shall have continued for a specified period after written notice thereof or (ii) upon the bankruptcy or insolvency of the other party. In addition, we may terminate the Kaken License Agreement upon prior written notice if Kaken ceases all development or commercialization activities for a specified period of time, subject to certain exceptions, or (ii) challenges the validity, enforceability or scope of any of the patents licensed by us to Kaken under the Kaken License Agreement, subject to certain conditions. Kaken may terminate the Kaken License Agreement at any time for convenience upon prior written notice provided within a specified period of time to us.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Agreement with Silicon Valley Bank</w:t>
      </w:r>
    </w:p>
    <w:p>
      <w:pPr>
        <w:spacing w:after="0" w:line="117"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In September 2019, we entered into a Loan and Security Agreement, as subsequently amended (the "Loan Agreement"), with SVB providing for a term loan (the "Term Loan") for an aggregate principal amount of $4.5 million.</w:t>
      </w:r>
    </w:p>
    <w:p>
      <w:pPr>
        <w:spacing w:after="0" w:line="62" w:lineRule="exact"/>
        <w:rPr>
          <w:sz w:val="20"/>
          <w:szCs w:val="20"/>
          <w:color w:val="auto"/>
        </w:rPr>
      </w:pPr>
    </w:p>
    <w:p>
      <w:pPr>
        <w:ind w:right="240" w:firstLine="509"/>
        <w:spacing w:after="0" w:line="301" w:lineRule="auto"/>
        <w:rPr>
          <w:sz w:val="20"/>
          <w:szCs w:val="20"/>
          <w:color w:val="auto"/>
        </w:rPr>
      </w:pPr>
      <w:r>
        <w:rPr>
          <w:rFonts w:ascii="Arial" w:cs="Arial" w:eastAsia="Arial" w:hAnsi="Arial"/>
          <w:sz w:val="16"/>
          <w:szCs w:val="16"/>
          <w:color w:val="auto"/>
        </w:rPr>
        <w:t>In March 2021, we entered into a First Amendment to Loan and Security Agreement (the "First Amendment") which increased the aggregate principal amount of the Term Loan to $30.0 million, of which $20.0 million was immediately available under the first tranche (the "First Tranche") and $10.0 million was available under the second tranche through December 31, 2022 (the "Second Tranche") subject to the completion of certain clinical or financial milestones. Pursuant to the First Amendment, the Term Loan will mature on January 1, 2026 (the "Maturity Date").</w:t>
      </w:r>
    </w:p>
    <w:p>
      <w:pPr>
        <w:spacing w:after="0" w:line="49"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In May 2022, we entered into a Second Amendment to Loan and Security Agreement (the "Second Amendment") which amended the milestones for the Second Tranche, added a liquidity covenant for the Second Tranche and amended the interest and prepayment terms.</w:t>
      </w:r>
    </w:p>
    <w:p>
      <w:pPr>
        <w:spacing w:after="0" w:line="62" w:lineRule="exact"/>
        <w:rPr>
          <w:sz w:val="20"/>
          <w:szCs w:val="20"/>
          <w:color w:val="auto"/>
        </w:rPr>
      </w:pPr>
    </w:p>
    <w:p>
      <w:pPr>
        <w:jc w:val="both"/>
        <w:ind w:right="280" w:firstLine="509"/>
        <w:spacing w:after="0" w:line="263" w:lineRule="auto"/>
        <w:rPr>
          <w:sz w:val="20"/>
          <w:szCs w:val="20"/>
          <w:color w:val="auto"/>
        </w:rPr>
      </w:pPr>
      <w:r>
        <w:rPr>
          <w:rFonts w:ascii="Arial" w:cs="Arial" w:eastAsia="Arial" w:hAnsi="Arial"/>
          <w:sz w:val="18"/>
          <w:szCs w:val="18"/>
          <w:color w:val="auto"/>
        </w:rPr>
        <w:t>As of March 31, 2023 and December 31, 2022, the outstanding principal was comprised of $4.6 million and $5.0 million, respectively, under the First Tranche. Repayment of principal under the First Tranche commenced in January 2023. Commitments available under the Second Tranche of $10.0 million expired on December 31, 2022.</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320" w:firstLine="509"/>
        <w:spacing w:after="0" w:line="255" w:lineRule="auto"/>
        <w:rPr>
          <w:sz w:val="20"/>
          <w:szCs w:val="20"/>
          <w:color w:val="auto"/>
        </w:rPr>
      </w:pPr>
      <w:r>
        <w:rPr>
          <w:rFonts w:ascii="Arial" w:cs="Arial" w:eastAsia="Arial" w:hAnsi="Arial"/>
          <w:sz w:val="18"/>
          <w:szCs w:val="18"/>
          <w:color w:val="auto"/>
        </w:rPr>
        <w:t>The Loan Agreement provides for monthly cash interest-only payments following the funding date of each respective tranche and continuing thereafter through December 31, 2022. The Term Loan is subject to a floating per annum interest rate equal to the greater of (a) 0.50% above the Prime Rate (as defined in the Loan Agreement) or (b) 3.75%. Following the interest-only period, the outstanding Term Loan balance will be payable in (i) 37 consecutive monthly payments after the end of the interest-only period and continuing on the same day of each month thereafter, in amounts that would fully amortize such Term Loan balance, as of the first business day of the first month following the amended interest-only period, over the repayment period, plus (ii) monthly payments of accrued but unpaid interest.</w:t>
      </w:r>
    </w:p>
    <w:p>
      <w:pPr>
        <w:spacing w:after="0" w:line="84"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The final payment is due on the Maturity Date and includes all outstanding principal plus accrued unpaid interest and an end of term payment totaling $0.3 million, which is 6.0% of the original funded principal amount of the First Tranche (the "Supplemental Final Payment"). We may prepay amounts outstanding under the Term Loan at any time provided certain notification conditions are met, in which case, all outstanding principal plus accrued and unpaid interest, the Supplemental Final Payment, a prepayment fee of 1% or 2% of the principal amount of the First Tranche, and any bank expenses become due and payable.</w:t>
      </w:r>
    </w:p>
    <w:p>
      <w:pPr>
        <w:spacing w:after="0" w:line="80"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We are subject to customary affirmative and restrictive covenants under the Loan Agreement. Our obligations under the Loan Agreement are secured by a first priority security interest in substantially all of our current and future assets, other than intellectual property. We also agreed not to encumber our intellectual property assets, except as permitted by the Loan Agreement.</w:t>
      </w:r>
    </w:p>
    <w:p>
      <w:pPr>
        <w:spacing w:after="0" w:line="76" w:lineRule="exact"/>
        <w:rPr>
          <w:sz w:val="20"/>
          <w:szCs w:val="20"/>
          <w:color w:val="auto"/>
        </w:rPr>
      </w:pPr>
    </w:p>
    <w:p>
      <w:pPr>
        <w:ind w:right="340" w:firstLine="509"/>
        <w:spacing w:after="0" w:line="272" w:lineRule="auto"/>
        <w:rPr>
          <w:sz w:val="20"/>
          <w:szCs w:val="20"/>
          <w:color w:val="auto"/>
        </w:rPr>
      </w:pPr>
      <w:r>
        <w:rPr>
          <w:rFonts w:ascii="Arial" w:cs="Arial" w:eastAsia="Arial" w:hAnsi="Arial"/>
          <w:sz w:val="17"/>
          <w:szCs w:val="17"/>
          <w:color w:val="auto"/>
        </w:rPr>
        <w:t>The Loan Agreement also contains customary indemnification obligations and customary events of default, including, among other things, our failure to fulfill certain obligations under the Loan Agreement and the occurrence of a material adverse change in our business, operations, or condition (financial or otherwise), a material impairment of the prospect of repayment of any portion of the loan, or a material impairment in the perfection or priority of lender’s lien in the collateral or in the value of such collateral. In the event of default by us under the Loan Agreement, the lender would be entitled to exercise their remedies thereunder, including the right to accelerate the debt, upon which we may be required to repay all amounts then outstanding under the Loan Agreement. As of March 31, 2023, management believes that we are in compliance with all covenants under the Loan Agreement and there has been no material adverse change.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560" w:firstLine="509"/>
        <w:spacing w:after="0" w:line="277" w:lineRule="auto"/>
        <w:rPr>
          <w:sz w:val="20"/>
          <w:szCs w:val="20"/>
          <w:color w:val="auto"/>
        </w:rPr>
      </w:pPr>
      <w:r>
        <w:rPr>
          <w:rFonts w:ascii="Arial" w:cs="Arial" w:eastAsia="Arial" w:hAnsi="Arial"/>
          <w:sz w:val="18"/>
          <w:szCs w:val="18"/>
          <w:color w:val="auto"/>
        </w:rPr>
        <w:t>To date, our revenue has been derived from the Kaken License Agreement, under which we granted Kaken the exclusive right to develop and commercialize tildacerfont for CAH in Japan.</w:t>
      </w:r>
    </w:p>
    <w:p>
      <w:pPr>
        <w:spacing w:after="0" w:line="62" w:lineRule="exact"/>
        <w:rPr>
          <w:sz w:val="20"/>
          <w:szCs w:val="20"/>
          <w:color w:val="auto"/>
        </w:rPr>
      </w:pPr>
    </w:p>
    <w:p>
      <w:pPr>
        <w:ind w:right="120" w:firstLine="509"/>
        <w:spacing w:after="0" w:line="286" w:lineRule="auto"/>
        <w:rPr>
          <w:sz w:val="20"/>
          <w:szCs w:val="20"/>
          <w:color w:val="auto"/>
        </w:rPr>
      </w:pPr>
      <w:r>
        <w:rPr>
          <w:rFonts w:ascii="Arial" w:cs="Arial" w:eastAsia="Arial" w:hAnsi="Arial"/>
          <w:sz w:val="17"/>
          <w:szCs w:val="17"/>
          <w:color w:val="auto"/>
        </w:rPr>
        <w:t>We will recognize royalty and milestone revenues under the Kaken License Agreement if and when appropriate under the relevant accounting rules (see Note 7 to our condensed financial statements). We have not generated any revenues from the commercial sale of approved products and we do not expect to generate revenues from the commercial sale of our product candidates for at least the foreseeable future, if ever.</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classify operating expenses into two main categories: (i) research and development expenses and (ii) general and administrative expenses.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920" w:firstLine="509"/>
        <w:spacing w:after="0" w:line="277" w:lineRule="auto"/>
        <w:rPr>
          <w:sz w:val="20"/>
          <w:szCs w:val="20"/>
          <w:color w:val="auto"/>
        </w:rPr>
      </w:pPr>
      <w:r>
        <w:rPr>
          <w:rFonts w:ascii="Arial" w:cs="Arial" w:eastAsia="Arial" w:hAnsi="Arial"/>
          <w:sz w:val="18"/>
          <w:szCs w:val="18"/>
          <w:color w:val="auto"/>
        </w:rPr>
        <w:t>Our research and development expenses consist of external and internal expenses incurred in connection with our research activities and development programs.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expenses include:</w:t>
      </w:r>
    </w:p>
    <w:p>
      <w:pPr>
        <w:spacing w:after="0" w:line="117" w:lineRule="exact"/>
        <w:rPr>
          <w:sz w:val="20"/>
          <w:szCs w:val="20"/>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external expenses, consisting of:</w:t>
      </w:r>
    </w:p>
    <w:p>
      <w:pPr>
        <w:spacing w:after="0" w:line="117" w:lineRule="exact"/>
        <w:rPr>
          <w:sz w:val="20"/>
          <w:szCs w:val="20"/>
          <w:color w:val="auto"/>
        </w:rPr>
      </w:pPr>
    </w:p>
    <w:p>
      <w:pPr>
        <w:ind w:left="1440" w:right="20" w:hanging="384"/>
        <w:spacing w:after="0" w:line="277" w:lineRule="auto"/>
        <w:tabs>
          <w:tab w:leader="none" w:pos="14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clinical development—expenses associated with clinical research organizations ("CROs") engaged to manage and conduct clinical trials and other outside services;</w:t>
      </w:r>
    </w:p>
    <w:p>
      <w:pPr>
        <w:spacing w:after="0" w:line="62" w:lineRule="exact"/>
        <w:rPr>
          <w:rFonts w:ascii="Arial" w:cs="Arial" w:eastAsia="Arial" w:hAnsi="Arial"/>
          <w:sz w:val="18"/>
          <w:szCs w:val="18"/>
          <w:color w:val="auto"/>
        </w:rPr>
      </w:pPr>
    </w:p>
    <w:p>
      <w:pPr>
        <w:ind w:left="1440" w:hanging="384"/>
        <w:spacing w:after="0"/>
        <w:tabs>
          <w:tab w:leader="none" w:pos="14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preclinical studies—expenses associated with preclinical studies and clinical pharmacology;</w:t>
      </w:r>
    </w:p>
    <w:p>
      <w:pPr>
        <w:spacing w:after="0" w:line="117" w:lineRule="exact"/>
        <w:rPr>
          <w:rFonts w:ascii="Arial" w:cs="Arial" w:eastAsia="Arial" w:hAnsi="Arial"/>
          <w:sz w:val="18"/>
          <w:szCs w:val="18"/>
          <w:color w:val="auto"/>
        </w:rPr>
      </w:pPr>
    </w:p>
    <w:p>
      <w:pPr>
        <w:ind w:left="1440" w:right="240" w:hanging="384"/>
        <w:spacing w:after="0" w:line="277" w:lineRule="auto"/>
        <w:tabs>
          <w:tab w:leader="none" w:pos="14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manufacturing—expenses associated with contract manufacturing; labeling, packaging, and distribution of clinical trial supplies, and other outside services;</w:t>
      </w:r>
    </w:p>
    <w:p>
      <w:pPr>
        <w:spacing w:after="0" w:line="62" w:lineRule="exact"/>
        <w:rPr>
          <w:rFonts w:ascii="Arial" w:cs="Arial" w:eastAsia="Arial" w:hAnsi="Arial"/>
          <w:sz w:val="18"/>
          <w:szCs w:val="18"/>
          <w:color w:val="auto"/>
        </w:rPr>
      </w:pPr>
    </w:p>
    <w:p>
      <w:pPr>
        <w:ind w:left="1440" w:hanging="384"/>
        <w:spacing w:after="0"/>
        <w:tabs>
          <w:tab w:leader="none" w:pos="14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other research and development—expenses associated with business operations, quality and regulatory compliance; and</w:t>
      </w:r>
    </w:p>
    <w:p>
      <w:pPr>
        <w:spacing w:after="0" w:line="117" w:lineRule="exact"/>
        <w:rPr>
          <w:rFonts w:ascii="Arial" w:cs="Arial" w:eastAsia="Arial" w:hAnsi="Arial"/>
          <w:sz w:val="18"/>
          <w:szCs w:val="18"/>
          <w:color w:val="auto"/>
        </w:rPr>
      </w:pPr>
    </w:p>
    <w:p>
      <w:pPr>
        <w:ind w:left="1020" w:right="4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internal expenses, consisting of personnel, including expenses for salaries, bonuses, benefits, stock-based compensation, as well as allocation of certain expenses.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300" w:firstLine="509"/>
        <w:spacing w:after="0" w:line="263" w:lineRule="auto"/>
        <w:rPr>
          <w:sz w:val="20"/>
          <w:szCs w:val="20"/>
          <w:color w:val="auto"/>
        </w:rPr>
      </w:pPr>
      <w:r>
        <w:rPr>
          <w:rFonts w:ascii="Arial" w:cs="Arial" w:eastAsia="Arial" w:hAnsi="Arial"/>
          <w:sz w:val="18"/>
          <w:szCs w:val="18"/>
          <w:color w:val="auto"/>
        </w:rPr>
        <w:t>To date, these expenses have been incurred to advance tildacerfont. These expenses will primarily consist of expenses for the conduct of clinical trials as well as manufacturing costs for clinical drug supply. We expect that significant additional spending will be required to progress tildacerfont through clinical development and regulatory approval.</w:t>
      </w:r>
    </w:p>
    <w:p>
      <w:pPr>
        <w:spacing w:after="0" w:line="76"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Research and development expenses are recognized as they are incurred, including licenses of intellectual property that have no alternative future use at the time of the acquisition. If deposits are required by external vendors, a portion of the deposit is included as a prepaid expense until the activity has been performed or when the goods have been received to amortize the deposit to expense in the statements of operations and comprehensive loss.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20" w:firstLine="509"/>
        <w:spacing w:after="0" w:line="279" w:lineRule="auto"/>
        <w:rPr>
          <w:sz w:val="20"/>
          <w:szCs w:val="20"/>
          <w:color w:val="auto"/>
        </w:rPr>
      </w:pPr>
      <w:r>
        <w:rPr>
          <w:rFonts w:ascii="Arial" w:cs="Arial" w:eastAsia="Arial" w:hAnsi="Arial"/>
          <w:sz w:val="17"/>
          <w:szCs w:val="17"/>
          <w:color w:val="auto"/>
        </w:rPr>
        <w:t>General and administrative expenses consist primarily of personnel-related costs, including salaries, bonuses, benefits, and stock-based compensation expense, for executive, finance, and other administrative functions. General and administrative expenses also include legal fees, professional fees, insurance costs, facility costs not otherwise included in research and development expenses, and public company expenses such as costs associated with compliance with the rules and regulations of the SEC, and those of the Nasdaq Stock Market, Inc. ("Nasdaq") listing rules.</w:t>
      </w:r>
    </w:p>
    <w:p>
      <w:pPr>
        <w:spacing w:after="0" w:line="63" w:lineRule="exact"/>
        <w:rPr>
          <w:sz w:val="20"/>
          <w:szCs w:val="20"/>
          <w:color w:val="auto"/>
        </w:rPr>
      </w:pPr>
    </w:p>
    <w:p>
      <w:pPr>
        <w:jc w:val="both"/>
        <w:ind w:firstLine="509"/>
        <w:spacing w:after="0" w:line="342" w:lineRule="auto"/>
        <w:rPr>
          <w:sz w:val="20"/>
          <w:szCs w:val="20"/>
          <w:color w:val="auto"/>
        </w:rPr>
      </w:pPr>
      <w:r>
        <w:rPr>
          <w:rFonts w:ascii="Arial" w:cs="Arial" w:eastAsia="Arial" w:hAnsi="Arial"/>
          <w:sz w:val="16"/>
          <w:szCs w:val="16"/>
          <w:color w:val="auto"/>
        </w:rPr>
        <w:t>We expect that our general and administrative expenses will continue to increase in the foreseeable future as additional administrative personnel and services are required to manage these functions of a public company, and as we advance tildacerfont through clinical development and regulatory approval.</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Interest expense consists of interest incurred and non-cash amortization of debt discount and issuance costs in connection with the Term Loan.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and other income, net primarily consists of interest income earned on our cash, cash equivalents and investments.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Comparisons of the Three Months Ended March 31, 2023 and 2022</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periods presented (in thousands):</w:t>
      </w:r>
    </w:p>
    <w:p>
      <w:pPr>
        <w:spacing w:after="0" w:line="149" w:lineRule="exact"/>
        <w:rPr>
          <w:sz w:val="20"/>
          <w:szCs w:val="20"/>
          <w:color w:val="auto"/>
        </w:rPr>
      </w:pPr>
    </w:p>
    <w:tbl>
      <w:tblPr>
        <w:tblLayout w:type="fixed"/>
        <w:tblInd w:w="1120" w:type="dxa"/>
        <w:tblCellMar>
          <w:top w:w="0" w:type="dxa"/>
          <w:left w:w="0" w:type="dxa"/>
          <w:bottom w:w="0" w:type="dxa"/>
          <w:right w:w="0" w:type="dxa"/>
        </w:tblCellMar>
      </w:tblPr>
      <w:tr>
        <w:trPr>
          <w:trHeight w:val="185"/>
        </w:trPr>
        <w:tc>
          <w:tcPr>
            <w:tcW w:w="4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jc w:val="right"/>
              <w:ind w:right="641"/>
              <w:spacing w:after="0"/>
              <w:rPr>
                <w:sz w:val="20"/>
                <w:szCs w:val="20"/>
                <w:color w:val="auto"/>
              </w:rPr>
            </w:pPr>
            <w:r>
              <w:rPr>
                <w:rFonts w:ascii="Arial" w:cs="Arial" w:eastAsia="Arial" w:hAnsi="Arial"/>
                <w:sz w:val="14"/>
                <w:szCs w:val="14"/>
                <w:b w:val="1"/>
                <w:bCs w:val="1"/>
                <w:color w:val="auto"/>
              </w:rPr>
              <w:t>Three Months Ended March 31,</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44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Change</w:t>
            </w:r>
          </w:p>
        </w:tc>
      </w:tr>
      <w:tr>
        <w:trPr>
          <w:trHeight w:val="236"/>
        </w:trPr>
        <w:tc>
          <w:tcPr>
            <w:tcW w:w="4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Collaboration revenue</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1,964</w:t>
            </w:r>
          </w:p>
        </w:tc>
        <w:tc>
          <w:tcPr>
            <w:tcW w:w="28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1,964</w:t>
            </w:r>
          </w:p>
        </w:tc>
        <w:tc>
          <w:tcPr>
            <w:tcW w:w="120" w:type="dxa"/>
            <w:vAlign w:val="bottom"/>
            <w:shd w:val="clear" w:color="auto" w:fill="CFF0FC"/>
          </w:tcPr>
          <w:p>
            <w:pPr>
              <w:spacing w:after="0"/>
              <w:rPr>
                <w:sz w:val="20"/>
                <w:szCs w:val="20"/>
                <w:color w:val="auto"/>
              </w:rPr>
            </w:pPr>
          </w:p>
        </w:tc>
      </w:tr>
      <w:tr>
        <w:trPr>
          <w:trHeight w:val="237"/>
        </w:trPr>
        <w:tc>
          <w:tcPr>
            <w:tcW w:w="44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9"/>
        </w:trPr>
        <w:tc>
          <w:tcPr>
            <w:tcW w:w="4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11,712</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8,508</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3,204</w:t>
            </w:r>
          </w:p>
        </w:tc>
        <w:tc>
          <w:tcPr>
            <w:tcW w:w="120" w:type="dxa"/>
            <w:vAlign w:val="bottom"/>
            <w:shd w:val="clear" w:color="auto" w:fill="CFF0FC"/>
          </w:tcPr>
          <w:p>
            <w:pPr>
              <w:spacing w:after="0"/>
              <w:rPr>
                <w:sz w:val="21"/>
                <w:szCs w:val="21"/>
                <w:color w:val="auto"/>
              </w:rPr>
            </w:pPr>
          </w:p>
        </w:tc>
      </w:tr>
      <w:tr>
        <w:trPr>
          <w:trHeight w:val="237"/>
        </w:trPr>
        <w:tc>
          <w:tcPr>
            <w:tcW w:w="446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3,451</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3,225</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0"/>
                <w:szCs w:val="20"/>
                <w:color w:val="auto"/>
              </w:rPr>
            </w:pPr>
          </w:p>
        </w:tc>
      </w:tr>
      <w:tr>
        <w:trPr>
          <w:trHeight w:val="236"/>
        </w:trPr>
        <w:tc>
          <w:tcPr>
            <w:tcW w:w="44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15,163</w:t>
            </w: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11,733</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3,430</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37"/>
        </w:trPr>
        <w:tc>
          <w:tcPr>
            <w:tcW w:w="446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20"/>
                <w:szCs w:val="20"/>
                <w:color w:val="auto"/>
              </w:rPr>
            </w:pPr>
          </w:p>
        </w:tc>
        <w:tc>
          <w:tcPr>
            <w:tcW w:w="1300" w:type="dxa"/>
            <w:vAlign w:val="bottom"/>
            <w:gridSpan w:val="2"/>
          </w:tcPr>
          <w:p>
            <w:pPr>
              <w:jc w:val="right"/>
              <w:ind w:right="110"/>
              <w:spacing w:after="0"/>
              <w:rPr>
                <w:sz w:val="20"/>
                <w:szCs w:val="20"/>
                <w:color w:val="auto"/>
              </w:rPr>
            </w:pPr>
            <w:r>
              <w:rPr>
                <w:rFonts w:ascii="Arial" w:cs="Arial" w:eastAsia="Arial" w:hAnsi="Arial"/>
                <w:sz w:val="18"/>
                <w:szCs w:val="18"/>
                <w:color w:val="auto"/>
              </w:rPr>
              <w:t>(13,199 )</w:t>
            </w:r>
          </w:p>
        </w:tc>
        <w:tc>
          <w:tcPr>
            <w:tcW w:w="300" w:type="dxa"/>
            <w:vAlign w:val="bottom"/>
          </w:tcPr>
          <w:p>
            <w:pPr>
              <w:spacing w:after="0"/>
              <w:rPr>
                <w:sz w:val="20"/>
                <w:szCs w:val="20"/>
                <w:color w:val="auto"/>
              </w:rPr>
            </w:pPr>
          </w:p>
        </w:tc>
        <w:tc>
          <w:tcPr>
            <w:tcW w:w="1260" w:type="dxa"/>
            <w:vAlign w:val="bottom"/>
            <w:gridSpan w:val="2"/>
          </w:tcPr>
          <w:p>
            <w:pPr>
              <w:jc w:val="right"/>
              <w:ind w:right="121"/>
              <w:spacing w:after="0"/>
              <w:rPr>
                <w:sz w:val="20"/>
                <w:szCs w:val="20"/>
                <w:color w:val="auto"/>
              </w:rPr>
            </w:pPr>
            <w:r>
              <w:rPr>
                <w:rFonts w:ascii="Arial" w:cs="Arial" w:eastAsia="Arial" w:hAnsi="Arial"/>
                <w:sz w:val="18"/>
                <w:szCs w:val="18"/>
                <w:color w:val="auto"/>
              </w:rPr>
              <w:t>(11,733 )</w:t>
            </w:r>
          </w:p>
        </w:tc>
        <w:tc>
          <w:tcPr>
            <w:tcW w:w="2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(1,466 )</w:t>
            </w:r>
          </w:p>
        </w:tc>
      </w:tr>
      <w:tr>
        <w:trPr>
          <w:trHeight w:val="249"/>
        </w:trPr>
        <w:tc>
          <w:tcPr>
            <w:tcW w:w="4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(131 )</w:t>
            </w: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(87 )</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(44 )</w:t>
            </w:r>
          </w:p>
        </w:tc>
      </w:tr>
      <w:tr>
        <w:trPr>
          <w:trHeight w:val="237"/>
        </w:trPr>
        <w:tc>
          <w:tcPr>
            <w:tcW w:w="4460" w:type="dxa"/>
            <w:vAlign w:val="bottom"/>
          </w:tcPr>
          <w:p>
            <w:pPr>
              <w:ind w:left="200"/>
              <w:spacing w:after="0"/>
              <w:rPr>
                <w:sz w:val="20"/>
                <w:szCs w:val="20"/>
                <w:color w:val="auto"/>
              </w:rPr>
            </w:pPr>
            <w:r>
              <w:rPr>
                <w:rFonts w:ascii="Arial" w:cs="Arial" w:eastAsia="Arial" w:hAnsi="Arial"/>
                <w:sz w:val="18"/>
                <w:szCs w:val="18"/>
                <w:color w:val="auto"/>
              </w:rPr>
              <w:t>Interest and other income, net</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0"/>
                <w:szCs w:val="20"/>
                <w:color w:val="auto"/>
              </w:rPr>
            </w:pPr>
          </w:p>
        </w:tc>
      </w:tr>
      <w:tr>
        <w:trPr>
          <w:trHeight w:val="277"/>
        </w:trPr>
        <w:tc>
          <w:tcPr>
            <w:tcW w:w="4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(12,791</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(11,762</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-659765</wp:posOffset>
            </wp:positionV>
            <wp:extent cx="68580" cy="1631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-659765</wp:posOffset>
            </wp:positionV>
            <wp:extent cx="77470" cy="1631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-659765</wp:posOffset>
            </wp:positionV>
            <wp:extent cx="77470" cy="1631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-24765</wp:posOffset>
            </wp:positionV>
            <wp:extent cx="774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wp:posOffset>
            </wp:positionV>
            <wp:extent cx="774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774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774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During the three months ended March 31, 2023, we recognized $2.0 million as collaboration revenue under the Kaken License Agreement.</w:t>
      </w: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research and development expenses for the periods presented (in thousands):</w:t>
      </w:r>
    </w:p>
    <w:p>
      <w:pPr>
        <w:spacing w:after="0" w:line="149" w:lineRule="exact"/>
        <w:rPr>
          <w:sz w:val="20"/>
          <w:szCs w:val="20"/>
          <w:color w:val="auto"/>
        </w:rPr>
      </w:pPr>
    </w:p>
    <w:tbl>
      <w:tblPr>
        <w:tblLayout w:type="fixed"/>
        <w:tblInd w:w="1120" w:type="dxa"/>
        <w:tblCellMar>
          <w:top w:w="0" w:type="dxa"/>
          <w:left w:w="0" w:type="dxa"/>
          <w:bottom w:w="0" w:type="dxa"/>
          <w:right w:w="0" w:type="dxa"/>
        </w:tblCellMar>
      </w:tblPr>
      <w:tr>
        <w:trPr>
          <w:trHeight w:val="185"/>
        </w:trPr>
        <w:tc>
          <w:tcPr>
            <w:tcW w:w="4460" w:type="dxa"/>
            <w:vAlign w:val="bottom"/>
          </w:tcPr>
          <w:p>
            <w:pPr>
              <w:spacing w:after="0"/>
              <w:rPr>
                <w:sz w:val="16"/>
                <w:szCs w:val="16"/>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44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Change</w:t>
            </w:r>
          </w:p>
        </w:tc>
      </w:tr>
      <w:tr>
        <w:trPr>
          <w:trHeight w:val="237"/>
        </w:trPr>
        <w:tc>
          <w:tcPr>
            <w:tcW w:w="4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External expenses:</w:t>
            </w:r>
          </w:p>
        </w:tc>
        <w:tc>
          <w:tcPr>
            <w:tcW w:w="780" w:type="dxa"/>
            <w:vAlign w:val="bottom"/>
            <w:tcBorders>
              <w:top w:val="single" w:sz="8" w:color="auto"/>
            </w:tcBorders>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7"/>
        </w:trPr>
        <w:tc>
          <w:tcPr>
            <w:tcW w:w="4460" w:type="dxa"/>
            <w:vAlign w:val="bottom"/>
          </w:tcPr>
          <w:p>
            <w:pPr>
              <w:ind w:left="200"/>
              <w:spacing w:after="0"/>
              <w:rPr>
                <w:sz w:val="20"/>
                <w:szCs w:val="20"/>
                <w:color w:val="auto"/>
              </w:rPr>
            </w:pPr>
            <w:r>
              <w:rPr>
                <w:rFonts w:ascii="Arial" w:cs="Arial" w:eastAsia="Arial" w:hAnsi="Arial"/>
                <w:sz w:val="18"/>
                <w:szCs w:val="18"/>
                <w:color w:val="auto"/>
              </w:rPr>
              <w:t>Clinical development</w:t>
            </w:r>
          </w:p>
        </w:tc>
        <w:tc>
          <w:tcPr>
            <w:tcW w:w="780" w:type="dxa"/>
            <w:vAlign w:val="bottom"/>
          </w:tcPr>
          <w:p>
            <w:pPr>
              <w:jc w:val="right"/>
              <w:ind w:right="599"/>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7,199</w:t>
            </w:r>
          </w:p>
        </w:tc>
        <w:tc>
          <w:tcPr>
            <w:tcW w:w="114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5,679</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1,520</w:t>
            </w:r>
          </w:p>
        </w:tc>
        <w:tc>
          <w:tcPr>
            <w:tcW w:w="120" w:type="dxa"/>
            <w:vAlign w:val="bottom"/>
          </w:tcPr>
          <w:p>
            <w:pPr>
              <w:spacing w:after="0"/>
              <w:rPr>
                <w:sz w:val="20"/>
                <w:szCs w:val="20"/>
                <w:color w:val="auto"/>
              </w:rPr>
            </w:pPr>
          </w:p>
        </w:tc>
      </w:tr>
      <w:tr>
        <w:trPr>
          <w:trHeight w:val="249"/>
        </w:trPr>
        <w:tc>
          <w:tcPr>
            <w:tcW w:w="4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Manufacturing</w:t>
            </w:r>
          </w:p>
        </w:tc>
        <w:tc>
          <w:tcPr>
            <w:tcW w:w="78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1,301</w:t>
            </w: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w:t>
            </w:r>
          </w:p>
        </w:tc>
        <w:tc>
          <w:tcPr>
            <w:tcW w:w="120" w:type="dxa"/>
            <w:vAlign w:val="bottom"/>
            <w:shd w:val="clear" w:color="auto" w:fill="CFF0FC"/>
          </w:tcPr>
          <w:p>
            <w:pPr>
              <w:spacing w:after="0"/>
              <w:rPr>
                <w:sz w:val="21"/>
                <w:szCs w:val="21"/>
                <w:color w:val="auto"/>
              </w:rPr>
            </w:pPr>
          </w:p>
        </w:tc>
      </w:tr>
      <w:tr>
        <w:trPr>
          <w:trHeight w:val="237"/>
        </w:trPr>
        <w:tc>
          <w:tcPr>
            <w:tcW w:w="4460" w:type="dxa"/>
            <w:vAlign w:val="bottom"/>
          </w:tcPr>
          <w:p>
            <w:pPr>
              <w:ind w:left="200"/>
              <w:spacing w:after="0"/>
              <w:rPr>
                <w:sz w:val="20"/>
                <w:szCs w:val="20"/>
                <w:color w:val="auto"/>
              </w:rPr>
            </w:pPr>
            <w:r>
              <w:rPr>
                <w:rFonts w:ascii="Arial" w:cs="Arial" w:eastAsia="Arial" w:hAnsi="Arial"/>
                <w:sz w:val="18"/>
                <w:szCs w:val="18"/>
                <w:color w:val="auto"/>
              </w:rPr>
              <w:t>Preclinical studies</w:t>
            </w:r>
          </w:p>
        </w:tc>
        <w:tc>
          <w:tcPr>
            <w:tcW w:w="7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424</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(420 )</w:t>
            </w:r>
          </w:p>
        </w:tc>
      </w:tr>
      <w:tr>
        <w:trPr>
          <w:trHeight w:val="249"/>
        </w:trPr>
        <w:tc>
          <w:tcPr>
            <w:tcW w:w="4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research and development</w:t>
            </w:r>
          </w:p>
        </w:tc>
        <w:tc>
          <w:tcPr>
            <w:tcW w:w="78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FF0FC"/>
          </w:tcPr>
          <w:p>
            <w:pPr>
              <w:spacing w:after="0"/>
              <w:rPr>
                <w:sz w:val="21"/>
                <w:szCs w:val="21"/>
                <w:color w:val="auto"/>
              </w:rPr>
            </w:pPr>
          </w:p>
        </w:tc>
      </w:tr>
      <w:tr>
        <w:trPr>
          <w:trHeight w:val="237"/>
        </w:trPr>
        <w:tc>
          <w:tcPr>
            <w:tcW w:w="4460" w:type="dxa"/>
            <w:vAlign w:val="bottom"/>
          </w:tcPr>
          <w:p>
            <w:pPr>
              <w:ind w:left="20"/>
              <w:spacing w:after="0"/>
              <w:rPr>
                <w:sz w:val="20"/>
                <w:szCs w:val="20"/>
                <w:color w:val="auto"/>
              </w:rPr>
            </w:pPr>
            <w:r>
              <w:rPr>
                <w:rFonts w:ascii="Arial" w:cs="Arial" w:eastAsia="Arial" w:hAnsi="Arial"/>
                <w:sz w:val="18"/>
                <w:szCs w:val="18"/>
                <w:color w:val="auto"/>
              </w:rPr>
              <w:t>Internal expenses:</w:t>
            </w: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9"/>
        </w:trPr>
        <w:tc>
          <w:tcPr>
            <w:tcW w:w="4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Personnel</w:t>
            </w:r>
          </w:p>
        </w:tc>
        <w:tc>
          <w:tcPr>
            <w:tcW w:w="78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2,820</w:t>
            </w: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1,531</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w:t>
            </w:r>
          </w:p>
        </w:tc>
        <w:tc>
          <w:tcPr>
            <w:tcW w:w="120" w:type="dxa"/>
            <w:vAlign w:val="bottom"/>
            <w:shd w:val="clear" w:color="auto" w:fill="CFF0FC"/>
          </w:tcPr>
          <w:p>
            <w:pPr>
              <w:spacing w:after="0"/>
              <w:rPr>
                <w:sz w:val="21"/>
                <w:szCs w:val="21"/>
                <w:color w:val="auto"/>
              </w:rPr>
            </w:pPr>
          </w:p>
        </w:tc>
      </w:tr>
      <w:tr>
        <w:trPr>
          <w:trHeight w:val="237"/>
        </w:trPr>
        <w:tc>
          <w:tcPr>
            <w:tcW w:w="4460" w:type="dxa"/>
            <w:vAlign w:val="bottom"/>
          </w:tcPr>
          <w:p>
            <w:pPr>
              <w:ind w:left="200"/>
              <w:spacing w:after="0"/>
              <w:rPr>
                <w:sz w:val="20"/>
                <w:szCs w:val="20"/>
                <w:color w:val="auto"/>
              </w:rPr>
            </w:pPr>
            <w:r>
              <w:rPr>
                <w:rFonts w:ascii="Arial" w:cs="Arial" w:eastAsia="Arial" w:hAnsi="Arial"/>
                <w:sz w:val="18"/>
                <w:szCs w:val="18"/>
                <w:color w:val="auto"/>
              </w:rPr>
              <w:t>Facilities and other</w:t>
            </w:r>
          </w:p>
        </w:tc>
        <w:tc>
          <w:tcPr>
            <w:tcW w:w="7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r>
      <w:tr>
        <w:trPr>
          <w:trHeight w:val="276"/>
        </w:trPr>
        <w:tc>
          <w:tcPr>
            <w:tcW w:w="4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780" w:type="dxa"/>
            <w:vAlign w:val="bottom"/>
            <w:tcBorders>
              <w:bottom w:val="single" w:sz="8" w:color="auto"/>
            </w:tcBorders>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11,712</w:t>
            </w:r>
          </w:p>
        </w:tc>
        <w:tc>
          <w:tcPr>
            <w:tcW w:w="28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8,508</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3,204</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-25400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-8255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-25400</wp:posOffset>
            </wp:positionV>
            <wp:extent cx="77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-8255</wp:posOffset>
            </wp:positionV>
            <wp:extent cx="7747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-25400</wp:posOffset>
            </wp:positionV>
            <wp:extent cx="774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-8255</wp:posOffset>
            </wp:positionV>
            <wp:extent cx="7747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4" w:lineRule="exact"/>
        <w:rPr>
          <w:sz w:val="20"/>
          <w:szCs w:val="20"/>
          <w:color w:val="auto"/>
        </w:rPr>
      </w:pPr>
    </w:p>
    <w:p>
      <w:pPr>
        <w:ind w:right="80" w:firstLine="509"/>
        <w:spacing w:after="0" w:line="279" w:lineRule="auto"/>
        <w:rPr>
          <w:sz w:val="20"/>
          <w:szCs w:val="20"/>
          <w:color w:val="auto"/>
        </w:rPr>
      </w:pPr>
      <w:r>
        <w:rPr>
          <w:rFonts w:ascii="Arial" w:cs="Arial" w:eastAsia="Arial" w:hAnsi="Arial"/>
          <w:sz w:val="17"/>
          <w:szCs w:val="17"/>
          <w:color w:val="auto"/>
        </w:rPr>
        <w:t>Research and development expenses increased by $3.2 million during the three months ended March 31, 2023, compared to the three months ended March 31, 2022. The overall increase in research and development expenses was primarily related to the progression of clinical trials of tildacerfont in adult classic CAH, pediatric classic CAH, and PCOS. There was also an increase in personnel expenses attributable to an increase in headcount and an increase in manufacturing expenses due to timing of planned manufacturing activities related to clinical drug supply.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General and administrative expenses increased by $0.2 million during the three months ended March 31, 2023, compared to the three months ended March 31, 2022, primarily due to an increase in professional services, including legal, finance and accounting.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Interest expense was fairly consistent during the three months ended March 31, 2023, compared to the three months ended March 31, 2022 and was related to the Term Loan.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Income, Net</w:t>
      </w:r>
    </w:p>
    <w:p>
      <w:pPr>
        <w:spacing w:after="0" w:line="117"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Interest and other income, net increased by $0.5 million during the three months ended March 31, 2023, compared to the three months ended March 31, 2022. The increase was primarily due to higher yield earned on investment balances in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Since our inception, we have not generated any revenue from product sales and have incurred significant operating losses and negative cash flows from operations. We anticipate that we will continue to incur net losses for the foreseeable future. As of March 31, 2023 and December 31, 2022, we had an accumulated deficit of $162.1 million and $149.3 million, respectively. As of March 31, 2023 and December 31, 2022, we had cash, cash equivalents and investments of $118.6 million and $79.1 million, respectively. Since inception through March 31, 2023, we have raised aggregate gross proceeds of $278.1 million, including $103.5 million from our IPO in October 2020, $116.0 million from the sale of our redeemable convertible preferred stock, $5.0 million from the issuance of debt, and $53.6 million from a private placement financing in February 2023.</w:t>
      </w:r>
    </w:p>
    <w:p>
      <w:pPr>
        <w:spacing w:after="0" w:line="70"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We believe, based on our current operating plan, that our cash, cash equivalents and investments as of March 31, 2023, along with the $15.0 million upfront payment received by us in April 2023 under the Kaken License Agreement, will be sufficient to fund our operations and debt obligations for at least 12 months following the issuance date of our financial statements included elsewhere in this Quarterly Report. In addition, we believe based on our current operating plan, that our cash, cash equivalents and investments as of March 31, 2023, along with the $15.0 million upfront payment received by us in April 2023 under the Kaken License Agreement, is expected to allow us to fund operating and capital expenditures into the first half of 2025.</w:t>
      </w:r>
    </w:p>
    <w:p>
      <w:pPr>
        <w:spacing w:after="0" w:line="53"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We have a banking relationship with SVB. SVB was closed on March 10, 2023 by the California Department of Financial Protection and Innovation, which appointed the FDIC as receiver. On March 12, 2023, the U.S. Treasury, Federal Reserve, and FDIC announced that SVB depositors will have access to all of their money starting March 13, 2023. On March 27, 2023, First Citizens Bank and Trust Company announced that it entered into an agreement with the FDIC to purchase out of FDIC receivership substantially all loans and certain other assets, and assume all customer deposits and certain other liabilities of Silicon Valley Bridge Bank, N.A. While we have not experienced any losses in such accounts, the recent failure of SVB potentially exposed us to significant credit risk prior to the completion by the FDIC of the resolution of SVB in a manner that fully protected all depositors. We are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assessing how to prevent this exposure in the future, however, any potential future disruptions in access to bank deposits or lending commitments due to bank failures may expose us to significant credit risk.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Shelf Registration and Sales Agreement</w:t>
      </w:r>
    </w:p>
    <w:p>
      <w:pPr>
        <w:spacing w:after="0" w:line="117" w:lineRule="exact"/>
        <w:rPr>
          <w:sz w:val="20"/>
          <w:szCs w:val="20"/>
          <w:color w:val="auto"/>
        </w:rPr>
      </w:pPr>
    </w:p>
    <w:p>
      <w:pPr>
        <w:ind w:right="80" w:firstLine="509"/>
        <w:spacing w:after="0" w:line="287" w:lineRule="auto"/>
        <w:rPr>
          <w:sz w:val="20"/>
          <w:szCs w:val="20"/>
          <w:color w:val="auto"/>
        </w:rPr>
      </w:pPr>
      <w:r>
        <w:rPr>
          <w:rFonts w:ascii="Arial" w:cs="Arial" w:eastAsia="Arial" w:hAnsi="Arial"/>
          <w:sz w:val="16"/>
          <w:szCs w:val="16"/>
          <w:color w:val="auto"/>
        </w:rPr>
        <w:t>In February 2022, the SEC declared effective the Shelf Registration covering the sale of up to $200.0 million of our securities. Also, in February 2022, we entered into the Sales Agreement with Jefferies, pursuant to which we may elect to issue and sell, from time to time, shares of common stock having an aggregate offering price of up to $21.0 million under the Shelf Registration through Jefferies acting as the sales agent and/or principal (the "Offering"). We have also filed a prospectus supplement with the SEC in connection with the Offering under the Shelf Registration. Upon delivery of an issuance notice and subject to the terms and conditions of the Sales Agreement, Jefferies may sell the shares at market prices by any method deemed to be an “at the market offering” as defined in Rule 415(a)(4) promulgated under the Securities Act, including sales made directly on or through Nasdaq, the existing trading market for our common stock. We or Jefferies may suspend or terminate the offering of the shares upon notice to the other party, subject to certain conditions. Jefferies will act as sales agent on a commercially reasonable efforts basis consistent with its normal trading and sales practices and applicable state and federal law, rules and regulations and the rules of Nasdaq. We may instruct Jefferies to not sell the shares if the sales cannot be transacted at or above the price we designate in any issuance notice. We are not obligated to make any sales of the shares under the Sales Agreement. As of March 31, 2023, we have not issued any shares of common stock pursuant to the Sales Agreement.</w:t>
      </w:r>
    </w:p>
    <w:p>
      <w:pPr>
        <w:spacing w:after="0" w:line="64" w:lineRule="exact"/>
        <w:rPr>
          <w:sz w:val="20"/>
          <w:szCs w:val="20"/>
          <w:color w:val="auto"/>
        </w:rPr>
      </w:pPr>
    </w:p>
    <w:p>
      <w:pPr>
        <w:jc w:val="both"/>
        <w:ind w:right="80" w:firstLine="509"/>
        <w:spacing w:after="0" w:line="286" w:lineRule="auto"/>
        <w:rPr>
          <w:sz w:val="20"/>
          <w:szCs w:val="20"/>
          <w:color w:val="auto"/>
        </w:rPr>
      </w:pPr>
      <w:r>
        <w:rPr>
          <w:rFonts w:ascii="Arial" w:cs="Arial" w:eastAsia="Arial" w:hAnsi="Arial"/>
          <w:sz w:val="17"/>
          <w:szCs w:val="17"/>
          <w:color w:val="auto"/>
        </w:rPr>
        <w:t>We have agreed to pay Jefferies commissions for its services of acting as agent of 3.0% of the gross proceeds from the sale of the shares pursuant to the Sales Agreement. We have also agreed to provide Jefferies with customary indemnification and contribution rights. The shares will be sold pursuant to the Shelf Registration, and offerings of the shares will be made only by means of the prospectus supplement.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w:t>
      </w:r>
    </w:p>
    <w:p>
      <w:pPr>
        <w:spacing w:after="0" w:line="11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In February 2023, we entered into a securities purchase agreement with several institutional and accredited investors, including holders of more than 5% of our total common stock outstanding on the date of the securities purchase agreement, pursuant to which we sold 16,116,000 shares of common stock, pre-funded warrants to purchase 800,000 shares of common stock, and warrants to purchase 12,687,000 shares of common stock for gross proceeds of $53.6 million, before deducting offering expenses payable by us.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To date, we have not generated any revenue from product sales. We do not expect to generate any meaningful revenue unless and until we obtain regulatory approval and commercialize tildacerfont or any future product candidates, and we do not know when, or if at all, that will occur. We will continue to require additional capital to develop tildacerfont and fund operations for the foreseeable future. Our primary uses of cash are to fund our operations, which consist primarily of research and development expenses related to our clinical development programs, and to a lesser extent, general and administrative expenses.</w:t>
      </w:r>
    </w:p>
    <w:p>
      <w:pPr>
        <w:spacing w:after="0" w:line="80"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At this time, we cannot reasonably estimate or know the nature, timing, and estimated costs of the efforts that will be necessary to complete the development of, and obtain regulatory approval for, tildacerfont or any of our future product candidates. We expect our research and development expenses to increase significantly in the foreseeable future as we continue to invest in research and development activities related to developing tildacerfont, as tildacerfont continues advancing in late stage studies for the treatment of classic CAH in adult patients, as we conduct clinical trials of tildacerfont in additional indications beyond classic CAH in adult patients, as we seek regulatory approvals for tildacerfont, and incur expenses associated with hiring additional personnel to support our research and development efforts. The process of conducting the necessary clinical research to obtain regulatory approval is costly and time-consuming, the successful development of tildacerfont is highly uncertain, and we may never succeed in achieving regulatory approval for tildacerfont in classic CAH in adult patients or other indications.</w:t>
      </w:r>
    </w:p>
    <w:p>
      <w:pPr>
        <w:spacing w:after="0" w:line="70" w:lineRule="exact"/>
        <w:rPr>
          <w:sz w:val="20"/>
          <w:szCs w:val="20"/>
          <w:color w:val="auto"/>
        </w:rPr>
      </w:pPr>
    </w:p>
    <w:p>
      <w:pPr>
        <w:jc w:val="both"/>
        <w:ind w:right="280" w:firstLine="509"/>
        <w:spacing w:after="0" w:line="279" w:lineRule="auto"/>
        <w:rPr>
          <w:sz w:val="20"/>
          <w:szCs w:val="20"/>
          <w:color w:val="auto"/>
        </w:rPr>
      </w:pPr>
      <w:r>
        <w:rPr>
          <w:rFonts w:ascii="Arial" w:cs="Arial" w:eastAsia="Arial" w:hAnsi="Arial"/>
          <w:sz w:val="17"/>
          <w:szCs w:val="17"/>
          <w:color w:val="auto"/>
        </w:rPr>
        <w:t>We may seek to raise capital through equity or debt financings, collaborative agreements or other arrangements with other companies, or through other sources of financing. Adequate additional funding may not be available to us on acceptable terms or at all. Our failure to raise capital as and when needed could have a negative impact on our financial condition and our ability to pursue our business strategies. We anticipate that we will need to raise substantial additional capital, the requirements of which will depend on many factors, including:</w:t>
      </w:r>
    </w:p>
    <w:p>
      <w:pPr>
        <w:spacing w:after="0" w:line="63" w:lineRule="exact"/>
        <w:rPr>
          <w:sz w:val="20"/>
          <w:szCs w:val="20"/>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progress, costs, trial design, results of, and timing of our ongoing and planned clinical trials of tildacerfont;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outcome, costs and timing of seeking and obtaining FDA and any other regulatory approvals;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may pursue;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manufacture sufficient quantities of tildacerfont;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plan to expand our research and development activities;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left="1020" w:right="4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associated with manufacturing tildacerfont and establishing clinical and commercial supplies, and sales, marketing, and distribution capabilities;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associated with commercialization;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acquiring, licensing, or investing in product candidates;</w:t>
      </w:r>
    </w:p>
    <w:p>
      <w:pPr>
        <w:spacing w:after="0" w:line="117" w:lineRule="exact"/>
        <w:rPr>
          <w:rFonts w:ascii="Arial" w:cs="Arial" w:eastAsia="Arial" w:hAnsi="Arial"/>
          <w:sz w:val="18"/>
          <w:szCs w:val="18"/>
          <w:color w:val="auto"/>
        </w:rPr>
      </w:pPr>
    </w:p>
    <w:p>
      <w:pPr>
        <w:ind w:left="1020" w:right="40" w:hanging="503"/>
        <w:spacing w:after="0" w:line="263"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need and ability to retain key management and hire scientific, technical, business, and medical personnel;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competing products and product candidates and other market developments;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receipt, and amount of sales from tildacerfont and any future product candidates, if approved;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economic and other terms, timing of, and success of any collaboration, licensing, or other arrangements which we may enter in the future; and</w:t>
      </w:r>
    </w:p>
    <w:p>
      <w:pPr>
        <w:spacing w:after="0" w:line="62" w:lineRule="exact"/>
        <w:rPr>
          <w:rFonts w:ascii="Arial" w:cs="Arial" w:eastAsia="Arial" w:hAnsi="Arial"/>
          <w:sz w:val="18"/>
          <w:szCs w:val="18"/>
          <w:color w:val="auto"/>
        </w:rPr>
      </w:pPr>
    </w:p>
    <w:p>
      <w:pPr>
        <w:ind w:left="1020" w:right="300" w:hanging="503"/>
        <w:spacing w:after="0" w:line="286"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effects of the disruptions to and volatility in the credit and financial markets in the United States and worldwide from geopolitical and macroeconomic events, including the COVID-19 pandemic, the ongoing Russia-Ukraine conflict and related sanctions, and recent and potential future disruptions in access to bank deposits or lending commitments due to bank failures.</w:t>
      </w:r>
    </w:p>
    <w:p>
      <w:pPr>
        <w:spacing w:after="0" w:line="57" w:lineRule="exact"/>
        <w:rPr>
          <w:sz w:val="20"/>
          <w:szCs w:val="20"/>
          <w:color w:val="auto"/>
        </w:rPr>
      </w:pPr>
    </w:p>
    <w:p>
      <w:pPr>
        <w:ind w:right="220" w:firstLine="509"/>
        <w:spacing w:after="0" w:line="279" w:lineRule="auto"/>
        <w:rPr>
          <w:sz w:val="20"/>
          <w:szCs w:val="20"/>
          <w:color w:val="auto"/>
        </w:rPr>
      </w:pPr>
      <w:r>
        <w:rPr>
          <w:rFonts w:ascii="Arial" w:cs="Arial" w:eastAsia="Arial" w:hAnsi="Arial"/>
          <w:sz w:val="17"/>
          <w:szCs w:val="17"/>
          <w:color w:val="auto"/>
        </w:rPr>
        <w:t>If we raise additional funds by issuing equity securities, our stockholders will experience dilution. If we raise additional capital through debt financing, we may be subject to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w:t>
      </w:r>
    </w:p>
    <w:p>
      <w:pPr>
        <w:spacing w:after="0" w:line="63"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We may be unable to raise additional funds or to enter into such agreements or arrangements on favorable terms, or at all. Our ability to raise additional funds may be adversely impacted by potential worsening global economic conditions and the disruptions to, and volatility in, the credit and financial markets in the United States and worldwide resulting from macroeconomic events, such as the COVID-19 pandemic, the ongoing Russia-Ukraine conflict and related sanctions, and recent and potential future disruptions in access to bank deposits or lending commitments due to bank failures, including severely diminished liquidity and credit availability, declines in consumer confidence, declines in economic growth, increases in unemployment rates, and uncertainty about economic stability. If the equity and credit markets deteriorate, it may make any necessary debt or equity financing more difficult, more costly and more dilutive. If we are unable to raise additional capital in sufficient amounts or on terms acceptable to us, we may have to significantly delay, scale back, or discontinue the development or commercialization of tildacerfont or other research and development initiatives. We also could be required to seek collaborators for tildacerfont and any future product candidates at an earlier stage than otherwise would be desirable or on terms that are less favorable than might otherwise be available or relinquish or license on unfavorable terms our rights to tildacerfont and any future product candidates in markets where we otherwise would seek to pursue development or commercialization ourselves.</w:t>
      </w:r>
    </w:p>
    <w:p>
      <w:pPr>
        <w:spacing w:after="0" w:line="6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amount and timing of our future funding requirements will depend on many factors including the pace and results of our development efforts.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cannot assure you that we will ever be profitable or generate positive cash flow from operating activities.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Cash Requirements</w:t>
      </w:r>
    </w:p>
    <w:p>
      <w:pPr>
        <w:spacing w:after="0" w:line="117" w:lineRule="exact"/>
        <w:rPr>
          <w:sz w:val="20"/>
          <w:szCs w:val="20"/>
          <w:color w:val="auto"/>
        </w:rPr>
      </w:pPr>
    </w:p>
    <w:p>
      <w:pPr>
        <w:jc w:val="both"/>
        <w:ind w:right="220" w:firstLine="509"/>
        <w:spacing w:after="0" w:line="286" w:lineRule="auto"/>
        <w:rPr>
          <w:sz w:val="20"/>
          <w:szCs w:val="20"/>
          <w:color w:val="auto"/>
        </w:rPr>
      </w:pPr>
      <w:r>
        <w:rPr>
          <w:rFonts w:ascii="Arial" w:cs="Arial" w:eastAsia="Arial" w:hAnsi="Arial"/>
          <w:sz w:val="17"/>
          <w:szCs w:val="17"/>
          <w:color w:val="auto"/>
        </w:rPr>
        <w:t>As of March 31, 2023, future payments of principal and interest on the Term Loan, which commenced repayment in January 2023 and matures in January 2026, were $5.2 million. For a description of the terms of the Loan Agreement, see the section titled “Management’s Discussion and Analysis of Financial Condition and Results of Operations —Material Agreements — Loan Agreement" above.</w:t>
      </w:r>
    </w:p>
    <w:p>
      <w:pPr>
        <w:spacing w:after="0" w:line="57"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As of March 31, 2023, the total lease liability for our non-cancelable operating lease for office space, which terminates in February 2028 unless renewed, was $1.7 million.</w:t>
      </w:r>
    </w:p>
    <w:p>
      <w:pPr>
        <w:spacing w:after="0" w:line="62"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We enter into contracts in the normal course of business with third-party contract manufacturing organizations and CROs for clinical trials, non-clinical studies, drug substance and product manufacturing and other services for operating purposes. These contracts are generally cancelable by us upon prior written notice after a certain period. Payments due upon cancellation consist only of payments for services provided or expenses incurred, including noncancelable obligations of our service providers, up to the date of cancellation.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We have also entered into the Lilly License Agreement under which we are obligated to make aggregate milestone payments upon the achievement of specified milestones as well as royalty payments. The payment obligations under the Lilly License Agreement are contingent upon future events, such as our achievement of specified milestones or generating product sales. In addition to royalty payments on future sales, we are also required to pay up to an aggregate of $23.0 million upon the achievement of certain milestones. As of March 31, 2023, we were unable to estimate the timing or likelihood of achieving these milestones or generating future product sales. For a description of the terms of the Lilly License Agreement, see the section titled “Management’s Discussion and Analysis of Financial Condition and Results of Operations — Material Agreements — License Agreement with Eli Lilly and Company” above.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Statements of Cash Flows</w:t>
      </w:r>
    </w:p>
    <w:p>
      <w:pPr>
        <w:spacing w:after="0" w:line="117" w:lineRule="exact"/>
        <w:rPr>
          <w:sz w:val="20"/>
          <w:szCs w:val="20"/>
          <w:color w:val="auto"/>
        </w:rPr>
      </w:pPr>
    </w:p>
    <w:p>
      <w:pPr>
        <w:ind w:right="640" w:firstLine="509"/>
        <w:spacing w:after="0" w:line="277" w:lineRule="auto"/>
        <w:rPr>
          <w:sz w:val="20"/>
          <w:szCs w:val="20"/>
          <w:color w:val="auto"/>
        </w:rPr>
      </w:pPr>
      <w:r>
        <w:rPr>
          <w:rFonts w:ascii="Arial" w:cs="Arial" w:eastAsia="Arial" w:hAnsi="Arial"/>
          <w:sz w:val="18"/>
          <w:szCs w:val="18"/>
          <w:color w:val="auto"/>
        </w:rPr>
        <w:t>The following table sets forth the primary sources and uses of cash, cash equivalents, and restricted cash for the periods presented below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80" w:type="dxa"/>
            <w:vAlign w:val="bottom"/>
          </w:tcPr>
          <w:p>
            <w:pPr>
              <w:spacing w:after="0"/>
              <w:rPr>
                <w:sz w:val="16"/>
                <w:szCs w:val="16"/>
                <w:color w:val="auto"/>
              </w:rPr>
            </w:pPr>
          </w:p>
        </w:tc>
        <w:tc>
          <w:tcPr>
            <w:tcW w:w="296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58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1020" w:type="dxa"/>
            <w:vAlign w:val="bottom"/>
            <w:shd w:val="clear" w:color="auto" w:fill="CFF0FC"/>
          </w:tcPr>
          <w:p>
            <w:pPr>
              <w:jc w:val="right"/>
              <w:ind w:right="839"/>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(11,790</w:t>
            </w:r>
          </w:p>
        </w:tc>
        <w:tc>
          <w:tcPr>
            <w:tcW w:w="3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(11,826</w:t>
            </w:r>
          </w:p>
        </w:tc>
        <w:tc>
          <w:tcPr>
            <w:tcW w:w="3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58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10,484</w:t>
            </w: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rPr>
              <w:t>(7,491 )</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17,975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0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50,529</w:t>
            </w:r>
          </w:p>
        </w:tc>
        <w:tc>
          <w:tcPr>
            <w:tcW w:w="3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(88 )</w:t>
            </w:r>
          </w:p>
        </w:tc>
        <w:tc>
          <w:tcPr>
            <w:tcW w:w="3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50,617</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8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580" w:type="dxa"/>
            <w:vAlign w:val="bottom"/>
          </w:tcPr>
          <w:p>
            <w:pPr>
              <w:ind w:left="200"/>
              <w:spacing w:after="0"/>
              <w:rPr>
                <w:sz w:val="20"/>
                <w:szCs w:val="20"/>
                <w:color w:val="auto"/>
              </w:rPr>
            </w:pPr>
            <w:r>
              <w:rPr>
                <w:rFonts w:ascii="Arial" w:cs="Arial" w:eastAsia="Arial" w:hAnsi="Arial"/>
                <w:sz w:val="18"/>
                <w:szCs w:val="18"/>
                <w:color w:val="auto"/>
              </w:rPr>
              <w:t>Net increase (decrease) in cash, cash equivalents,</w:t>
            </w:r>
          </w:p>
        </w:tc>
        <w:tc>
          <w:tcPr>
            <w:tcW w:w="1020" w:type="dxa"/>
            <w:vAlign w:val="bottom"/>
            <w:vMerge w:val="restart"/>
          </w:tcPr>
          <w:p>
            <w:pPr>
              <w:jc w:val="right"/>
              <w:ind w:right="839"/>
              <w:spacing w:after="0"/>
              <w:rPr>
                <w:sz w:val="20"/>
                <w:szCs w:val="20"/>
                <w:color w:val="auto"/>
              </w:rPr>
            </w:pPr>
            <w:r>
              <w:rPr>
                <w:rFonts w:ascii="Arial" w:cs="Arial" w:eastAsia="Arial" w:hAnsi="Arial"/>
                <w:sz w:val="18"/>
                <w:szCs w:val="18"/>
                <w:color w:val="auto"/>
                <w:w w:val="7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49,223</w:t>
            </w:r>
          </w:p>
        </w:tc>
        <w:tc>
          <w:tcPr>
            <w:tcW w:w="340" w:type="dxa"/>
            <w:vAlign w:val="bottom"/>
          </w:tcPr>
          <w:p>
            <w:pPr>
              <w:spacing w:after="0"/>
              <w:rPr>
                <w:sz w:val="18"/>
                <w:szCs w:val="18"/>
                <w:color w:val="auto"/>
              </w:rPr>
            </w:pPr>
          </w:p>
        </w:tc>
        <w:tc>
          <w:tcPr>
            <w:tcW w:w="1000" w:type="dxa"/>
            <w:vAlign w:val="bottom"/>
            <w:vMerge w:val="restart"/>
          </w:tcPr>
          <w:p>
            <w:pPr>
              <w:jc w:val="right"/>
              <w:ind w:right="816"/>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tcPr>
          <w:p>
            <w:pPr>
              <w:jc w:val="right"/>
              <w:ind w:right="170"/>
              <w:spacing w:after="0"/>
              <w:rPr>
                <w:sz w:val="20"/>
                <w:szCs w:val="20"/>
                <w:color w:val="auto"/>
              </w:rPr>
            </w:pPr>
            <w:r>
              <w:rPr>
                <w:rFonts w:ascii="Arial" w:cs="Arial" w:eastAsia="Arial" w:hAnsi="Arial"/>
                <w:sz w:val="18"/>
                <w:szCs w:val="18"/>
                <w:color w:val="auto"/>
                <w:w w:val="91"/>
              </w:rPr>
              <w:t>(19,405 )</w:t>
            </w: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68,628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340"/>
              <w:spacing w:after="0" w:line="203" w:lineRule="exact"/>
              <w:rPr>
                <w:sz w:val="20"/>
                <w:szCs w:val="20"/>
                <w:color w:val="auto"/>
              </w:rPr>
            </w:pPr>
            <w:r>
              <w:rPr>
                <w:rFonts w:ascii="Arial" w:cs="Arial" w:eastAsia="Arial" w:hAnsi="Arial"/>
                <w:sz w:val="18"/>
                <w:szCs w:val="18"/>
                <w:color w:val="auto"/>
              </w:rPr>
              <w:t>and restricted cash</w:t>
            </w:r>
          </w:p>
        </w:tc>
        <w:tc>
          <w:tcPr>
            <w:tcW w:w="102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-299720</wp:posOffset>
            </wp:positionV>
            <wp:extent cx="85725" cy="3003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-299720</wp:posOffset>
            </wp:positionV>
            <wp:extent cx="85725" cy="3003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-299720</wp:posOffset>
            </wp:positionV>
            <wp:extent cx="85725" cy="3003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3003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Net cash used in operating activities was fairly consistent during the three months ended March 31, 2023 compared to the three months ended March 31, 2022. There were higher cash payments driven by increased clinical development activities associated with the progression of clinical trials of tildacerfont in adult classic CAH, pediatric classic CAH, and PCOS. Additionally, there were higher personnel-related payments driven by increased research and development headcount and higher payments for increased professional services, including legal, finance and accounting.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For the three months ended March 31, 2023, net cash provided by investing activities was $10.5 million, consisting of proceeds from maturities of investments of $22.4 million offset by purchases of investments of $11.9 million.</w:t>
      </w:r>
    </w:p>
    <w:p>
      <w:pPr>
        <w:spacing w:after="0" w:line="62"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auto"/>
        </w:rPr>
        <w:t>For the three months ended March 31, 2022, net cash used in investing activities was $7.5 million, consisting purchases of investments of $11.0 million offset by proceeds from maturities of investments of $3.5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540" w:firstLine="509"/>
        <w:spacing w:after="0" w:line="308" w:lineRule="auto"/>
        <w:rPr>
          <w:sz w:val="20"/>
          <w:szCs w:val="20"/>
          <w:color w:val="auto"/>
        </w:rPr>
      </w:pPr>
      <w:r>
        <w:rPr>
          <w:rFonts w:ascii="Arial" w:cs="Arial" w:eastAsia="Arial" w:hAnsi="Arial"/>
          <w:sz w:val="17"/>
          <w:szCs w:val="17"/>
          <w:color w:val="auto"/>
        </w:rPr>
        <w:t>For the three months ended March 31, 2023, net cash provided by financing activities was $50.5 million, consisting primarily of net proceeds received from the February 2023 private placement of $51.0 million, offset by principal payments on the Term Loan of $0.4 million.</w:t>
      </w:r>
    </w:p>
    <w:p>
      <w:pPr>
        <w:spacing w:after="0" w:line="38"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For the three months ended March 31, 2022, net cash used by financing activities was $0.1 million, consisting primarily of payments of deferred offering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Our condensed financial statements have been prepared in accordance with generally accepted accounting principles in the United States. The preparation of these condensed financial statements requires us to make estimates and assumptions that affect the reported amounts of assets, liabilities and expenses, as well as the related disclosure of contingent assets and liabilities as of the date of the financial statements.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We evaluate our estimates and assumptions on an ongoing basis. Our actual results may differ from these estimates under different assumptions or conditions.</w:t>
      </w:r>
    </w:p>
    <w:p>
      <w:pPr>
        <w:spacing w:after="0" w:line="70" w:lineRule="exact"/>
        <w:rPr>
          <w:sz w:val="20"/>
          <w:szCs w:val="20"/>
          <w:color w:val="auto"/>
        </w:rPr>
      </w:pPr>
    </w:p>
    <w:p>
      <w:pPr>
        <w:ind w:right="200" w:firstLine="509"/>
        <w:spacing w:after="0" w:line="286" w:lineRule="auto"/>
        <w:rPr>
          <w:sz w:val="20"/>
          <w:szCs w:val="20"/>
          <w:color w:val="auto"/>
        </w:rPr>
      </w:pPr>
      <w:r>
        <w:rPr>
          <w:rFonts w:ascii="Arial" w:cs="Arial" w:eastAsia="Arial" w:hAnsi="Arial"/>
          <w:sz w:val="17"/>
          <w:szCs w:val="17"/>
          <w:color w:val="auto"/>
        </w:rPr>
        <w:t>Our critical accounting estimates are described in the section titled “Management’s Discussion and Analysis of Financial Condition and Results of Operations—Critical Accounting Policies and Estimates” in the Annual Report. During the three months ended March 31, 2023, there were no material changes to our critical accounting estimates from those discussed in the Annual Report, except those documented below.</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We recognize revenue allocated to the Kaken License Agreement from non-refundable, up-front fees at the point in time when the license is transferred to the licensee and the licensee can use and benefit from the license. As the license is bundled with other distinct or combined obligations, we use judgment to assess the nature of the performance obligation to determine whether the performance obligation is satisfied over time or at a point in time and, if over time, the appropriate method of measuring progress for purposes of recognizing revenue. As the performance obligation is satisfied over time, we evaluate the measure of progress each reporting period and, if necessary, adjust the measure of performance and related revenue recognition. We utilize the cost-based input method over the respective performance period. If the actual costs vary from our estimates, we adjust the recognition of revenue based on the updated measure of progress each reporting period. Although we do not expect our estimates to be materially different from amounts actually incurred, our projections of costs relative to the actual costs incurred may materially vary and may result in reporting amounts that are too high or too low in any particular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We are an “emerging growth company” as defined in the Jumpstart Our Business Startups Act of 2012 ("JOBS Act"). The JOBS Act permits emerging growth companies to take advantage of an extended transition period to comply with new or revised accounting standards, delaying the adoption of these accounting standards until they would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84"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We could be an emerging growth company until December 31, 2025, although circumstances could cause us to lose that status earlier, including if we become a “large accelerated filer” as defined in Rule 12b-2 under the Exchange Act or if we have total annual gross revenue of $1.235 billion or more during any fiscal year before that time, in which cases we would no longer be an emerging growth company as of the following December 31 or, if we issue more than $1.0 billion in non-convertible debt during any three year period before that time, we would cease to be an emerging growth company immediately.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Our cash, cash equivalents and investments as of March 31, 2023 consist of $118.6 million in bank deposits, money market funds, U.S. treasury securities and U.S. government agency securities. Such interest-earning instruments carry a degree of interest rate risk. The goals of our investment policy are capital preservation, liquidity, safeguarding of capital and total return. We do not enter into investments for trading or speculative purposes and have not used any derivative financial instruments to manage our interest rate exposure. While we believe our cash, cash equivalents and investments do not contain excessive risk, we cannot provide absolute assurance that in the future our investments will not be subject to adverse changes in market value. Additionally, the interest rate for our Term Loan is variable.</w:t>
      </w:r>
    </w:p>
    <w:p>
      <w:pPr>
        <w:spacing w:after="0" w:line="84" w:lineRule="exact"/>
        <w:rPr>
          <w:sz w:val="20"/>
          <w:szCs w:val="20"/>
          <w:color w:val="auto"/>
        </w:rPr>
      </w:pPr>
    </w:p>
    <w:p>
      <w:pPr>
        <w:ind w:right="720" w:firstLine="509"/>
        <w:spacing w:after="0" w:line="277" w:lineRule="auto"/>
        <w:rPr>
          <w:sz w:val="20"/>
          <w:szCs w:val="20"/>
          <w:color w:val="auto"/>
        </w:rPr>
      </w:pPr>
      <w:r>
        <w:rPr>
          <w:rFonts w:ascii="Arial" w:cs="Arial" w:eastAsia="Arial" w:hAnsi="Arial"/>
          <w:sz w:val="18"/>
          <w:szCs w:val="18"/>
          <w:color w:val="auto"/>
        </w:rPr>
        <w:t>As of March 31, 2023 and December 31, 2022, a hypothetical 1% change in interest rates would not have a material effect on our financial statements. We do not currently engage in hedging transactions to manage our exposure to interest rate risk.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Rate Risk</w:t>
      </w:r>
    </w:p>
    <w:p>
      <w:pPr>
        <w:spacing w:after="0" w:line="121" w:lineRule="exact"/>
        <w:rPr>
          <w:sz w:val="20"/>
          <w:szCs w:val="20"/>
          <w:color w:val="auto"/>
        </w:rPr>
      </w:pPr>
    </w:p>
    <w:p>
      <w:pPr>
        <w:jc w:val="both"/>
        <w:ind w:right="60" w:firstLine="509"/>
        <w:spacing w:after="0" w:line="311" w:lineRule="auto"/>
        <w:rPr>
          <w:sz w:val="20"/>
          <w:szCs w:val="20"/>
          <w:color w:val="auto"/>
        </w:rPr>
      </w:pPr>
      <w:r>
        <w:rPr>
          <w:rFonts w:ascii="Arial" w:cs="Arial" w:eastAsia="Arial" w:hAnsi="Arial"/>
          <w:sz w:val="16"/>
          <w:szCs w:val="16"/>
          <w:color w:val="auto"/>
        </w:rPr>
        <w:t>Our operations primarily consist of activities in the United States. In addition, we contract with vendors that are located outside of the United States and certain invoices are denominated in foreign currencies. While our operating results are exposed to changes in foreign currency exchange rates between the U.S. dollar and various foreign currencies, there was no material impact on our results of operations for any periods presented herein.</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121"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and changing prices had a significant impact on our results of operations for any periods presented herein. While we are seeing, and expect to continue to see, record inflation due to, among other things, the COVID-19 pandemic and other geopolitical and macroeconomic events, such as the ongoing military conflict between Ukraine and Russia and related sanctions, and recent and potential future disruptions in access to bank deposits or lending commitments due to bank failures, as of March 31, 2023, we do not expect anticipated changes in inflation to have a material effect on our business, financial condition or results of operations for future reporting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Our management, with the participation and supervision of our Chief Executive Officer and our President and Chief Financial Officer, have evaluated our disclosure controls and procedures (as defined in Rules 13a-15(e) and 15d-15(e) under the Securities Exchange Act of 1934, as amended (the "Exchange Act")) as of the end of the period covered by this Quarterly Report on Form 10-Q. Based on that evaluation, our Chief Executive Officer and President and Chief Financial Officer have concluded that, as of the end of the period covered by this Quarterly Report on Form 10-Q,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President and Chief Financial Officer, as appropriate, to allow timely decisions regarding required disclosure.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509"/>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defined in Exchange Act Rules 13a-15(f) and 15d-15(f)) during the quarter ended March 31, 2023 that have materially affected, or are reasonably likely to materially affect, our internal control over financial reporting.</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the Effectiveness of Disclosure Controls and Procedures</w:t>
      </w:r>
    </w:p>
    <w:p>
      <w:pPr>
        <w:spacing w:after="0" w:line="121"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auto"/>
        </w:rPr>
        <w:t>In designing and evaluating our disclosure controls and procedures and internal control over financial reporting, our management recognizes that any controls and procedures, no matter how well designed and operated, can provide only reasonable, not absolute, assurance of achieving the desired control objectives. In addition, the design of disclosure controls and procedures and internal control over financial reporting must reflect the fact that there are resource constraints and our management is required to apply judgment in evaluating the benefits of possible controls and procedures relative to their costs. The design of any disclosure controls and procedures and internal control over financial reporting also are based in part upon certain assumptions about the likelihood of future events, and there can be no assurance that any design will succeed in achieving its stated goals under all potential future conditions.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We are not currently a party to any material legal proceedings. Regardless of outcome, litigation can have an adverse impact on us due to defense and settlement costs, diversion of management resources, negative publicity, reputational harm and other factors.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i w:val="1"/>
          <w:iCs w:val="1"/>
          <w:color w:val="auto"/>
        </w:rPr>
        <w:t>An investment in shares of our common stock involves a high degree of risk. You should carefully consider the risks described below, as well as the other information in this Quarterly Report on Form 10-Q, including our unaudited condensed financial statements and the related notes and “Management’s Discussion and Analysis of Financial Condition and Results of Operations” before deciding whether to purchase, hold or sell shares of our common stock. The occurrence of any of the risks described below could harm our business, financial condition, results of operations, growth prospects, and/or stock price or cause our actual results to differ materially from those contained in forward-looking statements we have made in this Quarterly Report on Form 10-Q and those we may make from time to time. You should consider all of the risk factors described when evaluating our business. We have marked with an asterisk (*) those risk factors that reflect changes from the similarly titled risk factors included in the Annual Report.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have incurred significant net losses since our inception, and anticipate that we will continue to incur significant net losses for the foreseeable future.*</w:t>
      </w:r>
    </w:p>
    <w:p>
      <w:pPr>
        <w:spacing w:after="0" w:line="62"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We are a late-stage biopharmaceutical company founded in 2014, and our operations to date have focused primarily on raising capital, establishing and protecting our intellectual property portfolio, organizing and staffing our company, business planning, and conducting preclinical and clinical development of, and manufacturing development for, our only product candidate, tildacerfont. Additionally, as an organization, we have not yet demonstrated an ability to successfully complete clinical development, obtain regulatory approvals, manufacture a commercial-scale product, or conduct sales and marketing activities necessary for successful commercialization. As we build our capabilities and expand our organization, we have not yet demonstrated an ability to overcome many of the risks and uncertainties frequently encountered by companies in new and rapidly evolving fields, particularly in the biopharmaceutical area. Consequently, any predictions about our future performance may not be as accurate as they would be if we had a history of successfully developing and commercializing biopharmaceutical products.</w:t>
      </w:r>
    </w:p>
    <w:p>
      <w:pPr>
        <w:spacing w:after="0" w:line="70"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Investment in biopharmaceutical product development is highly speculative because it entails substantial upfront capital expenditures and significant risk that any potential product candidate will fail to demonstrate adequate effectiveness in the targeted indication or an acceptable safety profile, gain regulatory approval and become commercially viable. We have no products approved for commercial sale and have not generated any revenue to date, and we continue to incur significant research and development and other expenses related to our ongoing operations. As a result, we are not profitable and have incurred significant net losses since our inception. If tildacerfont is not successfully developed and approved in the United States, Europe, or Japan, we may never generate any revenue. For the three months ended March 31, 2023 and 2022, we reported net losses of $12.8 million and $11.8 million, respectively. As of March 31, 2023, we had an accumulated deficit of $162.1 million.</w:t>
      </w:r>
    </w:p>
    <w:p>
      <w:pPr>
        <w:spacing w:after="0" w:line="69"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We expect to continue to incur significant losses for the foreseeable future, and we expect these losses to increase as we continue our clinical development of, seek regulatory approvals for, and commercially launch tildacerfont and any future product candidates, if approved.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net losses and expected future net losses have had and will continue to have an adverse effect on our stockholders’ equity and working capital. Because of the numerous risks and uncertainties associated with drug development, we are unable to accurately predict the timing or amount of increased expenses, or when, if at all, we will be able to achieve profitability.</w:t>
      </w:r>
    </w:p>
    <w:p>
      <w:pPr>
        <w:spacing w:after="0" w:line="8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We will need substantial additional financing to develop tildacerfont and any future product candidates and implement our operating plan. If we fail to obtain additional financing, we may be forced to delay, reduce or eliminate our product development programs or commercialization efforts.*</w:t>
      </w:r>
    </w:p>
    <w:p>
      <w:pPr>
        <w:spacing w:after="0" w:line="16" w:lineRule="exact"/>
        <w:rPr>
          <w:sz w:val="20"/>
          <w:szCs w:val="20"/>
          <w:color w:val="auto"/>
        </w:rPr>
      </w:pPr>
    </w:p>
    <w:p>
      <w:pPr>
        <w:jc w:val="both"/>
        <w:ind w:right="100" w:firstLine="509"/>
        <w:spacing w:after="0" w:line="263" w:lineRule="auto"/>
        <w:rPr>
          <w:sz w:val="20"/>
          <w:szCs w:val="20"/>
          <w:color w:val="auto"/>
        </w:rPr>
      </w:pPr>
      <w:r>
        <w:rPr>
          <w:rFonts w:ascii="Arial" w:cs="Arial" w:eastAsia="Arial" w:hAnsi="Arial"/>
          <w:sz w:val="18"/>
          <w:szCs w:val="18"/>
          <w:color w:val="auto"/>
        </w:rPr>
        <w:t>Our operations have consumed substantial amounts of cash since our inception. We expect to continue to spend substantial amounts to continue the clinical development of, and seek regulatory approval for, tildacerfont and any future product candidates. We will require significant additional amounts in order to prepare for commercialization, and, if approved, to launch and commercialize tildacerfont.</w:t>
      </w:r>
    </w:p>
    <w:p>
      <w:pPr>
        <w:spacing w:after="0" w:line="76"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As of March 31, 2023, we had cash, cash equivalents and investments of $118.6 million. In October 2020, we consummated our IPO and issued 6,900,000 shares of common stock for net proceeds of $93.4 million, after deducting underwriting discounts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commissions and offering expenses. In February 2023, we completed a private placement for gross proceeds of $53.6 million. We believe, based on our current operating plan, that our cash, cash equivalents and investments as of March 31, 2023, along with the $15.0 million upfront payment received by us in April 2023 under the Kaken License Agreement, will be sufficient to fund our operations and debt obligations for at least 12 months following the issuance date of our financial statements included elsewhere in this Quarterly Report.</w:t>
      </w:r>
    </w:p>
    <w:p>
      <w:pPr>
        <w:spacing w:after="0" w:line="79"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However, changing circumstances may cause us to consume capital significantly faster than we currently anticipate, and we may need to spend more money than currently expected because of circumstances beyond our control. For example, primarily as a result of the COVID-19 pandemic, enrollment in our Phase 2b clinical trials evaluating tildacerfont for the treatment of adult classic congenital adrenal hyperplasia ("CAH") has been delayed, extending the overall duration of the trials. We have expanded the number of trial sites worldwide to provide more recruitment capabilities in an effort to accelerate enrollment. Additionally, we have amended our clinical trial protocols to enable remote visits to mitigate any potential impacts. As a result of the extended duration of the trials, increased number of trial sites, and this home health component, the overall costs of our Phase 2b clinical trials have increased and may continue to increase in the future.</w:t>
      </w:r>
    </w:p>
    <w:p>
      <w:pPr>
        <w:spacing w:after="0" w:line="8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We will require additional capital for the further development and commercialization of tildacerfont and any future product candidates and may need to raise additional funds sooner if we choose to expand more rapidly than we presently anticipate.</w:t>
      </w:r>
    </w:p>
    <w:p>
      <w:pPr>
        <w:spacing w:after="0" w:line="62" w:lineRule="exact"/>
        <w:rPr>
          <w:sz w:val="20"/>
          <w:szCs w:val="20"/>
          <w:color w:val="auto"/>
        </w:rPr>
      </w:pPr>
    </w:p>
    <w:p>
      <w:pPr>
        <w:ind w:right="60" w:firstLine="509"/>
        <w:spacing w:after="0" w:line="268" w:lineRule="auto"/>
        <w:rPr>
          <w:sz w:val="20"/>
          <w:szCs w:val="20"/>
          <w:color w:val="auto"/>
        </w:rPr>
      </w:pPr>
      <w:r>
        <w:rPr>
          <w:rFonts w:ascii="Arial" w:cs="Arial" w:eastAsia="Arial" w:hAnsi="Arial"/>
          <w:sz w:val="17"/>
          <w:szCs w:val="17"/>
          <w:color w:val="auto"/>
        </w:rPr>
        <w:t>Additional funding may not be available on acceptable terms, or at all. In addition, we may not be able to access a portion of our existing cash, cash equivalents and investments due to market conditions. For example, on March 10, 2023, the Federal Deposit Insurance Corporation ("FDIC") took control and was appointed receiver of Silicon Valley Bank ("SVB"). If other banks and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 Further, as a result of geopolitical and macroeconomic events, including the COVID-19 pandemic and the ongoing military conflict between Ukraine and Russia and related sanctions, the global credit and financial markets have experienced volatility and disruptions, including severely diminished liquidity and credit availability, declines in consumer confidence, declines in economic growth, increases in unemployment rates, and uncertainty about economic stability. If the equity and credit markets deteriorate, it may make any necessary debt or equity financing more difficult, more costly or more dilutive. If we are unable to raise additional capital in sufficient amounts or on terms acceptable to us, we may have to significantly delay, scale back, or discontinue the development or commercialization of tildacerfont or other research and development initiatives. We also could be required to seek collaborators for tildacerfont and any future product candidates at an earlier stage than otherwise would be desirable or on terms that are less favorable than might otherwise be available or relinquish or license on unfavorable terms our rights to tildacerfont and any future product candidates in markets where we otherwise would seek to pursue development or commercialization ourselves.</w:t>
      </w:r>
    </w:p>
    <w:p>
      <w:pPr>
        <w:spacing w:after="0" w:line="76"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Any of the above events could significantly harm our business, prospects, financial condition, and results of operations and cause the price of our common stock to decline.</w:t>
      </w:r>
    </w:p>
    <w:p>
      <w:pPr>
        <w:spacing w:after="0" w:line="6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We currently depend entirely on the success of tildacerfont, which is our only product candidate. If we are unable to advance tildacerfont in clinical development, obtain regulatory approval, and ultimately commercialize tildacerfont, or experience significant delays in doing so, our business will be materially harmed.*</w:t>
      </w:r>
    </w:p>
    <w:p>
      <w:pPr>
        <w:spacing w:after="0" w:line="76" w:lineRule="exact"/>
        <w:rPr>
          <w:sz w:val="20"/>
          <w:szCs w:val="20"/>
          <w:color w:val="auto"/>
        </w:rPr>
      </w:pPr>
    </w:p>
    <w:p>
      <w:pPr>
        <w:ind w:right="80" w:firstLine="509"/>
        <w:spacing w:after="0" w:line="291" w:lineRule="auto"/>
        <w:rPr>
          <w:sz w:val="20"/>
          <w:szCs w:val="20"/>
          <w:color w:val="auto"/>
        </w:rPr>
      </w:pPr>
      <w:r>
        <w:rPr>
          <w:rFonts w:ascii="Arial" w:cs="Arial" w:eastAsia="Arial" w:hAnsi="Arial"/>
          <w:sz w:val="16"/>
          <w:szCs w:val="16"/>
          <w:color w:val="auto"/>
        </w:rPr>
        <w:t>We currently only have one product candidate, tildacerfont, and our business and future success depends entirely on our ability to develop, obtain regulatory approval for, and then successfully commercialize, tildacerfont, which is currently in clinical development for adult patients with classic CAH. This may make an investment in our company riskier than similar companies that have multiple product candidates in active development that may be able to better sustain failure of a lead product candidate. We have initiated CAHmelia-203, a placebo-controlled, double-blind Phase 2b clinical trial in adult patients with classic CAH with highly elevated levels of A4 at baseline and anticipate topline results in the second half of 2023. We have also initiated CAHmelia-204, a second Phase 2b clinical trial in adult patients with classic CAH on supraphysiologic doses of glucocorticoids with normal or near normal levels of A4 at baseline focused on glucocorticoid reduction and anticipate topline results in the second half of 2024.</w:t>
      </w:r>
    </w:p>
    <w:p>
      <w:pPr>
        <w:spacing w:after="0" w:line="58" w:lineRule="exact"/>
        <w:rPr>
          <w:sz w:val="20"/>
          <w:szCs w:val="20"/>
          <w:color w:val="auto"/>
        </w:rPr>
      </w:pPr>
    </w:p>
    <w:p>
      <w:pPr>
        <w:ind w:right="180" w:firstLine="509"/>
        <w:spacing w:after="0" w:line="272" w:lineRule="auto"/>
        <w:rPr>
          <w:sz w:val="20"/>
          <w:szCs w:val="20"/>
          <w:color w:val="auto"/>
        </w:rPr>
      </w:pPr>
      <w:r>
        <w:rPr>
          <w:rFonts w:ascii="Arial" w:cs="Arial" w:eastAsia="Arial" w:hAnsi="Arial"/>
          <w:sz w:val="17"/>
          <w:szCs w:val="17"/>
          <w:color w:val="auto"/>
        </w:rPr>
        <w:t>Assuming positive results, we plan to meet with the U.S. Food and Drug Administration ("FDA") and certain comparable foreign regulatory authorities to discuss potential registration. While we believe these two clinical trials will provide sufficient patient exposures for our registrational safety database, the FDA and comparable foreign regulatory authorities may not agree and may require us to enroll additional patients or initiate one or more additional clinical trials, including a Phase 3 clinical trial or trials. If the FDA or comparable foreign regulatory authorities require us to conduct one or more clinical trials, including a Phase 3 clinical trial or trials, the design, duration, and scope of such clinical trials will be decided upon after further discussions with the FDA or comparable foreign regulatory authorities, and at this time are not ascertainable. As a result, we are unable to predict with certainty the estimated timing or scope of any future clinical trials of tildacerfont we may be required to conduct.</w:t>
      </w:r>
    </w:p>
    <w:p>
      <w:pPr>
        <w:spacing w:after="0" w:line="69"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In addition, we are investigating tildacerfont for the treatment of classic CAH in children. We have initiated CAHptain, a Phase 2 open-label clinical trial, which will utilize a sequential three cohort design, to evaluate the safety, efficacy, and pharmacokinetics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tildacerfont in children two to 17 years of age with classic CAH. We anticipate topline data from adolescents (cohorts 1 and 2) of the Phase 2 open-label clinical trial in the second half of 2023. Additionally, by leveraging our existing Phase 1 program, which includes safety, tolerability, and pharmacokinetics of tildacerfont, we have initiated P.O.W.E.R., a Phase 2 proof-of-concept clinical trial in polycystic ovary syndrome ("PCOS"). The Phase 2 proof-of-concept clinical trial is a randomized, placebo-controlled, dose escalation trial which will evaluate the safety and efficacy of tildacerfont titrated to 200 mg QD compared to placebo at 12 weeks of treatment in subjects with PCOS and elevated adrenal androgens as measured by dehydroepiandrosterone sulfate ("DHEAS") levels at baseline. Enrollment for P.O.W.E.R. is closed and we anticipate topline results in the third quarter of 2023.</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success of tildacerfont will depend on several factors, including the following:</w:t>
      </w:r>
    </w:p>
    <w:p>
      <w:pPr>
        <w:spacing w:after="0" w:line="117" w:lineRule="exact"/>
        <w:rPr>
          <w:sz w:val="20"/>
          <w:szCs w:val="20"/>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 enrollment, site expansion and activation and patient engagement in our ongoing and planned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 completion of our ongoing and planned clinical trials with favorable results;</w:t>
      </w:r>
    </w:p>
    <w:p>
      <w:pPr>
        <w:spacing w:after="0" w:line="117" w:lineRule="exact"/>
        <w:rPr>
          <w:rFonts w:ascii="Arial" w:cs="Arial" w:eastAsia="Arial" w:hAnsi="Arial"/>
          <w:sz w:val="18"/>
          <w:szCs w:val="18"/>
          <w:color w:val="auto"/>
        </w:rPr>
      </w:pPr>
    </w:p>
    <w:p>
      <w:pPr>
        <w:ind w:left="1020" w:right="30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acceptance by the FDA and European Medicines Agency ("EMA") of the clinical trial design of our planned and ongoing clinical trials of tildacerfont;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demonstrating safety and efficacy to the satisfaction of applicable regulatory authorities;</w:t>
      </w:r>
    </w:p>
    <w:p>
      <w:pPr>
        <w:spacing w:after="0" w:line="117" w:lineRule="exact"/>
        <w:rPr>
          <w:rFonts w:ascii="Arial" w:cs="Arial" w:eastAsia="Arial" w:hAnsi="Arial"/>
          <w:sz w:val="18"/>
          <w:szCs w:val="18"/>
          <w:color w:val="auto"/>
        </w:rPr>
      </w:pPr>
    </w:p>
    <w:p>
      <w:pPr>
        <w:ind w:left="1020" w:right="28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EMA, and other comparable foreign regulatory authorities;</w:t>
      </w:r>
    </w:p>
    <w:p>
      <w:pPr>
        <w:spacing w:after="0" w:line="62" w:lineRule="exact"/>
        <w:rPr>
          <w:rFonts w:ascii="Arial" w:cs="Arial" w:eastAsia="Arial" w:hAnsi="Arial"/>
          <w:sz w:val="18"/>
          <w:szCs w:val="18"/>
          <w:color w:val="auto"/>
        </w:rPr>
      </w:pPr>
    </w:p>
    <w:p>
      <w:pPr>
        <w:ind w:left="1020" w:right="16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 including one or more non-disclosure agreements ("NDAs") from the FDA, and maintaining such approvals;</w:t>
      </w:r>
    </w:p>
    <w:p>
      <w:pPr>
        <w:spacing w:after="0" w:line="62"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and receiving/importing commercial supplies approved by the FDA and other regulatory authorities from any future third-party manufacturer;</w:t>
      </w:r>
    </w:p>
    <w:p>
      <w:pPr>
        <w:spacing w:after="0" w:line="62" w:lineRule="exact"/>
        <w:rPr>
          <w:rFonts w:ascii="Arial" w:cs="Arial" w:eastAsia="Arial" w:hAnsi="Arial"/>
          <w:sz w:val="18"/>
          <w:szCs w:val="18"/>
          <w:color w:val="auto"/>
        </w:rPr>
      </w:pPr>
    </w:p>
    <w:p>
      <w:pPr>
        <w:ind w:left="1020" w:right="22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commercializing tildacerfont, if approved, whether alone or in collaboration with others;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and maintaining patent and trade secret protection and regulatory exclusivity for tildacerfont;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maintaining an acceptable safety profile of tildacerfont following approval; and</w:t>
      </w:r>
    </w:p>
    <w:p>
      <w:pPr>
        <w:spacing w:after="0" w:line="117" w:lineRule="exact"/>
        <w:rPr>
          <w:rFonts w:ascii="Arial" w:cs="Arial" w:eastAsia="Arial" w:hAnsi="Arial"/>
          <w:sz w:val="18"/>
          <w:szCs w:val="18"/>
          <w:color w:val="auto"/>
        </w:rPr>
      </w:pPr>
    </w:p>
    <w:p>
      <w:pPr>
        <w:ind w:left="1020" w:right="60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maintaining and growing an organization of people who can develop and, if approved, commercialize, market, and sell tildacerfont to physicians, patients, healthcare payors, and others in the medical community.</w:t>
      </w:r>
    </w:p>
    <w:p>
      <w:pPr>
        <w:spacing w:after="0" w:line="62" w:lineRule="exact"/>
        <w:rPr>
          <w:sz w:val="20"/>
          <w:szCs w:val="20"/>
          <w:color w:val="auto"/>
        </w:rPr>
      </w:pPr>
    </w:p>
    <w:p>
      <w:pPr>
        <w:ind w:right="740" w:firstLine="509"/>
        <w:spacing w:after="0" w:line="277" w:lineRule="auto"/>
        <w:rPr>
          <w:sz w:val="20"/>
          <w:szCs w:val="20"/>
          <w:color w:val="auto"/>
        </w:rPr>
      </w:pPr>
      <w:r>
        <w:rPr>
          <w:rFonts w:ascii="Arial" w:cs="Arial" w:eastAsia="Arial" w:hAnsi="Arial"/>
          <w:sz w:val="18"/>
          <w:szCs w:val="18"/>
          <w:color w:val="auto"/>
        </w:rPr>
        <w:t>If we do not achieve one or more of these factors, many of which are beyond our control, in a timely manner or at all, we could experience significant delays or an inability to obtain regulatory approvals or commercialize tildacerfont.</w:t>
      </w:r>
    </w:p>
    <w:p>
      <w:pPr>
        <w:spacing w:after="0" w:line="62" w:lineRule="exact"/>
        <w:rPr>
          <w:sz w:val="20"/>
          <w:szCs w:val="20"/>
          <w:color w:val="auto"/>
        </w:rPr>
      </w:pPr>
    </w:p>
    <w:p>
      <w:pPr>
        <w:ind w:right="20" w:firstLine="509"/>
        <w:spacing w:after="0" w:line="311" w:lineRule="auto"/>
        <w:rPr>
          <w:sz w:val="20"/>
          <w:szCs w:val="20"/>
          <w:color w:val="auto"/>
        </w:rPr>
      </w:pPr>
      <w:r>
        <w:rPr>
          <w:rFonts w:ascii="Arial" w:cs="Arial" w:eastAsia="Arial" w:hAnsi="Arial"/>
          <w:sz w:val="16"/>
          <w:szCs w:val="16"/>
          <w:color w:val="auto"/>
        </w:rPr>
        <w:t>Even if regulatory approvals are obtained, we may never be able to successfully commercialize tildacerfont. In addition, we will need to transition at some point from a company with a development focus to a company capable of supporting commercial activities. We may not be successful in such a transition. Accordingly, we may not be able to generate sufficient revenue through the sale of tildacerfont to continue our business.</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encounter difficulties enrolling patients in our clinical trials, our clinical development activities could be delayed or otherwise adversely affected.*</w:t>
      </w:r>
    </w:p>
    <w:p>
      <w:pPr>
        <w:spacing w:after="0" w:line="152"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We may not be able to initiate or continue our clinical trials for tildacerfont and any future product candidates if we are unable to identify and enroll a sufficient number of eligible patients to participate in these trials as required by the FDA and comparable foreign regulatory authorities. Patient enrollment, a significant factor in the timing of clinical trials, is affected by many factors including the size and nature of the patient population, the proximity of patients to clinical sites, the eligibility criteria for the clinical trial, the design of the clinical trial, competing clinical trials, patient engagement, and clinicians’ and patients’ perceptions as to the potential advantages of the product candidate being studied in relation to other available therapies, including any new drugs that may be approved for the indications we are investigating.</w:t>
      </w:r>
    </w:p>
    <w:p>
      <w:pPr>
        <w:spacing w:after="0" w:line="70"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In particular, each indication for which we are evaluating tildacerfont is a rare endocrine disorder with limited patient populations from which to draw participants in clinical trials. For example, we estimate the total classic CAH populations are approximately 20,000 to 30,000 people in the United States, approximately 50,000 people in the European Union ("EU") and approximately 145,000 people in China. We are and will be required to identify and enroll a sufficient number of patients with the disorder under investigation for our clinical trials of tildacerfont. Potential patients may not be adequately diagnosed or identified with the disorders which we are targeting or may not meet the entry criteria for our clinical trials. Additionally, other pharmaceutical companies with more resources and greater experience in drug development and commercialization are targeting these same endocrine disorders and are recruiting clinical trial patients from these patient populations, which may delay or make it more difficult to fully enroll our clinical trials. In addition, we have encountered difficulties in opening clinical trial sites and enrolling patients in our two</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ongoing Phase 2b clinical trials. Our inability to enroll a sufficient number of patients for any of our current or future clinical trials would result in significant delays or may require us to abandon one or more clinical trials altogether.</w:t>
      </w:r>
    </w:p>
    <w:p>
      <w:pPr>
        <w:spacing w:after="0" w:line="6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clinical trials may fail to adequately demonstrate the safety and efficacy of tildacerfont, which could prevent or delay regulatory approval and commercialization.</w:t>
      </w:r>
    </w:p>
    <w:p>
      <w:pPr>
        <w:spacing w:after="0" w:line="62"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Before obtaining regulatory approvals for the commercial sale of a product candidate, we must demonstrate through lengthy, complex, and expensive preclinical testing and clinical trials that a product candidate is both safe and effective for use in each target indication. Clinical trials often fail to demonstrate safety and efficacy of the product candidate studied for the target indication. Most product candidates that commence clinical trials are never approved by regulatory authorities for commercialization. We are seeking to develop treatments for rare endocrine disorders for which there is limited clinical experience, and our two ongoing Phase 2b clinical trials use novel endpoints that do not have regulatory precedent in classic CAH due to the lack of clinical trials in classic CAH, which add complexity to the conduct and analysis of data from our clinical trials and may delay or prevent regulatory approval. Additionally, any safety concerns observed in any one of our clinical trials in our targeted indications could limit the prospects for regulatory approval of tildacerfont in other indications.</w:t>
      </w:r>
    </w:p>
    <w:p>
      <w:pPr>
        <w:spacing w:after="0" w:line="8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Preclinical and clinical drug development involves a lengthy and expensive process with uncertain outcomes, and results of earlier studies and trials may not be predictive of future trial results. We may incur additional costs or experience delays in completing, or ultimately be unable to complete, the development and commercialization of tildacerfont and any future product candidates.*</w:t>
      </w:r>
    </w:p>
    <w:p>
      <w:pPr>
        <w:spacing w:after="0" w:line="57"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Preclinical and clinical testing is expensive and can take many years to complete, and its outcome is inherently uncertain. A failure of one or more preclinical or clinical trials can occur at any stage of testing. The results of preclinical studies and early clinical trials of tildacerfont may not be predictive of the results of later-stage clinical trials. Product candidates in later stages of clinical trials may fail to show the desired safety and efficacy traits despite having progressed through preclinical studies and initial clinical trials. For example, tildacerfont has not yet been evaluated in pediatric patients with classic CAH, and the results may not be similar to the results observed in clinical trials of adult patients. In addition, we intend to use doses in our two Phase 2b clinical trials that may not be safe or efficacious doses. As such, our hypotheses of efficacy may not show the desired clinical results. A number of companies in the biopharmaceutical industry have suffered significant setbacks in advanced clinical trials due to lack of efficacy or safety profiles, notwithstanding promising results in earlier trials. Moreover, preclinical and clinical data is often susceptible to varying interpretations and analyses. We may face significant setbacks as we conduct our two Phase 2b clinical trials in adult patients with classic CAH, which may delay or prevent regulatory approval of tildacerfont.</w:t>
      </w:r>
    </w:p>
    <w:p>
      <w:pPr>
        <w:spacing w:after="0" w:line="86" w:lineRule="exact"/>
        <w:rPr>
          <w:sz w:val="20"/>
          <w:szCs w:val="20"/>
          <w:color w:val="auto"/>
        </w:rPr>
      </w:pPr>
    </w:p>
    <w:p>
      <w:pPr>
        <w:ind w:right="380" w:firstLine="509"/>
        <w:spacing w:after="0" w:line="263" w:lineRule="auto"/>
        <w:rPr>
          <w:sz w:val="20"/>
          <w:szCs w:val="20"/>
          <w:color w:val="auto"/>
        </w:rPr>
      </w:pPr>
      <w:r>
        <w:rPr>
          <w:rFonts w:ascii="Arial" w:cs="Arial" w:eastAsia="Arial" w:hAnsi="Arial"/>
          <w:sz w:val="18"/>
          <w:szCs w:val="18"/>
          <w:color w:val="auto"/>
        </w:rPr>
        <w:t>Further, if patients drop out of our clinical trials, miss scheduled doses or follow-up visits, or otherwise fail to follow clinical trial protocols, the integrity of data from our clinical trials may be compromised or not accepted by the FDA or other regulatory authorities, which would represent a significant setback for the applicable program.</w:t>
      </w:r>
    </w:p>
    <w:p>
      <w:pPr>
        <w:spacing w:after="0" w:line="7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Any delays in the commencement or completion, or termination or suspension, of our clinical trials could result in increased costs to us, delay or limit our ability to generate revenue, and adversely affect our commercial prospects.*</w:t>
      </w:r>
    </w:p>
    <w:p>
      <w:pPr>
        <w:spacing w:after="0" w:line="62"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Before we can initiate clinical trials for tildacerfont or any future product candidates, we must submit the results of preclinical studies to the FDA, or comparable foreign regulatory authorities, along with other information, including information about chemistry, manufacturing and controls, and our proposed clinical trial protocol, as part of an IND or similar regulatory filing under which we must receive authorization to proceed with clinical development.</w:t>
      </w:r>
    </w:p>
    <w:p>
      <w:pPr>
        <w:spacing w:after="0" w:line="79"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Before obtaining marketing approval from regulatory authorities for the sale of tildacerfont or any future product candidates, we must conduct extensive clinical trials to demonstrate the safety and efficacy of tildacerfont and any future product candidates in humans. Clinical testing is expensive, time-consuming, and uncertain as to outcome. In addition, we may rely in part on preclinical, clinical and quality data generated by clinical research organizations ("CROs") and other third parties for regulatory submissions for tildacerfont and any future product candidates. While we have or will have agreements governing these third parties’ services, we have limited influence over their actual performance. If these third parties do not make data available to us, or, if applicable, do not make regulatory submissions in a timely manner, in each case pursuant to our agreements with them, our development programs may be significantly delayed, and we may need to conduct additional clinical trials or collect additional data independently. In either case, our development costs would increase.</w:t>
      </w:r>
    </w:p>
    <w:p>
      <w:pPr>
        <w:spacing w:after="0" w:line="84"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We do not know whether our current or any future clinical trials will begin on time or be completed on schedule, if at all. The commencement and completion of clinical trials can be delayed for a number of reasons, including delays related to:</w:t>
      </w:r>
    </w:p>
    <w:p>
      <w:pPr>
        <w:spacing w:after="0" w:line="62" w:lineRule="exact"/>
        <w:rPr>
          <w:sz w:val="20"/>
          <w:szCs w:val="20"/>
          <w:color w:val="auto"/>
        </w:rPr>
      </w:pPr>
    </w:p>
    <w:p>
      <w:pPr>
        <w:ind w:left="1020" w:right="800" w:hanging="503"/>
        <w:spacing w:after="0" w:line="342"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failure to accept our proposed manufacturing processes and suppliers and/or requirement to provide additional information regarding our manufacturing processes before providing marketing authorization;</w:t>
      </w:r>
    </w:p>
    <w:p>
      <w:pPr>
        <w:spacing w:after="0" w:line="15" w:lineRule="exact"/>
        <w:rPr>
          <w:rFonts w:ascii="Arial" w:cs="Arial" w:eastAsia="Arial" w:hAnsi="Arial"/>
          <w:sz w:val="16"/>
          <w:szCs w:val="16"/>
          <w:color w:val="auto"/>
        </w:rPr>
      </w:pPr>
    </w:p>
    <w:p>
      <w:pPr>
        <w:ind w:left="1020" w:right="8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regulatory authorizations to commence a clinical trial or reaching a consensus with regulatory authorities on clinical trial design or implementation;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left="1020" w:right="24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failure or delay in reaching an agreement with CROs and clinical trial sites, the terms of which can be subject to extensive negotiation and may vary significantly among different CROs and clinical trial sites;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approval from one or more institutional review boards ("IRBs") or Ethics Committees ("ECs");</w:t>
      </w:r>
    </w:p>
    <w:p>
      <w:pPr>
        <w:spacing w:after="0" w:line="117" w:lineRule="exact"/>
        <w:rPr>
          <w:rFonts w:ascii="Arial" w:cs="Arial" w:eastAsia="Arial" w:hAnsi="Arial"/>
          <w:sz w:val="18"/>
          <w:szCs w:val="18"/>
          <w:color w:val="auto"/>
        </w:rPr>
      </w:pPr>
    </w:p>
    <w:p>
      <w:pPr>
        <w:ind w:left="1020" w:right="26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IRBs or ECs refusing to approve, suspending or terminating the clinical trial at an investigational site, precluding enrollment of additional subjects, or withdrawing their approval of the clinical trial;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to clinical trial protocols and related operationalization of such changes at clinical trial sites;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selection of clinical endpoints that require prolonged periods of clinical observation or analysis of the resulting data;</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acceptance by the FDA and EMA of the clinical trial design of our planned and ongoing clinical trials of tildacerfont;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sites not timely activating, delaying screening activities, or deviating from clinical trial protocols;</w:t>
      </w:r>
    </w:p>
    <w:p>
      <w:pPr>
        <w:spacing w:after="0" w:line="117"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manufacturing sufficient quantities of tildacerfont or any future product candidates or obtaining sufficient quantities of combination therapies for use in clinical trials;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subjects failing to enroll or remain in our trials at the rate we expect, or failing to return for post-treatment follow-up;</w:t>
      </w:r>
    </w:p>
    <w:p>
      <w:pPr>
        <w:spacing w:after="0" w:line="117" w:lineRule="exact"/>
        <w:rPr>
          <w:rFonts w:ascii="Arial" w:cs="Arial" w:eastAsia="Arial" w:hAnsi="Arial"/>
          <w:sz w:val="18"/>
          <w:szCs w:val="18"/>
          <w:color w:val="auto"/>
        </w:rPr>
      </w:pPr>
    </w:p>
    <w:p>
      <w:pPr>
        <w:ind w:left="1020" w:right="12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subjects choosing an alternative treatment for the indications for which we are developing tildacerfont and any future product candidates, or participating in competing clinical trials;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lack of subject engagement in the clinical trials or subjects dropping out of a clinical trial;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subjects experiencing severe or unexpected drug-related adverse effects;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occurrence of SAEs in clinical trials of the same class of agents conducted by other companies;</w:t>
      </w:r>
    </w:p>
    <w:p>
      <w:pPr>
        <w:spacing w:after="0" w:line="117" w:lineRule="exact"/>
        <w:rPr>
          <w:rFonts w:ascii="Arial" w:cs="Arial" w:eastAsia="Arial" w:hAnsi="Arial"/>
          <w:sz w:val="18"/>
          <w:szCs w:val="18"/>
          <w:color w:val="auto"/>
        </w:rPr>
      </w:pPr>
    </w:p>
    <w:p>
      <w:pPr>
        <w:ind w:left="1020" w:right="260" w:hanging="503"/>
        <w:spacing w:after="0" w:line="286" w:lineRule="auto"/>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facility manufacturing tildacerfont or any of its components being ordered by the FDA or comparable foreign regulatory authorities to temporarily or permanently shut down due to violations of current good manufacturing practice ("cGMP"), regulations or other applicable requirements, or infections or cross-contaminations of tildacerfont in the manufacturing process;</w:t>
      </w:r>
    </w:p>
    <w:p>
      <w:pPr>
        <w:spacing w:after="0" w:line="57" w:lineRule="exact"/>
        <w:rPr>
          <w:rFonts w:ascii="Arial" w:cs="Arial" w:eastAsia="Arial" w:hAnsi="Arial"/>
          <w:sz w:val="17"/>
          <w:szCs w:val="17"/>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changes to our manufacturing process, suppliers or formulation that may be necessary or desired;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third-party vendors not performing manufacturing and distribution services in a timely manner or to sufficient quality standards;</w:t>
      </w:r>
    </w:p>
    <w:p>
      <w:pPr>
        <w:spacing w:after="0" w:line="117" w:lineRule="exact"/>
        <w:rPr>
          <w:rFonts w:ascii="Arial" w:cs="Arial" w:eastAsia="Arial" w:hAnsi="Arial"/>
          <w:sz w:val="18"/>
          <w:szCs w:val="18"/>
          <w:color w:val="auto"/>
        </w:rPr>
      </w:pPr>
    </w:p>
    <w:p>
      <w:pPr>
        <w:ind w:left="1020" w:right="260" w:hanging="503"/>
        <w:spacing w:after="0" w:line="342" w:lineRule="auto"/>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third-party clinical investigators losing the licenses or permits necessary to perform our clinical trials, not performing our clinical trials on our anticipated schedule or consistent with the clinical trial protocol, good clinical practice ("GCP"), or other regulatory requirements;</w:t>
      </w:r>
    </w:p>
    <w:p>
      <w:pPr>
        <w:spacing w:after="0" w:line="15" w:lineRule="exact"/>
        <w:rPr>
          <w:rFonts w:ascii="Arial" w:cs="Arial" w:eastAsia="Arial" w:hAnsi="Arial"/>
          <w:sz w:val="16"/>
          <w:szCs w:val="16"/>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third-party contractors not performing data collection or analysis in a timely or accurate manner;</w:t>
      </w:r>
    </w:p>
    <w:p>
      <w:pPr>
        <w:spacing w:after="0" w:line="117"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 or</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impacts of the COVID-19 pandemic on our ongoing and planned clinical trials.</w:t>
      </w:r>
    </w:p>
    <w:p>
      <w:pPr>
        <w:spacing w:after="0" w:line="117"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We could also encounter delays if a clinical trial is suspended or terminated by us, by the IRBs or ECs of the institutions in which such trials are being conducted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have amended, and may need to further amend, clinical trial protocols to comply with these changes. Amendments may require us to resubmit our clinical trial protocols to IRBs for reexamination, which may impact the costs, timing, or successful completion of a clinical trial.</w:t>
      </w:r>
    </w:p>
    <w:p>
      <w:pPr>
        <w:spacing w:after="0" w:line="70"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Further, conducting clinical trials in foreign countries, which we are doing for tildacerfont and may do for any future product candidates, presents additional risks that may delay completion of our clinical trials. These risks include the failure of enrolled patients in foreign countries to adhere to clinical protocol as a result of differences in healthcare services or cultural customs, managing</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additional administrative burdens associated with foreign regulatory schemes, as well as political and economic risks relevant to such foreign countries.</w:t>
      </w:r>
    </w:p>
    <w:p>
      <w:pPr>
        <w:spacing w:after="0" w:line="140" w:lineRule="exact"/>
        <w:rPr>
          <w:sz w:val="20"/>
          <w:szCs w:val="20"/>
          <w:color w:val="auto"/>
        </w:rPr>
      </w:pPr>
    </w:p>
    <w:p>
      <w:pPr>
        <w:ind w:right="120" w:firstLine="509"/>
        <w:spacing w:after="0" w:line="272" w:lineRule="auto"/>
        <w:rPr>
          <w:sz w:val="20"/>
          <w:szCs w:val="20"/>
          <w:color w:val="auto"/>
        </w:rPr>
      </w:pPr>
      <w:r>
        <w:rPr>
          <w:rFonts w:ascii="Arial" w:cs="Arial" w:eastAsia="Arial" w:hAnsi="Arial"/>
          <w:sz w:val="17"/>
          <w:szCs w:val="17"/>
          <w:color w:val="auto"/>
        </w:rPr>
        <w:t>Moreover, principal investigators for our clinical trials may serve and have served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tildacerfont.</w:t>
      </w:r>
    </w:p>
    <w:p>
      <w:pPr>
        <w:spacing w:after="0" w:line="69"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If we experience delays in the completion of, or termination of, any clinical trial of tildacerfont or any future product candidates, the commercial prospect of tildacerfont or any future product candidates will be harmed, and our ability to generate product revenue will be delayed. Moreover, any delays in completing our clinical trials will increase our costs, slow down our product candidate development and approval process and jeopardize our ability to commence product sales and generate revenue. In addition, many of the factors that cause, or lead to, termination or suspension of, or a delay in the commencement or completion of, clinical trials may also ultimately lead to the denial of regulatory approval of tildacerfont or any future product candidates. Further, delays to our clinical trials that occur as a result could shorten any period during which we may have the exclusive right to commercialize tildacerfont and our competitors may be able to bring products to market before we do, and the commercial viability of tildacerfont could be significantly reduced. Any of these occurrences may harm our business, financial condition, and prospects significantly.</w:t>
      </w:r>
    </w:p>
    <w:p>
      <w:pPr>
        <w:spacing w:after="0" w:line="7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Tildacerfont is, and any future product candidates will be, subject to extensive regulation and compliance obligations, which are costly and time-consuming, and such regulation may cause unanticipated delays or prevent the receipt of the required approvals to commercialize tildacerfont and any future product candidates.*</w:t>
      </w:r>
    </w:p>
    <w:p>
      <w:pPr>
        <w:spacing w:after="0" w:line="76"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The clinical development, manufacturing, labeling, storage, record-keeping, advertising, promotion, import, export, marketing, and distribution of tildacerfont is subject to extensive regulation by the FDA in the United States and by comparable foreign regulatory authorities in foreign markets. In the United States, we are not permitted to market tildacerfont and any future product candidates until we receive regulatory approval from the FDA. The process of obtaining regulatory approval is expensive, often takes many years following the commencement of clinical trials and can vary substantially based upon the type, complexity, and novelty of the product candidates involved, as well as the target indications and patient population. Approval policies or regulations may change, and the FDA has substantial discretion in the drug approval process, including the ability to delay, limit, or deny approval of a product candidate for many reasons. Despite the time and expense invested in clinical development of product candidates, regulatory approval is never guaranteed. Neither we nor any future collaborator is permitted to market tildacerfont and any future product candidates in the United States until we receive approval of an NDA from the FDA. We have not previously submitted an NDA to the FDA, or similar drug approval filings to comparable foreign authorities.</w:t>
      </w:r>
    </w:p>
    <w:p>
      <w:pPr>
        <w:spacing w:after="0" w:line="86"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Prior to obtaining approval to commercialize a product candidate in the United States or in foreign markets, we must demonstrate with substantial evidence from adequate and well-controlled clinical trials, and to the satisfaction of the FDA or comparable foreign regulatory authorities, that such product candidates are safe and effective for their intended uses. Results from non-clinical studies and clinical trials can be interpreted in different ways. Even if we believe the non-clinical or clinical data for tildacerfont are promising, such data may not be sufficient to support approval by the FDA and comparable foreign regulatory authorities. The FDA or comparable foreign regulatory authorities, as the case may be, may also require us to conduct additional preclinical studies or clinical trials for tildacerfont and any future product candidates either prior to or post-approval, or may object to elements of our clinical development program.</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Tildacerfont and any future product candidates could fail to receive regulatory approval for many reasons, including the following:</w:t>
      </w:r>
    </w:p>
    <w:p>
      <w:pPr>
        <w:spacing w:after="0" w:line="117" w:lineRule="exact"/>
        <w:rPr>
          <w:sz w:val="20"/>
          <w:szCs w:val="20"/>
          <w:color w:val="auto"/>
        </w:rPr>
      </w:pPr>
    </w:p>
    <w:p>
      <w:pPr>
        <w:ind w:left="1020" w:right="16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serious and unexpected drug-related side effects may be experienced by participants in our clinical trials or by people using drugs similar to tildacerfont and any future product candidates;</w:t>
      </w:r>
    </w:p>
    <w:p>
      <w:pPr>
        <w:spacing w:after="0" w:line="62" w:lineRule="exact"/>
        <w:rPr>
          <w:rFonts w:ascii="Arial" w:cs="Arial" w:eastAsia="Arial" w:hAnsi="Arial"/>
          <w:sz w:val="18"/>
          <w:szCs w:val="18"/>
          <w:color w:val="auto"/>
        </w:rPr>
      </w:pPr>
    </w:p>
    <w:p>
      <w:pPr>
        <w:ind w:left="1020" w:right="14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assure safety in the full population for which we seek approval;</w:t>
      </w:r>
    </w:p>
    <w:p>
      <w:pPr>
        <w:spacing w:after="0" w:line="62" w:lineRule="exact"/>
        <w:rPr>
          <w:rFonts w:ascii="Arial" w:cs="Arial" w:eastAsia="Arial" w:hAnsi="Arial"/>
          <w:sz w:val="18"/>
          <w:szCs w:val="18"/>
          <w:color w:val="auto"/>
        </w:rPr>
      </w:pPr>
    </w:p>
    <w:p>
      <w:pPr>
        <w:ind w:left="1020" w:right="18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not accept clinical data from trials which are conducted at clinical facilities or in countries where the standard of care is potentially different from that of the United States;</w:t>
      </w:r>
    </w:p>
    <w:p>
      <w:pPr>
        <w:spacing w:after="0" w:line="62" w:lineRule="exact"/>
        <w:rPr>
          <w:rFonts w:ascii="Arial" w:cs="Arial" w:eastAsia="Arial" w:hAnsi="Arial"/>
          <w:sz w:val="18"/>
          <w:szCs w:val="18"/>
          <w:color w:val="auto"/>
        </w:rPr>
      </w:pPr>
    </w:p>
    <w:p>
      <w:pPr>
        <w:ind w:left="1020" w:right="14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any of its proposed indications;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left="102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interpretation of data from preclinical studies or clinical trials;</w:t>
      </w:r>
    </w:p>
    <w:p>
      <w:pPr>
        <w:spacing w:after="0" w:line="140" w:lineRule="exact"/>
        <w:rPr>
          <w:rFonts w:ascii="Arial" w:cs="Arial" w:eastAsia="Arial" w:hAnsi="Arial"/>
          <w:sz w:val="16"/>
          <w:szCs w:val="16"/>
          <w:color w:val="auto"/>
        </w:rPr>
      </w:pPr>
    </w:p>
    <w:p>
      <w:pPr>
        <w:ind w:left="1020" w:hanging="503"/>
        <w:spacing w:after="0" w:line="259"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data collected from clinical trials of tildacerfont and any future product candidates may not be sufficient to satisfy the FDA or comparable foreign regulatory authorities to support the submission of an NDA or other comparable submissions in foreign jurisdictions or to obtain regulatory approval in the United States or elsewhere, requiring, in the case of adult patients with classic CAH, additional clinical trials beyond our two ongoing Phase 2b clinical trials prior to any such approval;</w:t>
      </w:r>
    </w:p>
    <w:p>
      <w:pPr>
        <w:spacing w:after="0" w:line="78" w:lineRule="exact"/>
        <w:rPr>
          <w:rFonts w:ascii="Arial" w:cs="Arial" w:eastAsia="Arial" w:hAnsi="Arial"/>
          <w:sz w:val="18"/>
          <w:szCs w:val="18"/>
          <w:color w:val="auto"/>
        </w:rPr>
      </w:pPr>
    </w:p>
    <w:p>
      <w:pPr>
        <w:ind w:left="1020" w:right="94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62"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62"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Any of the above events could prevent us from achieving market approval of tildacerfont or any future product candidates and could substantially increase the costs of commercializing tildacerfont or any future product candidates. The demand for tildacerfont or any future product candidates could also be negatively impacted by any adverse effects of a competitor’s product or treatment.</w:t>
      </w:r>
    </w:p>
    <w:p>
      <w:pPr>
        <w:spacing w:after="0" w:line="76" w:lineRule="exact"/>
        <w:rPr>
          <w:sz w:val="20"/>
          <w:szCs w:val="20"/>
          <w:color w:val="auto"/>
        </w:rPr>
      </w:pPr>
    </w:p>
    <w:p>
      <w:pPr>
        <w:jc w:val="both"/>
        <w:ind w:right="60" w:firstLine="509"/>
        <w:spacing w:after="0" w:line="259" w:lineRule="auto"/>
        <w:rPr>
          <w:sz w:val="20"/>
          <w:szCs w:val="20"/>
          <w:color w:val="auto"/>
        </w:rPr>
      </w:pPr>
      <w:r>
        <w:rPr>
          <w:rFonts w:ascii="Arial" w:cs="Arial" w:eastAsia="Arial" w:hAnsi="Arial"/>
          <w:sz w:val="18"/>
          <w:szCs w:val="18"/>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tildacerfont and any future product candidates, which would significantly harm our business, financial condition, results of operations, and prospects.</w:t>
      </w:r>
    </w:p>
    <w:p>
      <w:pPr>
        <w:spacing w:after="0" w:line="79"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Even if we eventually complete clinical trials and receive approval of an NDA or foreign marketing application for tildacerfont and any future product candidates, the FDA or comparable foreign regulatory authority may grant approval contingent on the performance of costly additional clinical trials, including Phase 4 clinical trials, and/or the implementation of a risk evaluation and mitigation strategy ("REMS") which may be required to ensure safe use of the drug after approval. The FDA or the comparable foreign regulatory authority also may approve a product candidate for a more limited indication or patient population than we originally requested, and the FDA or comparable foreign regulatory authority may not approve the labeling that we believe is necessary or desirable for the successful commercialization of a product. Any delay in obtaining, or inability to obtain, applicable regulatory approval would delay or prevent commercialization of that product candidate and would materially adversely impact our business and prospects.</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Unfavorable U.S. and global economic conditions could adversely affect our business, financial condition or results of operations.*</w:t>
      </w:r>
    </w:p>
    <w:p>
      <w:pPr>
        <w:spacing w:after="0" w:line="129"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Our results of operations could be adversely affected by general conditions in the U.S. and global economies, the U.S. and global financial markets and adverse geopolitical and macroeconomic developments. U.S. and global market and economic conditions have been, and may continue to be, disrupted and volatile due to many factors, including component shortages and related supply chain challenges, the COVID-19 pandemic, the conflict between Ukraine and Russia and related sanctions, recent and potential future disruptions in access to bank deposits or lending commitments due to bank failures, and increasing inflation rates and the responses by central banking authorities to control such inflation, among others. General business and economic conditions that could affect our business, financial condition or results of operations include fluctuations in economic growth, debt and equity capital markets, liquidity of the global financial markets, access to our liquidity within the U.S. banking system, the availability and cost of credit, investor and consumer confidence, and the strength of the economies in which we, our manufacturers and our suppliers operate.</w:t>
      </w:r>
    </w:p>
    <w:p>
      <w:pPr>
        <w:spacing w:after="0" w:line="57"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A severe or prolonged global economic downturn could result in a variety of risks to our business. For example, inflation rates, particularly in the United States, have increased recently to levels not seen in years, and increased inflation may result in increases in our operating costs (including our labor costs), reduced liquidity and limits on our ability to access credit or otherwise raise capital on acceptable terms, if at all. In addition, the U.S. Federal Reserve has raised, and may again raise, interest rates in response to concerns about inflation, which, coupled with reduced government spending and volatility in financial markets may have the effect of further increasing economic uncertainty and heightening these risks. Risks of a prolonged global economic downturn are particularly true in Europe, which is undergoing a continued severe economic crisis. A weak or declining economy could also strain our suppliers and manufacturers, possibly resulting in supply disruption. Any of the foregoing could harm our business and we cannot anticipate all of the ways in which the current economic climate and financial market conditions could adversely impact our business.</w:t>
      </w:r>
    </w:p>
    <w:p>
      <w:pPr>
        <w:spacing w:after="0" w:line="57" w:lineRule="exact"/>
        <w:rPr>
          <w:sz w:val="20"/>
          <w:szCs w:val="20"/>
          <w:color w:val="auto"/>
        </w:rPr>
      </w:pPr>
    </w:p>
    <w:p>
      <w:pPr>
        <w:ind w:right="840" w:firstLine="509"/>
        <w:spacing w:after="0" w:line="308" w:lineRule="auto"/>
        <w:rPr>
          <w:sz w:val="20"/>
          <w:szCs w:val="20"/>
          <w:color w:val="auto"/>
        </w:rPr>
      </w:pPr>
      <w:r>
        <w:rPr>
          <w:rFonts w:ascii="Arial" w:cs="Arial" w:eastAsia="Arial" w:hAnsi="Arial"/>
          <w:sz w:val="17"/>
          <w:szCs w:val="17"/>
          <w:color w:val="auto"/>
        </w:rPr>
        <w:t>We have a banking relationship with SVB. SVB was closed on March 10, 2023 by the California Department of Financial Protection and Innovation, which appointed the FDIC as receiver. On March 12, 2023, the U.S. Treasury, Federal Reserve, and FDIC</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announced that SVB depositors will have access to all of their money starting March 13, 2023. On March 27, 2023, First Citizens Bank and Trust Company announced that it entered into an agreement with the FDIC to purchase out of FDIC receivership substantially all loans and certain other assets, and assume all customer deposits and certain other liabilities of Silicon Valley Bridge Bank, N.A. While we have not experienced any losses in such accounts, the recent failure of SVB potentially exposed us to significant credit risk prior to the completion by the FDIC of the resolution of SVB in a manner that fully protected all depositors. We are assessing how to prevent this exposure in the future, however, any potential future disruptions in access to bank deposits or lending commitments due to bank failures may expose us to significant credit risk.</w:t>
      </w:r>
    </w:p>
    <w:p>
      <w:pPr>
        <w:spacing w:after="0" w:line="70"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In addition,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69" w:lineRule="exact"/>
        <w:rPr>
          <w:sz w:val="20"/>
          <w:szCs w:val="20"/>
          <w:color w:val="auto"/>
        </w:rPr>
      </w:pPr>
    </w:p>
    <w:p>
      <w:pPr>
        <w:ind w:right="20" w:firstLine="509"/>
        <w:spacing w:after="0" w:line="287" w:lineRule="auto"/>
        <w:rPr>
          <w:sz w:val="20"/>
          <w:szCs w:val="20"/>
          <w:color w:val="auto"/>
        </w:rPr>
      </w:pPr>
      <w:r>
        <w:rPr>
          <w:rFonts w:ascii="Arial" w:cs="Arial" w:eastAsia="Arial" w:hAnsi="Arial"/>
          <w:sz w:val="16"/>
          <w:szCs w:val="16"/>
          <w:color w:val="auto"/>
        </w:rPr>
        <w:t>Additionally, financial markets around the world experienced volatility following the recent invasion of Ukraine by Russia. In response to the invasion, the United States, United Kingdom and EU, along with others, imposed significant new sanctions and export controls against Russia, Russian banks and certain Russian individuals and may implement additional sanctions or take further punitive actions in the future. The full economic and social impact of the sanctions imposed on Russia (as well as possible future punitive measures that may be implemented), as well as the counter measures imposed by Russia, in addition to the ongoing military conflict between Ukraine and Russia and related sanctions, which could conceivably expand into the surrounding region, remains uncertain; however, both the conflict and related sanctions have resulted and could continue to result in disruptions to trade, commerce, pricing stability, credit availability, supply chain continuity and reduced access to liquidity in both Europe and globally, and has introduced significant uncertainty into global markets. In particular, the ongoing Russia-Ukraine conflict and related sanctions has contributed to rapidly rising costs of living (driven largely by higher energy prices) in Europe and other advanced economies. Further, a weak or declining economy could strain our suppliers and manufacturers. As a result, our business and results of operations may be adversely affected by the ongoing conflict between Ukraine and Russia and related sanctions, particularly to the extent it escalates to involve additional countries, further economic sanctions or wider military conflict.</w:t>
      </w:r>
    </w:p>
    <w:p>
      <w:pPr>
        <w:spacing w:after="0" w:line="64"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8"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different conclusions or considerations may qualify such results, once additional data have been received and fully evaluated. Interim, topline, and preliminary data also remain subject to audit and verification procedures that may result in the final data being materially different from the preliminary data we previously published. As a result, such data should be viewed with caution until the final data are available. Adverse differences between preliminary, interim, or topline data and final data could significantly harm our business prospects.</w:t>
      </w:r>
    </w:p>
    <w:p>
      <w:pPr>
        <w:spacing w:after="0" w:line="5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interim, topline, or preliminary data that we report differ from actual results, or if others, including regulatory authorities, disagree with the conclusions reached, our ability to obtain approval for, and commercialize, tildacerfont and any future product candidates may be harmed, which could harm our business, operating results, prospects, or financial condition.</w:t>
      </w:r>
    </w:p>
    <w:p>
      <w:pPr>
        <w:spacing w:after="0" w:line="7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tildacerfont and any future product candidates are smaller than we believe they are, our future revenue may be adversely affected, and our business may suffer.*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40" w:firstLine="509"/>
        <w:spacing w:after="0" w:line="285" w:lineRule="auto"/>
        <w:rPr>
          <w:sz w:val="20"/>
          <w:szCs w:val="20"/>
          <w:color w:val="auto"/>
        </w:rPr>
      </w:pPr>
      <w:r>
        <w:rPr>
          <w:rFonts w:ascii="Arial" w:cs="Arial" w:eastAsia="Arial" w:hAnsi="Arial"/>
          <w:sz w:val="16"/>
          <w:szCs w:val="16"/>
          <w:color w:val="auto"/>
        </w:rPr>
        <w:t>If the size of the market opportunities in each of our target indications for tildacerfont and any future product candidates is smaller than we anticipate, we may not be able to achieve profitability and growth. We focus our clinical development of tildacerfont on treatments for rare endocrine disorders with relatively small patient populations. For example, we believe that tildacerfont has the potential to bring therapeutic benefit to patients suffering from endocrine disorders where the underlying pathophysiology supports a need to reduce excess secretion of or hyperresponsiveness to adrenocorticotropic hormone ("ACTH"), including, but not limited to, non-classic CAH and a subpopulation of females with PCOS due to adrenal hyperandrogenism. Given the relatively small number of patients who have the disorders that we are targeting and intend to target with tildacerfont, it is critical to our ability to grow and become profitable that we continue to successfully identify patients with these rare endocrine disorders. In addition, our estimates of the patient populations for our target indications have been derived from a variety of sources, including scientific literature, surveys of clinics, patient foundations, and market research, and may prove to be incorrect. Further, new studies may change the estimated incidence or prevalence of these disorders. The number of patients may turn out to be lower than expected. The effort to identify patients with diseases we seek to treat is in early stages, and we cannot accurately predict the number of patients for whom treatment might be possible. For example, while classic CAH is usually detected at birth through required newborn screening programs in most developed countries, new patients may become increasingly difficult to identify or gain access to, which would adversely affect our results of operations and our business. In addition, the potentially addressable patient population for classic CAH may be limited or may not be amenable to treatment with tildacerfont, if approved. Further, even if we obtain significant market share for tildacerfont in classic CAH, we may never achieve profitability despite obtaining such significant market share, as other pharmaceutical companies with more resources and greater experience in drug development and commercialization are targeting this same endocrine disorder.</w:t>
      </w:r>
    </w:p>
    <w:p>
      <w:pPr>
        <w:spacing w:after="0" w:line="68"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b w:val="1"/>
          <w:bCs w:val="1"/>
          <w:i w:val="1"/>
          <w:iCs w:val="1"/>
          <w:color w:val="auto"/>
        </w:rPr>
        <w:t>We may not be successful in our efforts to expand our pipeline by identifying additional indications and formulations for which to investigate tildacerfont in the future. We may expend our limited resources to pursue a particular indication or formulation for tildacerfont and fail to capitalize on product candidates, indications, or formulations that may be more profitable or for which there is a greater likelihood of success.</w:t>
      </w:r>
    </w:p>
    <w:p>
      <w:pPr>
        <w:spacing w:after="0" w:line="41"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Because we have limited financial and managerial resources, we are focused on specific indications and formulations for tildacerfont. As a result, we may fail to generate additional clinical development opportunities for tildacerfont for a number of reasons, including, tildacerfont may in certain indications, on further study, be shown to have harmful side effects, limited to no efficacy, or other characteristics that suggest it is unlikely to receive marketing approval and achieve market acceptance in such additional indications.</w:t>
      </w:r>
    </w:p>
    <w:p>
      <w:pPr>
        <w:spacing w:after="0" w:line="79" w:lineRule="exact"/>
        <w:rPr>
          <w:sz w:val="20"/>
          <w:szCs w:val="20"/>
          <w:color w:val="auto"/>
        </w:rPr>
      </w:pPr>
    </w:p>
    <w:p>
      <w:pPr>
        <w:ind w:right="80" w:firstLine="509"/>
        <w:spacing w:after="0" w:line="289" w:lineRule="auto"/>
        <w:rPr>
          <w:sz w:val="20"/>
          <w:szCs w:val="20"/>
          <w:color w:val="auto"/>
        </w:rPr>
      </w:pPr>
      <w:r>
        <w:rPr>
          <w:rFonts w:ascii="Arial" w:cs="Arial" w:eastAsia="Arial" w:hAnsi="Arial"/>
          <w:sz w:val="16"/>
          <w:szCs w:val="16"/>
          <w:color w:val="auto"/>
        </w:rPr>
        <w:t>We are conducting and plan to conduct several clinical trials for tildacerfont in parallel over the next several years, including multiple clinical trials in adult and pediatric patients with classic CAH and in a subpopulation of females with PCOS. As a result, we may forgo or delay pursuit of opportunities with other indications that could have had greater commercial potential or likelihood of success. However, we may focus on or pursue one or more of our target indications over other potential indications and such development efforts may not be successful, which would cause us to delay the clinical development and approval of tildacerfont. Furthermore, research programs to identify additional indications for tildacerfont require substantial technical, financial, and human resources. We may also pursue additional formulations for tildacerfont, including transitioning from a tablet formulation to a granulate formulation or oral suspension. However, we may not successfully develop these additional formulations for chemistry-related, stability-related, or other reasons. Our resource allocation decisions may cause us to fail to capitalize on viable commercial products or profitable market opportunities. Our spending on current and future research and development programs for specific indications may not yield any commercially viable products.</w:t>
      </w:r>
    </w:p>
    <w:p>
      <w:pPr>
        <w:spacing w:after="0" w:line="58"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Additionally, we may pursue additional in-licenses or acquisitions of development-stage assets or programs, which entails additional risk to us. Identifying, selecting and acquiring promising product candidates requires substantial technical, financial, and human resources expertise. Efforts to do so may not result in the actual acquisition or license of a particular product candidate, potentially resulting in a diversion of our management’s time and the expenditure of our resources with no resulting benefit.</w:t>
      </w:r>
    </w:p>
    <w:p>
      <w:pPr>
        <w:spacing w:after="0" w:line="79"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For example, if we are unable to identify programs that ultimately result in approved products, we may spend material amounts of our capital and other resources evaluating, acquiring and developing products that ultimately do not provide a return on our investment.</w:t>
      </w:r>
    </w:p>
    <w:p>
      <w:pPr>
        <w:spacing w:after="0" w:line="6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for a product candidate in one jurisdiction does not mean that we will be successful in obtaining regulatory approval for that product candidate in other jurisdictions.*</w:t>
      </w:r>
    </w:p>
    <w:p>
      <w:pPr>
        <w:spacing w:after="0" w:line="62"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Obtaining and maintaining regulatory approval for a product candidate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for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other jurisdictions. In many jurisdictions outside the United States, including a number of countries in the EU, a product candidate must be approved for reimbursement before it can be approved for sale in that jurisdiction. In some cases, the price that we intend to charge for tildacerfont is also subject to approval.</w:t>
      </w:r>
    </w:p>
    <w:p>
      <w:pPr>
        <w:spacing w:after="0" w:line="76"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We expect to submit a Marketing Authorization Application ("MAA") to the EMA for approval of tildacerfont in the EU for the treatment of classic CAH. As with the FDA, obtaining approval of an MAA from the European Commission, which acts on the recommendation of the Committee for Medicinal Products for Human Use, is a similarly lengthy and expensive process and the EMA has its own procedures for assessing product candidates. Regulatory authorities in jurisdictions outside of the United States and the EU also have requirements for approval for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tildacerfont in certain countries. If we fail to comply with the regulatory requirements in international markets and/or receive applicable marketing approvals, our target market will be reduced and our ability to realize the full market potential of tildacerfont will be harmed, which would adversely affect our business, prospects, financial condition, and results of operations.</w:t>
      </w:r>
    </w:p>
    <w:p>
      <w:pPr>
        <w:spacing w:after="0" w:line="88"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b w:val="1"/>
          <w:bCs w:val="1"/>
          <w:i w:val="1"/>
          <w:iCs w:val="1"/>
          <w:color w:val="auto"/>
        </w:rPr>
        <w:t>We currently have no marketing and sales organization and have yet to commercialize a product. If we are unable to establish marketing and sales capabilities or enter into agreements with third parties to market and sell tildacerfont and any future product candidates, we may not be able to generate product revenues.</w:t>
      </w:r>
    </w:p>
    <w:p>
      <w:pPr>
        <w:spacing w:after="0" w:line="76" w:lineRule="exact"/>
        <w:rPr>
          <w:sz w:val="20"/>
          <w:szCs w:val="20"/>
          <w:color w:val="auto"/>
        </w:rPr>
      </w:pPr>
    </w:p>
    <w:p>
      <w:pPr>
        <w:ind w:right="240" w:firstLine="509"/>
        <w:spacing w:after="0" w:line="259" w:lineRule="auto"/>
        <w:rPr>
          <w:sz w:val="20"/>
          <w:szCs w:val="20"/>
          <w:color w:val="auto"/>
        </w:rPr>
      </w:pPr>
      <w:r>
        <w:rPr>
          <w:rFonts w:ascii="Arial" w:cs="Arial" w:eastAsia="Arial" w:hAnsi="Arial"/>
          <w:sz w:val="18"/>
          <w:szCs w:val="18"/>
          <w:color w:val="auto"/>
        </w:rPr>
        <w:t>We currently do not have a commercial organization for the marketing, sales, and distribution of pharmaceutical products. To commercialize tildacerfont and any future product candidates, we must build our marketing, sales, distribution, managerial and other non-technical capabilities or make arrangements with third parties to perform these services. We intend to build a highly specialized commercial organization to support the commercialization of tildacerfont, if approved, in the United States.</w:t>
      </w:r>
    </w:p>
    <w:p>
      <w:pPr>
        <w:spacing w:after="0" w:line="79" w:lineRule="exact"/>
        <w:rPr>
          <w:sz w:val="20"/>
          <w:szCs w:val="20"/>
          <w:color w:val="auto"/>
        </w:rPr>
      </w:pPr>
    </w:p>
    <w:p>
      <w:pPr>
        <w:ind w:right="120" w:firstLine="509"/>
        <w:spacing w:after="0" w:line="271" w:lineRule="auto"/>
        <w:rPr>
          <w:sz w:val="20"/>
          <w:szCs w:val="20"/>
          <w:color w:val="auto"/>
        </w:rPr>
      </w:pPr>
      <w:r>
        <w:rPr>
          <w:rFonts w:ascii="Arial" w:cs="Arial" w:eastAsia="Arial" w:hAnsi="Arial"/>
          <w:sz w:val="17"/>
          <w:szCs w:val="17"/>
          <w:color w:val="auto"/>
        </w:rPr>
        <w:t>The establishment and development of our own sales force or the establishment of a contract sales force to market tildacerfont and any future product candidates will be expensive and time-consuming and could delay any commercial launch. Moreover, we may not be able to successfully develop this capability. We will have to compete with other pharmaceutical and biotechnology companies to recruit, hire, train, and retain marketing and sales personnel. We also face competition in our search for third parties to assist us with the sales and marketing efforts of tildacerfont. To the extent we rely on third parties to commercialize tildacerfont, if approved, we may have little or no control over the marketing and sales efforts of such third parties and our revenues from product sales may be lower than if we had commercialized tildacerfont and any future product candidates ourselves. In the event we are unable to develop our own marketing and sales force or collaborate with a third-party marketing and sales organization, we would not be able to commercialize tildacerfont or any future product candidates.</w:t>
      </w:r>
    </w:p>
    <w:p>
      <w:pPr>
        <w:spacing w:after="0" w:line="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successful in attracting and retaining highly qualified personnel, we may not be able to successfully implement our business strategy.</w:t>
      </w:r>
    </w:p>
    <w:p>
      <w:pPr>
        <w:spacing w:after="0" w:line="62"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Our ability to compete in the highly competitive biotechnology and pharmaceuticals industries depends upon our ability to attract and retain highly qualified managerial, scientific, and medical personnel. We are highly dependent on our management, scientific, and medical personnel. The loss of the services of any of our executive officers or other key employees and our inability to find suitable replacements could potentially harm our business, prospects, financial condition or results of operations.</w:t>
      </w:r>
    </w:p>
    <w:p>
      <w:pPr>
        <w:spacing w:after="0" w:line="79" w:lineRule="exact"/>
        <w:rPr>
          <w:sz w:val="20"/>
          <w:szCs w:val="20"/>
          <w:color w:val="auto"/>
        </w:rPr>
      </w:pPr>
    </w:p>
    <w:p>
      <w:pPr>
        <w:jc w:val="both"/>
        <w:ind w:right="140" w:firstLine="509"/>
        <w:spacing w:after="0" w:line="263" w:lineRule="auto"/>
        <w:rPr>
          <w:sz w:val="20"/>
          <w:szCs w:val="20"/>
          <w:color w:val="auto"/>
        </w:rPr>
      </w:pPr>
      <w:r>
        <w:rPr>
          <w:rFonts w:ascii="Arial" w:cs="Arial" w:eastAsia="Arial" w:hAnsi="Arial"/>
          <w:sz w:val="18"/>
          <w:szCs w:val="18"/>
          <w:color w:val="auto"/>
        </w:rPr>
        <w:t>We conduct our operations in South San Francisco, California. This region serves as the headquarters to many other biopharmaceutical companies and many academic and research institutions. Competition for skilled personnel in our market is intense and may limit our ability to hire and retain highly qualified personnel on acceptable terms or at all.</w:t>
      </w:r>
    </w:p>
    <w:p>
      <w:pPr>
        <w:spacing w:after="0" w:line="76"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To induce valuable employees to remain at our company, in addition to salary and cash incentives, we have provided stock options that vest over time. The value to employees of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Although we have employment agreements and/or offer letters with our key employees, these arrangements provide for at-will employment, which means that any of our employees could leave our employment at any time, with or without notice. We do not maintain “key man” insurance policies on the lives of these individuals or the lives of any of our other employees. Our success also depends on our ability to continue to attract, retain and motivate highly skilled junior, mid-level, and senior managers as well as junior, mid-level, and senior scientific and medical personnel.</w:t>
      </w:r>
    </w:p>
    <w:p>
      <w:pPr>
        <w:spacing w:after="0" w:line="70" w:lineRule="exact"/>
        <w:rPr>
          <w:sz w:val="20"/>
          <w:szCs w:val="20"/>
          <w:color w:val="auto"/>
        </w:rPr>
      </w:pPr>
    </w:p>
    <w:p>
      <w:pPr>
        <w:ind w:right="140" w:firstLine="509"/>
        <w:spacing w:after="0" w:line="301" w:lineRule="auto"/>
        <w:rPr>
          <w:sz w:val="20"/>
          <w:szCs w:val="20"/>
          <w:color w:val="auto"/>
        </w:rPr>
      </w:pPr>
      <w:r>
        <w:rPr>
          <w:rFonts w:ascii="Arial" w:cs="Arial" w:eastAsia="Arial" w:hAnsi="Arial"/>
          <w:sz w:val="16"/>
          <w:szCs w:val="16"/>
          <w:color w:val="auto"/>
        </w:rPr>
        <w:t>Many of the other biotechnology and pharmaceutical companies that we compete against for qualified personnel have greater financial and other resources, different risk profiles, and a longer history in the industry than we do. They may also provide more diverse opportunities and better chances for career advancement. Some of these characteristics are more appealing to high quality candidates than what we can offer. If we are unable to continue to attract and retain high quality personnel, the rate and success at which we can discover, develop and commercialize product candidates will be limited.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Use of tildacerfont or any future product candidates could be associated with side effects, adverse events or other properties that could delay or prevent regulatory approval or result in significant negative consequences following marketing approval, if any.*</w:t>
      </w:r>
    </w:p>
    <w:p>
      <w:pPr>
        <w:spacing w:after="0" w:line="62" w:lineRule="exact"/>
        <w:rPr>
          <w:sz w:val="20"/>
          <w:szCs w:val="20"/>
          <w:color w:val="auto"/>
        </w:rPr>
      </w:pPr>
    </w:p>
    <w:p>
      <w:pPr>
        <w:ind w:right="60" w:firstLine="509"/>
        <w:spacing w:after="0" w:line="286" w:lineRule="auto"/>
        <w:rPr>
          <w:sz w:val="20"/>
          <w:szCs w:val="20"/>
          <w:color w:val="auto"/>
        </w:rPr>
      </w:pPr>
      <w:r>
        <w:rPr>
          <w:rFonts w:ascii="Arial" w:cs="Arial" w:eastAsia="Arial" w:hAnsi="Arial"/>
          <w:sz w:val="16"/>
          <w:szCs w:val="16"/>
          <w:color w:val="auto"/>
        </w:rPr>
        <w:t>As is the case with biopharmaceuticals generally, it is likely that there may be side effects and adverse events associated with the use of tildacerfont and any future product candidates. Results of our clinical trials could reveal a high and unacceptable severity and prevalence of side effects or unexpected characteristics. Undesirable side effects caused by tildacerfont and any future product candidates could cause us or regulatory authorities to interrupt, delay or halt clinical trials and could result in a more restrictive label or the delay or denial of regulatory approval by the FDA or other comparable foreign authorities. For example, although tildacerfont has been assessed in over 200 subjects across eight completed clinical trials in which it has been well tolerated with no drug-related SAEs, in our proof-of-concept, dose-escalating Phase 2a clinical trial in adults with classic CAH, one patient experienced a grade one liver-related adverse event after 14 days of treatment at 1,000mg once daily. This patient had elevated levels of alanine transaminase ("ALT") between five and nine times the upper limit of normal ("ULN"), elevations in aspartate aminotransferase ("AST") less than five times the ULN, and no increases in bilirubin. The event resolved on its own without additional medical intervention. No cases of liver enzyme elevations above three times the ULN were observed in any patient receiving total daily doses of 600mg, which is approximately three times the proposed therapeutic dose for adults with classic CAH, and below. If drug-related SAEs are observed, our trials could be suspended or terminated and the FDA or comparable foreign regulatory authorities could order us to cease further development of or deny approval for tildacerfont for any or all targeted indications.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63" w:lineRule="exact"/>
        <w:rPr>
          <w:sz w:val="20"/>
          <w:szCs w:val="20"/>
          <w:color w:val="auto"/>
        </w:rPr>
      </w:pPr>
    </w:p>
    <w:p>
      <w:pPr>
        <w:ind w:right="240" w:firstLine="509"/>
        <w:spacing w:after="0" w:line="308" w:lineRule="auto"/>
        <w:rPr>
          <w:sz w:val="20"/>
          <w:szCs w:val="20"/>
          <w:color w:val="auto"/>
        </w:rPr>
      </w:pPr>
      <w:r>
        <w:rPr>
          <w:rFonts w:ascii="Arial" w:cs="Arial" w:eastAsia="Arial" w:hAnsi="Arial"/>
          <w:sz w:val="17"/>
          <w:szCs w:val="17"/>
          <w:color w:val="auto"/>
        </w:rPr>
        <w:t>Furthermore, only adults have been treated with tildacerfont, and the safety profile in pediatric patients is unknown and may be different than that observed in previous clinical trials. Results of our trials could reveal a high and unacceptable severity and prevalence of side effects.</w:t>
      </w:r>
    </w:p>
    <w:p>
      <w:pPr>
        <w:spacing w:after="0" w:line="38" w:lineRule="exact"/>
        <w:rPr>
          <w:sz w:val="20"/>
          <w:szCs w:val="20"/>
          <w:color w:val="auto"/>
        </w:rPr>
      </w:pPr>
    </w:p>
    <w:p>
      <w:pPr>
        <w:ind w:right="280" w:firstLine="509"/>
        <w:spacing w:after="0" w:line="308" w:lineRule="auto"/>
        <w:rPr>
          <w:sz w:val="20"/>
          <w:szCs w:val="20"/>
          <w:color w:val="auto"/>
        </w:rPr>
      </w:pPr>
      <w:r>
        <w:rPr>
          <w:rFonts w:ascii="Arial" w:cs="Arial" w:eastAsia="Arial" w:hAnsi="Arial"/>
          <w:sz w:val="17"/>
          <w:szCs w:val="17"/>
          <w:color w:val="auto"/>
        </w:rPr>
        <w:t>Additionally, if tildacerfont and any future product candidates receive marketing approval, and we or others later identify undesirable side effects caused by such product candidate, a number of potentially significant negative consequences could result, including:</w:t>
      </w:r>
    </w:p>
    <w:p>
      <w:pPr>
        <w:spacing w:after="0" w:line="38" w:lineRule="exact"/>
        <w:rPr>
          <w:sz w:val="20"/>
          <w:szCs w:val="20"/>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forced to suspend marketing of that product, or decide to remove the product form the marketplace;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withdraw approvals or change their approvals of such product;</w:t>
      </w:r>
    </w:p>
    <w:p>
      <w:pPr>
        <w:spacing w:after="0" w:line="117" w:lineRule="exact"/>
        <w:rPr>
          <w:rFonts w:ascii="Arial" w:cs="Arial" w:eastAsia="Arial" w:hAnsi="Arial"/>
          <w:sz w:val="18"/>
          <w:szCs w:val="18"/>
          <w:color w:val="auto"/>
        </w:rPr>
      </w:pPr>
    </w:p>
    <w:p>
      <w:pPr>
        <w:ind w:left="1020" w:right="500" w:hanging="503"/>
        <w:spacing w:after="0" w:line="342" w:lineRule="auto"/>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regulatory authorities may require additional warnings on the label or limit access of that product to selective specialized centers with additional safety reporting and with requirements that patients be geographically close to these centers for all or part of their treatment;</w:t>
      </w:r>
    </w:p>
    <w:p>
      <w:pPr>
        <w:spacing w:after="0" w:line="15" w:lineRule="exact"/>
        <w:rPr>
          <w:rFonts w:ascii="Arial" w:cs="Arial" w:eastAsia="Arial" w:hAnsi="Arial"/>
          <w:sz w:val="16"/>
          <w:szCs w:val="16"/>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be subject to fines, injunctions, or the imposition of criminal or civil penalties, or to sued and held liable for harm caused to subjects or patients;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product may become less competitive, and our reputation may suffer.</w:t>
      </w:r>
    </w:p>
    <w:p>
      <w:pPr>
        <w:spacing w:after="0" w:line="117" w:lineRule="exact"/>
        <w:rPr>
          <w:sz w:val="20"/>
          <w:szCs w:val="20"/>
          <w:color w:val="auto"/>
        </w:rPr>
      </w:pPr>
    </w:p>
    <w:p>
      <w:pPr>
        <w:ind w:right="700" w:firstLine="509"/>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tildacerfont and any future product candidates, if approved, and could significantly harm our business, results of operations, and prospects.</w:t>
      </w:r>
    </w:p>
    <w:p>
      <w:pPr>
        <w:spacing w:after="0" w:line="62"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If we receive regulatory approval for tildacerfont and any future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any product.*</w:t>
      </w:r>
    </w:p>
    <w:p>
      <w:pPr>
        <w:spacing w:after="0" w:line="76"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Any regulatory approvals that we receive may be subject to limitations on the approved indicated uses for which the product may be marketed or to the conditions of approval, or contain requirements for potentially costly post-marketing testing, including post-market studies or clinical trials, and surveillance to monitor safety and effectiveness. The FDA may also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or our collaborators may also be required to adopt a REMS or engage in similar actions, such as patient education, certification of health care professionals, or specific monitoring, if we or others later identify undesirable side effects caused by any product that we develop alone or with collaborators.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60" w:firstLine="509"/>
        <w:spacing w:after="0" w:line="293" w:lineRule="auto"/>
        <w:rPr>
          <w:sz w:val="20"/>
          <w:szCs w:val="20"/>
          <w:color w:val="auto"/>
        </w:rPr>
      </w:pPr>
      <w:r>
        <w:rPr>
          <w:rFonts w:ascii="Arial" w:cs="Arial" w:eastAsia="Arial" w:hAnsi="Arial"/>
          <w:sz w:val="16"/>
          <w:szCs w:val="16"/>
          <w:color w:val="auto"/>
        </w:rPr>
        <w:t>In addition, if the FDA or a comparable foreign regulatory authority approves a product candidate, the manufacturing, quality control, labeling, packaging, distribution, adverse event reporting, storage, advertising, promotion, import, export, and recordkeeping for the approved product will be subject to extensive and ongoing regulatory requirements. The FDA also requires submissions of safety and other post-marketing information and reports, registration, as well as continued compliance with cGMP requirements and GCP for any clinical trials that we conduct post-approval. Later discovery of previously unknown problems with a product candidate, including adverse events of unanticipated severity or frequency, or with our third-party manufacturers or manufacturing processes, or failure to comply with regulatory requirements, may result in, among other things:</w:t>
      </w:r>
    </w:p>
    <w:p>
      <w:pPr>
        <w:spacing w:after="0" w:line="56" w:lineRule="exact"/>
        <w:rPr>
          <w:sz w:val="20"/>
          <w:szCs w:val="20"/>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17" w:lineRule="exact"/>
        <w:rPr>
          <w:rFonts w:ascii="Arial" w:cs="Arial" w:eastAsia="Arial" w:hAnsi="Arial"/>
          <w:sz w:val="18"/>
          <w:szCs w:val="18"/>
          <w:color w:val="auto"/>
        </w:rPr>
      </w:pPr>
    </w:p>
    <w:p>
      <w:pPr>
        <w:ind w:left="1020" w:right="160" w:hanging="503"/>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 or require other restrictions on the labeling or marketing of such products;</w:t>
      </w:r>
    </w:p>
    <w:p>
      <w:pPr>
        <w:spacing w:after="0" w:line="62" w:lineRule="exact"/>
        <w:rPr>
          <w:rFonts w:ascii="Arial" w:cs="Arial" w:eastAsia="Arial" w:hAnsi="Arial"/>
          <w:sz w:val="18"/>
          <w:szCs w:val="18"/>
          <w:color w:val="auto"/>
        </w:rPr>
      </w:pPr>
    </w:p>
    <w:p>
      <w:pPr>
        <w:ind w:left="1020" w:right="220" w:hanging="503"/>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suspend, withdraw or modify regulatory approval;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suspend or modify any ongoing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us to initiate a product recall.</w:t>
      </w:r>
    </w:p>
    <w:p>
      <w:pPr>
        <w:spacing w:after="0" w:line="117" w:lineRule="exact"/>
        <w:rPr>
          <w:sz w:val="20"/>
          <w:szCs w:val="20"/>
          <w:color w:val="auto"/>
        </w:rPr>
      </w:pPr>
    </w:p>
    <w:p>
      <w:pPr>
        <w:ind w:firstLine="509"/>
        <w:spacing w:after="0" w:line="308" w:lineRule="auto"/>
        <w:rPr>
          <w:sz w:val="20"/>
          <w:szCs w:val="20"/>
          <w:color w:val="auto"/>
        </w:rPr>
      </w:pPr>
      <w:r>
        <w:rPr>
          <w:rFonts w:ascii="Arial" w:cs="Arial" w:eastAsia="Arial" w:hAnsi="Arial"/>
          <w:sz w:val="17"/>
          <w:szCs w:val="17"/>
          <w:color w:val="auto"/>
        </w:rPr>
        <w:t>The occurrence of any event or penalty described above may inhibit our ability to commercialize tildacerfont and any future product candidates and generate revenue and could require us to expend significant time and resources in response and could generate negative publicity.</w:t>
      </w:r>
    </w:p>
    <w:p>
      <w:pPr>
        <w:spacing w:after="0" w:line="38"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Advertising and promotion of any product candidate that obtains approval in the United States will be heavily scrutinized by the FDA, the U.S. Federal Trade Commission, the Department of Justice ("DOJ"), the Office of Inspector General of the U.S. Department of Health and Human Services ("HHS"), state attorneys general, members of the U.S. Congress, and the public. Additionally, advertising and promotion of any product candidate that obtains approval outside of the United States will be heavily scrutinized by comparable foreign entities and stakeholders. Violations, including actual or alleged promotion of our products for unapproved or off-label uses, are subject to enforcement letters, inquiries, and investigations, and civil and criminal sanctions by the FDA, DOJ, or comparable foreign bodies. Any actual or alleged failure to comply with labeling and promotion requirements may result in fines, warning letters, mandates to corrective information to healthcare practitioners, injunctions, or civil or criminal penalties.</w:t>
      </w:r>
    </w:p>
    <w:p>
      <w:pPr>
        <w:spacing w:after="0" w:line="58"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for tildacerfont and any future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8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Our business has been and could continue to be adversely affected by the evolving COVID-19 global pandemic in regions where we or third parties on which we rely have significant manufacturing facilities, concentrations of clinical trial sites or other business operations. The COVID-19 pandemic could adversely affect our operations, as well as the business or operations of our manufacturers, CROs, or other third parties with whom we conduct business.*</w:t>
      </w:r>
    </w:p>
    <w:p>
      <w:pPr>
        <w:spacing w:after="0" w:line="79"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Our business has been and could continue to be adversely affected by the evolving COVID-19 pandemic, which was declared by the World Health Organization as a global pandemic. As COVID-19 and its variants continue to spread, we have experienced and may continue to experience ongoing disruptions that could severely impact our business and clinical trials, including:</w:t>
      </w:r>
    </w:p>
    <w:p>
      <w:pPr>
        <w:spacing w:after="0" w:line="76" w:lineRule="exact"/>
        <w:rPr>
          <w:sz w:val="20"/>
          <w:szCs w:val="20"/>
          <w:color w:val="auto"/>
        </w:rPr>
      </w:pPr>
    </w:p>
    <w:p>
      <w:pPr>
        <w:ind w:left="900" w:hanging="383"/>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17" w:lineRule="exact"/>
        <w:rPr>
          <w:rFonts w:ascii="Arial" w:cs="Arial" w:eastAsia="Arial" w:hAnsi="Arial"/>
          <w:sz w:val="18"/>
          <w:szCs w:val="18"/>
          <w:color w:val="auto"/>
        </w:rPr>
      </w:pPr>
    </w:p>
    <w:p>
      <w:pPr>
        <w:ind w:left="900" w:right="120" w:hanging="383"/>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 including interruption in global shipping that may affect the transport of clinical trial materials;</w:t>
      </w:r>
    </w:p>
    <w:p>
      <w:pPr>
        <w:spacing w:after="0" w:line="62" w:lineRule="exact"/>
        <w:rPr>
          <w:rFonts w:ascii="Arial" w:cs="Arial" w:eastAsia="Arial" w:hAnsi="Arial"/>
          <w:sz w:val="18"/>
          <w:szCs w:val="18"/>
          <w:color w:val="auto"/>
        </w:rPr>
      </w:pPr>
    </w:p>
    <w:p>
      <w:pPr>
        <w:ind w:left="900" w:right="220" w:hanging="383"/>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outbreak which may require us to change the ways in which our clinical trials are conducted, which may result in unexpected costs, or to discontinue the clinical trials altogether;</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left="900" w:right="120" w:hanging="383"/>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62" w:lineRule="exact"/>
        <w:rPr>
          <w:rFonts w:ascii="Arial" w:cs="Arial" w:eastAsia="Arial" w:hAnsi="Arial"/>
          <w:sz w:val="18"/>
          <w:szCs w:val="18"/>
          <w:color w:val="auto"/>
        </w:rPr>
      </w:pPr>
    </w:p>
    <w:p>
      <w:pPr>
        <w:ind w:left="900" w:hanging="383"/>
        <w:spacing w:after="0" w:line="263"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 or interruption of clinical trial subject visits and study procedures, the occurrence of which could affect the integrity of clinical trial data;</w:t>
      </w:r>
    </w:p>
    <w:p>
      <w:pPr>
        <w:spacing w:after="0" w:line="75" w:lineRule="exact"/>
        <w:rPr>
          <w:rFonts w:ascii="Arial" w:cs="Arial" w:eastAsia="Arial" w:hAnsi="Arial"/>
          <w:sz w:val="18"/>
          <w:szCs w:val="18"/>
          <w:color w:val="auto"/>
        </w:rPr>
      </w:pPr>
    </w:p>
    <w:p>
      <w:pPr>
        <w:ind w:left="900" w:hanging="383"/>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interruptions or delays in the operations of the FDA or other regulatory authorities, which may impact review and approval timelines;</w:t>
      </w:r>
    </w:p>
    <w:p>
      <w:pPr>
        <w:spacing w:after="0" w:line="128" w:lineRule="exact"/>
        <w:rPr>
          <w:rFonts w:ascii="Arial" w:cs="Arial" w:eastAsia="Arial" w:hAnsi="Arial"/>
          <w:sz w:val="17"/>
          <w:szCs w:val="17"/>
          <w:color w:val="auto"/>
        </w:rPr>
      </w:pPr>
    </w:p>
    <w:p>
      <w:pPr>
        <w:ind w:left="900" w:right="120" w:hanging="383"/>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 that participants enrolled in our clinical trials will acquire COVID-19 while the clinical trial is ongoing, which could impact the results of the clinical trial, including by increasing the number of observed adverse events;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costs relating to mitigating the impact of COVID-19 on any of the foregoing factors.</w:t>
      </w:r>
    </w:p>
    <w:p>
      <w:pPr>
        <w:spacing w:after="0" w:line="117" w:lineRule="exact"/>
        <w:rPr>
          <w:sz w:val="20"/>
          <w:szCs w:val="20"/>
          <w:color w:val="auto"/>
        </w:rPr>
      </w:pPr>
    </w:p>
    <w:p>
      <w:pPr>
        <w:ind w:right="700" w:firstLine="509"/>
        <w:spacing w:after="0" w:line="277" w:lineRule="auto"/>
        <w:rPr>
          <w:sz w:val="20"/>
          <w:szCs w:val="20"/>
          <w:color w:val="auto"/>
        </w:rPr>
      </w:pPr>
      <w:r>
        <w:rPr>
          <w:rFonts w:ascii="Arial" w:cs="Arial" w:eastAsia="Arial" w:hAnsi="Arial"/>
          <w:sz w:val="18"/>
          <w:szCs w:val="18"/>
          <w:color w:val="auto"/>
        </w:rPr>
        <w:t>These and other disruptions in our operations and the global economy could negatively impact our business, operating results and financial condition.</w:t>
      </w:r>
    </w:p>
    <w:p>
      <w:pPr>
        <w:spacing w:after="0" w:line="62" w:lineRule="exact"/>
        <w:rPr>
          <w:sz w:val="20"/>
          <w:szCs w:val="20"/>
          <w:color w:val="auto"/>
        </w:rPr>
      </w:pPr>
    </w:p>
    <w:p>
      <w:pPr>
        <w:ind w:right="40" w:firstLine="509"/>
        <w:spacing w:after="0" w:line="289" w:lineRule="auto"/>
        <w:rPr>
          <w:sz w:val="20"/>
          <w:szCs w:val="20"/>
          <w:color w:val="auto"/>
        </w:rPr>
      </w:pPr>
      <w:r>
        <w:rPr>
          <w:rFonts w:ascii="Arial" w:cs="Arial" w:eastAsia="Arial" w:hAnsi="Arial"/>
          <w:sz w:val="16"/>
          <w:szCs w:val="16"/>
          <w:color w:val="auto"/>
        </w:rPr>
        <w:t>Our clinical trials have been, and may in the future be, affected by the COVID-19 pandemic. For example, the COVID-19 pandemic has impacted patient enrollment in our two ongoing Phase 2b clinical trials. In particular, some sites have paused enrollment to focus on, and direct resources to, COVID-19, while at other sites, patients have chosen not to enroll or continue participating in the clinical trial as a result of the pandemic. Further, we are aware of delays in site activations for our CAHmelia-203 and -204 trials due to COVID-19-related delays and personnel constraints at clinical trial sites. In addition, patient visits to endocrinologists in the United States have slowed as a result of the COVID-19 pandemic. Further, according to the Centers for Disease Control and Prevention, people who have serious chronic medical conditions, including those such as classic CAH, are at higher risk of getting very sick from COVID-19. As a result, current or potential patients in our ongoing and planned clinical trials may continue to choose to not enroll, not participate in follow-up clinical visits, or drop out of the trial as a precaution against contracting COVID-19. Further, some patients may continue to not be able or willing to comply with clinical trial protocols if quarantines impede patient movement or interrupts healthcare services.</w:t>
      </w:r>
    </w:p>
    <w:p>
      <w:pPr>
        <w:spacing w:after="0" w:line="58" w:lineRule="exact"/>
        <w:rPr>
          <w:sz w:val="20"/>
          <w:szCs w:val="20"/>
          <w:color w:val="auto"/>
        </w:rPr>
      </w:pPr>
    </w:p>
    <w:p>
      <w:pPr>
        <w:ind w:right="220" w:firstLine="509"/>
        <w:spacing w:after="0" w:line="263" w:lineRule="auto"/>
        <w:rPr>
          <w:sz w:val="20"/>
          <w:szCs w:val="20"/>
          <w:color w:val="auto"/>
        </w:rPr>
      </w:pPr>
      <w:r>
        <w:rPr>
          <w:rFonts w:ascii="Arial" w:cs="Arial" w:eastAsia="Arial" w:hAnsi="Arial"/>
          <w:sz w:val="18"/>
          <w:szCs w:val="18"/>
          <w:color w:val="auto"/>
        </w:rPr>
        <w:t>If patient enrollment is delayed for an extended period of time, our ongoing and planned clinical trials could be significantly delayed or otherwise adversely affected. Similarly, our ability to recruit and retain principal investigators and site staff who, as healthcare providers, may have heightened exposure to COVID-19, may be adversely impacted.</w:t>
      </w:r>
    </w:p>
    <w:p>
      <w:pPr>
        <w:spacing w:after="0" w:line="76"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COVID-19 and actions taken to reduce its spread continue to evolve. While vaccines have become widely available in certain countries, and businesses and economies have reopened, the status of global economic recovery remains uncertain and unpredictable and will continue to be impacted by developments in the pandemic including any subsequent waves of outbreak or new variant strains of the COVID-19 virus which may require re-closures or other preventative measures. The extent to which COVID-19 may impede the development of tildacerfont, reduce the productivity of our employees, disrupt our supply chains, delay our clinical trials, reduce our access to capital or limit our business development activities, will depend on future developments, which are highly uncertain and cannot be predicted with confidence.</w:t>
      </w:r>
    </w:p>
    <w:p>
      <w:pPr>
        <w:spacing w:after="0" w:line="70"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In addition, to the extent the COVID-19 pandemic adversely affects our business and results of operations, it may also have the effect of heightening many of the other risks and uncertainties described in this “Risk Factors” section.</w:t>
      </w:r>
    </w:p>
    <w:p>
      <w:pPr>
        <w:spacing w:after="0" w:line="62" w:lineRule="exact"/>
        <w:rPr>
          <w:sz w:val="20"/>
          <w:szCs w:val="20"/>
          <w:color w:val="auto"/>
        </w:rPr>
      </w:pPr>
    </w:p>
    <w:p>
      <w:pPr>
        <w:ind w:right="80"/>
        <w:spacing w:after="0" w:line="375" w:lineRule="auto"/>
        <w:rPr>
          <w:sz w:val="20"/>
          <w:szCs w:val="20"/>
          <w:color w:val="auto"/>
        </w:rPr>
      </w:pPr>
      <w:r>
        <w:rPr>
          <w:rFonts w:ascii="Arial" w:cs="Arial" w:eastAsia="Arial" w:hAnsi="Arial"/>
          <w:sz w:val="15"/>
          <w:szCs w:val="15"/>
          <w:b w:val="1"/>
          <w:bCs w:val="1"/>
          <w:i w:val="1"/>
          <w:iCs w:val="1"/>
          <w:color w:val="auto"/>
        </w:rPr>
        <w:t>Changes in funding for the FDA and other government agencies could hinder their ability to hire and retain key leadership and other personnel, or otherwise prevent new products and services from being developed or commercialized in a timely manner, which could negatively impact our business.</w:t>
      </w:r>
    </w:p>
    <w:p>
      <w:pPr>
        <w:spacing w:after="0" w:line="1"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79" w:lineRule="exact"/>
        <w:rPr>
          <w:sz w:val="20"/>
          <w:szCs w:val="20"/>
          <w:color w:val="auto"/>
        </w:rPr>
      </w:pPr>
    </w:p>
    <w:p>
      <w:pPr>
        <w:ind w:right="20" w:firstLine="509"/>
        <w:spacing w:after="0" w:line="275"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100" w:firstLine="509"/>
        <w:spacing w:after="0" w:line="273" w:lineRule="auto"/>
        <w:rPr>
          <w:sz w:val="20"/>
          <w:szCs w:val="20"/>
          <w:color w:val="auto"/>
        </w:rPr>
      </w:pPr>
      <w:r>
        <w:rPr>
          <w:rFonts w:ascii="Arial" w:cs="Arial" w:eastAsia="Arial" w:hAnsi="Arial"/>
          <w:sz w:val="17"/>
          <w:szCs w:val="17"/>
          <w:color w:val="auto"/>
        </w:rPr>
        <w:t>Separately, in response to the global COVID-19 pandemic, in March 2020 the FDA announced its intention to postpone most foreign inspections of manufacturing facilities. In July 2020, the FDA restarted inspections of domestic and international manufacturing facilities on a risk-based basis. Regulatory authorities outside the United States have adopted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Even if we obtain regulatory approval for tildacerfont and any future product candidates, tildacerfont and any future product candidates may not gain market acceptance among physicians, patients, healthcare payors and others in the medical community.</w:t>
      </w:r>
    </w:p>
    <w:p>
      <w:pPr>
        <w:spacing w:after="0" w:line="62" w:lineRule="exact"/>
        <w:rPr>
          <w:sz w:val="20"/>
          <w:szCs w:val="20"/>
          <w:color w:val="auto"/>
        </w:rPr>
      </w:pPr>
    </w:p>
    <w:p>
      <w:pPr>
        <w:jc w:val="both"/>
        <w:ind w:right="200" w:firstLine="509"/>
        <w:spacing w:after="0" w:line="286" w:lineRule="auto"/>
        <w:rPr>
          <w:sz w:val="20"/>
          <w:szCs w:val="20"/>
          <w:color w:val="auto"/>
        </w:rPr>
      </w:pPr>
      <w:r>
        <w:rPr>
          <w:rFonts w:ascii="Arial" w:cs="Arial" w:eastAsia="Arial" w:hAnsi="Arial"/>
          <w:sz w:val="17"/>
          <w:szCs w:val="17"/>
          <w:color w:val="auto"/>
        </w:rPr>
        <w:t>Tildacerfont and any future product candidates may not be commercially successful. The commercial success of tildacerfont or any future product candidates, if approved, will depend significantly on the broad adoption and use of such product by physicians and patients for approved indications. The degree of market acceptance of tildacerfont or any future products, if approved, will depend on a number of factors, including:</w:t>
      </w:r>
    </w:p>
    <w:p>
      <w:pPr>
        <w:spacing w:after="0" w:line="57" w:lineRule="exact"/>
        <w:rPr>
          <w:sz w:val="20"/>
          <w:szCs w:val="20"/>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clinical indications for which such product candidate is approved;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physicians and patients considering the product as a safe and effective treatment;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and perceived advantages of the product over alternative treatments;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other regulatory authorities;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by the FDA or other regulatory authorities;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market introduction of the product as well as competitive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by third-party payors and government authorities;</w:t>
      </w:r>
    </w:p>
    <w:p>
      <w:pPr>
        <w:spacing w:after="0" w:line="117" w:lineRule="exact"/>
        <w:rPr>
          <w:rFonts w:ascii="Arial" w:cs="Arial" w:eastAsia="Arial" w:hAnsi="Arial"/>
          <w:sz w:val="18"/>
          <w:szCs w:val="18"/>
          <w:color w:val="auto"/>
        </w:rPr>
      </w:pPr>
    </w:p>
    <w:p>
      <w:pPr>
        <w:ind w:left="1020" w:right="880" w:hanging="503"/>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coverage and adequate reimbursement by third-party payors and government authorities;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relative convenience and ease of administration, including as compared to alternative treatments and competitive therapies; and</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and those of any collaboration or distribution partner on whom we rely for sales in foreign jurisdictions.</w:t>
      </w:r>
    </w:p>
    <w:p>
      <w:pPr>
        <w:spacing w:after="0" w:line="62" w:lineRule="exact"/>
        <w:rPr>
          <w:sz w:val="20"/>
          <w:szCs w:val="20"/>
          <w:color w:val="auto"/>
        </w:rPr>
      </w:pPr>
    </w:p>
    <w:p>
      <w:pPr>
        <w:ind w:right="80" w:firstLine="509"/>
        <w:spacing w:after="0" w:line="279" w:lineRule="auto"/>
        <w:rPr>
          <w:sz w:val="20"/>
          <w:szCs w:val="20"/>
          <w:color w:val="auto"/>
        </w:rPr>
      </w:pPr>
      <w:r>
        <w:rPr>
          <w:rFonts w:ascii="Arial" w:cs="Arial" w:eastAsia="Arial" w:hAnsi="Arial"/>
          <w:sz w:val="17"/>
          <w:szCs w:val="17"/>
          <w:color w:val="auto"/>
        </w:rPr>
        <w:t>If tildacerfont and any future product candidate is approved but fails to achieve market acceptance among physicians, patients, healthcare payors or others in the medical community, we will not be able to generate significant revenues, which would have a material adverse effect on our business, prospects, financial condition, and results of operations. In addition, even if tildacerfont and any future product candidate gains acceptance, the markets for the treatment of patients with our target indications may not be as significant as we estimate.</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If tildacerfont and any future product candidate is approved for marketing, and we are found to have improperly promoted off-label uses, or if physicians prescribe or use tildacerfont and any future product candidates off-label, we may become subject to prohibitions on the sale or marketing of tildacerfont and any future product candidates, significant fines, penalties, sanctions, or product liability claims, and our image and reputation within the industry and marketplace could be harmed.</w:t>
      </w:r>
    </w:p>
    <w:p>
      <w:pPr>
        <w:spacing w:after="0" w:line="79"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The FDA, DOJ, and comparable foreign authorities strictly regulate the marketing and promotional claims that are made about pharmaceutical products, such as tildacerfont, if approved. In particular, a product may not be promoted for uses or indications that are not approved by the FDA or comparable foreign authorities as reflected in the product’s approved labeling. However, if we receive marketing approval for tildacerfont and any future product candidates, physicians can prescribe such product to their patients in a manner that is inconsistent with the approved label based on the physician’s independent medical judgement. If we are found to have promoted such off-label uses, we may receive warning letters from the FDA and comparable foreign authorities and become subject to significant liability, which would materially harm our business. The federal government has levied large civil and criminal fines against companies for alleged improper promotion and has enjoined several companies from engaging in off-label promotion. If we become the target of such an investigation or prosecution based on our marketing and promotional practices, we could face similar sanctions, which would materially harm our business. In addition, management’s attention could be diverted from our business operations, significant legal expenses could be incurred, and our reputation could be damaged. The FDA and other governmental authorities have also required that companies enter into consent decrees or permanent injunctions under which specified promotional</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conduct is changed or curtailed in order to resolve enforcement actions. If we are deemed by the FDA, DOJ, or other governmental authorities to have engaged in the promotion of tildacerfont or any future product candidate for off-label use, we could be subject to certain prohibitions or other restrictions on the sale or marketing and other operations or significant fines and penalties, and the imposition of these sanctions could also affect our reputation and position within the industry.</w:t>
      </w:r>
    </w:p>
    <w:p>
      <w:pPr>
        <w:spacing w:after="0" w:line="7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tildacerfont and any future product candidates, which could make it difficult for us to sell tildacerfont and any future product candidates profitably.</w:t>
      </w:r>
    </w:p>
    <w:p>
      <w:pPr>
        <w:spacing w:after="0" w:line="62"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Successful sales of tildacerfont and any future product candidates, if approved, depend on the availability of coverage and adequate reimbursement from third-party payors. Patients who are prescribed medicine for the treatment of their conditions generally rely on third-party payors to reimburse all or part of the costs associated with their prescription drugs. Coverage and adequate reimbursement from governmental healthcare programs, such as Medicare and Medicaid, and commercial payors is critical to new product acceptance, and we may not obtain such coverage or adequate reimbursement. Moreover, we focus our clinical development of tildacerfont on treatments for rare endocrine disorders with relatively small patient populations. As a result, we must rely on obtaining appropriate coverage and reimbursement for these populations.</w:t>
      </w:r>
    </w:p>
    <w:p>
      <w:pPr>
        <w:spacing w:after="0" w:line="70"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Government authorities and third-party payors, such as private health insurers and health maintenance organizations, decide which drugs they will cover and the amount of reimbursement they will provide. Reimbursement by a third-party payor may depend upon a number of factors, including, but not limited to, the third-party payor’s determination that use of a product is:</w:t>
      </w:r>
    </w:p>
    <w:p>
      <w:pPr>
        <w:spacing w:after="0" w:line="76" w:lineRule="exact"/>
        <w:rPr>
          <w:sz w:val="20"/>
          <w:szCs w:val="20"/>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1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Obtaining coverage and reimbursement approval for a product from a government or other third-party payor is a time-consuming and costly process that could require us to provide to the payor supporting scientific, clinical and cost-effectiveness data for the use of our products. We may not be able to provide data sufficient to obtain coverage and adequate reimbursement. Assuming we obtain coverage for a given product, the resulting reimbursement payment rates might not be adequate or may require co-payments that patients find unacceptably high. Patients are unlikely to use tildacerfont or any future product candidate unless coverage is provided and reimbursement is adequate to cover a significant portion of the cost. Additionally, the reimbursement rates and coverage amounts may be affected by the approved label for tildacerfont or any future product candidate. If coverage and reimbursement of our future products are unavailable or limited in scope or amount, or if pricing is set at unsatisfactory levels, we may be unable to achieve or sustain profitability.</w:t>
      </w:r>
    </w:p>
    <w:p>
      <w:pPr>
        <w:spacing w:after="0" w:line="84"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In addition, the market for tildacerfont and any future product candidates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through formulary controls or otherwise to a branded drug when a less costly generic equivalent or other alternative is available.</w:t>
      </w:r>
    </w:p>
    <w:p>
      <w:pPr>
        <w:spacing w:after="0" w:line="80"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In the United States, no uniform policy of coverage and reimbursement for drug products exists among third-party payors. Third-party payors often rely upon Medicare coverage policy and payment limitations in setting their own reimbursement rates, but also have their own methods and approval process apart from Medicare determinations. Therefore, coverage and reimbursement for drug products can differ significantly from payor to payor. As a result, the coverage determination process is often a time-consuming and costly process that will require us to provide scientific and clinical support for the use of tildacerfont and any future product candidates to each payor separately, with no assurance that coverage and adequate reimbursement will be obtained. Further, coverage policies and third-party reimbursement rates may change at any time. Therefore, even if favorable coverage and reimbursement status is attained, less favorable coverage policies and reimbursement rates may be implemented in the future.</w:t>
      </w:r>
    </w:p>
    <w:p>
      <w:pPr>
        <w:spacing w:after="0" w:line="69"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We intend to seek approval to market tildacerfont in the United States and in selected foreign jurisdictions. If we obtain approval in one or more foreign jurisdictions for tildacerfont, we will be subject to rules and regulations in those jurisdictions. In some foreign countries, particularly those in the EU, the pricing of prescription pharmaceuticals and biologics is subject to governmental control. In these countries, pricing negotiations with governmental authorities can take considerable time after obtaining marketing approval for a drug candidate. In addition, market acceptance and sales of a product will depend significantly on the availability of coverage and adequate reimbursement from third-party payors for a product and may be affected by existing and future health care reform measures.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b w:val="1"/>
          <w:bCs w:val="1"/>
          <w:i w:val="1"/>
          <w:iCs w:val="1"/>
          <w:color w:val="auto"/>
        </w:rPr>
        <w:t>Recently enacted legislation, future legislation and healthcare reform measures may increase the difficulty and cost for us to obtain marketing approval for and commercialize tildacerfont and any future product candidates and may affect the prices we may set.*</w:t>
      </w:r>
    </w:p>
    <w:p>
      <w:pPr>
        <w:spacing w:after="0" w:line="16"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p>
    <w:p>
      <w:pPr>
        <w:spacing w:after="0" w:line="49" w:lineRule="exact"/>
        <w:rPr>
          <w:sz w:val="20"/>
          <w:szCs w:val="20"/>
          <w:color w:val="auto"/>
        </w:rPr>
      </w:pPr>
    </w:p>
    <w:p>
      <w:pPr>
        <w:ind w:right="100" w:firstLine="509"/>
        <w:spacing w:after="0" w:line="271" w:lineRule="auto"/>
        <w:rPr>
          <w:sz w:val="20"/>
          <w:szCs w:val="20"/>
          <w:color w:val="auto"/>
        </w:rPr>
      </w:pPr>
      <w:r>
        <w:rPr>
          <w:rFonts w:ascii="Arial" w:cs="Arial" w:eastAsia="Arial" w:hAnsi="Arial"/>
          <w:sz w:val="17"/>
          <w:szCs w:val="17"/>
          <w:color w:val="auto"/>
        </w:rPr>
        <w:t>For example, in March 2010, the Patient Protection and Affordable Care Act, as amended by the Health Care and Education Reconciliation Act (collectively the "Affordable Care Act"), was enacted in the United States. Among the provisions of the Affordable Care Act of importance to our potential product candidates are that it established an annual, nondeductible fee on any entity that manufactures or imports specified branded prescription drugs and biologic agents; expands eligibility criteria for Medicaid programs; increased the statutory minimum rebates a manufacturer must pay under the Medicaid Drug Rebate Program; created a new Medicare Part D coverage gap discount program; established a new Patient-Centered Outcomes Research Institute to oversee, identify priorities in and conduct comparative clinical effectiveness research, along with funding for such research; and established a Center for Medicare and Medicaid Innovation at the Centers for Medicare &amp; Medicaid Services ("CMS") to test innovative payment and service delivery models to lower Medicare and Medicaid spending.</w:t>
      </w:r>
    </w:p>
    <w:p>
      <w:pPr>
        <w:spacing w:after="0" w:line="70" w:lineRule="exact"/>
        <w:rPr>
          <w:sz w:val="20"/>
          <w:szCs w:val="20"/>
          <w:color w:val="auto"/>
        </w:rPr>
      </w:pPr>
    </w:p>
    <w:p>
      <w:pPr>
        <w:ind w:right="20" w:firstLine="509"/>
        <w:spacing w:after="0" w:line="286" w:lineRule="auto"/>
        <w:rPr>
          <w:sz w:val="20"/>
          <w:szCs w:val="20"/>
          <w:color w:val="auto"/>
        </w:rPr>
      </w:pPr>
      <w:r>
        <w:rPr>
          <w:rFonts w:ascii="Arial" w:cs="Arial" w:eastAsia="Arial" w:hAnsi="Arial"/>
          <w:sz w:val="16"/>
          <w:szCs w:val="16"/>
          <w:color w:val="auto"/>
        </w:rPr>
        <w:t>There have been executive, judicial and Congressional challenges to certain aspects of the Affordable Care Act. By way of example, legislation enacted in 2017, informally titled the Tax Cuts and Jobs Act (the "Tax Act"), included a provision which repealed, effective January 1, 2019, the tax-based shared responsibility payment imposed by the Affordable Care Act on certain individuals who fail to maintain qualifying health coverage for all or part of a year that is commonly referred to as the “individual mandate.” For example, on June 17, 2021, the United States Supreme Court dismissed a challenge on procedural grounds that argued the Affordable Care Act is unconstitutional in its entirety because the "individual mandate" was repealed by Congress. Moreover, prior to the United Supreme Court ruling, on January 28, 2021, President Biden issued an executive order that initiated a special enrollment period for purposes of obtaining health insurance coverage through the Affordable Care Act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Affordable Care Act. Further, on August 16, 2022, President Biden signed the Inflation Reduction Act of 2022 (“IRA”)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and creating a new manufacturer discount program. It is possible that the Affordable Care Act will be subject to judicial or Congressional challenges in the future. It is unclear how any such challenges and the healthcare reform measures of the Biden administration will impact the Affordable Care Act and our business.</w:t>
      </w:r>
    </w:p>
    <w:p>
      <w:pPr>
        <w:spacing w:after="0" w:line="59" w:lineRule="exact"/>
        <w:rPr>
          <w:sz w:val="20"/>
          <w:szCs w:val="20"/>
          <w:color w:val="auto"/>
        </w:rPr>
      </w:pPr>
    </w:p>
    <w:p>
      <w:pPr>
        <w:ind w:right="140" w:firstLine="509"/>
        <w:spacing w:after="0" w:line="255" w:lineRule="auto"/>
        <w:rPr>
          <w:sz w:val="20"/>
          <w:szCs w:val="20"/>
          <w:color w:val="auto"/>
        </w:rPr>
      </w:pPr>
      <w:r>
        <w:rPr>
          <w:rFonts w:ascii="Arial" w:cs="Arial" w:eastAsia="Arial" w:hAnsi="Arial"/>
          <w:sz w:val="18"/>
          <w:szCs w:val="18"/>
          <w:color w:val="auto"/>
        </w:rPr>
        <w:t>In addition, other legislative changes have been proposed and adopted since the Affordable Care Act was enacted. On August 2, 2011, the Budget Control Act of 2011 was signed into law, which, among other things, included reductions to Medicare payments to providers of 2% per fiscal year, which went into effect on April 1, 2013 and, due to subsequent legislative amendments to the statute, will remain in effect through 2032, unless additional Congressional action is taken. In addition,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w:t>
      </w:r>
    </w:p>
    <w:p>
      <w:pPr>
        <w:spacing w:after="0" w:line="84" w:lineRule="exact"/>
        <w:rPr>
          <w:sz w:val="20"/>
          <w:szCs w:val="20"/>
          <w:color w:val="auto"/>
        </w:rPr>
      </w:pPr>
    </w:p>
    <w:p>
      <w:pPr>
        <w:ind w:right="100" w:firstLine="509"/>
        <w:spacing w:after="0" w:line="279" w:lineRule="auto"/>
        <w:rPr>
          <w:sz w:val="20"/>
          <w:szCs w:val="20"/>
          <w:color w:val="auto"/>
        </w:rPr>
      </w:pPr>
      <w:r>
        <w:rPr>
          <w:rFonts w:ascii="Arial" w:cs="Arial" w:eastAsia="Arial" w:hAnsi="Arial"/>
          <w:sz w:val="17"/>
          <w:szCs w:val="17"/>
          <w:color w:val="auto"/>
        </w:rPr>
        <w:t>Further, there has been heightened governmental scrutiny in the United States of pharmaceutical pricing practices in light of the rising cost of prescription drugs. Such scrutiny has resulted in several recent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w:t>
      </w:r>
    </w:p>
    <w:p>
      <w:pPr>
        <w:spacing w:after="0" w:line="63" w:lineRule="exact"/>
        <w:rPr>
          <w:sz w:val="20"/>
          <w:szCs w:val="20"/>
          <w:color w:val="auto"/>
        </w:rPr>
      </w:pPr>
    </w:p>
    <w:p>
      <w:pPr>
        <w:ind w:right="100" w:firstLine="509"/>
        <w:spacing w:after="0" w:line="291" w:lineRule="auto"/>
        <w:rPr>
          <w:sz w:val="20"/>
          <w:szCs w:val="20"/>
          <w:color w:val="auto"/>
        </w:rPr>
      </w:pPr>
      <w:r>
        <w:rPr>
          <w:rFonts w:ascii="Arial" w:cs="Arial" w:eastAsia="Arial" w:hAnsi="Arial"/>
          <w:sz w:val="16"/>
          <w:szCs w:val="16"/>
          <w:color w:val="auto"/>
        </w:rPr>
        <w:t>At the federal level,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(i) directs HHS to negotiate the price of certain high-expenditure, single-source drugs and biologics covered under Medicare and (ii) imposes rebates under Medicare Part B and Medicare Part D to penalize price increases that outpace inflation. These provisions will take effect progressively starting in fiscal year 2023, although they may be subject to legal challenges. HHS has and will continue to issue and update guidance as these programs are implemented.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It is currently unclear how the IRA will be implemented but it is likely to have a significant impact on the pharmaceutical industry. In addition, in response to the Biden administration’s October 2022 executive order, on February 14, 2023, HHS released a report outlining three new models for testing by the Center for Medicare and Medicaid Innovation which will be evaluated on their ability to lower the cost of drugs, promote accessibility, and improve quality of care. It is unclear whether the models will be utilized in any health reform measures in the future.</w:t>
      </w:r>
    </w:p>
    <w:p>
      <w:pPr>
        <w:spacing w:after="0" w:line="63" w:lineRule="exact"/>
        <w:rPr>
          <w:sz w:val="20"/>
          <w:szCs w:val="20"/>
          <w:color w:val="auto"/>
        </w:rPr>
      </w:pPr>
    </w:p>
    <w:p>
      <w:pPr>
        <w:jc w:val="both"/>
        <w:ind w:right="220" w:firstLine="509"/>
        <w:spacing w:after="0" w:line="287" w:lineRule="auto"/>
        <w:rPr>
          <w:sz w:val="20"/>
          <w:szCs w:val="20"/>
          <w:color w:val="auto"/>
        </w:rPr>
      </w:pPr>
      <w:r>
        <w:rPr>
          <w:rFonts w:ascii="Arial" w:cs="Arial" w:eastAsia="Arial" w:hAnsi="Arial"/>
          <w:sz w:val="16"/>
          <w:szCs w:val="16"/>
          <w:color w:val="auto"/>
        </w:rPr>
        <w:t>At the state level, 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tildacerfont, if approved, or put pressure on our product pricing, which could negatively affect our business, results of operations, financial condition, and prospects.</w:t>
      </w:r>
    </w:p>
    <w:p>
      <w:pPr>
        <w:spacing w:after="0" w:line="83"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We expect that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third-party payors. The implementation of cost containment measures or other healthcare reforms may prevent us from being able to generate revenue, attain profitability or commercialize tildacerfont, if approved.</w:t>
      </w:r>
    </w:p>
    <w:p>
      <w:pPr>
        <w:spacing w:after="0" w:line="8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A variety of risks associated with marketing tildacerfont and any future product candidates internationally could materially adversely affect our business.*</w:t>
      </w:r>
    </w:p>
    <w:p>
      <w:pPr>
        <w:spacing w:after="0" w:line="62"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We plan to seek regulatory approval for tildacerfont and any future product candidates internationally and, accordingly, we expect that we will be subject to additional risks related to operating in foreign countries if we obtain the necessary approvals, including:</w:t>
      </w:r>
    </w:p>
    <w:p>
      <w:pPr>
        <w:spacing w:after="0" w:line="62" w:lineRule="exact"/>
        <w:rPr>
          <w:sz w:val="20"/>
          <w:szCs w:val="20"/>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 including differing reimbursement, pricing and insurance regimes;</w:t>
      </w:r>
    </w:p>
    <w:p>
      <w:pPr>
        <w:spacing w:after="0" w:line="117"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potential for so-called parallel importing, which is what happens when a local seller, faced with high or higher local prices, opts to import goods from a foreign market (with low or lower prices) rather than buying them locally;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internationally;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17" w:lineRule="exact"/>
        <w:rPr>
          <w:rFonts w:ascii="Arial" w:cs="Arial" w:eastAsia="Arial" w:hAnsi="Arial"/>
          <w:sz w:val="18"/>
          <w:szCs w:val="18"/>
          <w:color w:val="auto"/>
        </w:rPr>
      </w:pPr>
    </w:p>
    <w:p>
      <w:pPr>
        <w:ind w:left="1020" w:right="340" w:hanging="503"/>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liability under the U.S. Foreign Corrupt Practices Act of 1977 ("FCPA") or comparable foreign regulations;</w:t>
      </w:r>
    </w:p>
    <w:p>
      <w:pPr>
        <w:spacing w:after="0" w:line="117" w:lineRule="exact"/>
        <w:rPr>
          <w:rFonts w:ascii="Arial" w:cs="Arial" w:eastAsia="Arial" w:hAnsi="Arial"/>
          <w:sz w:val="18"/>
          <w:szCs w:val="18"/>
          <w:color w:val="auto"/>
        </w:rPr>
      </w:pPr>
    </w:p>
    <w:p>
      <w:pPr>
        <w:ind w:left="1020" w:right="400" w:hanging="503"/>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internationally;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117" w:lineRule="exact"/>
        <w:rPr>
          <w:sz w:val="20"/>
          <w:szCs w:val="20"/>
          <w:color w:val="auto"/>
        </w:rPr>
      </w:pPr>
    </w:p>
    <w:p>
      <w:pPr>
        <w:ind w:right="640" w:firstLine="509"/>
        <w:spacing w:after="0" w:line="277" w:lineRule="auto"/>
        <w:rPr>
          <w:sz w:val="20"/>
          <w:szCs w:val="20"/>
          <w:color w:val="auto"/>
        </w:rPr>
      </w:pPr>
      <w:r>
        <w:rPr>
          <w:rFonts w:ascii="Arial" w:cs="Arial" w:eastAsia="Arial" w:hAnsi="Arial"/>
          <w:sz w:val="18"/>
          <w:szCs w:val="18"/>
          <w:color w:val="auto"/>
        </w:rPr>
        <w:t>These and other risks associated with our international operations may materially adversely affect our ability to attain or maintain profitable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and commercialize additional product candidates, we may be unable to grow our business.</w:t>
      </w:r>
    </w:p>
    <w:p>
      <w:pPr>
        <w:spacing w:after="0" w:line="117" w:lineRule="exact"/>
        <w:rPr>
          <w:sz w:val="20"/>
          <w:szCs w:val="20"/>
          <w:color w:val="auto"/>
        </w:rPr>
      </w:pPr>
    </w:p>
    <w:p>
      <w:pPr>
        <w:ind w:right="560" w:firstLine="509"/>
        <w:spacing w:after="0" w:line="277" w:lineRule="auto"/>
        <w:rPr>
          <w:sz w:val="20"/>
          <w:szCs w:val="20"/>
          <w:color w:val="auto"/>
        </w:rPr>
      </w:pPr>
      <w:r>
        <w:rPr>
          <w:rFonts w:ascii="Arial" w:cs="Arial" w:eastAsia="Arial" w:hAnsi="Arial"/>
          <w:sz w:val="18"/>
          <w:szCs w:val="18"/>
          <w:color w:val="auto"/>
        </w:rPr>
        <w:t>We may seek to in-license or acquire development-stage product candidates in endocrine disorders that have the potential to complement our existing portfolio. If we decide to pursue the development and commercialization of any additional product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candidates, we may be required to invest significant resources to acquire or in-license the rights to such product candidates or to conduct drug discovery activities. We do not currently have the necessary drug discovery personnel or expertise adequate to discover and develop an additional product candidate on our own. Any other product candidates will require additional, time-consuming development efforts, and significant financial resources, prior to commercial sale, including preclinical studies, extensive clinical trials, and approval by the FDA and applicable foreign regulatory authorities. All product candidates are prone to the risks of failure that are inherent in pharmaceutical product development, including the possibility that the product candidate will not be shown to be sufficiently safe and/or effective for approval by regulatory authorities. In addition, we may not be able to acquire, discover, or develop any additional product candidates, and any additional product candidates we may develop may not be approved, manufactured, or produced economically, successfully commercialized or widely accepted in the marketplace, or be more effective than other commercially available alternatives. Research programs to identify new product candidates require substantial technical, financial, and human resources whether or not we ultimately identify any candidates. If we are unable to develop or commercialize any other product candidates, our business and prospects will suffer.</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tildacerfont for additional indications, our commercial opportunity may be limited.</w:t>
      </w:r>
    </w:p>
    <w:p>
      <w:pPr>
        <w:spacing w:after="0" w:line="117"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One of our strategies is to pursue clinical development of tildacerfont in additional endocrine disorders, including, but not limited to, pediatric classic CAH and a subpopulation of females with PCOS. The endocrine disorders we are targeting are all rare disorders and, as a result, the market size for the treatment of patients with such disorders is limited. In addition, CRF1 receptor antagonism may not be an appropriate or effective mechanism in indications where disease biology supports a need to reduce ACTH. Due to these factors, our ability to grow revenue may be dependent on our ability to successfully develop and commercialize tildacerfont for the treatment of additional indications. Developing, obtaining regulatory approval and commercializing tildacerfont for additional indications will require substantial additional funding and is prone to the risks of failure inherent in drug development. We may not be able to successfully advance any of these indications through the development process. Even if we receive regulatory approval to market tildacerfont for the treatment of any of these additional indications, any such additional indications may not be successfully commercialized, widely accepted in the marketplace, or more effective than other commercially available alternatives. If we are unable to successfully develop and commercialize tildacerfont for these additional indications, our commercial opportunity may be limited.</w:t>
      </w:r>
    </w:p>
    <w:p>
      <w:pPr>
        <w:spacing w:after="0" w:line="7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62"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The biopharmaceutical industry is characterized by intense competition and rapid innovation. Although we believe that we hold a leading position in our focus on rare endocrine disorders, our competitors may be able to develop other compounds or drugs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through collaborative arrangements with large, established companies.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may succeed in developing, acquiring or licensing on an exclusive basis drug products that are more effective or less costly than tildacerfont. We believe the key competitive factors that will affect the development and commercial success of tildacerfont are efficacy, safety and tolerability profile, reliability, convenience of dosing, price and reimbursement.</w:t>
      </w:r>
    </w:p>
    <w:p>
      <w:pPr>
        <w:spacing w:after="0" w:line="64"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Although classic CAH is part of the newborn screening program in most developed countries, there are no known novel therapies that have been approved in approximately 70 years. We are aware of other companies actively developing treatments for patients with classic CAH. Neurocrine Biosciences, Inc. is developing a CRF1 receptor antagonist and has initiated Phase 3 registrational trials in adult and pediatric classic CAH and plans to report topline results from both studies in 2023. Crinetics Pharmaceuticals, Inc. plans to initiate a Phase 2 clinical trial in 2023 to evaluate the safety and efficacy of an oral ACTH antagonist in adults with CAH. BridgeBio Pharma, Inc. is evaluating an AAV5 gene therapy product candidate to treat classic CAH in a Phase 1/2 proof-of-concept clinical trial. In addition, while tildacerfont ultimately seeks to significantly reduce steroid use for patients with classic CAH, patients will continue to use their steroid regimen. As high doses of corticosteroids are the current standard of care for the treatment of classic CAH, in the United States alone, there are more than two dozen companies manufacturing steroid-based products.</w:t>
      </w:r>
    </w:p>
    <w:p>
      <w:pPr>
        <w:spacing w:after="0" w:line="57"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Our commercial potential could be reduced or eliminated if our competitors develop and commercialize products that are safer, more effective, have fewer or less severe side effects, are more convenient, or are less expensive than products that we may develop. Our competitors also may obtain FDA or other regulatory approval for their products more rapidly than we may obtain approval for ours, which could result in our competitors establishing a strong market position before we are able to enter the market or make our</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development more complicated. We believe the key competitive factors affecting the success of tildacerfont are likely to be efficacy, safety, and convenience.</w:t>
      </w:r>
    </w:p>
    <w:p>
      <w:pPr>
        <w:spacing w:after="0" w:line="6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Even though we have obtained orphan drug designation for tildacerfont for the treatment of CAH, we may not be able to obtain or maintain the benefits associated with orphan drug status, including market exclusivity.</w:t>
      </w:r>
    </w:p>
    <w:p>
      <w:pPr>
        <w:spacing w:after="0" w:line="62" w:lineRule="exact"/>
        <w:rPr>
          <w:sz w:val="20"/>
          <w:szCs w:val="20"/>
          <w:color w:val="auto"/>
        </w:rPr>
      </w:pPr>
    </w:p>
    <w:p>
      <w:pPr>
        <w:ind w:right="80" w:firstLine="509"/>
        <w:spacing w:after="0" w:line="289" w:lineRule="auto"/>
        <w:rPr>
          <w:sz w:val="20"/>
          <w:szCs w:val="20"/>
          <w:color w:val="auto"/>
        </w:rPr>
      </w:pPr>
      <w:r>
        <w:rPr>
          <w:rFonts w:ascii="Arial" w:cs="Arial" w:eastAsia="Arial" w:hAnsi="Arial"/>
          <w:sz w:val="16"/>
          <w:szCs w:val="16"/>
          <w:color w:val="auto"/>
        </w:rPr>
        <w:t>Regulatory authorities in some jurisdictions, including the United States and the EU, may designate drugs for relatively small patient populations as orphan drugs. Under the Orphan Drug Act, the FDA may designate a drug as an orphan drug if it is intended to treat a rare disease or condition, which is generally defined as a patient population of fewer than 200,000 people in the United States, or a patient population of greater than 200,000 people in the United States, but for which there is no reasonable expectation that the cost of developing the drug will be recovered from sales in the United States. In the EU, the European Commission, on the basis of the opinion of the EMA Committee for Orphan Medicinal Products, grants orphan drug designation for medicines to be developed for the diagnosis, prevention or treatment of diseases that are life-threatening or chronically debilitating, for which either no satisfactory method of diagnosis, prevention, or treatment exists, or if such method exists, the medicine is of significant benefit to those affected by such condition. To benefit from such designation, either the prevalence of such condition must not be more than five in 10,000 people across the EU or, if more prevalent, it must be unlikely that the marketing of the medicine would generate sufficient returns to justify the investment needed for its development.</w:t>
      </w:r>
    </w:p>
    <w:p>
      <w:pPr>
        <w:spacing w:after="0" w:line="58" w:lineRule="exact"/>
        <w:rPr>
          <w:sz w:val="20"/>
          <w:szCs w:val="20"/>
          <w:color w:val="auto"/>
        </w:rPr>
      </w:pPr>
    </w:p>
    <w:p>
      <w:pPr>
        <w:ind w:firstLine="509"/>
        <w:spacing w:after="0" w:line="267" w:lineRule="auto"/>
        <w:rPr>
          <w:sz w:val="20"/>
          <w:szCs w:val="20"/>
          <w:color w:val="auto"/>
        </w:rPr>
      </w:pPr>
      <w:r>
        <w:rPr>
          <w:rFonts w:ascii="Arial" w:cs="Arial" w:eastAsia="Arial" w:hAnsi="Arial"/>
          <w:sz w:val="17"/>
          <w:szCs w:val="17"/>
          <w:color w:val="auto"/>
        </w:rPr>
        <w:t>We have received orphan drug designation for tildacerfont for the treatment of patients with CAH in both the US and EU. Generally, if a drug with an orphan drug designation subsequently receives the first marketing approval for the indication for which it has such designation, the drug may be entitled to a period of marketing exclusivity, which precludes the FDA or the European Commission from approving another marketing application for the same drug (or, in the case of the European Commission, a similar drug) and same indication for that time period. The applicable period is seven years in the United States and ten years in the EU, which may be extended by six months and two years, respectively, in the case of product candidates that have complied with the respective regulatory agency’s agreed upon pediatric investigation plan. The exclusivity period in the EU can be reduced to six years if, at the end of the fifth year, it is established that a drug no longer meets the criteria for orphan drug designation or if the drug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 In addition, even after a drug is granted orphan exclusivity and approved, the FDA and the European Commission can subsequently approve a different drug for the same condition or the same drug for a different condition, which may subject the orphan-exclusive product to off-label competition. As well, before the expiration of the orphan exclusivity period, the FDA or European Commission may grant approval to a competitor if it concludes that a subsequent application for the same drug for the same indication is clinically superior in that it is shown to be safer, more effective or makes a major contribution to patient care. In the EU, the EMA may deny marketing approval for a product candidate if it determines such product candidate is structurally similar to an approved product for the same indication. In addition, if an orphan designated product receives marketing approval for an indication broader than or different from what is designated, such product may not be entitled to orphan exclusivity. Even though the FDA has granted orphan drug designation to tildacerfont for the treatment of classic CAH, if we receive approval for tildacerfont for a modified or different indication, our current orphan designations may not provide us with exclusivity.</w:t>
      </w:r>
    </w:p>
    <w:p>
      <w:pPr>
        <w:spacing w:after="0" w:line="82" w:lineRule="exact"/>
        <w:rPr>
          <w:sz w:val="20"/>
          <w:szCs w:val="20"/>
          <w:color w:val="auto"/>
        </w:rPr>
      </w:pPr>
    </w:p>
    <w:p>
      <w:pPr>
        <w:jc w:val="both"/>
        <w:ind w:right="200" w:firstLine="509"/>
        <w:spacing w:after="0" w:line="263" w:lineRule="auto"/>
        <w:rPr>
          <w:sz w:val="20"/>
          <w:szCs w:val="20"/>
          <w:color w:val="auto"/>
        </w:rPr>
      </w:pPr>
      <w:r>
        <w:rPr>
          <w:rFonts w:ascii="Arial" w:cs="Arial" w:eastAsia="Arial" w:hAnsi="Arial"/>
          <w:sz w:val="18"/>
          <w:szCs w:val="18"/>
          <w:color w:val="auto"/>
        </w:rPr>
        <w:t>Orphan drug designation does not convey any advantage in, or shorten the duration of, the regulatory review or approval process. Also, regulatory approval for any product candidate may be withdrawn, and other product candidates may obtain approval before us and receive orphan drug exclusivity, which could block us from entering the market.</w:t>
      </w:r>
    </w:p>
    <w:p>
      <w:pPr>
        <w:spacing w:after="0" w:line="76"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Even if we obtain orphan drug exclusivity for tildacerfont, that exclusivity may not effectively protect us from competition because different drugs can be approved for the same condition before the expiration of the orphan drug exclusivity period.</w:t>
      </w:r>
    </w:p>
    <w:p>
      <w:pPr>
        <w:spacing w:after="0" w:line="6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b w:val="1"/>
          <w:bCs w:val="1"/>
          <w:i w:val="1"/>
          <w:iCs w:val="1"/>
          <w:color w:val="auto"/>
        </w:rPr>
        <w:t>We may pursue orphan drug designation for tildacerfont for the treatment of a subpopulation of females with PCOS. The incidence and prevalence of this target patient population is based on our estimates and third-party data. If the market opportunity for this target population is larger than we estimate, we may be unable to receive orphan drug designation. Additionally, if orphan drug designation is granted, we may be unable to maintain any benefits associated with orphan drug designation, including market exclusivity.</w:t>
      </w:r>
    </w:p>
    <w:p>
      <w:pPr>
        <w:spacing w:after="0" w:line="63" w:lineRule="exact"/>
        <w:rPr>
          <w:sz w:val="20"/>
          <w:szCs w:val="20"/>
          <w:color w:val="auto"/>
        </w:rPr>
      </w:pPr>
    </w:p>
    <w:p>
      <w:pPr>
        <w:ind w:right="160" w:firstLine="509"/>
        <w:spacing w:after="0" w:line="273" w:lineRule="auto"/>
        <w:rPr>
          <w:sz w:val="20"/>
          <w:szCs w:val="20"/>
          <w:color w:val="auto"/>
        </w:rPr>
      </w:pPr>
      <w:r>
        <w:rPr>
          <w:rFonts w:ascii="Arial" w:cs="Arial" w:eastAsia="Arial" w:hAnsi="Arial"/>
          <w:sz w:val="17"/>
          <w:szCs w:val="17"/>
          <w:color w:val="auto"/>
        </w:rPr>
        <w:t>Periodically, we make estimates regarding the incidence and prevalence of target patient populations based on various third-party sources and internally generated analysis. Our estimates may be inaccurate or based on imprecise data. As described above, under the Orphan Drug Act, the FDA may designate a drug as an orphan drug if it is intended to treat a rare disease or condition, which is generally defined as a patient population of fewer than 200,000 people in the United States, or a patient population of greater than 200,000 people in the United States, but for which there is no reasonable expectation that the cost of developing the drug will be recovered from sales in the United States. If our incidence or prevalence estimates for the subpopulation of females with PCOS are incorrect, we may be unable to receive orphan drug designation.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Even if the FDA grants orphan drug designation for tildacerfont for the treatment of a subpopulation of females with PCOS, exclusive marketing rights in the United States may be limited if we seek FDA marketing approval for an indication broader than the orphan designated indication. Additionally, any product candidate that initially receives orphan drug status designation, may lose such designation if the FDA later determines that the request for designation was materially defective or if the manufacturer is unable to assure sufficient quantities of the product to meet the needs of patients with the rare disease or condition. In addition, others may obtain orphan drug status for products addressing the same diseases or conditions as products we are developing, thus limiting our ability to compete in the markets addressing such diseases or conditions for a significant period of time. As a result, our business and prospects could suffer.</w:t>
      </w:r>
    </w:p>
    <w:p>
      <w:pPr>
        <w:spacing w:after="0" w:line="8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may form or seek strategic alliances or enter into additional licensing arrangements in the future, and we may not realize the benefits of such alliances or licensing arrangements.</w:t>
      </w:r>
    </w:p>
    <w:p>
      <w:pPr>
        <w:spacing w:after="0" w:line="62"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We may form or seek strategic alliances, create joint ventures or collaborations or enter into additional licensing arrangements with third parties that we believe will complement or augment our development and commercialization efforts with respect to tildacerfont and any future product candidates that we may develop. We intend to establish commercial partnerships outside of the United States in selected foreign markets. Any of these relationships may require us to incur non-recurring and other charges, increase our near-and long-term expenditures, issue securities that dilute our existing stockholders, or disrupt our management and business. In addition, we face significant competition in seeking appropriate strategic partners and the negotiation process is time-consuming and complex. If we license products or businesses, we may not be able to realize the benefit of such transactions if we are unable to successfully integrate them with our existing operations and company culture. Following a strategic transaction or license, we may not achieve the revenues or cash flows that justifies such transaction. Any delays in entering into new strategic partnership agreements related to tildacerfont could delay the development and commercialization of tildacerfont in certain geographies for certain indications, which would harm our business prospects, financial condition, and results of operations.</w:t>
      </w:r>
    </w:p>
    <w:p>
      <w:pPr>
        <w:spacing w:after="0" w:line="7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failure to successfully in-license, acquire, develop, and market additional product candidates or approved products would impair our ability to grow our business.</w:t>
      </w:r>
    </w:p>
    <w:p>
      <w:pPr>
        <w:spacing w:after="0" w:line="62"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Although a substantial amount of our efforts are focused on the clinical development, potential regulatory approval and commercialization of tildacerfont, a key element of our long-term strategy is to in-license, acquire, develop, market, and commercialize a portfolio of products to treat patients with endocrine disorders. Because we do not have the necessary internal research and development capabilities, unless we build such capabilities internally, we will be dependent upon pharmaceutical companies, academic scientists, and other researchers to sell or license products or technology to us. The success of this strategy depends partly upon our ability to identify and select promising biopharmaceutical product candidates and products, negotiate licensing or acquisition agreements with their current owners, and finance these arrangements. The process of proposing, negotiating, and implementing a license or acquisition of a product candidate or approved product is lengthy and complex. Other companies, including some with substantially greater financial, marketing, sales, and other resources, may compete with us for the license or acquisition of product candidates and approved products. We have limited resources to identify and execute the acquisition or in-licensing of third-party products, businesses, and technologies and integrate them into our current infrastructure. Moreover, we may devote resources to potential acquisitions or licensing opportunities that are never completed, or we may fail to realize the anticipated benefits of such efforts. We may not be able to acquire the rights to additional product candidates on terms that we find acceptable, or at all. Further, any product candidate that we acquire may require additional development efforts prior to commercial sale, including preclinical or clinical testing and approval by the FDA, the EMA and other similar regulatory authorities. All product candidates are prone to risks of failure during biopharmaceutical product development, including the possibility that a product candidate will not be shown to be sufficiently safe and effective for approval by regulatory authorities. In addition, any approved products that we acquire may not be manufactured or sold profitably or achieve market acceptance.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grow the size of our organization, and we may experience difficulties in managing this growth.*</w:t>
      </w:r>
    </w:p>
    <w:p>
      <w:pPr>
        <w:spacing w:after="0" w:line="117"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As of March 31, 2023, we had 30 employees, all of whom are full-time. As our development and commercialization plans and strategies develop, and as we transition into operating as a public company, we expect to need additional development, managerial, operational, financial, sales, marketing, and other personnel. Future growth would impose significant added responsibilities on members of management, including:</w:t>
      </w:r>
    </w:p>
    <w:p>
      <w:pPr>
        <w:spacing w:after="0" w:line="57" w:lineRule="exact"/>
        <w:rPr>
          <w:sz w:val="20"/>
          <w:szCs w:val="20"/>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17" w:lineRule="exact"/>
        <w:rPr>
          <w:rFonts w:ascii="Arial" w:cs="Arial" w:eastAsia="Arial" w:hAnsi="Arial"/>
          <w:sz w:val="18"/>
          <w:szCs w:val="18"/>
          <w:color w:val="auto"/>
        </w:rPr>
      </w:pPr>
    </w:p>
    <w:p>
      <w:pPr>
        <w:ind w:left="1020" w:right="300" w:hanging="503"/>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and regulatory review process for tildacerfont and any future product candidates, while complying with our contractual obligations to contractors and other third parties;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117"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In addition, we initiated enrollment in CAHmelia-203, our ongoing placebo-controlled, double-blind Phase 2b clinical trial in adult patients with classic CAH with highly elevated levels of A4 at baseline, and in CAHmelia-204, our second Phase 2b clinical trial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adult patients with classic CAH on supraphysiologic doses of glucocorticoids with normal or near normal levels of A4 at baseline focused on glucocorticoid reduction. We also initiated a Phase 2 open-label clinical trial in pediatric patients between two and 17 years of age with classic CAH and a Phase 2 proof-of-concept clinical trial in females with PCOS. Our future financial performance and our ability to commercialize tildacerfont will depend, in part, on our ability to effectively manage any future growth, and our management may also have to divert a disproportionate amount of its attention away from day-to-day activities in order to devote a substantial amount of time to managing these growth activities. To date, we have used the services of outside vendors to perform tasks including clinical trial management, manufacturing, statistics and analysis, regulatory affairs, formulation development, and other drug development functions. Our growth strategy may also entail expanding our group of contractors or consultants to implement these tasks going forward. Because we rely on numerous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tildacerfont and any future product candidates or otherwise advance our business. We may not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not be able to successfully implement the tasks necessary to further develop and commercialize tildacerfont and any future product candidates and, accordingly, may not achieve our research, development and commercialization goals.</w:t>
      </w:r>
    </w:p>
    <w:p>
      <w:pPr>
        <w:spacing w:after="0" w:line="5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Our indebtedness to Silicon Valley Bank may limit our flexibility in operating our business and adversely affect our financial health and competitive position, and our obligations to Silicon Valley Bank are secured by substantially all of our assets, excluding our intellectual property assets. If we default on these obligations, Silicon Valley Bank could foreclose on our assets.*</w:t>
      </w:r>
    </w:p>
    <w:p>
      <w:pPr>
        <w:spacing w:after="0" w:line="76" w:lineRule="exact"/>
        <w:rPr>
          <w:sz w:val="20"/>
          <w:szCs w:val="20"/>
          <w:color w:val="auto"/>
        </w:rPr>
      </w:pPr>
    </w:p>
    <w:p>
      <w:pPr>
        <w:ind w:right="160" w:firstLine="509"/>
        <w:spacing w:after="0" w:line="271" w:lineRule="auto"/>
        <w:rPr>
          <w:sz w:val="20"/>
          <w:szCs w:val="20"/>
          <w:color w:val="auto"/>
        </w:rPr>
      </w:pPr>
      <w:r>
        <w:rPr>
          <w:rFonts w:ascii="Arial" w:cs="Arial" w:eastAsia="Arial" w:hAnsi="Arial"/>
          <w:sz w:val="17"/>
          <w:szCs w:val="17"/>
          <w:color w:val="auto"/>
        </w:rPr>
        <w:t>In September 2019, we entered into a Loan and Security Agreement (the "Loan Agreement") providing for a term loan (the "Term Loan") with Silicon Valley Bank. In April 2020, we entered into a deferral agreement with Silicon Valley Bank (the "Deferral Agreement"), whereby we and Silicon Valley Bank agreed to extend the repayment dates of all monthly payments of principal due and the maturity date with respect to the Term Loan by six months. In March 2021, we entered into the First Amendment with Silicon Valley Bank (the "First Amendment"), which increased the aggregate principal amount of the Term Loan commitment by Silicon Valley Bank to up to $30.0 million. In May 2022, we entered into the Second Amendment with Silicon Valley Bank (the "Second Amendment"), which amended the milestone upon which the Second Tranche commitment of $10.0 million would become available. As of March 31, 2023, we had $4.6 million outstanding under the Loan Agreement. Repayment of principal commenced in January 2023. Commitments available under the Second Tranche of $10.0 million expired on December 31, 2022.</w:t>
      </w:r>
    </w:p>
    <w:p>
      <w:pPr>
        <w:spacing w:after="0" w:line="70" w:lineRule="exact"/>
        <w:rPr>
          <w:sz w:val="20"/>
          <w:szCs w:val="20"/>
          <w:color w:val="auto"/>
        </w:rPr>
      </w:pPr>
    </w:p>
    <w:p>
      <w:pPr>
        <w:ind w:right="140" w:firstLine="509"/>
        <w:spacing w:after="0" w:line="273" w:lineRule="auto"/>
        <w:rPr>
          <w:sz w:val="20"/>
          <w:szCs w:val="20"/>
          <w:color w:val="auto"/>
        </w:rPr>
      </w:pPr>
      <w:r>
        <w:rPr>
          <w:rFonts w:ascii="Arial" w:cs="Arial" w:eastAsia="Arial" w:hAnsi="Arial"/>
          <w:sz w:val="17"/>
          <w:szCs w:val="17"/>
          <w:color w:val="auto"/>
        </w:rPr>
        <w:t>All obligations under the Term Loan are secured by a first priority lien on substantially all of our assets, excluding intellectual property assets. We have agreed with Silicon Valley Bank not to encumber our intellectual property assets without its prior written consent unless a security interest in the underlying intellectual property is necessary to have a security interest in the accounts and proceeds that are part of the assets securing the Term Loan, in which case our intellectual property shall automatically be included within the assets securing the Term Loan. As a result, if we default on any of our obligations under the Loan Agreement, Silicon Valley Bank could foreclose on its security interest and liquidate some or all of the collateral, which would harm our business, financial condition, and results of operations and could require us to reduce or cease operations.</w:t>
      </w:r>
    </w:p>
    <w:p>
      <w:pPr>
        <w:spacing w:after="0" w:line="70" w:lineRule="exact"/>
        <w:rPr>
          <w:sz w:val="20"/>
          <w:szCs w:val="20"/>
          <w:color w:val="auto"/>
        </w:rPr>
      </w:pPr>
    </w:p>
    <w:p>
      <w:pPr>
        <w:ind w:right="60" w:firstLine="509"/>
        <w:spacing w:after="0" w:line="291" w:lineRule="auto"/>
        <w:rPr>
          <w:sz w:val="20"/>
          <w:szCs w:val="20"/>
          <w:color w:val="auto"/>
        </w:rPr>
      </w:pPr>
      <w:r>
        <w:rPr>
          <w:rFonts w:ascii="Arial" w:cs="Arial" w:eastAsia="Arial" w:hAnsi="Arial"/>
          <w:sz w:val="16"/>
          <w:szCs w:val="16"/>
          <w:color w:val="auto"/>
        </w:rPr>
        <w:t>In order to service this indebtedness and any additional indebtedness we may incur in the future, we need to generate cash from our operating activities. Our ability to generate cash is subject, in part, to our ability to successfully execute our business strategy, as well as general economic, financial, competitive, regulatory, and other factors beyond our control. Our business may not be able to generate sufficient cash flow from operations, and future borrowings or other financings may not be available to us in an amount sufficient to enable us to service our indebtedness and fund our other liquidity needs. To the extent we are required to use cash from operations or the proceeds of any future financing to service our indebtedness instead of funding working capital, capital expenditures or other general corporate purposes, we will be less able to plan for, or react to, changes in our business, industry, and in the economy generally. This could place us at a competitive disadvantage compared to our competitors that have less indebtedness.</w:t>
      </w:r>
    </w:p>
    <w:p>
      <w:pPr>
        <w:spacing w:after="0" w:line="58" w:lineRule="exact"/>
        <w:rPr>
          <w:sz w:val="20"/>
          <w:szCs w:val="20"/>
          <w:color w:val="auto"/>
        </w:rPr>
      </w:pPr>
    </w:p>
    <w:p>
      <w:pPr>
        <w:ind w:right="160" w:firstLine="509"/>
        <w:spacing w:after="0" w:line="270" w:lineRule="auto"/>
        <w:rPr>
          <w:sz w:val="20"/>
          <w:szCs w:val="20"/>
          <w:color w:val="auto"/>
        </w:rPr>
      </w:pPr>
      <w:r>
        <w:rPr>
          <w:rFonts w:ascii="Arial" w:cs="Arial" w:eastAsia="Arial" w:hAnsi="Arial"/>
          <w:sz w:val="17"/>
          <w:szCs w:val="17"/>
          <w:color w:val="auto"/>
        </w:rPr>
        <w:t>The Loan Agreement contains certain covenants that limit our ability to engage in certain transactions that may be in our long-term best interest, including entering into a change in control transaction. The Loan Agreement also contains certain covenants that limit our ability to obtain additional debt financing, including incurring debt from third parties not permitted under the Loan Agreement or incurring liens or encumbrances on our property. While we have not previously breached and are currently in compliance with the covenants contained in the Loan Agreement, we may breach these covenants in the future. Our ability to comply with these covenants may be affected by events and factors beyond our control. In the event that we breach one or more covenants, Silicon Valley Bank may choose to declare an event of default and require that we immediately repay all amounts outstanding under the Loan Agreement, terminate any commitment to extend further credit and foreclose on the collateral. In addition, if an event of default occurs under the Loan Agreement, Silicon Valley Bank may, among other things, accelerate the Term Loan or do any acts it considers necessary or reasonable to protect its security interest in the collateral under the Term Loan. Events of default include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occurrence of a material adverse change in our business, operations, or condition (financial or otherwise). The occurrence of any of these events could have a material adverse effect on our business, financial condition, and results of operations.</w:t>
      </w:r>
    </w:p>
    <w:p>
      <w:pPr>
        <w:spacing w:after="0" w:line="62" w:lineRule="exact"/>
        <w:rPr>
          <w:sz w:val="20"/>
          <w:szCs w:val="20"/>
          <w:color w:val="auto"/>
        </w:rPr>
      </w:pPr>
    </w:p>
    <w:p>
      <w:pPr>
        <w:jc w:val="both"/>
        <w:ind w:right="280" w:firstLine="509"/>
        <w:spacing w:after="0" w:line="263" w:lineRule="auto"/>
        <w:rPr>
          <w:sz w:val="20"/>
          <w:szCs w:val="20"/>
          <w:color w:val="auto"/>
        </w:rPr>
      </w:pPr>
      <w:r>
        <w:rPr>
          <w:rFonts w:ascii="Arial" w:cs="Arial" w:eastAsia="Arial" w:hAnsi="Arial"/>
          <w:sz w:val="18"/>
          <w:szCs w:val="18"/>
          <w:color w:val="auto"/>
        </w:rPr>
        <w:t>For a more detailed description of the terms of the Loan Agreement, see the section titled “Management’s Discussion and Analysis of Financial Condition and Results of Operations—Material Agreements—Loan Agreement” and Note 6 to our financial statements, each included elsewhere in this Quarterly Report on Form 10-Q.</w:t>
      </w:r>
    </w:p>
    <w:p>
      <w:pPr>
        <w:spacing w:after="0" w:line="7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technologies or product candidates.</w:t>
      </w:r>
    </w:p>
    <w:p>
      <w:pPr>
        <w:spacing w:after="0" w:line="62"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We may seek additional capital through a combination of equity offerings, debt financings, strategic partnerships and alliances, and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current or future product candidates, or grant licenses on terms unfavorable to us.</w:t>
      </w:r>
    </w:p>
    <w:p>
      <w:pPr>
        <w:spacing w:after="0" w:line="5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consultants, strategic partners, and vendors may engage in misconduct or other improper activities, including noncompliance with regulatory standards and requirements.</w:t>
      </w:r>
    </w:p>
    <w:p>
      <w:pPr>
        <w:spacing w:after="0" w:line="62"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We are exposed to the risk that employees, independent contractors, principal investigators, CROs, consultants, and vendors may engage in fraudulent or other illegal activity. Misconduct by these parties could include intentional, reckless and/or negligent conduct or disclosure of unauthorized activities to us that violates: (i) the rules of the FDA and other similar foreign regulatory bodies, including those rules that require the reporting of true, complete, and accurate information to the FDA and other similar foreign regulatory bodies; (ii) manufacturing standards; (iii) healthcare fraud and abuse laws in the United States and similar foreign fraudulent misconduct laws or (iv) laws that require the true, complete, and accurate reporting of our financial information or data. These laws may impact, among other things, our current activities with principal investigators and research subjects,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74" w:lineRule="exact"/>
        <w:rPr>
          <w:sz w:val="20"/>
          <w:szCs w:val="20"/>
          <w:color w:val="auto"/>
        </w:rPr>
      </w:pPr>
    </w:p>
    <w:p>
      <w:pPr>
        <w:ind w:right="80" w:firstLine="509"/>
        <w:spacing w:after="0" w:line="272" w:lineRule="auto"/>
        <w:rPr>
          <w:sz w:val="20"/>
          <w:szCs w:val="20"/>
          <w:color w:val="auto"/>
        </w:rPr>
      </w:pPr>
      <w:r>
        <w:rPr>
          <w:rFonts w:ascii="Arial" w:cs="Arial" w:eastAsia="Arial" w:hAnsi="Arial"/>
          <w:sz w:val="17"/>
          <w:szCs w:val="17"/>
          <w:color w:val="auto"/>
        </w:rPr>
        <w:t>If we obtain regulatory approval for tildacerfont and begin commercializing those products in the United States and in Europe, our potential exposure under such laws will increase significantly, and our costs associated with compliance with such laws are also likely to increase. If any such actions are instituted against us, and we are not successful in defending ourselves or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healthcare programs, additional reporting requirements and/or oversight if we become subject to a corporate integrity agreement or similar agreement to resolve allegations of non-compliance with these laws, contractual damages, reputational harm, diminished profits and future earnings, and curtailment of our operations.</w:t>
      </w:r>
    </w:p>
    <w:p>
      <w:pPr>
        <w:spacing w:after="0" w:line="69" w:lineRule="exact"/>
        <w:rPr>
          <w:sz w:val="20"/>
          <w:szCs w:val="20"/>
          <w:color w:val="auto"/>
        </w:rPr>
      </w:pPr>
    </w:p>
    <w:p>
      <w:pPr>
        <w:ind w:right="360"/>
        <w:spacing w:after="0" w:line="340" w:lineRule="auto"/>
        <w:rPr>
          <w:sz w:val="20"/>
          <w:szCs w:val="20"/>
          <w:color w:val="auto"/>
        </w:rPr>
      </w:pPr>
      <w:r>
        <w:rPr>
          <w:rFonts w:ascii="Arial" w:cs="Arial" w:eastAsia="Arial" w:hAnsi="Arial"/>
          <w:sz w:val="15"/>
          <w:szCs w:val="15"/>
          <w:b w:val="1"/>
          <w:bCs w:val="1"/>
          <w:i w:val="1"/>
          <w:iCs w:val="1"/>
          <w:color w:val="auto"/>
        </w:rPr>
        <w:t>Our relationships with customers, healthcare providers and third-party payors may be subject, directly or indirectly, to federal and state healthcare fraud and abuse laws, false claims laws, health information privacy and security laws, and other healthcare laws and regulations. If we or our employees, independent contractors, consultants, commercial partners, or vendors violate these laws, we could face substantial penalties.*</w:t>
      </w:r>
    </w:p>
    <w:p>
      <w:pPr>
        <w:spacing w:after="0" w:line="23" w:lineRule="exact"/>
        <w:rPr>
          <w:sz w:val="20"/>
          <w:szCs w:val="20"/>
          <w:color w:val="auto"/>
        </w:rPr>
      </w:pPr>
    </w:p>
    <w:p>
      <w:pPr>
        <w:ind w:right="140" w:firstLine="509"/>
        <w:spacing w:after="0" w:line="254" w:lineRule="auto"/>
        <w:rPr>
          <w:sz w:val="20"/>
          <w:szCs w:val="20"/>
          <w:color w:val="auto"/>
        </w:rPr>
      </w:pPr>
      <w:r>
        <w:rPr>
          <w:rFonts w:ascii="Arial" w:cs="Arial" w:eastAsia="Arial" w:hAnsi="Arial"/>
          <w:sz w:val="18"/>
          <w:szCs w:val="18"/>
          <w:color w:val="auto"/>
        </w:rPr>
        <w:t>Our relationships with customers, healthcare providers, and third-party payors may be subject, directly or indirectly, to federal and state healthcare fraud and abuse laws, false claims laws, health information privacy and security laws, and other healthcare laws and regulations. These laws may impact, among other things, our clinical research program, as well as our proposed and future sales, marketing, and education programs. In particular, the promotion, sales and marketing of healthcare items and services is subject to extensive laws and regulations designed to prevent fraud, kickbacks, self-dealing, and other abusive practices. These laws and regulations may restrict or prohibit a wide range of pricing, discounting, marketing and promotion, sales commission, customer incentive, and other business arrangements. We may also be subject to federal, state and foreign laws governing the privacy and security of identifiable patient information. The U.S. healthcare laws and regulations that may affect our ability to operate include, but are not limited to:</w:t>
      </w:r>
    </w:p>
    <w:p>
      <w:pPr>
        <w:spacing w:after="0" w:line="84" w:lineRule="exact"/>
        <w:rPr>
          <w:sz w:val="20"/>
          <w:szCs w:val="20"/>
          <w:color w:val="auto"/>
        </w:rPr>
      </w:pPr>
    </w:p>
    <w:p>
      <w:pPr>
        <w:ind w:left="1020" w:right="80" w:hanging="503"/>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any person or entity from knowingly and willfully, offering, paying, soliciting or receiving any remuneration, directly or indirectly, overtly or covertly, in cash or in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left="1020" w:right="140"/>
        <w:spacing w:after="0" w:line="272" w:lineRule="auto"/>
        <w:rPr>
          <w:sz w:val="20"/>
          <w:szCs w:val="20"/>
          <w:color w:val="auto"/>
        </w:rPr>
      </w:pPr>
      <w:r>
        <w:rPr>
          <w:rFonts w:ascii="Arial" w:cs="Arial" w:eastAsia="Arial" w:hAnsi="Arial"/>
          <w:sz w:val="17"/>
          <w:szCs w:val="17"/>
          <w:color w:val="auto"/>
        </w:rPr>
        <w:t>kind, to induce, or in return for, the purchasing, leasing, ordering or arranging for the purchase, lease, or order of any item or service reimbursable under Medicare, Medicaid or other federal healthcare programs. The term “remuneration” has been broadly interpreted to include anything of value. Although there are a number of statutory exceptions and regulatory safe harbors protecting some common activities from prosecution, the exceptions and safe harbors are drawn narrowly. Practices that may be alleged to be intended to induce prescribing, purchases or recommendations, include any payments of more than fair market value, and may be subject to scrutiny if they do not qualify for an exception or safe harbor. In addition, a person or entity does not need to have actual knowledge of this statute or specific intent to violate it in order to have committed a violation.</w:t>
      </w:r>
    </w:p>
    <w:p>
      <w:pPr>
        <w:spacing w:after="0" w:line="69" w:lineRule="exact"/>
        <w:rPr>
          <w:sz w:val="20"/>
          <w:szCs w:val="20"/>
          <w:color w:val="auto"/>
        </w:rPr>
      </w:pPr>
    </w:p>
    <w:p>
      <w:pPr>
        <w:ind w:left="1020" w:right="80" w:hanging="503"/>
        <w:spacing w:after="0" w:line="293" w:lineRule="auto"/>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federal civil and criminal false claims laws, including the federal civil False Claims Act, and civil monetary penalty laws, which prohibit, among other things, individuals or entities from knowingly presenting, or causing to be presented, claims for payment or approval from Medicare, Medicaid, or other federal government programs that are false or fraudulent or knowingly making a false statement to improperly avoid, decrease or conceal an obligation to pay money to the federal government, including federal healthcare programs. In addition, the government may assert that a claim including items or services resulting from a violation of the federal Anti-Kickback Statute constitutes a false or fraudulent claim for purposes of the federal civil False Claims Act and the civil monetary penalties statute;</w:t>
      </w:r>
    </w:p>
    <w:p>
      <w:pPr>
        <w:spacing w:after="0" w:line="56" w:lineRule="exact"/>
        <w:rPr>
          <w:rFonts w:ascii="Arial" w:cs="Arial" w:eastAsia="Arial" w:hAnsi="Arial"/>
          <w:sz w:val="16"/>
          <w:szCs w:val="16"/>
          <w:color w:val="auto"/>
        </w:rPr>
      </w:pPr>
    </w:p>
    <w:p>
      <w:pPr>
        <w:ind w:left="1020" w:hanging="503"/>
        <w:spacing w:after="0" w:line="291" w:lineRule="auto"/>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("HIPAA"), which created new federal civil and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including private third-party payors and knowingly and willfully falsifying, concealing or covering up by any trick, scheme or device, a material fact or making any materially false, fictitious or fraudulent statements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58" w:lineRule="exact"/>
        <w:rPr>
          <w:rFonts w:ascii="Arial" w:cs="Arial" w:eastAsia="Arial" w:hAnsi="Arial"/>
          <w:sz w:val="16"/>
          <w:szCs w:val="16"/>
          <w:color w:val="auto"/>
        </w:rPr>
      </w:pPr>
    </w:p>
    <w:p>
      <w:pPr>
        <w:ind w:left="1020" w:right="40" w:hanging="503"/>
        <w:spacing w:after="0" w:line="259"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their respective implementing regulations, which impose requirements on certain healthcare providers, health plans, and healthcare clearinghouses, known as covered entities, and their respective business associates that perform services for them that involve the use, or disclosure of, individually identifiable health information as well as their covered subcontractors; and</w:t>
      </w:r>
    </w:p>
    <w:p>
      <w:pPr>
        <w:spacing w:after="0" w:line="78" w:lineRule="exact"/>
        <w:rPr>
          <w:rFonts w:ascii="Arial" w:cs="Arial" w:eastAsia="Arial" w:hAnsi="Arial"/>
          <w:sz w:val="18"/>
          <w:szCs w:val="18"/>
          <w:color w:val="auto"/>
        </w:rPr>
      </w:pPr>
    </w:p>
    <w:p>
      <w:pPr>
        <w:ind w:left="1020" w:right="140" w:hanging="503"/>
        <w:spacing w:after="0" w:line="296" w:lineRule="auto"/>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federal Physician Payments Sunshine Act, which requires certain manufacturers of drugs, devices, biologicals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certain other healthcare professionals (such as physician assistants and nurse practitioners), and teaching hospitals, as well as ownership and investment interests held by physicians and their immediate family members.</w:t>
      </w:r>
    </w:p>
    <w:p>
      <w:pPr>
        <w:spacing w:after="0" w:line="53"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We may also be subject to state and foreign equivalents of each of the healthcare laws described above, among others, some of which may be broader in scope. For example, we may be subject to the following: state anti-kickback and false claims laws that may apply to sales or marketing arrangements and claims involving healthcare items or services reimbursed by non-governmental third party payors, including private insurers, or that apply regardless of payor;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marketing expenditures, or drug pricing; state and local laws requiring the registration of pharmaceutical sales and medical representatives; and state and foreign laws, such as the European Union General Data Protection Regulation ("GDPR") governing the privacy and security of health information in some circumstances, many of which differ from each other in significant ways and often are not preempted by HIPAA, thus complicating compliance efforts.</w:t>
      </w:r>
    </w:p>
    <w:p>
      <w:pPr>
        <w:spacing w:after="0" w:line="73"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auto"/>
        </w:rPr>
        <w:t>Additionally, we may be subject to federal consumer protection and unfair competition laws, which broadly regulate marketplace activities and activities that potentially harm consumers.</w:t>
      </w:r>
    </w:p>
    <w:p>
      <w:pPr>
        <w:spacing w:after="0" w:line="62" w:lineRule="exact"/>
        <w:rPr>
          <w:sz w:val="20"/>
          <w:szCs w:val="20"/>
          <w:color w:val="auto"/>
        </w:rPr>
      </w:pPr>
    </w:p>
    <w:p>
      <w:pPr>
        <w:ind w:right="40" w:firstLine="509"/>
        <w:spacing w:after="0" w:line="290" w:lineRule="auto"/>
        <w:rPr>
          <w:sz w:val="20"/>
          <w:szCs w:val="20"/>
          <w:color w:val="auto"/>
        </w:rPr>
      </w:pPr>
      <w:r>
        <w:rPr>
          <w:rFonts w:ascii="Arial" w:cs="Arial" w:eastAsia="Arial" w:hAnsi="Arial"/>
          <w:sz w:val="16"/>
          <w:szCs w:val="16"/>
          <w:color w:val="auto"/>
        </w:rPr>
        <w:t>Because of the breadth of these laws and the narrowness of the statutory exceptions and regulatory safe harbors available, it is possible that some of our business activities, or our arrangements with physicians, could be subject to challenge under one or more of such laws. It is not always possible to identify and deter employee misconduct or business noncompliance,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we or our employees, independent contractors, consultants, commercial partners and vendors violate these laws, we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may be subject to investigations, enforcement actions and/or significant penalties, including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additional reporting requirements and/or oversight if we become subject to a corporate integrity agreement or similar agreement to resolve allegations of non-compliance with these laws, and curtailment of our operations, any of which could adversely affect our ability to operate our business and our results of operations. In addition, the approval and commercialization of tildacerfont outside the United States will also likely subject us to foreign equivalents of the healthcare laws mentioned above, among other foreign laws.</w:t>
      </w:r>
    </w:p>
    <w:p>
      <w:pPr>
        <w:spacing w:after="0" w:line="56"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b w:val="1"/>
          <w:bCs w:val="1"/>
          <w:i w:val="1"/>
          <w:iCs w:val="1"/>
          <w:color w:val="auto"/>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41" w:lineRule="exact"/>
        <w:rPr>
          <w:sz w:val="20"/>
          <w:szCs w:val="20"/>
          <w:color w:val="auto"/>
        </w:rPr>
      </w:pPr>
    </w:p>
    <w:p>
      <w:pPr>
        <w:ind w:right="60" w:firstLine="509"/>
        <w:spacing w:after="0" w:line="290" w:lineRule="auto"/>
        <w:rPr>
          <w:sz w:val="20"/>
          <w:szCs w:val="20"/>
          <w:color w:val="auto"/>
        </w:rPr>
      </w:pPr>
      <w:r>
        <w:rPr>
          <w:rFonts w:ascii="Arial" w:cs="Arial" w:eastAsia="Arial" w:hAnsi="Arial"/>
          <w:sz w:val="16"/>
          <w:szCs w:val="16"/>
          <w:color w:val="auto"/>
        </w:rPr>
        <w:t>In the ordinary course of our business, we and the third parties upon which we rely collect, receive, store, process, generate, use, transfer, disclose, make accessible, protect, secure, dispose of, transmit, and share (collectively, process) proprietary, confidential, and sensitive data, including personal data (such as health-related data), intellectual property, and trade secrets (collectively, sensitive data). As a result, we and the third parties upon which we rely face a variety of evolving threats, including but not limited to ransomware attacks, which could cause security incidents. Cyber-attacks, malicious internet-based activity, online and offline fraud, and other similar activities threaten the confidentiality, integrity, and availability of our sensitive data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spacing w:after="0" w:line="5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services.</w:t>
      </w:r>
    </w:p>
    <w:p>
      <w:pPr>
        <w:spacing w:after="0" w:line="79" w:lineRule="exact"/>
        <w:rPr>
          <w:sz w:val="20"/>
          <w:szCs w:val="20"/>
          <w:color w:val="auto"/>
        </w:rPr>
      </w:pPr>
    </w:p>
    <w:p>
      <w:pPr>
        <w:ind w:right="100" w:firstLine="509"/>
        <w:spacing w:after="0" w:line="275" w:lineRule="auto"/>
        <w:rPr>
          <w:sz w:val="20"/>
          <w:szCs w:val="20"/>
          <w:color w:val="auto"/>
        </w:rPr>
      </w:pPr>
      <w:r>
        <w:rPr>
          <w:rFonts w:ascii="Arial" w:cs="Arial" w:eastAsia="Arial" w:hAnsi="Arial"/>
          <w:sz w:val="17"/>
          <w:szCs w:val="17"/>
          <w:color w:val="auto"/>
        </w:rPr>
        <w:t>We and our third-party collaborators, consultants, contractors, suppliers, and service providers are subject to a variety of evolving threats, including but not limited to physical or electronic break-ins, social engineering attempts (including through phishing and spam emails), malicious code (such as computer viruses and worms), malware (including as a result of advanced persistent intrusions), ransomware attacks, natural disasters, terrorism, war, server malfunctions, telecommunication and electrical failure, denial of service attacks (such as credential stuffing), credential harvesting, personnel misconduct or error, supply-chain attacks, software bugs, and other similar threats.</w:t>
      </w:r>
    </w:p>
    <w:p>
      <w:pPr>
        <w:spacing w:after="0" w:line="68" w:lineRule="exact"/>
        <w:rPr>
          <w:sz w:val="20"/>
          <w:szCs w:val="20"/>
          <w:color w:val="auto"/>
        </w:rPr>
      </w:pPr>
    </w:p>
    <w:p>
      <w:pPr>
        <w:ind w:right="40" w:firstLine="509"/>
        <w:spacing w:after="0" w:line="286" w:lineRule="auto"/>
        <w:rPr>
          <w:sz w:val="20"/>
          <w:szCs w:val="20"/>
          <w:color w:val="auto"/>
        </w:rPr>
      </w:pPr>
      <w:r>
        <w:rPr>
          <w:rFonts w:ascii="Arial" w:cs="Arial" w:eastAsia="Arial" w:hAnsi="Arial"/>
          <w:sz w:val="17"/>
          <w:szCs w:val="17"/>
          <w:color w:val="auto"/>
        </w:rPr>
        <w:t>In particular, severe ransomware attacks are 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57"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84" w:lineRule="exact"/>
        <w:rPr>
          <w:sz w:val="20"/>
          <w:szCs w:val="20"/>
          <w:color w:val="auto"/>
        </w:rPr>
      </w:pPr>
    </w:p>
    <w:p>
      <w:pPr>
        <w:ind w:right="40" w:firstLine="509"/>
        <w:spacing w:after="0" w:line="290" w:lineRule="auto"/>
        <w:rPr>
          <w:sz w:val="20"/>
          <w:szCs w:val="20"/>
          <w:color w:val="auto"/>
        </w:rPr>
      </w:pPr>
      <w:r>
        <w:rPr>
          <w:rFonts w:ascii="Arial" w:cs="Arial" w:eastAsia="Arial" w:hAnsi="Arial"/>
          <w:sz w:val="16"/>
          <w:szCs w:val="16"/>
          <w:color w:val="auto"/>
        </w:rPr>
        <w:t>In addition, our reliance on third-party service providers could introduce new cybersecurity risks and vulnerabilities, including supply-chain attacks, and other threats to our business operations. We rely on third-party service providers and technologies to operate critical business systems to process sensitive data in a variety of contexts, including, without limitation, cloud-based infrastructure, third-party research institution collaborators and other third parties to conduct clinical trials, data center facilities, encryption and authentication technology, employee email, and other functions. Our ability to monitor these third parties’ information security practices is limited, and these third parties may not have adequate information security measures in place.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Any of the previously identified or similar threats could cause a security incident or other interruption that could result in unauthorized, unlawful, or accidental acquisition, modification, destruction, alteration, encryption, access to, use or disclosure of, corruption of, or loss of sensitive data or our information technology systems, or those of the third parties upon whom we rely. A security incident or other interruption could disrupt our ability (and that of third parties upon whom we rely) to provide our services.</w:t>
      </w:r>
    </w:p>
    <w:p>
      <w:pPr>
        <w:spacing w:after="0" w:line="79" w:lineRule="exact"/>
        <w:rPr>
          <w:sz w:val="20"/>
          <w:szCs w:val="20"/>
          <w:color w:val="auto"/>
        </w:rPr>
      </w:pPr>
    </w:p>
    <w:p>
      <w:pPr>
        <w:ind w:right="400" w:firstLine="509"/>
        <w:spacing w:after="0" w:line="286" w:lineRule="auto"/>
        <w:rPr>
          <w:sz w:val="20"/>
          <w:szCs w:val="20"/>
          <w:color w:val="auto"/>
        </w:rPr>
      </w:pPr>
      <w:r>
        <w:rPr>
          <w:rFonts w:ascii="Arial" w:cs="Arial" w:eastAsia="Arial" w:hAnsi="Arial"/>
          <w:sz w:val="17"/>
          <w:szCs w:val="17"/>
          <w:color w:val="auto"/>
        </w:rPr>
        <w:t>We may expend significant resources or modify our business activities (including our clinical trial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sensitive data.</w:t>
      </w:r>
    </w:p>
    <w:p>
      <w:pPr>
        <w:spacing w:after="0" w:line="57"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While we have implemented security measures designed to protect against security incidents, there can be no assurance that these measures will be effective. We take steps to detect and remediate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These vulnerabilities pose material risks to our business. Further, we may experience delays in developing and deploying remedial measures designed to address any such identified vulnerabilities.</w:t>
      </w:r>
    </w:p>
    <w:p>
      <w:pPr>
        <w:spacing w:after="0" w:line="68"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If we or the third parties upon whom we rely experience a security incident, applicable data privacy and security obligations may require us to notify relevant stakeholders, such as consumers, partners, collaborators, government authorities, and the media. Such disclosures are costly, and the disclosure or the failure to comply with such requirements could lead to adverse consequences.</w:t>
      </w:r>
    </w:p>
    <w:p>
      <w:pPr>
        <w:spacing w:after="0" w:line="76" w:lineRule="exact"/>
        <w:rPr>
          <w:sz w:val="20"/>
          <w:szCs w:val="20"/>
          <w:color w:val="auto"/>
        </w:rPr>
      </w:pPr>
    </w:p>
    <w:p>
      <w:pPr>
        <w:ind w:right="80" w:firstLine="509"/>
        <w:spacing w:after="0" w:line="271" w:lineRule="auto"/>
        <w:rPr>
          <w:sz w:val="20"/>
          <w:szCs w:val="20"/>
          <w:color w:val="auto"/>
        </w:rPr>
      </w:pPr>
      <w:r>
        <w:rPr>
          <w:rFonts w:ascii="Arial" w:cs="Arial" w:eastAsia="Arial" w:hAnsi="Arial"/>
          <w:sz w:val="17"/>
          <w:szCs w:val="17"/>
          <w:color w:val="auto"/>
        </w:rPr>
        <w:t>If we (or a third party upon whom we rely) experience a security incident or are perceived to have experienced a security incident, we may experience adverse consequences, such as significant liabilities, regulatory and enforcement actions (including investigations, fines, penalties, audits and inspections), reputational damage, additional reporting requirements and/or oversight, restrictions on processing sensitive data (including personal data), litigation, indemnification obligations, negative publicity, monetary fund diversions, interruptions in our operations (including availability of data), financial loss, and other harms. For example, the loss of clinical trial data from completed or ongoing clinical trials could result in delays in any regulatory approval or clearance efforts and significantly increase our costs to recover or reproduce the data, and subsequently commercialize the product. Additionally, theft of our intellectual property or proprietary business information could require substantial expenditures to remedy. Additionally, the development and commercialization of tildacerfont could be delayed.</w:t>
      </w:r>
    </w:p>
    <w:p>
      <w:pPr>
        <w:spacing w:after="0" w:line="70"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Furthermore, our contracts may not contain limitations of liability, and even where they do, there can be no assurance that limitations of liability in our contracts are sufficient to protect us from liabilities, damages, or claims related to our data privacy and security obligations.</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We are subject to stringent and evolving U.S. and foreign laws, regulations, rules, contractual obligations, policies and other obligations related to data privacy and security. Our actual or perceived failure to comply with such obligations could lead to government enforcement actions (which could include civil or criminal penalties), private litigation, adverse publicity, and other adverse consequences, and could negatively affect our operating results and business.*</w:t>
      </w:r>
    </w:p>
    <w:p>
      <w:pPr>
        <w:spacing w:after="0" w:line="79" w:lineRule="exact"/>
        <w:rPr>
          <w:sz w:val="20"/>
          <w:szCs w:val="20"/>
          <w:color w:val="auto"/>
        </w:rPr>
      </w:pPr>
    </w:p>
    <w:p>
      <w:pPr>
        <w:ind w:right="60" w:firstLine="509"/>
        <w:spacing w:after="0" w:line="296" w:lineRule="auto"/>
        <w:rPr>
          <w:sz w:val="20"/>
          <w:szCs w:val="20"/>
          <w:color w:val="auto"/>
        </w:rPr>
      </w:pPr>
      <w:r>
        <w:rPr>
          <w:rFonts w:ascii="Arial" w:cs="Arial" w:eastAsia="Arial" w:hAnsi="Arial"/>
          <w:sz w:val="16"/>
          <w:szCs w:val="16"/>
          <w:color w:val="auto"/>
        </w:rPr>
        <w:t>We and the third parties upon which we rely may be subject to federal, state, local, and foreign data privacy and security laws and regulations, as well as other rules, standards, policies and contractual or other obligations, relating to the processing of personal data. If we or the third parties upon which we rely fail, or are perceived to have failed, to address or comply with any such obligations, this could result in enforcement actions that could include investigations, fines, penalties, audits and inspections, litigation (including class-action claims), additional reporting requirements and/or oversight, temporary or permanent bans on all or some processing of personal data, or orders to destroy or not use personal data.</w:t>
      </w:r>
    </w:p>
    <w:p>
      <w:pPr>
        <w:spacing w:after="0" w:line="53"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In the United States, numerous federal, state, and local laws and regulations, including state data breach notification laws, state health information privacy laws, and federal and state consumer protection laws (e.g., Section 5 of the Federal Trade Commission Act) and regulations, and other laws (e.g., wiretapping laws) that govern the processing of personal data could apply to our operations or the operations of the third parties upon which we rely. In addition, we may obtain health information from third parties (including research institutions from which we obtain clinical trial data) that is subject to privacy and security requirements under HIPAA. If we violate HIPAA, we may be subject to significant administrative and civil penalties. Additionally, depending on the facts and circumstances, we could be subject to criminal penalties if we knowingly obtain, use, or disclose individually identifiable health information maintained by a HIPAA-covered entity in a manner that is not authorized or permitted by HIPAA.</w:t>
      </w:r>
    </w:p>
    <w:p>
      <w:pPr>
        <w:spacing w:after="0" w:line="69"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In addition, the California Consumer Privacy Act of 2018, as amended by the California Privacy Rights Act of 2020 ("CPRA") (collectively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administrative fines of up to $7,500 per violation and allows private litigants affected by certain data breaches to recover significant statutory damages. Although the CCPA exempts some data processed in the context of clinical trials, the CCPA increases compliance costs and potential liability with respect to other personal data we maintain about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California residents. In addition, the CPRA expanded the CCPA’s requirements, including by adding a new right for individuals to correct their personal data and establishing a new regulatory agency to implement and enforce the law.</w:t>
      </w:r>
    </w:p>
    <w:p>
      <w:pPr>
        <w:spacing w:after="0" w:line="62" w:lineRule="exact"/>
        <w:rPr>
          <w:sz w:val="20"/>
          <w:szCs w:val="20"/>
          <w:color w:val="auto"/>
        </w:rPr>
      </w:pPr>
    </w:p>
    <w:p>
      <w:pPr>
        <w:jc w:val="both"/>
        <w:ind w:right="240" w:firstLine="509"/>
        <w:spacing w:after="0" w:line="311" w:lineRule="auto"/>
        <w:rPr>
          <w:sz w:val="20"/>
          <w:szCs w:val="20"/>
          <w:color w:val="auto"/>
        </w:rPr>
      </w:pPr>
      <w:r>
        <w:rPr>
          <w:rFonts w:ascii="Arial" w:cs="Arial" w:eastAsia="Arial" w:hAnsi="Arial"/>
          <w:sz w:val="16"/>
          <w:szCs w:val="16"/>
          <w:color w:val="auto"/>
        </w:rPr>
        <w:t>Other states, such as Virginia and Colorado, have also passed comprehensive privacy laws, and similar laws are being considered in several other states, as well as at the federal and local levels. While these states, like the CCPA, also exempt some data processed in the context of clinical trials, these developments may further complicate compliance efforts, and increase legal risk and compliance costs for us and the third parties upon whom we rely.</w:t>
      </w:r>
    </w:p>
    <w:p>
      <w:pPr>
        <w:spacing w:after="0" w:line="41" w:lineRule="exact"/>
        <w:rPr>
          <w:sz w:val="20"/>
          <w:szCs w:val="20"/>
          <w:color w:val="auto"/>
        </w:rPr>
      </w:pPr>
    </w:p>
    <w:p>
      <w:pPr>
        <w:ind w:right="140" w:firstLine="509"/>
        <w:spacing w:after="0" w:line="254" w:lineRule="auto"/>
        <w:rPr>
          <w:sz w:val="20"/>
          <w:szCs w:val="20"/>
          <w:color w:val="auto"/>
        </w:rPr>
      </w:pPr>
      <w:r>
        <w:rPr>
          <w:rFonts w:ascii="Arial" w:cs="Arial" w:eastAsia="Arial" w:hAnsi="Arial"/>
          <w:sz w:val="18"/>
          <w:szCs w:val="18"/>
          <w:color w:val="auto"/>
        </w:rPr>
        <w:t>Outside the United States, an increasing number of laws, regulations, and industry standards may govern data privacy and security, including our processing of personal data. For example, our processing of personal data is or may become subject in certain circumstances to the EU GDPR and/or the UK GDPR. Each of these regulations requires stringent standards of data privacy and security concerning personal data and potentially significant sanctions. For example, companies may face temporary or definitive bans on processing of personal data and other corrective actions; fines of up to 20 million Euros under the EU GDPR /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spacing w:after="0" w:line="87"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In addition, we may be unable to receive and/or further transfer onwards personal data that is processed subject to the EU GDPR and/or UK GDPR, or certain other data privacy and security regimes, due to limitations on cross-border data flows and/or actual or de facto data localization requirements. In particular, the EU GDPR and UK GDPR significantly restrict the transfer of personal data to the United States and other countries whose privacy laws are considered ‘inadequate’ for the purposes of either or both of those regulations. Although there are currently various mechanisms that may be used to effect such cross-border transfers of personal data in compliance with the EU GDPR and UK GDPR, such as the European Commission’s ‘Standard Contractual Clauses’ and the United Kingdom’s ‘International Data Transfer Agreement / Addendum’, all such transfers mechanisms are open to legal challenges, and there is no assurance that we can always satisfy or rely on these mechanisms to lawfully effect cross-border transfers of personal data where required. Other jurisdictions relevant to our operations may implement, or adopt stringent interpretations of, their own data localization and cross-border data transfer laws. If there is no lawful manner for us to effect or be the recipient of cross-border transfers of personal data in compliance with the EU GDPR and/or UK GDPR, and/or other applicable data privacy and security obligations, or if the requirements for a 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Some European regulators have ordered certain companies to suspend or permanently cease certain transfers of personal data to recipients outside the EEA for allegedly violating the EU GDPR’s cross-border data transfer limitations. Additionally, companies that transfer personal data to recipients outside of the EEA and/or UK to other jurisdictions, particularly to the United States, are subject to increased scrutiny from regulators individual litigants and activist groups.</w:t>
      </w:r>
    </w:p>
    <w:p>
      <w:pPr>
        <w:spacing w:after="0" w:line="284"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In addition to data privacy and security laws, we are bound by other contractual obligations related to data privacy and security, and our efforts to comply with such obligations may not be successful. For example, patients about whom we or the third parties upon whom we rely to obtain information, as well as the providers who share this information with us, may contractually limit our ability to use and disclose the information. We also publish privacy policies and other statements regarding data privacy and security. If these policies or statements are found to be deficient, lacking in transparency, deceptive, unfair, or misrepresentative of our practices, we may be subject to investigation, enforcement actions by regulators, or other adverse consequences.</w:t>
      </w:r>
    </w:p>
    <w:p>
      <w:pPr>
        <w:spacing w:after="0" w:line="84"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color w:val="auto"/>
        </w:rPr>
        <w:t>Obligations related to data privacy and security are quickly changing, becoming increasingly stringent, and creating regulatory uncertainty. Compliance with data privacy and security obligations could require us to take on more onerous requirements in our contracts, require us to engage in costly compliance exercises, restrict our ability to collect, use and disclose data, or in some cases, impact our or the third parties upon whom we rely ability to operate in certain jurisdictions. Each of these constantly evolving laws can be subject to varying interpretations.</w:t>
      </w:r>
    </w:p>
    <w:p>
      <w:pPr>
        <w:spacing w:after="0" w:line="63" w:lineRule="exact"/>
        <w:rPr>
          <w:sz w:val="20"/>
          <w:szCs w:val="20"/>
          <w:color w:val="auto"/>
        </w:rPr>
      </w:pPr>
    </w:p>
    <w:p>
      <w:pPr>
        <w:ind w:right="80" w:firstLine="509"/>
        <w:spacing w:after="0" w:line="279" w:lineRule="auto"/>
        <w:rPr>
          <w:sz w:val="20"/>
          <w:szCs w:val="20"/>
          <w:color w:val="auto"/>
        </w:rPr>
      </w:pPr>
      <w:r>
        <w:rPr>
          <w:rFonts w:ascii="Arial" w:cs="Arial" w:eastAsia="Arial" w:hAnsi="Arial"/>
          <w:sz w:val="17"/>
          <w:szCs w:val="17"/>
          <w:color w:val="auto"/>
        </w:rPr>
        <w:t>Failure to comply with data privacy and security obligations could result in government investigations and enforcement actions (which could include civil or criminal penalties), fines, private litigation, and/or adverse publicity and could negatively affect our operating results and business. Claims that we have violated individuals’ privacy rights, failed to comply with data privacy laws, or breached our contractual obligations, even if we are not found liable, could be expensive and time-consuming to defend and could result in adverse publicity that could harm our business.</w:t>
      </w:r>
    </w:p>
    <w:p>
      <w:pPr>
        <w:spacing w:after="0" w:line="6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tildacerfont and any future product candidates.</w:t>
      </w:r>
    </w:p>
    <w:p>
      <w:pPr>
        <w:spacing w:after="0" w:line="62" w:lineRule="exact"/>
        <w:rPr>
          <w:sz w:val="20"/>
          <w:szCs w:val="20"/>
          <w:color w:val="auto"/>
        </w:rPr>
      </w:pPr>
    </w:p>
    <w:p>
      <w:pPr>
        <w:jc w:val="both"/>
        <w:ind w:right="40" w:firstLine="509"/>
        <w:spacing w:after="0" w:line="263" w:lineRule="auto"/>
        <w:rPr>
          <w:sz w:val="20"/>
          <w:szCs w:val="20"/>
          <w:color w:val="auto"/>
        </w:rPr>
      </w:pPr>
      <w:r>
        <w:rPr>
          <w:rFonts w:ascii="Arial" w:cs="Arial" w:eastAsia="Arial" w:hAnsi="Arial"/>
          <w:sz w:val="18"/>
          <w:szCs w:val="18"/>
          <w:color w:val="auto"/>
        </w:rPr>
        <w:t>We face an inherent risk of product liability as a result of the clinical testing of tildacerfont and any future product candidates and will face an even greater risk if we commercialize any products. For example, we may be sued if tildacerfont or any future product candidates causes or is perceived to cause injury or is found to be otherwise unsuitable during clinical testing, manufacturing,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tildacerfont. Even successful defense would require significant financial and management resources. Regardless of the merits or eventual outcome, liability claims may result in:</w:t>
      </w:r>
    </w:p>
    <w:p>
      <w:pPr>
        <w:spacing w:after="0" w:line="80" w:lineRule="exact"/>
        <w:rPr>
          <w:sz w:val="20"/>
          <w:szCs w:val="20"/>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decreased demand for tildacerfont and any future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initiation of investigations by regulatory authorities;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commercialize tildacerfont and any future product candidates; 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117"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Our inability to obtain and retain sufficient product liability insurance at an acceptable cost to protect against potential product liability claims could prevent or inhibit the commercialization of products we develop. We currently carry an aggregate of up to $10.0 million of product liability insurance covering our clinical trials. Although we maintain such insurance, any claim that may be brought against us could result in a court judgment or settlement in an amount that is not covered, in whole or in part, by our insurance or that is in excess of the limits of our insurance coverage. If we determine that it is prudent to increase our product liability coverage due to the commercial launch of any approved product, we may be unable to obtain such increased coverage on acceptable terms, or at all.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76" w:lineRule="exact"/>
        <w:rPr>
          <w:sz w:val="20"/>
          <w:szCs w:val="20"/>
          <w:color w:val="auto"/>
        </w:rPr>
      </w:pPr>
    </w:p>
    <w:p>
      <w:pPr>
        <w:ind w:right="20" w:firstLine="509"/>
        <w:spacing w:after="0" w:line="286" w:lineRule="auto"/>
        <w:rPr>
          <w:sz w:val="20"/>
          <w:szCs w:val="20"/>
          <w:color w:val="auto"/>
        </w:rPr>
      </w:pPr>
      <w:r>
        <w:rPr>
          <w:rFonts w:ascii="Arial" w:cs="Arial" w:eastAsia="Arial" w:hAnsi="Arial"/>
          <w:sz w:val="16"/>
          <w:szCs w:val="16"/>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clinical research organizations, contractors and other collaborators and partners from authorizing, promising, offering, providing, soliciting or receiving, directly or indirectly, improper payments or anything else of value to recipients in the public or private sector. We may engage third parties for clinical trials outside of the United States, to sell our products internationally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clinical research organizations, contractors and other collaborators and partners,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1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We have incurred substantial losses during our history and do not expect to become profitable in the near future, and we may never achieve profitability. As of December 31, 2022, after reducing net operating losses ("NOLs") and tax credits for amounts not expected to be utilized, we had federal NOL carryforwards of approximately $114.8 million and state NOL carryforwards of approximately $141.1 million. The federal NOL carryforwards arising in taxable years beginning prior to 2018 will begin to expire in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2036 and state NOL carryforwards will begin to expire in 2036, unless previously utilized. We also have federal and state tax credit carryforwards totaling $10.9 million and $1.2 million, respectively. The federal tax credit carryforwards will begin to expire in 2036, unless previously utilized. The state tax credits will not expire.</w:t>
      </w:r>
    </w:p>
    <w:p>
      <w:pPr>
        <w:spacing w:after="0" w:line="76"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Under the Tax Act, as modified by the Coronavirus Aid, Relief, and Economic Security Act ("CARES Act"), federal NOL carryforwards generated in tax years beginning after December 31, 2017 may be carried forward indefinitely but may only be used to offset 80% of our taxable income annually. Similar rules may apply under state tax laws. Such limitations could result in the expiration of our carryforwards before they can be utilized and, if we are profitable, our future cash flows could be adversely affected due to our increased taxable income or tax liability. Our NOLs and tax credit carryforwards are subject to review and possible adjustment by the Internal Revenue Service and state tax authorities and may become subject to an annual limitations under Section 382 and 383 of the Internal Revenue Code of 1986, as amended. Under Section 382, certain cumulative changes in the ownership interest of significant stockholders over a rolling three-year period in excess of 50 percentage points (by value), could result in an ownership change that may limit our ability to utilize our NOL carryforwards and other tax attributes to offset future taxable income or tax liabilities. An ownership change analysis covering periods through December 31, 2021 concluded that an ownership change occurred in May 2016 and in August 2020. As a result of the ownership changes, we derecognized NOL-related deferred tax assets down to the amount expected to be realized. Our ability to use our remaining NOL carryforwards may be further limited if we experience a Section 382 ownership change as a result of future changes in our stock ownership. As of March 31, 2023, we recorded a full valuation allowance on our net deferred tax assets.</w:t>
      </w:r>
    </w:p>
    <w:p>
      <w:pPr>
        <w:spacing w:after="0" w:line="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may have a material adverse effect on our business, cash flow, financial condition or results of operations.</w:t>
      </w:r>
    </w:p>
    <w:p>
      <w:pPr>
        <w:spacing w:after="0" w:line="62" w:lineRule="exact"/>
        <w:rPr>
          <w:sz w:val="20"/>
          <w:szCs w:val="20"/>
          <w:color w:val="auto"/>
        </w:rPr>
      </w:pPr>
    </w:p>
    <w:p>
      <w:pPr>
        <w:ind w:right="80" w:firstLine="509"/>
        <w:spacing w:after="0" w:line="287"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Act enacted many significant changes to the U.S. tax laws. Future guidance from the Internal Revenue Service and other tax authorities with respect to the Tax Act may affect us, and certain aspects of the Tax Act could be repealed or modified in future legislation. For example, the CARES Act modified certain provisions of the Tax Act and the recently enacted Inflation Reduction Act of 2022 includes provisions that will impact the U.S. federal income taxation of corporations, including imposing a minimum tax on the book income of certain large corporations and an excise tax on certain corporate stock repurchases that would be imposed on the corporation repurchasing such stock. In addition, it is uncertain if and to what extent various states will conform to the Tax Act, the CARES Act, the Inflation Reduction Act, or any other newly enacted federal tax legislation. Changes in corporate tax rates, the realization of net deferred tax assets relating to our operations, and the deductibility of expenses under the Tax Act, the CARES Act, the Inflation Reduction Act or future reform legislation could have a material impact on the value of our net deferred tax assets, could result in significant one-time charges, and could increase our future tax expense.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depend on intellectual property licensed from Lilly, the termination of which could result in the loss of significant rights, which would harm our business.</w:t>
      </w:r>
    </w:p>
    <w:p>
      <w:pPr>
        <w:spacing w:after="0" w:line="62" w:lineRule="exact"/>
        <w:rPr>
          <w:sz w:val="20"/>
          <w:szCs w:val="20"/>
          <w:color w:val="auto"/>
        </w:rPr>
      </w:pPr>
    </w:p>
    <w:p>
      <w:pPr>
        <w:ind w:right="260" w:firstLine="509"/>
        <w:spacing w:after="0" w:line="279" w:lineRule="auto"/>
        <w:rPr>
          <w:sz w:val="20"/>
          <w:szCs w:val="20"/>
          <w:color w:val="auto"/>
        </w:rPr>
      </w:pPr>
      <w:r>
        <w:rPr>
          <w:rFonts w:ascii="Arial" w:cs="Arial" w:eastAsia="Arial" w:hAnsi="Arial"/>
          <w:sz w:val="17"/>
          <w:szCs w:val="17"/>
          <w:color w:val="auto"/>
        </w:rPr>
        <w:t>We are dependent on technology, patents, know-how, and proprietary materials, both our own and licensed from others. We entered into a license agreement with Lilly in May 2016 pursuant to which we were granted an exclusive, worldwide, royalty bearing, sublicensable license under certain technology, patent rights, know-how, and proprietary materials relating to certain CRF1 receptor antagonist compounds. Any termination of this license will result in the loss of significant rights and will restrict our ability to develop and commercialize tildacerfont.</w:t>
      </w:r>
    </w:p>
    <w:p>
      <w:pPr>
        <w:spacing w:after="0" w:line="63" w:lineRule="exact"/>
        <w:rPr>
          <w:sz w:val="20"/>
          <w:szCs w:val="20"/>
          <w:color w:val="auto"/>
        </w:rPr>
      </w:pPr>
    </w:p>
    <w:p>
      <w:pPr>
        <w:ind w:right="220" w:firstLine="509"/>
        <w:spacing w:after="0" w:line="263" w:lineRule="auto"/>
        <w:rPr>
          <w:sz w:val="20"/>
          <w:szCs w:val="20"/>
          <w:color w:val="auto"/>
        </w:rPr>
      </w:pPr>
      <w:r>
        <w:rPr>
          <w:rFonts w:ascii="Arial" w:cs="Arial" w:eastAsia="Arial" w:hAnsi="Arial"/>
          <w:sz w:val="18"/>
          <w:szCs w:val="18"/>
          <w:color w:val="auto"/>
        </w:rPr>
        <w:t>We are generally also subject to all of the same risks with respect to protection of intellectual property that we license, as we are for intellectual property that we own, which are described below under “Risks Related to Our Intellectual Property.” If we or our licensors fail to adequately protect this intellectual property, our ability to commercialize products could suffer.</w:t>
      </w:r>
    </w:p>
    <w:p>
      <w:pPr>
        <w:spacing w:after="0" w:line="7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our clinical trials. If these third parties do not successfully carry out their contractual duties or meet expected deadlines, we may not be able to obtain regulatory approval for or commercialize tildacerfont.</w:t>
      </w:r>
    </w:p>
    <w:p>
      <w:pPr>
        <w:spacing w:after="0" w:line="62"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We currently rely on, and intend to continue relying on, third-party CROs in connection with our clinical trials for tildacerfont. We control or will control only certain aspects of their activities. Nevertheless, we are responsible for ensuring that each of our clinical trials is conducted in accordance with applicable protocol, legal, regulatory, and scientific standards, and our reliance on our CROs does not relieve us of our regulatory responsibilities. We and our CROs are required to comply with GCPs, which are regulations and guidelines enforced by the FDA and comparable foreign regulatory authorities for product candidates in clinical development. Regulatory authorities enforce these GCPs through periodic inspections of trial sponsors, principal investigators and trial sites. If we or any of these CROs fail to comply with applicable GCP regulations, the clinical data generated in our clinical trials may be deemed unreliable and the FDA or comparable foreign regulatory authorities may require us to perform additional clinical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trials before approving our marketing applications. Upon inspection, such regulatory authorities may determine that our clinical trials do not comply with the GCP regulations. In addition, our clinical trials must be conducted with drug product produced under cGMP regulations and will require a large number of test subjects. Our failure or any failure by our CROs to comply with these regulations or to recruit a sufficient number of patients may require us to repeat clinical trials, which would delay the regulatory approval process. Moreover, our business may be implicated if any of our CROs violates federal or state fraud and abuse or false claims laws and regulations or healthcare privacy and security laws.</w:t>
      </w:r>
    </w:p>
    <w:p>
      <w:pPr>
        <w:spacing w:after="0" w:line="68"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Our CROs are not our employees and, except for remedies available to us under our agreements with such CROs, we cannot control whether or not they devote sufficient time and resources to our ongoing preclinical, clinical and non-clinical programs. These CROs may also have relationships with other commercial entities, including our competitors, for whom they may also be conducting clinical trials or other drug development activities, which could affect their performance on our behalf. If our CROs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for or successfully commercialize tildacerfont and any future product candidates. As a result, our financial results and the commercial prospects for tildacerfont and any future product candidates would be harmed, our costs could increase and our ability to generate revenues could be delayed.</w:t>
      </w:r>
    </w:p>
    <w:p>
      <w:pPr>
        <w:spacing w:after="0" w:line="88" w:lineRule="exact"/>
        <w:rPr>
          <w:sz w:val="20"/>
          <w:szCs w:val="20"/>
          <w:color w:val="auto"/>
        </w:rPr>
      </w:pPr>
    </w:p>
    <w:p>
      <w:pPr>
        <w:ind w:right="360" w:firstLine="509"/>
        <w:spacing w:after="0" w:line="301" w:lineRule="auto"/>
        <w:rPr>
          <w:sz w:val="20"/>
          <w:szCs w:val="20"/>
          <w:color w:val="auto"/>
        </w:rPr>
      </w:pPr>
      <w:r>
        <w:rPr>
          <w:rFonts w:ascii="Arial" w:cs="Arial" w:eastAsia="Arial" w:hAnsi="Arial"/>
          <w:sz w:val="16"/>
          <w:szCs w:val="16"/>
          <w:color w:val="auto"/>
        </w:rPr>
        <w:t>Switching or adding CROs involves substantial cost and requires extensive management time and focus. In addition, there is a natural transition period when a new CRO commences work. As a result, delays occur, which can materially impact our ability to meet our desired clinical development timelines. Although we carefully manage our relationships with our CROs, we may encounter challenges or delays in the future and these delays or challenges may have a material adverse impact on our business, prospects, financial condition, and results of operations.</w:t>
      </w:r>
    </w:p>
    <w:p>
      <w:pPr>
        <w:spacing w:after="0" w:line="49" w:lineRule="exact"/>
        <w:rPr>
          <w:sz w:val="20"/>
          <w:szCs w:val="20"/>
          <w:color w:val="auto"/>
        </w:rPr>
      </w:pPr>
    </w:p>
    <w:p>
      <w:pPr>
        <w:ind w:right="40" w:firstLine="509"/>
        <w:spacing w:after="0" w:line="311" w:lineRule="auto"/>
        <w:rPr>
          <w:sz w:val="20"/>
          <w:szCs w:val="20"/>
          <w:color w:val="auto"/>
        </w:rPr>
      </w:pPr>
      <w:r>
        <w:rPr>
          <w:rFonts w:ascii="Arial" w:cs="Arial" w:eastAsia="Arial" w:hAnsi="Arial"/>
          <w:sz w:val="16"/>
          <w:szCs w:val="16"/>
          <w:color w:val="auto"/>
        </w:rPr>
        <w:t>In addition, quarantines, shelter-in-place, and similar government orders, or the perception that such orders, shutdowns or other restrictions on the conduct of business operations could occur, related to COVID-19 or other infectious diseases could impact personnel at our CROs, which could disrupt our clinical timelines, which could have a material adverse impact on our business, prospects, financial condition, and results of operations.</w:t>
      </w:r>
    </w:p>
    <w:p>
      <w:pPr>
        <w:spacing w:after="0" w:line="41" w:lineRule="exact"/>
        <w:rPr>
          <w:sz w:val="20"/>
          <w:szCs w:val="20"/>
          <w:color w:val="auto"/>
        </w:rPr>
      </w:pPr>
    </w:p>
    <w:p>
      <w:pPr>
        <w:ind w:right="160"/>
        <w:spacing w:after="0" w:line="340" w:lineRule="auto"/>
        <w:rPr>
          <w:sz w:val="20"/>
          <w:szCs w:val="20"/>
          <w:color w:val="auto"/>
        </w:rPr>
      </w:pPr>
      <w:r>
        <w:rPr>
          <w:rFonts w:ascii="Arial" w:cs="Arial" w:eastAsia="Arial" w:hAnsi="Arial"/>
          <w:sz w:val="15"/>
          <w:szCs w:val="15"/>
          <w:b w:val="1"/>
          <w:bCs w:val="1"/>
          <w:i w:val="1"/>
          <w:iCs w:val="1"/>
          <w:color w:val="auto"/>
        </w:rPr>
        <w:t>We rely completely on third parties to manufacture our preclinical and clinical drug supplies and we intend to rely on third parties to produce commercial supplies of tildacerfont and any future product candidates, if approved, and these third parties may fail to obtain and maintain regulatory approval for their facilities, fail to provide us with sufficient quantities of drug product or fail to do so at acceptable quality levels or prices.*</w:t>
      </w:r>
    </w:p>
    <w:p>
      <w:pPr>
        <w:spacing w:after="0" w:line="23"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We do not currently have nor do we plan to acquire the infrastructure or capability internally to manufacture our clinical drug supplies for use in the conduct of our clinical trials, and we lack the resources and the capability to manufacture tildacerfont and any future product candidates on a clinical or commercial scale. Instead, we rely on contract manufacturers for such production. In particular, we currently rely on a single-source manufacturer for drug product, and a single-source manufacturer for drug substance.</w:t>
      </w:r>
    </w:p>
    <w:p>
      <w:pPr>
        <w:spacing w:after="0" w:line="79"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We do not currently have any long-term agreement with a manufacturer to produce raw materials, active pharmaceutical ingredients ("APIs"), and the finished products of tildacerfont or the associated packaging used in our current product format and we may rely on single source suppliers for clinical supply of API and drug product of tildacerfont. We will need to identify and qualify a third-party manufacturer prior to commercialization of tildacerfont, and we intend to enter into agreements for commercial production with third-party suppliers. As tildacerfont is intended to treat rare endocrine disorders, we will only require a low-volume of raw materials and APIs, and in some cases with single-source suppliers and manufacturers. Our reliance on third-party suppliers and manufacturers, including single-source suppliers, could harm our ability to develop tildacerfont and any future product candidates or to commercialize any product candidates that are approved. Further, any delay in identifying and qualifying a manufacturer for commercial production could delay the potential commercialization of tildacerfont and any future product candidates, and, in the event that we do not have sufficient product to complete our clinical trials, it could delay such trials.</w:t>
      </w:r>
    </w:p>
    <w:p>
      <w:pPr>
        <w:spacing w:after="0" w:line="73"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The facilities used by our contract manufacturers to manufacture tildacerfont and any future product candidates must be approved by the applicable regulatory authorities, including the FDA, pursuant to inspections that will be conducted after an NDA or comparable foreign regulatory marketing application is submitted. We currently do not control the manufacturing process of tildacerfont and are completely dependent on our contract manufacturing partners for compliance with the FDA’s cGMP requirements for manufacture of both the active drug substances and finished drug product. If our contract manufacturers cannot successfully manufacture material that conforms to our specifications and the FDA’s strict regulatory requirements, they will not be able to secure or maintain FDA approval for the manufacturing facilities. In addition, we have no control over the ability of our contract manufacturers to maintain adequate quality control, quality assurance and qualified personnel. If the FDA or any other applicable regulatory authority does not approve these facilities for the manufacture of tildacerfont or any future product candidates or if it withdraws any such approval in the future, or if our suppliers or contract manufacturers decide they no longer want to supply or manufacture for us, we may need to find alternative manufacturing facilities, in which case we might not be able to identify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manufacturers for clinical or commercial supply on acceptable terms, or at all, which would significantly impact our ability to develop, obtain regulatory approval for, or market tildacerfont and any future product candidates.</w:t>
      </w:r>
    </w:p>
    <w:p>
      <w:pPr>
        <w:spacing w:after="0" w:line="62"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In addition, the manufacture of pharmaceutical products is complex and requires significant expertise and capital investment, including the development of advanced manufacturing techniques and process controls. Manufacturers of pharmaceutical products often encounter difficulties in production, particularly in scaling up and validating initial production and absence of contamination. These problems include difficulties with production costs and yields, quality control, including stability of the product, quality assurance testing, operator error, shortages of qualified personnel, as well as compliance with strictly enforced federal, state, and foreign regulations. Furthermore, if contaminants are discovered in our supply of tildacerfont or any future product candidates or in the manufacturing facilities, such manufacturing facilities may need to be closed for an extended period of time to investigate and remedy the contamination. Any stability or other issues relating to the manufacture of tildacerfont may occur in the future. In addition, quarantines, shelter-in-place, and similar government orders, or the perception that such orders, shutdowns, or other restrictions on the conduct of business operations could occur, related to COVID-19 or other infectious diseases could impact personnel at our third-party manufacturing facilities upon which we rely, or the availability or cost of materials, which could disrupt the supply chain for our product candidates.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our product candidate to patients in clinical trials would be jeopardized. Any delay or interruption in the supply of clinical trial supplies could delay the completion of clinical trials, increase the costs associated with maintaining clinical trial programs and, depending upon the period of delay, require us to commence new clinical trials at additional expense or terminate clinical trials completely.</w:t>
      </w:r>
    </w:p>
    <w:p>
      <w:pPr>
        <w:spacing w:after="0" w:line="7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or our third-party manufacturers use hazardous and biological materials in a manner that causes injury or violates applicable law, we may be liable for damages.</w:t>
      </w:r>
    </w:p>
    <w:p>
      <w:pPr>
        <w:spacing w:after="0" w:line="62"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Our research and development activities involve the controlled use of potentially hazardous substances, including chemical and biological materials, by our third-party manufacturers. Our manufacturers are subject to federal, state, and local laws and regulations in the United States governing the use, manufacture, storage, handling and disposal of medical, radioactive and hazardous materials. Although we believe that our manufacturers’ procedures for using, handling, storing and disposing of these materials comply with legally prescribed standards, we cannot completely eliminate the risk of contamination or injury resulting from medical, radioactive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radioactive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If we are unable to obtain and maintain sufficient intellectual property protection for tildacerfont, any future product candidates, and other proprietary technologies we develop, or if the scope of the intellectual property protection obtained is not sufficiently broad, our competitors could develop and commercialize products similar or identical to ours, and our ability to successfully commercialize tildacerfont, if approved, any future product candidates, and other proprietary technologies if approved, may be adversely affected.*</w:t>
      </w:r>
    </w:p>
    <w:p>
      <w:pPr>
        <w:spacing w:after="0" w:line="63" w:lineRule="exact"/>
        <w:rPr>
          <w:sz w:val="20"/>
          <w:szCs w:val="20"/>
          <w:color w:val="auto"/>
        </w:rPr>
      </w:pPr>
    </w:p>
    <w:p>
      <w:pPr>
        <w:ind w:right="160" w:firstLine="509"/>
        <w:spacing w:after="0" w:line="279" w:lineRule="auto"/>
        <w:rPr>
          <w:sz w:val="20"/>
          <w:szCs w:val="20"/>
          <w:color w:val="auto"/>
        </w:rPr>
      </w:pPr>
      <w:r>
        <w:rPr>
          <w:rFonts w:ascii="Arial" w:cs="Arial" w:eastAsia="Arial" w:hAnsi="Arial"/>
          <w:sz w:val="17"/>
          <w:szCs w:val="17"/>
          <w:color w:val="auto"/>
        </w:rPr>
        <w:t>Our commercial success will depend in part on our ability to obtain and maintain a combination of patents, trade secret protection and confidentiality agreements to protect the intellectual property related to tildacerfont, any future product candidates, and other proprietary technologies we develop. If we are unable to obtain or maintain patent protection with respect to tildacerfont, any future product candidates, and other proprietary technologies we may develop, our business, financial condition, results of operations, and prospects could be materially harmed.</w:t>
      </w:r>
    </w:p>
    <w:p>
      <w:pPr>
        <w:spacing w:after="0" w:line="63"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The patent position of biotechnology and pharmaceutical companies is highly uncertain and involves complex legal, scientific, and factual questions and has been the subject of frequent litigation in recent years. As a result, the issuance, scope, validity, enforceability, and commercial value of our patent rights are highly uncertain. Our patent applications may not result in patents being issued which protect tildacerfont and uses thereof, any future product candidates, and other proprietary technologies we may develop or which effectively prevent others from commercializing competitive technologies and products. Further, no consistent policy regarding the breadth of claims allowed in pharmaceutical patents has emerged to date in the United States or in many jurisdictions outside of the United States. Changes in either the patent laws or interpretations of patent laws in the United States and other countries may diminish the value of our intellectual property. Accordingly, we cannot predict the breadth of claims that may be obtained or enforced in the patents that have been issued or may be issued from the applications we currently or may in the future own or license from third parties. Further, if any patents or applications we obtain or license are deemed invalid and unenforceable, our ability to commercialize or license our technology could be adversely affected.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actual or potential future collaborators will be successful in protecting tildacerfont, any future product candidates, and other proprietary technologies and their uses by obtaining, defending and enforcing patents. These risks and uncertainties include the following:</w:t>
      </w:r>
    </w:p>
    <w:p>
      <w:pPr>
        <w:spacing w:after="0" w:line="76" w:lineRule="exact"/>
        <w:rPr>
          <w:sz w:val="20"/>
          <w:szCs w:val="20"/>
          <w:color w:val="auto"/>
        </w:rPr>
      </w:pPr>
    </w:p>
    <w:p>
      <w:pPr>
        <w:ind w:left="1020" w:right="80" w:hanging="503"/>
        <w:spacing w:after="0" w:line="286" w:lineRule="auto"/>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United States Patent and Trademark Office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57" w:lineRule="exact"/>
        <w:rPr>
          <w:rFonts w:ascii="Arial" w:cs="Arial" w:eastAsia="Arial" w:hAnsi="Arial"/>
          <w:sz w:val="17"/>
          <w:szCs w:val="17"/>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117" w:lineRule="exact"/>
        <w:rPr>
          <w:rFonts w:ascii="Arial" w:cs="Arial" w:eastAsia="Arial" w:hAnsi="Arial"/>
          <w:sz w:val="18"/>
          <w:szCs w:val="18"/>
          <w:color w:val="auto"/>
        </w:rPr>
      </w:pPr>
    </w:p>
    <w:p>
      <w:pPr>
        <w:ind w:left="1020" w:right="320" w:hanging="503"/>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circumvented, found to be unenforceable, or may otherwise not provide any competitive advantage;</w:t>
      </w:r>
    </w:p>
    <w:p>
      <w:pPr>
        <w:spacing w:after="0" w:line="62" w:lineRule="exact"/>
        <w:rPr>
          <w:rFonts w:ascii="Arial" w:cs="Arial" w:eastAsia="Arial" w:hAnsi="Arial"/>
          <w:sz w:val="18"/>
          <w:szCs w:val="18"/>
          <w:color w:val="auto"/>
        </w:rPr>
      </w:pPr>
    </w:p>
    <w:p>
      <w:pPr>
        <w:ind w:left="1020" w:right="220" w:hanging="503"/>
        <w:spacing w:after="0" w:line="311" w:lineRule="auto"/>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 and may limit, interfere with, or eliminate our ability to obtain patents related to tildacerfont;</w:t>
      </w:r>
    </w:p>
    <w:p>
      <w:pPr>
        <w:spacing w:after="0" w:line="40" w:lineRule="exact"/>
        <w:rPr>
          <w:rFonts w:ascii="Arial" w:cs="Arial" w:eastAsia="Arial" w:hAnsi="Arial"/>
          <w:sz w:val="16"/>
          <w:szCs w:val="16"/>
          <w:color w:val="auto"/>
        </w:rPr>
      </w:pPr>
    </w:p>
    <w:p>
      <w:pPr>
        <w:ind w:left="1020" w:hanging="503"/>
        <w:spacing w:after="0" w:line="259"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parties may have or may seek to design around our claims or develop technologies that may be related or competitive to our platform, may have filed or may file patent applications and may have received or may receive patents that overlap or conflict with our patent applications and patents, either by claiming the same composition of matter, methods or formulations or by claiming subject matter that could dominate our patent position;</w:t>
      </w:r>
    </w:p>
    <w:p>
      <w:pPr>
        <w:spacing w:after="0" w:line="78" w:lineRule="exact"/>
        <w:rPr>
          <w:rFonts w:ascii="Arial" w:cs="Arial" w:eastAsia="Arial" w:hAnsi="Arial"/>
          <w:sz w:val="18"/>
          <w:szCs w:val="18"/>
          <w:color w:val="auto"/>
        </w:rPr>
      </w:pPr>
    </w:p>
    <w:p>
      <w:pPr>
        <w:ind w:left="1020" w:right="160" w:hanging="503"/>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successful opposition to any patents owned by or licensed to us could deprive us of rights necessary for the practice of our technologies or the successful commercialization of any products or product candidates that we may develop;</w:t>
      </w:r>
    </w:p>
    <w:p>
      <w:pPr>
        <w:spacing w:after="0" w:line="62" w:lineRule="exact"/>
        <w:rPr>
          <w:rFonts w:ascii="Arial" w:cs="Arial" w:eastAsia="Arial" w:hAnsi="Arial"/>
          <w:sz w:val="18"/>
          <w:szCs w:val="18"/>
          <w:color w:val="auto"/>
        </w:rPr>
      </w:pPr>
    </w:p>
    <w:p>
      <w:pPr>
        <w:ind w:left="1020" w:right="320" w:hanging="503"/>
        <w:spacing w:after="0" w:line="263"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because patent applications in the United States and most other countries are confidential for a period of time after filing, we cannot be certain that we or our licensors were the first to file any patent application related to tildacerfont, any future product candidates, and other proprietary technologies and their uses;</w:t>
      </w:r>
    </w:p>
    <w:p>
      <w:pPr>
        <w:spacing w:after="0" w:line="75" w:lineRule="exact"/>
        <w:rPr>
          <w:rFonts w:ascii="Arial" w:cs="Arial" w:eastAsia="Arial" w:hAnsi="Arial"/>
          <w:sz w:val="18"/>
          <w:szCs w:val="18"/>
          <w:color w:val="auto"/>
        </w:rPr>
      </w:pPr>
    </w:p>
    <w:p>
      <w:pPr>
        <w:ind w:left="1020" w:right="220" w:hanging="503"/>
        <w:spacing w:after="0" w:line="259"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interference proceeding can be provoked by a third party or instituted by the USPTO to determine who was the first to invent any of the subject matter covered by the patent claims of our applications for any application with an effective filing date before March 16, 2013; as such, subject matter covered in patents or patent applications that we or our licensors have filed before March 16, 2013 may be challenged and invalidated under an interference proceeding;</w:t>
      </w:r>
    </w:p>
    <w:p>
      <w:pPr>
        <w:spacing w:after="0" w:line="78" w:lineRule="exact"/>
        <w:rPr>
          <w:rFonts w:ascii="Arial" w:cs="Arial" w:eastAsia="Arial" w:hAnsi="Arial"/>
          <w:sz w:val="18"/>
          <w:szCs w:val="18"/>
          <w:color w:val="auto"/>
        </w:rPr>
      </w:pPr>
    </w:p>
    <w:p>
      <w:pPr>
        <w:ind w:left="1020" w:right="160" w:hanging="503"/>
        <w:spacing w:after="0" w:line="263"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75" w:lineRule="exact"/>
        <w:rPr>
          <w:rFonts w:ascii="Arial" w:cs="Arial" w:eastAsia="Arial" w:hAnsi="Arial"/>
          <w:sz w:val="18"/>
          <w:szCs w:val="18"/>
          <w:color w:val="auto"/>
        </w:rPr>
      </w:pPr>
    </w:p>
    <w:p>
      <w:pPr>
        <w:ind w:left="1020" w:right="300" w:hanging="503"/>
        <w:spacing w:after="0" w:line="308" w:lineRule="auto"/>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countries other than the United States may have patent laws less favorable to patentees than those upheld by U.S. courts, allowing foreign competitors a better opportunity to create, develop, and market competing product candidates in those countries.</w:t>
      </w:r>
    </w:p>
    <w:p>
      <w:pPr>
        <w:spacing w:after="0" w:line="38"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The patent prosecution process is expensive, time-consuming, and complex, and we may not be able to file, prosecute, or maintain all necessary or desirable patent applications at a reasonable cost or in a timely manner. It is also possible that we will fail to identify patentable aspects of our research and development output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CROs, contract manufacturers, consultants, advisors and other third parties, any of these parties may breach such agreements and disclose such output before a patent application is filed, thereby jeopardizing our ability to seek patent protection for such output.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any of our owned or licensed patents or pending patent applications, or that we or our licensors were the first to file for patent protection of such inventions.</w:t>
      </w:r>
    </w:p>
    <w:p>
      <w:pPr>
        <w:spacing w:after="0" w:line="74" w:lineRule="exact"/>
        <w:rPr>
          <w:sz w:val="20"/>
          <w:szCs w:val="20"/>
          <w:color w:val="auto"/>
        </w:rPr>
      </w:pPr>
    </w:p>
    <w:p>
      <w:pPr>
        <w:ind w:right="300" w:firstLine="509"/>
        <w:spacing w:after="0" w:line="301" w:lineRule="auto"/>
        <w:rPr>
          <w:sz w:val="20"/>
          <w:szCs w:val="20"/>
          <w:color w:val="auto"/>
        </w:rPr>
      </w:pPr>
      <w:r>
        <w:rPr>
          <w:rFonts w:ascii="Arial" w:cs="Arial" w:eastAsia="Arial" w:hAnsi="Arial"/>
          <w:sz w:val="16"/>
          <w:szCs w:val="16"/>
          <w:color w:val="auto"/>
        </w:rPr>
        <w:t>The degree of future protection for our proprietary rights is uncertain because legal means afford only limited protection and may not adequately protect our rights or permit us to gain or keep our competitive advantage. If we do not adequately protect our intellectual property and proprietary technology, competitors may be able to use tildacerfont, any future product candidates, and other proprietary technologies and erode or negate any competitive advantage we may have, which could have a material adverse effect on our financial condition and results of operations. For example: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left="1020" w:right="440" w:hanging="503"/>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tildacerfont and any future product candidates but that are not covered by the claims of our patents;</w:t>
      </w:r>
    </w:p>
    <w:p>
      <w:pPr>
        <w:spacing w:after="0" w:line="62" w:lineRule="exact"/>
        <w:rPr>
          <w:rFonts w:ascii="Arial" w:cs="Arial" w:eastAsia="Arial" w:hAnsi="Arial"/>
          <w:sz w:val="18"/>
          <w:szCs w:val="18"/>
          <w:color w:val="auto"/>
        </w:rPr>
      </w:pPr>
    </w:p>
    <w:p>
      <w:pPr>
        <w:ind w:left="1020" w:right="520" w:hanging="503"/>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may be able to make and use tildacerfont and any future product candidates in countries where valid enforceable patents are not obtained;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our pending patent applications;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patents that we obtain may not provide us with any competitive advantages;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1020" w:right="740" w:hanging="503"/>
        <w:spacing w:after="0" w:line="263"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or where patent protection is weak and then use the information learned from such activities to develop competitive products for sale in our major commercial markets;</w:t>
      </w:r>
    </w:p>
    <w:p>
      <w:pPr>
        <w:spacing w:after="0" w:line="75" w:lineRule="exact"/>
        <w:rPr>
          <w:rFonts w:ascii="Arial" w:cs="Arial" w:eastAsia="Arial" w:hAnsi="Arial"/>
          <w:sz w:val="18"/>
          <w:szCs w:val="18"/>
          <w:color w:val="auto"/>
        </w:rPr>
      </w:pPr>
    </w:p>
    <w:p>
      <w:pPr>
        <w:ind w:left="1020" w:right="260" w:hanging="503"/>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cannot ensure that any of our patents, or any of our pending patent applications, if issued, or those of our licensors, will include claims having a scope sufficient to protect our products;</w:t>
      </w:r>
    </w:p>
    <w:p>
      <w:pPr>
        <w:spacing w:after="0" w:line="62" w:lineRule="exact"/>
        <w:rPr>
          <w:rFonts w:ascii="Arial" w:cs="Arial" w:eastAsia="Arial" w:hAnsi="Arial"/>
          <w:sz w:val="18"/>
          <w:szCs w:val="18"/>
          <w:color w:val="auto"/>
        </w:rPr>
      </w:pPr>
    </w:p>
    <w:p>
      <w:pPr>
        <w:ind w:left="1020" w:right="400" w:hanging="503"/>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cannot ensure that we will be able to successfully commercialize our products on a substantial scale, if approved, before the relevant patents that we own or license expire;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may obtain patents that cover the use or manufacture of tildacerfont; 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117"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Others have filed, and in the future are likely to file, patent applications covering products and technologies that are similar, identical or competitive to ours or important to our business. We cannot be certain that any patent application owned by a third party will not have priority over patent applications filed or in-licensed by us, or that we or our licensors will not be involved in interference, opposition or invalidity proceedings before U.S. or non-U.S. patent offices.</w:t>
      </w:r>
    </w:p>
    <w:p>
      <w:pPr>
        <w:spacing w:after="0" w:line="79"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We cannot be certain that the claims in our issued patents and pending patent applications covering tildacerfont or any future product candidates will be considered patentable by the USPTO, courts in the United States, or by patent offices or courts in foreign countries. Furthermore, the laws of some foreign countries do not protect proprietary rights to the same extent or in the same manner as the laws of the United States. As a result, we may encounter significant problems in protecting and defending our intellectual property internationally.</w:t>
      </w:r>
    </w:p>
    <w:p>
      <w:pPr>
        <w:spacing w:after="0" w:line="79"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The strength of patents in the biotechnology and pharmaceutical fields involves complex legal and scientific questions and can be uncertain. The patent applications that we own or in-license may fail to result in issued patents with claims that cover tildacerfont and any future product candidates in the United States or in foreign countries. Even if such patents do successfully issue, third parties may challenge the ownership, validity, enforceability, or scope thereof, which may result in such patents being narrowed, invalidated, or held unenforceable. Any successful opposition to our patents could deprive us of exclusive rights necessary for the successful commercialization of tildacerfont and any future product candidates. Furthermore, even if they are unchallenged, our patents may not adequately protect our intellectual property, provide exclusivity for tildacerfont or any future product candidates or prevent others from designing around our claims. If the breadth or strength of protection provided by the patents we hold with respect to tildacerfont or any future product candidates is threatened, it could dissuade companies from collaborating with us to develop, or threaten our ability to commercialize, tildacerfont or any future product candidates.</w:t>
      </w:r>
    </w:p>
    <w:p>
      <w:pPr>
        <w:spacing w:after="0" w:line="73" w:lineRule="exact"/>
        <w:rPr>
          <w:sz w:val="20"/>
          <w:szCs w:val="20"/>
          <w:color w:val="auto"/>
        </w:rPr>
      </w:pPr>
    </w:p>
    <w:p>
      <w:pPr>
        <w:ind w:right="60" w:firstLine="509"/>
        <w:spacing w:after="0" w:line="296" w:lineRule="auto"/>
        <w:rPr>
          <w:sz w:val="20"/>
          <w:szCs w:val="20"/>
          <w:color w:val="auto"/>
        </w:rPr>
      </w:pPr>
      <w:r>
        <w:rPr>
          <w:rFonts w:ascii="Arial" w:cs="Arial" w:eastAsia="Arial" w:hAnsi="Arial"/>
          <w:sz w:val="16"/>
          <w:szCs w:val="16"/>
          <w:color w:val="auto"/>
        </w:rPr>
        <w:t>For U.S. patent applications in which claims are entitled to a priority date before March 16, 2013, an interference proceeding can be provoked by a third party or instituted by the USPTO to determine who was the first to invent any of the subject matter covered by the patent claims of our patents or patent applications. An unfavorable outcome could require us to cease using the related technology or to attempt to license rights from the prevailing party. Our business could be harmed if the prevailing party does not offer us a license on commercially reasonable terms. Our participation in an interference proceeding may fail and, even if successful, may result in substantial costs and distract our management and other employees.</w:t>
      </w:r>
    </w:p>
    <w:p>
      <w:pPr>
        <w:spacing w:after="0" w:line="53" w:lineRule="exact"/>
        <w:rPr>
          <w:sz w:val="20"/>
          <w:szCs w:val="20"/>
          <w:color w:val="auto"/>
        </w:rPr>
      </w:pPr>
    </w:p>
    <w:p>
      <w:pPr>
        <w:ind w:right="80" w:firstLine="509"/>
        <w:spacing w:after="0" w:line="293" w:lineRule="auto"/>
        <w:rPr>
          <w:sz w:val="20"/>
          <w:szCs w:val="20"/>
          <w:color w:val="auto"/>
        </w:rPr>
      </w:pPr>
      <w:r>
        <w:rPr>
          <w:rFonts w:ascii="Arial" w:cs="Arial" w:eastAsia="Arial" w:hAnsi="Arial"/>
          <w:sz w:val="16"/>
          <w:szCs w:val="16"/>
          <w:color w:val="auto"/>
        </w:rPr>
        <w:t>For U.S. patent applications containing a claim not entitled to priority before March 16, 2013, there is greater level of uncertainty in the patent law. In September 2011, the Leahy-Smith America Invents Act ("America Invents Act") was signed into law. The America Invents Act includes a number of significant changes to U.S. patent law, including provisions that affect the way patent applications will be prosecuted and may also affect patent litigation. The USPTO is developing regulations and procedures to govern the administration of the America Invents Act, and many of the substantive changes to patent law associated with the America Invents Act, and in particular, the “first to file” provisions, were enacted on March 16, 2013. This will require us to be cognizant going forward of the time from invention to filing of a patent application and be diligent in filing patent applications, but circumstances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could prevent us from promptly filing patent applications on our inventions. It remains unclear what impact the America Invents Act will have on the operation of our business. As such,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17" w:lineRule="exact"/>
        <w:rPr>
          <w:sz w:val="20"/>
          <w:szCs w:val="20"/>
          <w:color w:val="auto"/>
        </w:rPr>
      </w:pPr>
    </w:p>
    <w:p>
      <w:pPr>
        <w:ind w:right="120" w:firstLine="509"/>
        <w:spacing w:after="0" w:line="271" w:lineRule="auto"/>
        <w:rPr>
          <w:sz w:val="20"/>
          <w:szCs w:val="20"/>
          <w:color w:val="auto"/>
        </w:rPr>
      </w:pPr>
      <w:r>
        <w:rPr>
          <w:rFonts w:ascii="Arial" w:cs="Arial" w:eastAsia="Arial" w:hAnsi="Arial"/>
          <w:sz w:val="17"/>
          <w:szCs w:val="17"/>
          <w:color w:val="auto"/>
        </w:rPr>
        <w:t>The term of any individual patent depends on applicable law in the country where the patent is granted. In the United States, provided all maintenance fees are timely paid, a patent generally has a term of 20 years from its application filing date or earliest claimed non-provisional filing date. Extensions may be available under certain circumstances, such as patent term adjustments, but the life of a patent and, correspondingly, the protection it affords is limited. Even if we or our licensors obtain patents covering our product candidates, when the terms of all patents covering a product expire, our business may become subject to competition from competitive products, including generic products. Given the amount of time required for the development, testing, and regulatory review and approval of new product candidates, patents protecting such candidates may expire before or shortly after such candidates are commercialized. As a result, our owned and licensed patent portfolio may not provide us with sufficient rights to exclude others from commercializing products similar or identical to ours.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patent term extension for tildacerfont, our business may be materially harmed.*</w:t>
      </w:r>
    </w:p>
    <w:p>
      <w:pPr>
        <w:spacing w:after="0" w:line="117"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Depending upon the timing, duration, and specifics of any FDA marketing approval of tildacerfont, or any future product candidate we may develop, one or more of patents issuing from our U.S. patent applications may be eligible for limited patent term extension under the Drug Price Competition and Patent Term Restoration Action of 1984 ("Hatch-Waxman Amendments"). The Hatch-Waxman Amendments permit a patent extension term ("PTE")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("SPC"). If we encounter delays in our development efforts, including our clinical trials, the period of time during which we could market tildacerfont and any future product candidates under patent protection would be reduced. Additionally, we may not receive an extension if we fail to apply within applicable deadlines, fail to apply prior to expiration of relevant patents, or otherwise fail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w:t>
      </w:r>
    </w:p>
    <w:p>
      <w:pPr>
        <w:spacing w:after="0" w:line="66"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from third parties, such as our license agreement with Lilly, or otherwise experience disruptions to our business relationships with our licensors, we could lose license rights that are important to our business.</w:t>
      </w:r>
    </w:p>
    <w:p>
      <w:pPr>
        <w:spacing w:after="0" w:line="76" w:lineRule="exact"/>
        <w:rPr>
          <w:sz w:val="20"/>
          <w:szCs w:val="20"/>
          <w:color w:val="auto"/>
        </w:rPr>
      </w:pPr>
    </w:p>
    <w:p>
      <w:pPr>
        <w:jc w:val="both"/>
        <w:ind w:right="240" w:firstLine="509"/>
        <w:spacing w:after="0" w:line="286" w:lineRule="auto"/>
        <w:rPr>
          <w:sz w:val="20"/>
          <w:szCs w:val="20"/>
          <w:color w:val="auto"/>
        </w:rPr>
      </w:pPr>
      <w:r>
        <w:rPr>
          <w:rFonts w:ascii="Arial" w:cs="Arial" w:eastAsia="Arial" w:hAnsi="Arial"/>
          <w:sz w:val="17"/>
          <w:szCs w:val="17"/>
          <w:color w:val="auto"/>
        </w:rPr>
        <w:t>We are a party to a license agreement with Lilly under which we are granted intellectual property rights that are important to our business and our only product candidate, tildacerfont. If we fail to comply with our obligations under the license agreement, or we are subject to a bankruptcy, the license agreement may be terminated, in which event we would not be able to develop, commercialize or market tildacerfont.</w:t>
      </w:r>
    </w:p>
    <w:p>
      <w:pPr>
        <w:spacing w:after="0" w:line="57"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Licensing of intellectual property rights is of critical importance to our business and involves complex legal, business and scientific issues. Disputes may arise between us and our licensors regarding intellectual property rights subject to a license agreement, including:</w:t>
      </w:r>
    </w:p>
    <w:p>
      <w:pPr>
        <w:spacing w:after="0" w:line="62" w:lineRule="exact"/>
        <w:rPr>
          <w:sz w:val="20"/>
          <w:szCs w:val="20"/>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rights of the licensor that are not subject to the license agreement;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right to sublicense intellectual property rights to third parties under collaborative development relationships;</w:t>
      </w:r>
    </w:p>
    <w:p>
      <w:pPr>
        <w:spacing w:after="0" w:line="117" w:lineRule="exact"/>
        <w:rPr>
          <w:rFonts w:ascii="Arial" w:cs="Arial" w:eastAsia="Arial" w:hAnsi="Arial"/>
          <w:sz w:val="18"/>
          <w:szCs w:val="18"/>
          <w:color w:val="auto"/>
        </w:rPr>
      </w:pPr>
    </w:p>
    <w:p>
      <w:pPr>
        <w:ind w:left="1020" w:right="720" w:hanging="503"/>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tildacerfont, and what activities satisfy those diligence obligations; and</w:t>
      </w:r>
    </w:p>
    <w:p>
      <w:pPr>
        <w:spacing w:after="0" w:line="62" w:lineRule="exact"/>
        <w:rPr>
          <w:rFonts w:ascii="Arial" w:cs="Arial" w:eastAsia="Arial" w:hAnsi="Arial"/>
          <w:sz w:val="18"/>
          <w:szCs w:val="18"/>
          <w:color w:val="auto"/>
        </w:rPr>
      </w:pPr>
    </w:p>
    <w:p>
      <w:pPr>
        <w:ind w:left="1020" w:right="300" w:hanging="503"/>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w:t>
      </w:r>
    </w:p>
    <w:p>
      <w:pPr>
        <w:spacing w:after="0" w:line="62"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Further, our current licensor or any future licensor may not always act in our best interest. If disputes over intellectual property rights that we have licensed prevent or impair our ability to maintain our current licensing arrangements on acceptable terms, our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business, results of operations, financial condition, and prospects may be adversely affected. We may enter into additional licenses in the future and if we fail to comply with obligations under those agreements, we could suffer adverse consequences.</w:t>
      </w:r>
    </w:p>
    <w:p>
      <w:pPr>
        <w:spacing w:after="0" w:line="62"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We are generally also subject to all of the same risks with respect to protection of intellectual property that we license as we are for intellectual property that we own, which are described below. If we, our current licensor, or any future licensor fail to adequately protect this intellectual property, our ability to commercialize tildacerfont and any future product could be impeded.</w:t>
      </w:r>
    </w:p>
    <w:p>
      <w:pPr>
        <w:spacing w:after="0" w:line="76"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The USPTO and various foreign governmental patent agencies require compliance with a number of procedural, documentary, fee payment, and other similar provisions during the patent process. Periodic maintenance fees, renewal fees, annuity fees and various other governmental fees on any issued patents and/or applications are due to be paid to the USPTO and foreign patent agencies in several stages over the lifetime of the patents and/or applications. We have systems in place to remind us to pay these fees, and we employ an outside firm and rely on our outside counsel to pay these fees due to foreign patent agencies. While an inadvertent lapse may sometimes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In such an event, our competitors might be able to enter the market with similar or identical products or technology earlier than should otherwise have been the case, which would have a material adverse effect on our business, financial condition, results of operations, and prospects.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tildacerfont.</w:t>
      </w:r>
    </w:p>
    <w:p>
      <w:pPr>
        <w:spacing w:after="0" w:line="117" w:lineRule="exact"/>
        <w:rPr>
          <w:sz w:val="20"/>
          <w:szCs w:val="20"/>
          <w:color w:val="auto"/>
        </w:rPr>
      </w:pPr>
    </w:p>
    <w:p>
      <w:pPr>
        <w:ind w:right="40" w:firstLine="509"/>
        <w:spacing w:after="0" w:line="288" w:lineRule="auto"/>
        <w:rPr>
          <w:sz w:val="20"/>
          <w:szCs w:val="20"/>
          <w:color w:val="auto"/>
        </w:rPr>
      </w:pPr>
      <w:r>
        <w:rPr>
          <w:rFonts w:ascii="Arial" w:cs="Arial" w:eastAsia="Arial" w:hAnsi="Arial"/>
          <w:sz w:val="16"/>
          <w:szCs w:val="16"/>
          <w:color w:val="auto"/>
        </w:rPr>
        <w:t>As is the case with other biotechnology and pharmaceutical companies, our success is heavily dependent on intellectual property, particularly on obtaining and enforcing patents. Our patent rights may be affected by developments or uncertainty in U.S. or foreign patent statutes, patent case law, USPTO rules and regulations or the rules and regulations of foreign patent offices. Obtaining and enforcing patents in the biotechnology and pharmaceutical industry involve both technological and legal complexity, and is therefore costly, time-consuming and inherently uncertain. In addition, the United States may, at any time, enact changes to U.S. patent law and regulations, including by legislation, by regulatory rule-making, or by judicial precedent, that adversely affect the scope of patent protection available and weaken the rights of patent owners to obtain patents, enforce patent infringement and obtain injunctions and/or damages. For example, the scope of patentable subject matter under 35 U.S.C. 101 has evolved significantly over the past several years as the Court of Appeals for the Federal Circuit and the Supreme Court issued various opinions, and the USPTO modified its guidance for practitioners on multiple occasions. Other countries may likewise enact changes to their patent laws in ways that adversely diminish the scope of patent protection and weaken the rights of patent owners to obtain patents, enforce patent infringement, and obtain injunctions and/or damages.</w:t>
      </w:r>
    </w:p>
    <w:p>
      <w:pPr>
        <w:spacing w:after="0" w:line="60" w:lineRule="exact"/>
        <w:rPr>
          <w:sz w:val="20"/>
          <w:szCs w:val="20"/>
          <w:color w:val="auto"/>
        </w:rPr>
      </w:pPr>
    </w:p>
    <w:p>
      <w:pPr>
        <w:ind w:right="100" w:firstLine="509"/>
        <w:spacing w:after="0" w:line="269" w:lineRule="auto"/>
        <w:rPr>
          <w:sz w:val="20"/>
          <w:szCs w:val="20"/>
          <w:color w:val="auto"/>
        </w:rPr>
      </w:pPr>
      <w:r>
        <w:rPr>
          <w:rFonts w:ascii="Arial" w:cs="Arial" w:eastAsia="Arial" w:hAnsi="Arial"/>
          <w:sz w:val="17"/>
          <w:szCs w:val="17"/>
          <w:color w:val="auto"/>
        </w:rPr>
        <w:t>Further, the United States and other governments may, at any time, enact changes to law and regulation that create new avenues for challenging the validity of issued patents. For example, the America Invents Act created new administrative post-grant proceedings, including post-grant review, inter partes review, and derivation proceedings that allow third parties to challenge the validity of issued patents. This applies to all of our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could weaken our ability to obtain new patents or to enforce our existing patents and patents that we might obtain in the future.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Patents are of national or regional effect. Filing, prosecuting, and defending patents on tildacerfont, any future product candidates, and other proprietary technologies we develop in all countries throughout the world would be prohibitively expensive. In addition, the laws of some foreign countries do not protect intellectual property rights in the same manner and to the same extent as laws in the United States.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but enforcement of such patent protection is not as strong as that in the United States. These products may compete with our products and our patents or other intellectual property rights may not be effective or sufficient to prevent them from competing.</w:t>
      </w:r>
    </w:p>
    <w:p>
      <w:pPr>
        <w:spacing w:after="0" w:line="69" w:lineRule="exact"/>
        <w:rPr>
          <w:sz w:val="20"/>
          <w:szCs w:val="20"/>
          <w:color w:val="auto"/>
        </w:rPr>
      </w:pPr>
    </w:p>
    <w:p>
      <w:pPr>
        <w:ind w:right="440" w:firstLine="509"/>
        <w:spacing w:after="0" w:line="277" w:lineRule="auto"/>
        <w:rPr>
          <w:sz w:val="20"/>
          <w:szCs w:val="20"/>
          <w:color w:val="auto"/>
        </w:rPr>
      </w:pPr>
      <w:r>
        <w:rPr>
          <w:rFonts w:ascii="Arial" w:cs="Arial" w:eastAsia="Arial" w:hAnsi="Arial"/>
          <w:sz w:val="18"/>
          <w:szCs w:val="18"/>
          <w:color w:val="auto"/>
        </w:rPr>
        <w:t>The requirements for patentability may differ in certain countries. For example, unlike other countries, China has a heightened requirement for patentability, and specifically requires a detailed description of medical uses of a claimed drug. In India, unlike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United States, there is no link between regulatory approval for a drug and its patent status. In addition to India, certain countries in Europe and developing countries, including China, have compulsory licensing laws under which a patent owner may be compelled to grant licenses to third parties. In addition, some countries limit the enforceability of patents against government agencies or government contractors.</w:t>
      </w:r>
    </w:p>
    <w:p>
      <w:pPr>
        <w:spacing w:after="0" w:line="76" w:lineRule="exact"/>
        <w:rPr>
          <w:sz w:val="20"/>
          <w:szCs w:val="20"/>
          <w:color w:val="auto"/>
        </w:rPr>
      </w:pPr>
    </w:p>
    <w:p>
      <w:pPr>
        <w:ind w:right="80" w:firstLine="509"/>
        <w:spacing w:after="0" w:line="311" w:lineRule="auto"/>
        <w:rPr>
          <w:sz w:val="20"/>
          <w:szCs w:val="20"/>
          <w:color w:val="auto"/>
        </w:rPr>
      </w:pPr>
      <w:r>
        <w:rPr>
          <w:rFonts w:ascii="Arial" w:cs="Arial" w:eastAsia="Arial" w:hAnsi="Arial"/>
          <w:sz w:val="16"/>
          <w:szCs w:val="16"/>
          <w:color w:val="auto"/>
        </w:rPr>
        <w:t>In those countries, we may have limited remedies if patents are infringed or if we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w:t>
      </w:r>
    </w:p>
    <w:p>
      <w:pPr>
        <w:spacing w:after="0" w:line="41"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or pharmaceutical products, which could make it difficult for us to stop the infringement of our patents or marketing of competing products in violation of our proprietary rights generally. </w:t>
      </w:r>
      <w:r>
        <w:rPr>
          <w:rFonts w:ascii="Arial" w:cs="Arial" w:eastAsia="Arial" w:hAnsi="Arial"/>
          <w:sz w:val="17"/>
          <w:szCs w:val="17"/>
          <w:color w:val="231F20"/>
        </w:rPr>
        <w:t>In Europe, no earlier than October 1, 2022, European</w:t>
      </w:r>
      <w:r>
        <w:rPr>
          <w:rFonts w:ascii="Arial" w:cs="Arial" w:eastAsia="Arial" w:hAnsi="Arial"/>
          <w:sz w:val="17"/>
          <w:szCs w:val="17"/>
          <w:color w:val="auto"/>
        </w:rPr>
        <w:t xml:space="preserve"> </w:t>
      </w:r>
      <w:r>
        <w:rPr>
          <w:rFonts w:ascii="Arial" w:cs="Arial" w:eastAsia="Arial" w:hAnsi="Arial"/>
          <w:sz w:val="17"/>
          <w:szCs w:val="17"/>
          <w:color w:val="231F20"/>
        </w:rPr>
        <w:t xml:space="preserve">applications will soon have the option, upon grant of a patent, of becoming a Unitary Patent which will be subject to the jurisdiction of the Unitary Patent Court ("UPC"). This will be a significant change in European patent practice. As the UPC is a new court system, there is no precedent for the court, increasing the uncertainty of any litigation. In advance of June 1, 2023, European applications and patents also have the option to opt-out of the UPC. Nonetheless, due the uncertainty of the UPC, </w:t>
      </w:r>
      <w:r>
        <w:rPr>
          <w:rFonts w:ascii="Arial" w:cs="Arial" w:eastAsia="Arial" w:hAnsi="Arial"/>
          <w:sz w:val="17"/>
          <w:szCs w:val="17"/>
          <w:color w:val="000000"/>
        </w:rPr>
        <w:t>proceedings to enforce our patent rights in foreign jurisdictions could result in substantial costs and divert our</w:t>
      </w:r>
      <w:r>
        <w:rPr>
          <w:rFonts w:ascii="Arial" w:cs="Arial" w:eastAsia="Arial" w:hAnsi="Arial"/>
          <w:sz w:val="17"/>
          <w:szCs w:val="17"/>
          <w:color w:val="231F20"/>
        </w:rPr>
        <w:t xml:space="preserve"> </w:t>
      </w:r>
      <w:r>
        <w:rPr>
          <w:rFonts w:ascii="Arial" w:cs="Arial" w:eastAsia="Arial" w:hAnsi="Arial"/>
          <w:sz w:val="17"/>
          <w:szCs w:val="17"/>
          <w:color w:val="000000"/>
        </w:rPr>
        <w:t>efforts and attention from other aspects of our business, could put our patents at risk of being invalidated or interpreted narrowly,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71"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subject to claims challenging the inventorship or ownership of our patents and other intellectual property.</w:t>
      </w:r>
    </w:p>
    <w:p>
      <w:pPr>
        <w:spacing w:after="0" w:line="117" w:lineRule="exact"/>
        <w:rPr>
          <w:sz w:val="20"/>
          <w:szCs w:val="20"/>
          <w:color w:val="auto"/>
        </w:rPr>
      </w:pPr>
    </w:p>
    <w:p>
      <w:pPr>
        <w:ind w:right="20" w:firstLine="509"/>
        <w:spacing w:after="0" w:line="288" w:lineRule="auto"/>
        <w:rPr>
          <w:sz w:val="20"/>
          <w:szCs w:val="20"/>
          <w:color w:val="auto"/>
        </w:rPr>
      </w:pPr>
      <w:r>
        <w:rPr>
          <w:rFonts w:ascii="Arial" w:cs="Arial" w:eastAsia="Arial" w:hAnsi="Arial"/>
          <w:sz w:val="16"/>
          <w:szCs w:val="16"/>
          <w:color w:val="auto"/>
        </w:rPr>
        <w:t>We may be subject to claims that former employees (including former employees of our licensors), collaborators or other third parties have an interest in our patents rights, trade secrets, or other intellectual property as an inventor or co-inventor. The failure to name the proper inventors on a patent application can result in the patents issuing thereon being unenforceable. For example, we may have inventorship disputes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tildacerfont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financial condition, results of operations and prospects. Even if we are successful in defending against such claims, litigation could result in substantial costs and be a distraction to management and other employees.</w:t>
      </w:r>
    </w:p>
    <w:p>
      <w:pPr>
        <w:spacing w:after="0" w:line="6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product components and processes for our development pipeline through acquisitions and in-licenses.</w:t>
      </w:r>
    </w:p>
    <w:p>
      <w:pPr>
        <w:spacing w:after="0" w:line="62"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Presently we have intellectual property rights, through licenses from third parties including Lilly, related to tildacerfont. Because our program may require the use of additional proprietary rights held by third parties, the growth of our business will likely depend in part on our ability to acquire, in-license or use these proprietary rights. In addition, tildacerfont may require specific formulations to work effectively and efficiently and these rights may be held by others. We may be unable to acquire or in-license, 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reasonable terms, proprietary rights related to any compositions, formulations, methods of use, processes or other intellectual property rights from third parties that we identify as being necessary for tildacerfont. Even if we are able to obtain a license to such proprietary rights, it may be non-exclusive, thereby giving our competitors access to the same technologies licensed to us. In that event, we may be required to expend significant time and resources to develop or license replacement technology.</w:t>
      </w:r>
    </w:p>
    <w:p>
      <w:pPr>
        <w:spacing w:after="0" w:line="79" w:lineRule="exact"/>
        <w:rPr>
          <w:sz w:val="20"/>
          <w:szCs w:val="20"/>
          <w:color w:val="auto"/>
        </w:rPr>
      </w:pPr>
    </w:p>
    <w:p>
      <w:pPr>
        <w:ind w:right="80" w:firstLine="509"/>
        <w:spacing w:after="0" w:line="291" w:lineRule="auto"/>
        <w:rPr>
          <w:sz w:val="20"/>
          <w:szCs w:val="20"/>
          <w:color w:val="auto"/>
        </w:rPr>
      </w:pPr>
      <w:r>
        <w:rPr>
          <w:rFonts w:ascii="Arial" w:cs="Arial" w:eastAsia="Arial" w:hAnsi="Arial"/>
          <w:sz w:val="16"/>
          <w:szCs w:val="16"/>
          <w:color w:val="auto"/>
        </w:rPr>
        <w:t>Where we obtain licenses from, grant licenses to, or collaborate with third parties, we may not have the right to control the preparation, filing, and prosecution of patent applications, or to maintain the patents, covering technology that we license to or from third parties in certain countries or regions. Such activities, if controlled by us, may require the input of such third parties. Such activities, if controlled by such third parties, may require the input of us. However, in either case, such third parties may not cooperate with us even where such third parties are obligated to do so. We may not align on strategies for prosecuting the relevant patent applications or maintaining the relevant patents. For example, such third-party may not cooperate with us and may decide to prosecute the patent application in a manner that is inconsistent with the best interests of our business, or fails to comply with applicable laws and regulations. The validity and enforceability of such patents or any patents that may issue from such patent applications may be affected.</w:t>
      </w:r>
    </w:p>
    <w:p>
      <w:pPr>
        <w:spacing w:after="0" w:line="58" w:lineRule="exact"/>
        <w:rPr>
          <w:sz w:val="20"/>
          <w:szCs w:val="20"/>
          <w:color w:val="auto"/>
        </w:rPr>
      </w:pPr>
    </w:p>
    <w:p>
      <w:pPr>
        <w:ind w:right="40" w:firstLine="509"/>
        <w:spacing w:after="0" w:line="286" w:lineRule="auto"/>
        <w:rPr>
          <w:sz w:val="20"/>
          <w:szCs w:val="20"/>
          <w:color w:val="auto"/>
        </w:rPr>
      </w:pPr>
      <w:r>
        <w:rPr>
          <w:rFonts w:ascii="Arial" w:cs="Arial" w:eastAsia="Arial" w:hAnsi="Arial"/>
          <w:sz w:val="16"/>
          <w:szCs w:val="16"/>
          <w:color w:val="auto"/>
        </w:rPr>
        <w:t>We may also require the cooperation of our licensors, licensees, and collaborators to enforce any licensed patent rights, and such cooperation may not be provided. Therefore, these patents and patent applications may not be prosecuted, maintained, and/or enforced in a manner consistent with the best interests of our business, or in compliance with applicable laws and regulations, which may affect the validity and enforceability of such patents or any patents that may issue from such patent applications. Moreover, if we do obtain necessary licenses, we will likely have obligations under those licenses, including making royalty and milestone payments, and any failure to satisfy those obligations could give our licensor the right to terminate the license. Termination of a necessary license, or expiration of licensed patents or patent applications, could have a material adverse impact on our business. Our business would suffer if any such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Furthermore, if any licenses terminate, or if the underlying patents fail to provide the intended exclusivity, competitors or other third parties may gain the freedom to seek regulatory approval of, and to market, products identical or similar to ours.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59"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The licensing and acquisition of third-party proprietary rights is a competitive area, and companies, which may be more established, or have greater resources than we do, may also be pursuing strategies to license or acquire third-party proprietary rights that we may consider necessary or attractive in order to commercialize tildacerfont. More established companies may have a competitive advantage over us due to their size, cash resources and greater clinical development and commercialization capabilities.</w:t>
      </w:r>
    </w:p>
    <w:p>
      <w:pPr>
        <w:spacing w:after="0" w:line="79" w:lineRule="exact"/>
        <w:rPr>
          <w:sz w:val="20"/>
          <w:szCs w:val="20"/>
          <w:color w:val="auto"/>
        </w:rPr>
      </w:pPr>
    </w:p>
    <w:p>
      <w:pPr>
        <w:ind w:right="140" w:firstLine="509"/>
        <w:spacing w:after="0" w:line="257" w:lineRule="auto"/>
        <w:rPr>
          <w:sz w:val="20"/>
          <w:szCs w:val="20"/>
          <w:color w:val="auto"/>
        </w:rPr>
      </w:pPr>
      <w:r>
        <w:rPr>
          <w:rFonts w:ascii="Arial" w:cs="Arial" w:eastAsia="Arial" w:hAnsi="Arial"/>
          <w:sz w:val="18"/>
          <w:szCs w:val="18"/>
          <w:color w:val="auto"/>
        </w:rPr>
        <w:t>For example, we may collaborate with U.S. and foreign academic institutions to accelerate our preclinical research or development under written agreements with these institutions. Typically, these institutions provide us with an option to negotiate an exclusive license to any of the institution’s proprietary rights in technology resulting from the collaboration. Regardless of such option to negotiate a license, we may be unable to negotiate a license within the specified time frame or under terms that are acceptable to us. If we are unable to do so, the institution may offer, on an exclusive basis, their proprietary rights to other parties, potentially blocking our ability to pursue our program.</w:t>
      </w:r>
    </w:p>
    <w:p>
      <w:pPr>
        <w:spacing w:after="0" w:line="80" w:lineRule="exact"/>
        <w:rPr>
          <w:sz w:val="20"/>
          <w:szCs w:val="20"/>
          <w:color w:val="auto"/>
        </w:rPr>
      </w:pPr>
    </w:p>
    <w:p>
      <w:pPr>
        <w:ind w:right="20" w:firstLine="509"/>
        <w:spacing w:after="0" w:line="279" w:lineRule="auto"/>
        <w:rPr>
          <w:sz w:val="20"/>
          <w:szCs w:val="20"/>
          <w:color w:val="auto"/>
        </w:rPr>
      </w:pPr>
      <w:r>
        <w:rPr>
          <w:rFonts w:ascii="Arial" w:cs="Arial" w:eastAsia="Arial" w:hAnsi="Arial"/>
          <w:sz w:val="17"/>
          <w:szCs w:val="17"/>
          <w:color w:val="auto"/>
        </w:rPr>
        <w:t>In addition, companies that perceive us to be a competitor may be unwilling to assign or license rights to us, either on reasonable terms, or at all. We also may be unable to license or acquire third-party intellectual property rights on terms that would allow us to make an appropriate return on our investment, or at all. If we are unable to successfully obtain rights to required third-party intellectual property rights on commercially reasonable terms, our ability to commercialize our products, and our business, financial condition, and prospects for growth, could suffer.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claims alleging intellectual property infringement may prevent or delay our drug discovery and development efforts.</w:t>
      </w:r>
    </w:p>
    <w:p>
      <w:pPr>
        <w:spacing w:after="0" w:line="117" w:lineRule="exact"/>
        <w:rPr>
          <w:sz w:val="20"/>
          <w:szCs w:val="20"/>
          <w:color w:val="auto"/>
        </w:rPr>
      </w:pPr>
    </w:p>
    <w:p>
      <w:pPr>
        <w:ind w:right="80" w:firstLine="509"/>
        <w:spacing w:after="0" w:line="293" w:lineRule="auto"/>
        <w:rPr>
          <w:sz w:val="20"/>
          <w:szCs w:val="20"/>
          <w:color w:val="auto"/>
        </w:rPr>
      </w:pPr>
      <w:r>
        <w:rPr>
          <w:rFonts w:ascii="Arial" w:cs="Arial" w:eastAsia="Arial" w:hAnsi="Arial"/>
          <w:sz w:val="16"/>
          <w:szCs w:val="16"/>
          <w:color w:val="auto"/>
        </w:rPr>
        <w:t>Our success depends in part on our avoiding infringement of the patents and proprietary rights of third parties. There is a substantial amount of litigation, both within and outside the United States, involving patents and other intellectual property rights in the biotechnology and pharmaceutical industries, as well as administrative proceedings for challenging patents, including inter partes review, interference and reexamination proceedings before the USPTO, or oppositions and other comparable proceedings in foreign jurisdictions. The America Invents Act introduced new procedures including inter partes review and post grant review. The implementation of these procedures brings uncertainty to the possibility of challenges to our patents in the future and the outcome of such challenges. Numerous U.S. and foreign issued patents and pending patent applications, which are owned by third parties, exist in</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fields in which we are developing tildacerfont. As the biotechnology and pharmaceutical industries expand and more patents are issued, the risk increases that our activities related to tildacerfont may give rise to claims of infringement of the patent rights of others.</w:t>
      </w:r>
    </w:p>
    <w:p>
      <w:pPr>
        <w:spacing w:after="0" w:line="62" w:lineRule="exact"/>
        <w:rPr>
          <w:sz w:val="20"/>
          <w:szCs w:val="20"/>
          <w:color w:val="auto"/>
        </w:rPr>
      </w:pPr>
    </w:p>
    <w:p>
      <w:pPr>
        <w:ind w:right="160" w:firstLine="509"/>
        <w:spacing w:after="0" w:line="275" w:lineRule="auto"/>
        <w:rPr>
          <w:sz w:val="20"/>
          <w:szCs w:val="20"/>
          <w:color w:val="auto"/>
        </w:rPr>
      </w:pPr>
      <w:r>
        <w:rPr>
          <w:rFonts w:ascii="Arial" w:cs="Arial" w:eastAsia="Arial" w:hAnsi="Arial"/>
          <w:sz w:val="17"/>
          <w:szCs w:val="17"/>
          <w:color w:val="auto"/>
        </w:rPr>
        <w:t>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 We cannot assure you that any of our current or future product candidates will not infringe existing or future patents. We may not be aware of patents that have already issued that a third party might assert are infringed by one of our current or future product candidates. Nevertheless, we are not aware of any issued patents that will prevent us from marketing tildacerfont.</w:t>
      </w:r>
    </w:p>
    <w:p>
      <w:pPr>
        <w:spacing w:after="0" w:line="68"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Third parties may assert that we are employing their proprietary technology without authorization. There may be third-party patents of which we are currently unaware with claims to materials, formulations, methods of manufacture or methods for treatment related to the use or manufacture of tildacerfont. Because patent applications can take many years to issue and may be confidential for 18 months or more after filing, there may be currently pending third-party patent applications which may later result in issued patents that tildacerfont, any future product candidates, and other proprietary technologies may infringe, or which such third parties claim are infringed by the use of our technologies. Parties making claims against us for infringement or misappropriation of their intellectual property rights may seek and obtain injunctive or other equitable relief, which could effectively block our ability to further develop and commercialize tildacerfont or future product candidates. Defense of these claims, regardless of their merit, could involve substantial expenses and could be a substantial diversion of management and other employee resources from our business.</w:t>
      </w:r>
    </w:p>
    <w:p>
      <w:pPr>
        <w:spacing w:after="0" w:line="70" w:lineRule="exact"/>
        <w:rPr>
          <w:sz w:val="20"/>
          <w:szCs w:val="20"/>
          <w:color w:val="auto"/>
        </w:rPr>
      </w:pPr>
    </w:p>
    <w:p>
      <w:pPr>
        <w:ind w:right="260" w:firstLine="509"/>
        <w:spacing w:after="0" w:line="257" w:lineRule="auto"/>
        <w:rPr>
          <w:sz w:val="20"/>
          <w:szCs w:val="20"/>
          <w:color w:val="auto"/>
        </w:rPr>
      </w:pPr>
      <w:r>
        <w:rPr>
          <w:rFonts w:ascii="Arial" w:cs="Arial" w:eastAsia="Arial" w:hAnsi="Arial"/>
          <w:sz w:val="18"/>
          <w:szCs w:val="18"/>
          <w:color w:val="auto"/>
        </w:rPr>
        <w:t>If we collaborate with third parties in the development of technology in the future, our 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 Further, collaborators may infringe the intellectual property rights of third parties, which may expose us to litigation and potential liability. In the future, we may agree to indemnify our commercial collaborators against certain intellectual property infringement claims brought by third parties.</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claims of patent infringement asserted by third parties would be time-consuming and could:</w:t>
      </w:r>
    </w:p>
    <w:p>
      <w:pPr>
        <w:spacing w:after="0" w:line="117" w:lineRule="exact"/>
        <w:rPr>
          <w:sz w:val="20"/>
          <w:szCs w:val="20"/>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result in costly litigation;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cause development delays;</w:t>
      </w:r>
    </w:p>
    <w:p>
      <w:pPr>
        <w:spacing w:after="0" w:line="117" w:lineRule="exact"/>
        <w:rPr>
          <w:rFonts w:ascii="Arial" w:cs="Arial" w:eastAsia="Arial" w:hAnsi="Arial"/>
          <w:sz w:val="18"/>
          <w:szCs w:val="18"/>
          <w:color w:val="auto"/>
        </w:rPr>
      </w:pPr>
    </w:p>
    <w:p>
      <w:pPr>
        <w:ind w:left="1020" w:right="420" w:hanging="503"/>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prevent us from commercializing tildacerfont or any future product candidates until the asserted patent expires or is finally held invalid, unenforceable, or not infringed in a court of law;</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117" w:lineRule="exact"/>
        <w:rPr>
          <w:rFonts w:ascii="Arial" w:cs="Arial" w:eastAsia="Arial" w:hAnsi="Arial"/>
          <w:sz w:val="18"/>
          <w:szCs w:val="18"/>
          <w:color w:val="auto"/>
        </w:rPr>
      </w:pPr>
    </w:p>
    <w:p>
      <w:pPr>
        <w:ind w:left="1020" w:right="620" w:hanging="503"/>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 us to pay damages to the party whose intellectual property rights we may be found to be infringing, which may include treble damages if we are found to have been willfully infringing such intellectual property;</w:t>
      </w:r>
    </w:p>
    <w:p>
      <w:pPr>
        <w:spacing w:after="0" w:line="62" w:lineRule="exact"/>
        <w:rPr>
          <w:rFonts w:ascii="Arial" w:cs="Arial" w:eastAsia="Arial" w:hAnsi="Arial"/>
          <w:sz w:val="18"/>
          <w:szCs w:val="18"/>
          <w:color w:val="auto"/>
        </w:rPr>
      </w:pPr>
    </w:p>
    <w:p>
      <w:pPr>
        <w:ind w:left="1020" w:right="360" w:hanging="503"/>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 us to pay the attorney’s fees and costs of litigation to the party whose intellectual property rights we may be found to be willfully infringing; and/or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 us to enter into royalty or license agreements, which may not be available on commercially reasonable terms, or at all.</w:t>
      </w:r>
    </w:p>
    <w:p>
      <w:pPr>
        <w:spacing w:after="0" w:line="117"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If we are sued for patent infringement, we would need to demonstrate that our products or methods either do not infringe the patent claims of the relevant patent or that the patent claims are invalid or unenforceable, and we may not be able to do either. Proving invalidity or unenforceability is difficult. For example, in the United States, proving invalidity before federal courts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or enforceability of the patents in court. Patent litigation is costly and time-consuming. We may not have sufficient resources to bring these actions to a successful conclusion. In addition, if we do not obtain a license, develop or obtain non-infringing technology, fail to defend an infringement action successfully or have infringed patents declared invalid or unenforceable, we may incur substantial monetary damages, encounter significant delays in bringing tildacerfont to market and be precluded from developing, manufacturing or selling tildacerfont.</w:t>
      </w:r>
    </w:p>
    <w:p>
      <w:pPr>
        <w:spacing w:after="0" w:line="77"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We do not always conduct independent reviews of pending patent applications of and patents issued to third parties. We cannot be certain that any of our or our licensors’ patent searches or analyses, including but not limited to the identification of relevant patents, analysis of the scope of relevant patent claims or determination of the expiration of relevant patents, are complete or thorough,</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nor can we be certain that we have identified each and every third-party patent and pending application in the United States, Europe and elsewhere that is relevant to or necessary for the commercialization of our product candidates in any jurisdiction, because:</w:t>
      </w:r>
    </w:p>
    <w:p>
      <w:pPr>
        <w:spacing w:after="0" w:line="62" w:lineRule="exact"/>
        <w:rPr>
          <w:sz w:val="20"/>
          <w:szCs w:val="20"/>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some patent applications in the United States may be maintained in secrecy until the patents are issued;</w:t>
      </w:r>
    </w:p>
    <w:p>
      <w:pPr>
        <w:spacing w:after="0" w:line="117" w:lineRule="exact"/>
        <w:rPr>
          <w:rFonts w:ascii="Arial" w:cs="Arial" w:eastAsia="Arial" w:hAnsi="Arial"/>
          <w:sz w:val="18"/>
          <w:szCs w:val="18"/>
          <w:color w:val="auto"/>
        </w:rPr>
      </w:pPr>
    </w:p>
    <w:p>
      <w:pPr>
        <w:ind w:left="1020" w:right="140" w:hanging="503"/>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patent applications in the United States and elsewhere can be pending for many years before issuance, or unintentionally abandoned patents or applications can be revived;</w:t>
      </w:r>
    </w:p>
    <w:p>
      <w:pPr>
        <w:spacing w:after="0" w:line="62" w:lineRule="exact"/>
        <w:rPr>
          <w:rFonts w:ascii="Arial" w:cs="Arial" w:eastAsia="Arial" w:hAnsi="Arial"/>
          <w:sz w:val="18"/>
          <w:szCs w:val="18"/>
          <w:color w:val="auto"/>
        </w:rPr>
      </w:pPr>
    </w:p>
    <w:p>
      <w:pPr>
        <w:ind w:left="1020" w:right="260" w:hanging="503"/>
        <w:spacing w:after="0" w:line="308" w:lineRule="auto"/>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pending patent applications that have been published can, subject to certain limitations, be later amended in a manner that could cover our technologies, tildacerfont, and any future product candidates or the use of tildacerfont and any future product candidates;</w:t>
      </w:r>
    </w:p>
    <w:p>
      <w:pPr>
        <w:spacing w:after="0" w:line="38" w:lineRule="exact"/>
        <w:rPr>
          <w:rFonts w:ascii="Arial" w:cs="Arial" w:eastAsia="Arial" w:hAnsi="Arial"/>
          <w:sz w:val="17"/>
          <w:szCs w:val="17"/>
          <w:color w:val="auto"/>
        </w:rPr>
      </w:pPr>
    </w:p>
    <w:p>
      <w:pPr>
        <w:ind w:left="1020" w:right="460" w:hanging="503"/>
        <w:spacing w:after="0" w:line="342" w:lineRule="auto"/>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identification of third-party patent rights that may be relevant to our technology is difficult because patent searching is imperfect due to differences in terminology among patents, incomplete databases, and the difficulty in assessing the meaning of patent claims;</w:t>
      </w:r>
    </w:p>
    <w:p>
      <w:pPr>
        <w:spacing w:after="0" w:line="15" w:lineRule="exact"/>
        <w:rPr>
          <w:rFonts w:ascii="Arial" w:cs="Arial" w:eastAsia="Arial" w:hAnsi="Arial"/>
          <w:sz w:val="16"/>
          <w:szCs w:val="16"/>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patent applications in the United States are typically not published until 18 months after the priority date;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publications in the scientific literature often lag behind actual discoveries.</w:t>
      </w:r>
    </w:p>
    <w:p>
      <w:pPr>
        <w:spacing w:after="0" w:line="117" w:lineRule="exact"/>
        <w:rPr>
          <w:sz w:val="20"/>
          <w:szCs w:val="20"/>
          <w:color w:val="auto"/>
        </w:rPr>
      </w:pPr>
    </w:p>
    <w:p>
      <w:pPr>
        <w:ind w:right="80" w:firstLine="509"/>
        <w:spacing w:after="0" w:line="293" w:lineRule="auto"/>
        <w:rPr>
          <w:sz w:val="20"/>
          <w:szCs w:val="20"/>
          <w:color w:val="auto"/>
        </w:rPr>
      </w:pPr>
      <w:r>
        <w:rPr>
          <w:rFonts w:ascii="Arial" w:cs="Arial" w:eastAsia="Arial" w:hAnsi="Arial"/>
          <w:sz w:val="16"/>
          <w:szCs w:val="16"/>
          <w:color w:val="auto"/>
        </w:rPr>
        <w:t>Furthermore,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Further, we may incorrectly determine that our technologies, products, or product candidates are not covered by a third-party patent or may incorrectly predict whether a third party’s pending patent application will issue with claims of relevant scope. Our determination of the expiration date of any patent in the United States or internationally that we consider relevant may be incorrect, which may negatively impact our ability to develop and market our products or product candidates.</w:t>
      </w:r>
    </w:p>
    <w:p>
      <w:pPr>
        <w:spacing w:after="0" w:line="56" w:lineRule="exact"/>
        <w:rPr>
          <w:sz w:val="20"/>
          <w:szCs w:val="20"/>
          <w:color w:val="auto"/>
        </w:rPr>
      </w:pPr>
    </w:p>
    <w:p>
      <w:pPr>
        <w:ind w:right="40" w:firstLine="509"/>
        <w:spacing w:after="0" w:line="288" w:lineRule="auto"/>
        <w:rPr>
          <w:sz w:val="20"/>
          <w:szCs w:val="20"/>
          <w:color w:val="auto"/>
        </w:rPr>
      </w:pPr>
      <w:r>
        <w:rPr>
          <w:rFonts w:ascii="Arial" w:cs="Arial" w:eastAsia="Arial" w:hAnsi="Arial"/>
          <w:sz w:val="16"/>
          <w:szCs w:val="16"/>
          <w:color w:val="auto"/>
        </w:rPr>
        <w:t>Our competitors may have filed, and may in the future file, patent applications covering technology similar to ours, and others may have or obtain patents or proprietary rights that could limit our ability to make, use, sell, offer for sale or import tildacerfont and future approved products or impair our competitive position.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tildacerfont. Any such patent application may have priority over our patent applications, which could further require us to obtain rights to issued patents covering such technologies. If another party has filed a U.S. patent application on inventions similar to ours, we may have to participate in an interference proceeding declared by the USPTO to determine priority of invention in the United States. The costs of these proceedings could be substantial, and it is possible that such efforts would be unsuccessful if, unbeknownst to us, the other party had independently arrived at the same or similar invention prior to our own invention, resulting in a loss of our U.S. patent position with respect to such inventions. Other countries have similar laws that permit secrecy of patent applications and may be entitled to priority over our applications in such jurisdictions.</w:t>
      </w:r>
    </w:p>
    <w:p>
      <w:pPr>
        <w:spacing w:after="0" w:line="60" w:lineRule="exact"/>
        <w:rPr>
          <w:sz w:val="20"/>
          <w:szCs w:val="20"/>
          <w:color w:val="auto"/>
        </w:rPr>
      </w:pPr>
    </w:p>
    <w:p>
      <w:pPr>
        <w:jc w:val="both"/>
        <w:ind w:right="120" w:firstLine="509"/>
        <w:spacing w:after="0" w:line="263"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76" w:lineRule="exact"/>
        <w:rPr>
          <w:sz w:val="20"/>
          <w:szCs w:val="20"/>
          <w:color w:val="auto"/>
        </w:rPr>
      </w:pPr>
    </w:p>
    <w:p>
      <w:pPr>
        <w:jc w:val="both"/>
        <w:ind w:right="180" w:firstLine="509"/>
        <w:spacing w:after="0" w:line="311" w:lineRule="auto"/>
        <w:rPr>
          <w:sz w:val="20"/>
          <w:szCs w:val="20"/>
          <w:color w:val="auto"/>
        </w:rPr>
      </w:pPr>
      <w:r>
        <w:rPr>
          <w:rFonts w:ascii="Arial" w:cs="Arial" w:eastAsia="Arial" w:hAnsi="Arial"/>
          <w:sz w:val="16"/>
          <w:szCs w:val="16"/>
          <w:color w:val="auto"/>
        </w:rPr>
        <w:t>If a third party prevails in a patent infringement lawsuit against us, we may have to stop making and selling the infringing product, pay substantial damages, including treble damages and attorneys’ fees if we are found to be willfully infringing a third party’s patents, obtain one or more licenses from third parties, pay royalties or redesign our infringing products, which may be impossible or require substantial time and monetary expenditure.</w:t>
      </w:r>
    </w:p>
    <w:p>
      <w:pPr>
        <w:spacing w:after="0" w:line="41" w:lineRule="exact"/>
        <w:rPr>
          <w:sz w:val="20"/>
          <w:szCs w:val="20"/>
          <w:color w:val="auto"/>
        </w:rPr>
      </w:pPr>
    </w:p>
    <w:p>
      <w:pPr>
        <w:ind w:right="240" w:firstLine="509"/>
        <w:spacing w:after="0" w:line="257" w:lineRule="auto"/>
        <w:rPr>
          <w:sz w:val="20"/>
          <w:szCs w:val="20"/>
          <w:color w:val="auto"/>
        </w:rPr>
      </w:pPr>
      <w:r>
        <w:rPr>
          <w:rFonts w:ascii="Arial" w:cs="Arial" w:eastAsia="Arial" w:hAnsi="Arial"/>
          <w:sz w:val="18"/>
          <w:szCs w:val="18"/>
          <w:color w:val="auto"/>
        </w:rPr>
        <w:t>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tildacerfont. We may fail to obtain any of these licenses at a reasonable cost or on reasonable terms, if at all. In that event, we would be unable to further develop and commercialize tildacerfont, which could harm our business significantly. Even if we were able to obtain a license, the rights may be nonexclusive, which may give our competitors access to the same intellectual property.</w:t>
      </w:r>
    </w:p>
    <w:p>
      <w:pPr>
        <w:spacing w:after="0" w:line="8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62"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As is common in the biotechnology and pharmaceutical industries, in addition to our employees, we engage the services of consultants to assist us in the development of tildacerfont, any future product candidates, and other proprietary technologies. Many of these consultants, and many of our employees, were previously employed at, or may have previously provided or may be currently providing consulting services to, other pharmaceutical companies including our competitors or potential competitors. We may become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80"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 Further, our issued patents could be found invalid or unenforceable if challenged in court, and we may incur substantial costs as a result of litigation or other proceedings relating to patent and other intellectual property rights*</w:t>
      </w:r>
    </w:p>
    <w:p>
      <w:pPr>
        <w:spacing w:after="0" w:line="76" w:lineRule="exact"/>
        <w:rPr>
          <w:sz w:val="20"/>
          <w:szCs w:val="20"/>
          <w:color w:val="auto"/>
        </w:rPr>
      </w:pPr>
    </w:p>
    <w:p>
      <w:pPr>
        <w:ind w:right="20" w:firstLine="509"/>
        <w:spacing w:after="0" w:line="279" w:lineRule="auto"/>
        <w:rPr>
          <w:sz w:val="20"/>
          <w:szCs w:val="20"/>
          <w:color w:val="auto"/>
        </w:rPr>
      </w:pPr>
      <w:r>
        <w:rPr>
          <w:rFonts w:ascii="Arial" w:cs="Arial" w:eastAsia="Arial" w:hAnsi="Arial"/>
          <w:sz w:val="17"/>
          <w:szCs w:val="17"/>
          <w:color w:val="auto"/>
        </w:rPr>
        <w:t>Third parties including competitors may infringe, misappropriate or otherwise violate our patents, patents that may issue to us in the future, or the patents of our licensors that are licensed to us. To counter infringement or unauthorized use, we may need to or choose to file infringement claims, which can be expensive and time-consuming. We may not be able to prevent, alone or with our licensors, infringement, misappropriation, or other violation of our intellectual property, particularly in countries where the laws may not protect those rights as fully as in the United States.</w:t>
      </w:r>
    </w:p>
    <w:p>
      <w:pPr>
        <w:spacing w:after="0" w:line="63"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If we choose to go to court to stop another party from using the inventions claimed in our patents, that individual or company has the right to ask the court to rule that such patents are invalid, unenforceable, or should not be enforced against that third party for any number of reasons. In patent litigation in the United States, defendant counterclaims alleging invalidity and/or unenforceability are commonplace. Grounds for a validity challenge include an alleged failure to meet any of several statutory requirements for patentability, including, but not limited to, lack of novelty, obviousness, lack of written description, indefiniteness, or non-enablement. Grounds for an unenforceability assertion could include an allegation that someone connected with prosecution of the patent withheld relevant information from the USPTO or made a misleading statement during prosecution, i.e., committed inequitable conduct. Third parties may also raise similar claims before the USPTO, even outside the context of litigation. For example, in May 2021, Neurocrine filed a petition requesting the USPTO to institute an administrative proceeding involving the post-grant review of the patentability of United States Patent 10,849,908. In December 2021, the USPTO denied Neurocrine's request for post-grant review. In January 2022, Neurocrine requested a rehearing of the USPTO's decision to deny the post-grant review and also filed a request that the Procedural Opinion Panel ("POP") review the case. Additionally, in February 2022, Neurocrine filed a petition requesting the USPTO to institute an administrative proceeding involving the post-grant review of the patentability of United States Patent 11,007,201. In September 2022, the USPTO denied Neurocrine's request for post-grant review. In October 2022, Neurocrine requested a rehearing of the USPTO's decision to deny the post-grant review and also filed a request that the POP review the case. Similar mechanisms for challenging the validity and enforceability of a patent exist in foreign patent offices and courts and may result in the revocation, cancellation, or amendment of any foreign patents we or our licensors hold now or in the future. The outcome following legal assertions of invalidity and unenforceability is unpredictable, and prior art could render our patents or those of our licensors invalid. If a defendant were to prevail on a legal assertion of invalidity and/or unenforceability, we would lose at least part, and perhaps all, of the patent protection on such product candidate. Such a loss of patent protection would have a material adverse impact on our business.</w:t>
      </w:r>
    </w:p>
    <w:p>
      <w:pPr>
        <w:spacing w:after="0" w:line="282"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or manufacturing partnerships that would help us bring tildacerfont and any future product candidates to market.</w:t>
      </w:r>
    </w:p>
    <w:p>
      <w:pPr>
        <w:spacing w:after="0" w:line="70"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Our ability to enforce our patent rights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We may not prevail in any lawsuits that we initiate and the damages or other remedies awarded if we were to prevail may not be commercially meaningful.</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of the expense and uncertainty of litigation, we may not be in a position to enforce our intellectual property rights against third parties.</w:t>
      </w:r>
    </w:p>
    <w:p>
      <w:pPr>
        <w:spacing w:after="0" w:line="140" w:lineRule="exact"/>
        <w:rPr>
          <w:sz w:val="20"/>
          <w:szCs w:val="20"/>
          <w:color w:val="auto"/>
        </w:rPr>
      </w:pPr>
    </w:p>
    <w:p>
      <w:pPr>
        <w:ind w:right="60" w:firstLine="509"/>
        <w:spacing w:after="0" w:line="279" w:lineRule="auto"/>
        <w:rPr>
          <w:sz w:val="20"/>
          <w:szCs w:val="20"/>
          <w:color w:val="auto"/>
        </w:rPr>
      </w:pPr>
      <w:r>
        <w:rPr>
          <w:rFonts w:ascii="Arial" w:cs="Arial" w:eastAsia="Arial" w:hAnsi="Arial"/>
          <w:sz w:val="17"/>
          <w:szCs w:val="17"/>
          <w:color w:val="auto"/>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w:t>
      </w:r>
    </w:p>
    <w:p>
      <w:pPr>
        <w:spacing w:after="0" w:line="63"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 Our reliance on third parties requires us to share our trade secrets, which increases the possibility that a competitor will discover them or that our trade secrets will be misappropriated or disclosed.</w:t>
      </w:r>
    </w:p>
    <w:p>
      <w:pPr>
        <w:spacing w:after="0" w:line="76"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We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and inventions agreements with employees, consultants, and advisors, to protect our trade secrets and other proprietary information. In addition to contractual measures, we try to protect the confidential nature of our proprietary information using commonly accepted physical and technological security measures. Despite these efforts, we cannot provide any assurances that all such agreements have been duly executed, and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w:t>
      </w:r>
    </w:p>
    <w:p>
      <w:pPr>
        <w:spacing w:after="0" w:line="71"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In addition, such security measures may not provide adequate protection for our proprietary information, for example, in the case of misappropriation of a trade secret by an employee, consultant, customer, or third party with authorized access. Our security measures may not prevent an employee, consultant or customer from misappropriating our trade secrets and providing them to a competitor, and recourse we take against such misconduct may not provide an adequate remedy to protect our interests fully. Monitoring unauthorized uses and disclosures is difficult, and we do not know whether the steps we have taken to protect our proprietary technologies will be effective. Unauthorized parties may also attempt to copy or reverse engineer certain aspects of our products that we consider proprietary. Enforcing a claim that a party illegally disclosed or misappropriated a trade secret can be difficult, expensive and time-consuming, and the outcome is unpredictable. Even though we use commonly accepted security measures, the criteria for protection of trade secrets can vary among different jurisdictions.</w:t>
      </w:r>
    </w:p>
    <w:p>
      <w:pPr>
        <w:spacing w:after="0" w:line="70"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third parties may still obtain this information or may come upon this or similar information independently, and we would have no right to prevent them from using that technology or information to compete with us. Trade secrets will over time be disseminated within the industry through independent development, the publication of journal articles, and the movement of personnel skilled in the art from company to company or academic to industry scientific positions. Though our agreements with third parties typically restrict the ability of our advisors, employees, collaborators, licensors, suppliers, third-party contractors, and consultants to publish data potentially relating to our trade secrets, our agreements may contain certain limited publication rights. If any of our trade secrets were to be lawfully obtained or independently developed by a competitor,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 times, share trade secrets with them. Despite employing the contractual and other security precautions described above, the need to share trade secrets increases the risk that such trade secrets become known by our competitors, are inadvertently incorporated into the technology of others, or are disclosed or used in violation of these agreements.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right="20" w:firstLine="509"/>
        <w:spacing w:after="0" w:line="287" w:lineRule="auto"/>
        <w:rPr>
          <w:sz w:val="20"/>
          <w:szCs w:val="20"/>
          <w:color w:val="auto"/>
        </w:rPr>
      </w:pPr>
      <w:r>
        <w:rPr>
          <w:rFonts w:ascii="Arial" w:cs="Arial" w:eastAsia="Arial" w:hAnsi="Arial"/>
          <w:sz w:val="16"/>
          <w:szCs w:val="16"/>
          <w:color w:val="auto"/>
        </w:rPr>
        <w:t>Our future trademarks or trade names may be unable to be obtained,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financial condition or results of operations.</w:t>
      </w:r>
    </w:p>
    <w:p>
      <w:pPr>
        <w:spacing w:after="0" w:line="64"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Moreover, any name we have proposed to use with tildacerfont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Similar requirements exist in Europe.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Any collaboration arrangements that we may enter into in the future may not be successful, which could adversely affect our ability to develop and commercialize our products.</w:t>
      </w:r>
    </w:p>
    <w:p>
      <w:pPr>
        <w:spacing w:after="0" w:line="62"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Any future collaborations that we enter into may not be successful. The success of our collaboration arrangements will depend heavily on the efforts and activities of our collaborators. Collaborations are subject to numerous risks, which may include that:</w:t>
      </w:r>
    </w:p>
    <w:p>
      <w:pPr>
        <w:spacing w:after="0" w:line="62" w:lineRule="exact"/>
        <w:rPr>
          <w:sz w:val="20"/>
          <w:szCs w:val="20"/>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collaborations;</w:t>
      </w:r>
    </w:p>
    <w:p>
      <w:pPr>
        <w:spacing w:after="0" w:line="117" w:lineRule="exact"/>
        <w:rPr>
          <w:rFonts w:ascii="Arial" w:cs="Arial" w:eastAsia="Arial" w:hAnsi="Arial"/>
          <w:sz w:val="18"/>
          <w:szCs w:val="18"/>
          <w:color w:val="auto"/>
        </w:rPr>
      </w:pPr>
    </w:p>
    <w:p>
      <w:pPr>
        <w:jc w:val="both"/>
        <w:ind w:left="1020" w:right="400" w:hanging="503"/>
        <w:spacing w:after="0" w:line="311" w:lineRule="auto"/>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40" w:lineRule="exact"/>
        <w:rPr>
          <w:rFonts w:ascii="Arial" w:cs="Arial" w:eastAsia="Arial" w:hAnsi="Arial"/>
          <w:sz w:val="16"/>
          <w:szCs w:val="16"/>
          <w:color w:val="auto"/>
        </w:rPr>
      </w:pPr>
    </w:p>
    <w:p>
      <w:pPr>
        <w:ind w:left="1020" w:right="280" w:hanging="503"/>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tildacerfont and any future product candidates;</w:t>
      </w:r>
    </w:p>
    <w:p>
      <w:pPr>
        <w:spacing w:after="0" w:line="62" w:lineRule="exact"/>
        <w:rPr>
          <w:rFonts w:ascii="Arial" w:cs="Arial" w:eastAsia="Arial" w:hAnsi="Arial"/>
          <w:sz w:val="18"/>
          <w:szCs w:val="18"/>
          <w:color w:val="auto"/>
        </w:rPr>
      </w:pPr>
    </w:p>
    <w:p>
      <w:pPr>
        <w:ind w:left="1020" w:right="440" w:hanging="503"/>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17" w:lineRule="exact"/>
        <w:rPr>
          <w:rFonts w:ascii="Arial" w:cs="Arial" w:eastAsia="Arial" w:hAnsi="Arial"/>
          <w:sz w:val="18"/>
          <w:szCs w:val="18"/>
          <w:color w:val="auto"/>
        </w:rPr>
      </w:pPr>
    </w:p>
    <w:p>
      <w:pPr>
        <w:ind w:left="1020" w:right="700" w:hanging="503"/>
        <w:spacing w:after="0" w:line="263"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75" w:lineRule="exact"/>
        <w:rPr>
          <w:rFonts w:ascii="Arial" w:cs="Arial" w:eastAsia="Arial" w:hAnsi="Arial"/>
          <w:sz w:val="18"/>
          <w:szCs w:val="18"/>
          <w:color w:val="auto"/>
        </w:rPr>
      </w:pPr>
    </w:p>
    <w:p>
      <w:pPr>
        <w:ind w:left="1020" w:right="160" w:hanging="503"/>
        <w:spacing w:after="0" w:line="342" w:lineRule="auto"/>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spacing w:after="0" w:line="15" w:lineRule="exact"/>
        <w:rPr>
          <w:rFonts w:ascii="Arial" w:cs="Arial" w:eastAsia="Arial" w:hAnsi="Arial"/>
          <w:sz w:val="16"/>
          <w:szCs w:val="16"/>
          <w:color w:val="auto"/>
        </w:rPr>
      </w:pPr>
    </w:p>
    <w:p>
      <w:pPr>
        <w:ind w:left="1020" w:right="960" w:hanging="503"/>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current or future products;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left="1020" w:hanging="503"/>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develop or commercialize such intellectual property;</w:t>
      </w:r>
    </w:p>
    <w:p>
      <w:pPr>
        <w:spacing w:after="0" w:line="62" w:lineRule="exact"/>
        <w:rPr>
          <w:rFonts w:ascii="Arial" w:cs="Arial" w:eastAsia="Arial" w:hAnsi="Arial"/>
          <w:sz w:val="18"/>
          <w:szCs w:val="18"/>
          <w:color w:val="auto"/>
        </w:rPr>
      </w:pPr>
    </w:p>
    <w:p>
      <w:pPr>
        <w:ind w:left="1020" w:right="20" w:hanging="503"/>
        <w:spacing w:after="0" w:line="263"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not be able to obtain intellectual property rights in technologies or products resulting from the collaboration; under certain situations, the collaborators may provide us with an option to negotiate a license to such developed technologies or products, however, we may not be able to negotiate such license; and</w:t>
      </w:r>
    </w:p>
    <w:p>
      <w:pPr>
        <w:spacing w:after="0" w:line="7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liquid and orderly trading market for our common stock may not be sustained.*</w:t>
      </w:r>
    </w:p>
    <w:p>
      <w:pPr>
        <w:spacing w:after="0" w:line="117" w:lineRule="exact"/>
        <w:rPr>
          <w:sz w:val="20"/>
          <w:szCs w:val="20"/>
          <w:color w:val="auto"/>
        </w:rPr>
      </w:pPr>
    </w:p>
    <w:p>
      <w:pPr>
        <w:ind w:right="140" w:firstLine="509"/>
        <w:spacing w:after="0" w:line="275" w:lineRule="auto"/>
        <w:rPr>
          <w:sz w:val="20"/>
          <w:szCs w:val="20"/>
          <w:color w:val="auto"/>
        </w:rPr>
      </w:pPr>
      <w:r>
        <w:rPr>
          <w:rFonts w:ascii="Arial" w:cs="Arial" w:eastAsia="Arial" w:hAnsi="Arial"/>
          <w:sz w:val="17"/>
          <w:szCs w:val="17"/>
          <w:color w:val="auto"/>
        </w:rPr>
        <w:t>Prior to the closing of our initial public offering ("IPO") in October 2020, there was no public market for shares of our common stock. An active trading market for our shares may not be sustained. You may not be able to sell your shares quickly or at the market price if trading in shares of our common stock is not active. As a result of these and other factors, you may be unable to resell your shares of our common stock. Further, an inactive market may also impair our ability to raise capital by selling shares of our common stock and may impair our ability to enter into strategic partnerships or acquire companies or products by using our shares of common stock as consideration.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may be volatile, and you could lose all or part of your investment.*</w:t>
      </w:r>
    </w:p>
    <w:p>
      <w:pPr>
        <w:spacing w:after="0" w:line="117" w:lineRule="exact"/>
        <w:rPr>
          <w:sz w:val="20"/>
          <w:szCs w:val="20"/>
          <w:color w:val="auto"/>
        </w:rPr>
      </w:pPr>
    </w:p>
    <w:p>
      <w:pPr>
        <w:jc w:val="both"/>
        <w:ind w:right="160" w:firstLine="509"/>
        <w:spacing w:after="0" w:line="259" w:lineRule="auto"/>
        <w:rPr>
          <w:sz w:val="20"/>
          <w:szCs w:val="20"/>
          <w:color w:val="auto"/>
        </w:rPr>
      </w:pPr>
      <w:r>
        <w:rPr>
          <w:rFonts w:ascii="Arial" w:cs="Arial" w:eastAsia="Arial" w:hAnsi="Arial"/>
          <w:sz w:val="18"/>
          <w:szCs w:val="18"/>
          <w:color w:val="auto"/>
        </w:rPr>
        <w:t>The trading price of our common stock is likely to be highly volatile and could be subject to wide fluctuations in response to various factors, some of which are beyond our control, including limited trading volume. For example, the closing price of our common stock from January 1, 2023 to May 11, 2023 has ranged from a low of $1.15 to a high of $3.17. In addition to the factors discussed in this “Risk Factors” section and elsewhere in this Quarterly Report on Form 10-Q, these factors include:</w:t>
      </w:r>
    </w:p>
    <w:p>
      <w:pPr>
        <w:spacing w:after="0" w:line="79" w:lineRule="exact"/>
        <w:rPr>
          <w:sz w:val="20"/>
          <w:szCs w:val="20"/>
          <w:color w:val="auto"/>
        </w:rPr>
      </w:pPr>
    </w:p>
    <w:p>
      <w:pPr>
        <w:jc w:val="both"/>
        <w:ind w:left="1020" w:right="560" w:hanging="503"/>
        <w:spacing w:after="0" w:line="263"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commencement, enrollment or results of our ongoing and planned clinical trials of tildacerfont or any future clinical trials we may conduct of tildacerfont and any future product candidates, or changes in the development status of tildacerfont and any future product candidates;</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acceptance by the FDA and EMA of the clinical trial design of our planned and ongoing clinical trials of tildacerfont;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acceptance by the FDA and EMA of data from our two Phase 2b clinical trials or any future clinical trials we conduct;</w:t>
      </w:r>
    </w:p>
    <w:p>
      <w:pPr>
        <w:spacing w:after="0" w:line="117" w:lineRule="exact"/>
        <w:rPr>
          <w:rFonts w:ascii="Arial" w:cs="Arial" w:eastAsia="Arial" w:hAnsi="Arial"/>
          <w:sz w:val="18"/>
          <w:szCs w:val="18"/>
          <w:color w:val="auto"/>
        </w:rPr>
      </w:pPr>
    </w:p>
    <w:p>
      <w:pPr>
        <w:ind w:left="1020" w:right="60" w:hanging="503"/>
        <w:spacing w:after="0" w:line="263"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delay in our regulatory filings for tildacerfont and any future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adverse results or delays in clinical trials as a result of the COVID-19 pandemic, patient engagement, protocol amendments or otherwise;</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decision to initiate a clinical trial, not to initiate a clinical trial, or to terminate an existing clinical trial;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adverse regulatory decisions, including failure to receive regulatory approval for tildacerfont and any future product candidates;</w:t>
      </w:r>
    </w:p>
    <w:p>
      <w:pPr>
        <w:spacing w:after="0" w:line="117" w:lineRule="exact"/>
        <w:rPr>
          <w:rFonts w:ascii="Arial" w:cs="Arial" w:eastAsia="Arial" w:hAnsi="Arial"/>
          <w:sz w:val="18"/>
          <w:szCs w:val="18"/>
          <w:color w:val="auto"/>
        </w:rPr>
      </w:pPr>
    </w:p>
    <w:p>
      <w:pPr>
        <w:ind w:left="1020" w:right="720" w:hanging="503"/>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laws or regulations applicable to tildacerfont and any future product candidates, including but not limited to clinical trial requirements for approvals;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failure to obtain coverage and adequate reimbursement of tildacerfont and any future product candidates, if approved;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on the structure of healthcare payment systems;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adverse developments concerning our manufacturers;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inability to obtain adequate product supply for any approved drug product or inability to do so at acceptable prices;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inability to establish collaborations if needed;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failure to commercialize tildacerfont and any future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additions or departures of key scientific or executive management personnel;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tildacerfont and any future product candidates;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introduction of new products or services offered by us or our competitors, or the release or publication of clinical trial results from competing product candidates;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left="1020" w:hanging="503"/>
        <w:spacing w:after="0"/>
        <w:tabs>
          <w:tab w:leader="none" w:pos="10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announcements of significant acquisitions, strategic partnerships, joint ventures, or capital commitments by us or our competitors;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117" w:lineRule="exact"/>
        <w:rPr>
          <w:rFonts w:ascii="Arial" w:cs="Arial" w:eastAsia="Arial" w:hAnsi="Arial"/>
          <w:sz w:val="18"/>
          <w:szCs w:val="18"/>
          <w:color w:val="auto"/>
        </w:rPr>
      </w:pPr>
    </w:p>
    <w:p>
      <w:pPr>
        <w:ind w:left="1020" w:right="280" w:hanging="503"/>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size and growth, if any, of the markets for classic CAH in adult and pediatric patients and a subpopulation of females with PCOS, and other rare endocrine disorders that we may target;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anticipated variations in quarterly or annual operating results;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failure to meet the estimates and projections of the investment community or that we may otherwise provide to the public;</w:t>
      </w:r>
    </w:p>
    <w:p>
      <w:pPr>
        <w:spacing w:after="0" w:line="117" w:lineRule="exact"/>
        <w:rPr>
          <w:rFonts w:ascii="Arial" w:cs="Arial" w:eastAsia="Arial" w:hAnsi="Arial"/>
          <w:sz w:val="18"/>
          <w:szCs w:val="18"/>
          <w:color w:val="auto"/>
        </w:rPr>
      </w:pPr>
    </w:p>
    <w:p>
      <w:pPr>
        <w:ind w:left="1020" w:right="420" w:hanging="503"/>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publication of research reports about us or our industry or positive or negative recommendations or withdrawal of research coverage by securities analysts;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issuances of debt or equity securities;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accounting practices;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ineffectiveness of our internal controls;</w:t>
      </w:r>
    </w:p>
    <w:p>
      <w:pPr>
        <w:spacing w:after="0" w:line="117" w:lineRule="exact"/>
        <w:rPr>
          <w:rFonts w:ascii="Arial" w:cs="Arial" w:eastAsia="Arial" w:hAnsi="Arial"/>
          <w:sz w:val="18"/>
          <w:szCs w:val="18"/>
          <w:color w:val="auto"/>
        </w:rPr>
      </w:pPr>
    </w:p>
    <w:p>
      <w:pPr>
        <w:ind w:left="1020" w:right="140" w:hanging="503"/>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17"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geopolitical and macroeconomic conditions, including the COVID-19 pandemic, the military conflict in Ukraine and Russia, and recent and potential future disruptions in access to bank deposits or lending commitments due to bank failures;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117"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In addition, the stock market in general,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operating results or financial condition.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17"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pursuant to the Loan Agreement, we are prohibited from paying cash dividends without the prior written consent of Silicon Valley Bank, and future debt instruments may materially restrict our ability to pay dividends on our common stock. Any return to stockholders would therefore be limited to the appreciation, if any, of their stock.</w:t>
      </w:r>
    </w:p>
    <w:p>
      <w:pPr>
        <w:spacing w:after="0" w:line="8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are able to exert significant control over matters subject to stockholder approval.</w:t>
      </w:r>
    </w:p>
    <w:p>
      <w:pPr>
        <w:spacing w:after="0" w:line="62" w:lineRule="exact"/>
        <w:rPr>
          <w:sz w:val="20"/>
          <w:szCs w:val="20"/>
          <w:color w:val="auto"/>
        </w:rPr>
      </w:pPr>
    </w:p>
    <w:p>
      <w:pPr>
        <w:ind w:right="160" w:firstLine="509"/>
        <w:spacing w:after="0" w:line="255" w:lineRule="auto"/>
        <w:rPr>
          <w:sz w:val="20"/>
          <w:szCs w:val="20"/>
          <w:color w:val="auto"/>
        </w:rPr>
      </w:pPr>
      <w:r>
        <w:rPr>
          <w:rFonts w:ascii="Arial" w:cs="Arial" w:eastAsia="Arial" w:hAnsi="Arial"/>
          <w:sz w:val="18"/>
          <w:szCs w:val="18"/>
          <w:color w:val="auto"/>
        </w:rPr>
        <w:t>Our executive officers and directors, combined with our stockholders who own more than 5% of our outstanding capital stock, beneficially own shares representing a significant percentage of our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reporting requirements applicable to emerging growth companies and smaller reporting companies may make our common stock less attractive to investors.*</w:t>
      </w:r>
    </w:p>
    <w:p>
      <w:pPr>
        <w:spacing w:after="0" w:line="62" w:lineRule="exact"/>
        <w:rPr>
          <w:sz w:val="20"/>
          <w:szCs w:val="20"/>
          <w:color w:val="auto"/>
        </w:rPr>
      </w:pPr>
    </w:p>
    <w:p>
      <w:pPr>
        <w:ind w:right="20" w:firstLine="509"/>
        <w:spacing w:after="0" w:line="289" w:lineRule="auto"/>
        <w:rPr>
          <w:sz w:val="20"/>
          <w:szCs w:val="20"/>
          <w:color w:val="auto"/>
        </w:rPr>
      </w:pPr>
      <w:r>
        <w:rPr>
          <w:rFonts w:ascii="Arial" w:cs="Arial" w:eastAsia="Arial" w:hAnsi="Arial"/>
          <w:sz w:val="16"/>
          <w:szCs w:val="16"/>
          <w:color w:val="auto"/>
        </w:rPr>
        <w:t>We are an “emerging growth company” as defined in the JOBS Act. For as long as we continue to be an emerging growth company, we may take advantage of certain exemptions from various public company reporting requirements, including being permitted to provide only two years of audited financial statements, in addition to any required financial statements with correspondingly reduced “Management’s Discussion and Analysis of Financial Condition and Results of Operations” disclosure in this Quarterly Report on Form 10-Q,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exemptions until December 31, 2025, or until we are no longer an emerging growth company, whichever is earlier. We will cease to be an emerging growth company prior to the end of such five-year period if certain earlier events occur, including if we become a “large accelerated filer” as defined in Rule 12b-2 under the Exchange Act, our annual gross revenues exceed $1.235 billion or we issue more than $1.0 billion of non-convertible debt in any three-year period.</w:t>
      </w:r>
    </w:p>
    <w:p>
      <w:pPr>
        <w:spacing w:after="0" w:line="58" w:lineRule="exact"/>
        <w:rPr>
          <w:sz w:val="20"/>
          <w:szCs w:val="20"/>
          <w:color w:val="auto"/>
        </w:rPr>
      </w:pPr>
    </w:p>
    <w:p>
      <w:pPr>
        <w:jc w:val="both"/>
        <w:ind w:right="180" w:firstLine="509"/>
        <w:spacing w:after="0" w:line="311" w:lineRule="auto"/>
        <w:rPr>
          <w:sz w:val="20"/>
          <w:szCs w:val="20"/>
          <w:color w:val="auto"/>
        </w:rPr>
      </w:pPr>
      <w:r>
        <w:rPr>
          <w:rFonts w:ascii="Arial" w:cs="Arial" w:eastAsia="Arial" w:hAnsi="Arial"/>
          <w:sz w:val="16"/>
          <w:szCs w:val="16"/>
          <w:color w:val="auto"/>
        </w:rPr>
        <w:t>Under the JOBS Act, emerging growth companies can also delay adopting new or revised accounting standards until such time as those standards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w:t>
      </w:r>
    </w:p>
    <w:p>
      <w:pPr>
        <w:spacing w:after="0" w:line="41"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We are also a “smaller reporting company” as defined in the Exchange Act. We may continue to be a smaller reporting company even after we are no longer an emerging growth company, which would allow us to take advantage of many of the same exemptions available to emerging growth companies, including not being required to comply with the auditor attestation requirements of Section 404 of the Sarbanes-Oxley Act of 2002 ("Sarbanes-Oxley Act"), and reduced disclosure obligations regarding executive compensation. We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Investors may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identify material weaknesses in the future or otherwise fail to maintain proper and effective internal controls, which may impair our ability to produce accurate financial statements on a timely basis.*</w:t>
      </w:r>
    </w:p>
    <w:p>
      <w:pPr>
        <w:spacing w:after="0" w:line="62"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This material weakness could result in a misstatement of account balances or disclosures that would result in a material misstatement to the annual or interim financial statements that would not be prevented or detected. To address our material weakness, we added a chief financial officer and controller, and we implemented new processes and controls, formalized documentation of policies and procedures, and recruited additional accounting personnel. We have fully remediated the material weakness as of the filing date of our Annual Report for the fiscal year ending December 31, 2020. Completion of remediation does not provide assurance that our remediation or other controls will continue operating effectively. Remediation costs consisted primarily of additional personnel expenses, which did not have a material impact to our financial statements.</w:t>
      </w:r>
    </w:p>
    <w:p>
      <w:pPr>
        <w:spacing w:after="0" w:line="70"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We are subject to the reporting requirements of the Exchange Act, the Sarbanes-Oxley Act, and the rules and regulations of Nasdaq. The Sarbanes-Oxley Act requires, among other things, that we maintain effective disclosure controls and procedures and internal controls over financial reporting. We must perform system and process evaluation and testing of our internal controls over financial reporting to allow management to report on the effectiveness of our internal controls over financial reporting in this Quarterly Report on Form 10-Q, as required by Section 404 of the Sarbanes-Oxley Act. This will require that we incur substantial additional professional fees and internal costs to expand our accounting and finance functions and that we expend significant management efforts. Prior to our IPO, we have never been required to test our internal controls within a specified period, and, as a result, we may experience difficulty in meeting these reporting requirements in a timely manner.</w:t>
      </w:r>
    </w:p>
    <w:p>
      <w:pPr>
        <w:spacing w:after="0" w:line="69"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80"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that were to happen, the market price of our stock could decline and we could be subject to sanctions or investigations by Nasdaq, the SEC or other regulatory authorities.</w:t>
      </w:r>
    </w:p>
    <w:p>
      <w:pPr>
        <w:spacing w:after="0" w:line="62"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The measures we have taken to date, and actions we may take in the future, may not be sufficient to remediate the control deficiencies that led to our material weakness in our internal control over financial reporting or to prevent or avoid potential future material weaknesses. We may not have identified all material weaknesses. Moreover, 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 which could cause the price of our common stock to decline. In addition, if we are not able to continue to meet these requirements, we may not be able to remain listed on Nasdaq.</w:t>
      </w:r>
    </w:p>
    <w:p>
      <w:pPr>
        <w:spacing w:after="0" w:line="5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significant increased costs as a result of operating as a public company, and our management will be required to devote substantial time to new compliance initiatives.*</w:t>
      </w:r>
    </w:p>
    <w:p>
      <w:pPr>
        <w:spacing w:after="0" w:line="62"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As a public company, we have incurred and will continue to incur significant legal, accounting, and other expenses that we did not incur as a private company. We are subject to the reporting requirements of the Exchange Act, which require,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("Dodd-Frank Act") was enacted. There are significant corporate governance and executive compensation related provisions in the Dodd-Frank Act that require the SEC to adopt additional rules and regulations in these areas such as “say on pay” and proxy access. Emerging growth companies and smaller reporting companies are exempted from certain of these requirements, but we may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71"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We expect the rules and regulations applicable to public companies to continue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March 31, 2023, there were 39,746,116 shares of our common stock outstanding.</w:t>
      </w:r>
    </w:p>
    <w:p>
      <w:pPr>
        <w:spacing w:after="0" w:line="76"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In addition, shares of common stock that are either subject to outstanding options or reserved for future issuance under our employee benefit plans will become eligible for sale in the public market to the extent permitted by the provisions of various vesting schedules, Rule 144 and Rule 701 under the Securities Act of 1933, as amended ("Securities Act"). If these additional shares of common stock are sold, or if it is perceived that they will be sold, in the public market, the trading price of our common stock could decline.</w:t>
      </w:r>
    </w:p>
    <w:p>
      <w:pPr>
        <w:spacing w:after="0" w:line="79"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In February 2023, we entered into a securities purchase agreement with several institutional and accredited investors, including holders of more than 5% of our total common stock outstanding on the date of the securities purchase agreement, pursuant to which we issued and sold 16,116,000 shares of common stock, pre-funded warrants to purchase 800,000 shares of common stock, and warrants to purchase 12,687,000 shares of common stock. Pursuant to the securities purchase agreement, we are obligated to register for resale such securities. If these additional shares of common stock, and the shares of common stock issuable pursuant to such pre-funded warrants and warrants, are resold, or if it is perceived that they will be resold, in the public market, the trading price of our common stock could decline.</w:t>
      </w:r>
    </w:p>
    <w:p>
      <w:pPr>
        <w:spacing w:after="0" w:line="84"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Further, certain holders of shares of our common stock are entitled to rights with respect to the registration of their shares under the Securities Act. Registration of these shares under the Securities Act would result in the shares becoming freely tradable without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restriction under the Securities Act, except for shares held by affiliates, as defined in Rule 144 under the Securities Act. Any sales of securities by these stockholders could have a material adverse effect on the trading price of our common stock.</w:t>
      </w:r>
    </w:p>
    <w:p>
      <w:pPr>
        <w:spacing w:after="0" w:line="62"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purchase common stock, including pursuant to the Shelf Registration, Sales Agreement and our equity incentive plans, could result in additional dilution of the percentage ownership of our stockholders and could cause our stock price to fall.*</w:t>
      </w:r>
    </w:p>
    <w:p>
      <w:pPr>
        <w:spacing w:after="0" w:line="76" w:lineRule="exact"/>
        <w:rPr>
          <w:sz w:val="20"/>
          <w:szCs w:val="20"/>
          <w:color w:val="auto"/>
        </w:rPr>
      </w:pPr>
    </w:p>
    <w:p>
      <w:pPr>
        <w:ind w:right="40" w:firstLine="509"/>
        <w:spacing w:after="0" w:line="286" w:lineRule="auto"/>
        <w:rPr>
          <w:sz w:val="20"/>
          <w:szCs w:val="20"/>
          <w:color w:val="auto"/>
        </w:rPr>
      </w:pPr>
      <w:r>
        <w:rPr>
          <w:rFonts w:ascii="Arial" w:cs="Arial" w:eastAsia="Arial" w:hAnsi="Arial"/>
          <w:sz w:val="16"/>
          <w:szCs w:val="16"/>
          <w:color w:val="auto"/>
        </w:rPr>
        <w:t>We expect that we will need significant additional capital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including through the registration statement on Form S-3, as amended, declared effective in February 2022, covering the sale of up to $200.0 million of our</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securities (the "Shelf Registration"). For example, in February 2022, we entered into an Open Market Sales Agreement</w:t>
      </w:r>
      <w:r>
        <w:rPr>
          <w:rFonts w:ascii="Arial" w:cs="Arial" w:eastAsia="Arial" w:hAnsi="Arial"/>
          <w:sz w:val="23"/>
          <w:szCs w:val="23"/>
          <w:color w:val="auto"/>
          <w:vertAlign w:val="superscript"/>
        </w:rPr>
        <w:t>SM</w:t>
      </w:r>
      <w:r>
        <w:rPr>
          <w:rFonts w:ascii="Arial" w:cs="Arial" w:eastAsia="Arial" w:hAnsi="Arial"/>
          <w:sz w:val="17"/>
          <w:szCs w:val="17"/>
          <w:color w:val="auto"/>
        </w:rPr>
        <w:t xml:space="preserve"> (the "Sales Agreement") with Jefferies, LLC ("Jefferies"), pursuant to which we may elect to issue and sell, from time to time, shares of common stock having an aggregate offering price of up to $21.0 million under the Shelf Registration through Jefferies acting as the sales agent and/or principal. As of March 31, 2023, we have not issued any shares of common stock pursuant to the Sales Agreement. In addition, in February 2023, we entered into a securities purchase agreement with several institutional and accredited investors, including holders of more than 5% of our total common stock outstanding on the date of the securities purchase agreement, pursuant to which we issued and sold 16,116,000 shares of common stock, pre-funded warrants to purchase 800,000 shares of common stock, and warrants to purchase 12,687,000 shares of common stock. If these additional shares of common stock, and the shares of common stock issuable pursuant to such pre-funded warrants and warrants, are resold, or if it is perceived that they will be resold, in the public market, the trading price of our common stock could decline. If we sell additional shares of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w:t>
      </w:r>
    </w:p>
    <w:p>
      <w:pPr>
        <w:spacing w:after="0" w:line="79" w:lineRule="exact"/>
        <w:rPr>
          <w:sz w:val="20"/>
          <w:szCs w:val="20"/>
          <w:color w:val="auto"/>
        </w:rPr>
      </w:pPr>
    </w:p>
    <w:p>
      <w:pPr>
        <w:ind w:right="20" w:firstLine="509"/>
        <w:spacing w:after="0" w:line="289" w:lineRule="auto"/>
        <w:rPr>
          <w:sz w:val="20"/>
          <w:szCs w:val="20"/>
          <w:color w:val="auto"/>
        </w:rPr>
      </w:pPr>
      <w:r>
        <w:rPr>
          <w:rFonts w:ascii="Arial" w:cs="Arial" w:eastAsia="Arial" w:hAnsi="Arial"/>
          <w:sz w:val="16"/>
          <w:szCs w:val="16"/>
          <w:color w:val="auto"/>
        </w:rPr>
        <w:t>Pursuant to our 2020 Plan, our management is authorized to grant stock options and other stock awards to our employees, directors and consultants. Additionally, the number of shares of our common stock reserved for issuance under our 2020 Plan will automatically increase on January 1 of each year continuing through and including January 1, 2030, by 5% of the total number of shares of our capital stock outstanding on December 31 of the preceding calendar year, or a lesser number of shares determined by our board of directors. In addition, pursuant to our 2020 Employee Stock Purchase Plan ("ESPP"), the number of shares of our common stock reserved for issuance will automatically increase on January 1 of each calendar year continuing through January 1, 2030, by the lesser of (i) 1% of the total number of shares of our common stock outstanding on the last day of the calendar month before the date of the automatic increase, and (ii) 441,280 shares; provided that before the date of any such increase, our board of directors may determine that such increase will be less than the amount set forth in clauses (i) and (ii). Unless our board of directors elects not to increase the number of shares available for future grant each year, our stockholders may experience additional dilution, which could cause our stock price to fall.</w:t>
      </w:r>
    </w:p>
    <w:p>
      <w:pPr>
        <w:spacing w:after="0" w:line="58"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16" w:lineRule="exact"/>
        <w:rPr>
          <w:sz w:val="20"/>
          <w:szCs w:val="20"/>
          <w:color w:val="auto"/>
        </w:rPr>
      </w:pPr>
    </w:p>
    <w:p>
      <w:pPr>
        <w:ind w:right="180" w:firstLine="509"/>
        <w:spacing w:after="0" w:line="342"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16" w:lineRule="exact"/>
        <w:rPr>
          <w:sz w:val="20"/>
          <w:szCs w:val="20"/>
          <w:color w:val="auto"/>
        </w:rPr>
      </w:pPr>
    </w:p>
    <w:p>
      <w:pPr>
        <w:ind w:left="1020" w:right="300" w:hanging="503"/>
        <w:spacing w:after="0" w:line="277"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62" w:lineRule="exact"/>
        <w:rPr>
          <w:rFonts w:ascii="Arial" w:cs="Arial" w:eastAsia="Arial" w:hAnsi="Arial"/>
          <w:sz w:val="18"/>
          <w:szCs w:val="18"/>
          <w:color w:val="auto"/>
        </w:rPr>
      </w:pPr>
    </w:p>
    <w:p>
      <w:pPr>
        <w:ind w:left="1020" w:right="760" w:hanging="503"/>
        <w:spacing w:after="0" w:line="277"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 which requires that all stockholder actions be taken at a meeting of our stockholders;</w:t>
      </w:r>
    </w:p>
    <w:p>
      <w:pPr>
        <w:spacing w:after="0" w:line="62" w:lineRule="exact"/>
        <w:rPr>
          <w:rFonts w:ascii="Arial" w:cs="Arial" w:eastAsia="Arial" w:hAnsi="Arial"/>
          <w:sz w:val="18"/>
          <w:szCs w:val="18"/>
          <w:color w:val="auto"/>
        </w:rPr>
      </w:pPr>
    </w:p>
    <w:p>
      <w:pPr>
        <w:ind w:left="1020" w:right="200" w:hanging="503"/>
        <w:spacing w:after="0" w:line="277"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be called only by the chairman of the board of directors, the chief executive officer, the president, or by a majority of the total number of authorized directors;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for election to our board of directors;</w:t>
      </w:r>
    </w:p>
    <w:p>
      <w:pPr>
        <w:spacing w:after="0" w:line="117" w:lineRule="exact"/>
        <w:rPr>
          <w:rFonts w:ascii="Arial" w:cs="Arial" w:eastAsia="Arial" w:hAnsi="Arial"/>
          <w:sz w:val="18"/>
          <w:szCs w:val="18"/>
          <w:color w:val="auto"/>
        </w:rPr>
      </w:pPr>
    </w:p>
    <w:p>
      <w:pPr>
        <w:ind w:left="1020" w:right="20" w:hanging="503"/>
        <w:spacing w:after="0" w:line="263"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75"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requirement of approval of not less than two-thirds of all outstanding shares of our voting stock to amend any bylaws by stockholder action or to amend specific provisions of our certificate of incorporation;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left="1020" w:hanging="503"/>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62"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5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and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ind w:right="40" w:firstLine="509"/>
        <w:spacing w:after="0" w:line="284"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the Court of Chancery of the State of Delaware (and any appellate court therefrom) is the sole and exclusive forum for the following types of actions or proceedings under Delaware statutory or common law: (i) any derivative claim or cause of action brought on our behalf; (ii) any claim or cause of action for breach of a fiduciary duty owed by any of our current or former directors, officers, or other employees to us or our stockholders; (iii) any claim or cause of action against us or any of our current or former directors, officers, or other employees, arising out of or pursuant to any provision of the Delaware General Corporation Law, our amended and restated certificate of incorporation or our amended and restated bylaws; (iv) any claim or cause of action seeking to interpret, apply, enforce, or determine the validity of our amended and restated certificate of incorporation or our amended and restated bylaws (in each case as may be amended from time to time); (v) any claim or cause of action as to which the Delaware General Corporation Law confers jurisdiction to the Court of Chancery of the State of Delaware; and (vi) any claim or cause of action against us or any of our current or former directors, officers, or other employees governed by the internal affairs doctrine, in all cases to the fullest extent permitted by law and subject to the court’s having personal jurisdiction over the indispensable parties named as defendants. These provisions would not apply to claims or causes of action brought to enforce a duty or liability created by the Securities Act and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and our amended and restated bylaws further provide that, to the fullest extent permitted by law, the federal district courts of the United States of America is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and our amended and restated bylaws. This may require significant additional costs associated with resolving such action in other jurisdictions and the provisions may not be enforced by a court in those other jurisdictions.</w:t>
      </w:r>
    </w:p>
    <w:p>
      <w:pPr>
        <w:spacing w:after="0" w:line="74" w:lineRule="exact"/>
        <w:rPr>
          <w:sz w:val="20"/>
          <w:szCs w:val="20"/>
          <w:color w:val="auto"/>
        </w:rPr>
      </w:pPr>
    </w:p>
    <w:p>
      <w:pPr>
        <w:ind w:right="100" w:firstLine="509"/>
        <w:spacing w:after="0" w:line="273" w:lineRule="auto"/>
        <w:rPr>
          <w:sz w:val="20"/>
          <w:szCs w:val="20"/>
          <w:color w:val="auto"/>
        </w:rPr>
      </w:pPr>
      <w:r>
        <w:rPr>
          <w:rFonts w:ascii="Arial" w:cs="Arial" w:eastAsia="Arial" w:hAnsi="Arial"/>
          <w:sz w:val="17"/>
          <w:szCs w:val="17"/>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either exclusive forum provision contained in our amended and restated certificate of incorporation or amended and restated bylaws to be inapplicable or unenforceable in an action, we may incur further significant additional costs associated with resolving such action in other jurisdictions, all of which could seriously harm our business.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meet Nasdaq’s continued listing requirements could result in a delisting of our common stock.</w:t>
      </w:r>
    </w:p>
    <w:p>
      <w:pPr>
        <w:spacing w:after="0" w:line="117"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2"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revenues and financial condition and increase our costs and expenses.</w:t>
      </w:r>
    </w:p>
    <w:p>
      <w:pPr>
        <w:spacing w:after="0" w:line="117"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Our operations, and those of our CROs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tildacerfont. Our ability to obtain clinical supplies of tildacerfont and any future product candidates could be disrupted if the operations of these suppliers are affected by a man-made or natural disaster or other business interruption. Our corporate headquarters is located in California near major earthquake faults and fire zones. The ultimate impact on us, our suppliers and our general infrastructure of being located near major earthquake faults and fire zones and being consolidated in certain geographical areas is unknown, but our operations and financial condition could suffer in the event of a major earthquake, fire or other natural disaster.</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7" w:lineRule="exact"/>
        <w:rPr>
          <w:sz w:val="20"/>
          <w:szCs w:val="20"/>
          <w:color w:val="auto"/>
        </w:rPr>
      </w:pPr>
    </w:p>
    <w:p>
      <w:pPr>
        <w:jc w:val="both"/>
        <w:ind w:right="140" w:firstLine="509"/>
        <w:spacing w:after="0" w:line="311" w:lineRule="auto"/>
        <w:rPr>
          <w:sz w:val="20"/>
          <w:szCs w:val="20"/>
          <w:color w:val="auto"/>
        </w:rPr>
      </w:pPr>
      <w:r>
        <w:rPr>
          <w:rFonts w:ascii="Arial" w:cs="Arial" w:eastAsia="Arial" w:hAnsi="Arial"/>
          <w:sz w:val="16"/>
          <w:szCs w:val="16"/>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Restrictions and Limitations Upon the Payment of Dividends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Pursuant to the Loan Agreement, we are prohibited from paying cash dividends without the prior written consent of Silicon Valley Bank.</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60"/>
          </w:cols>
          <w:pgMar w:left="320" w:top="121" w:right="121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700" w:type="dxa"/>
            <w:vAlign w:val="bottom"/>
            <w:gridSpan w:val="16"/>
            <w:vMerge w:val="restart"/>
          </w:tcPr>
          <w:p>
            <w:pPr>
              <w:ind w:left="840"/>
              <w:spacing w:after="0"/>
              <w:rPr>
                <w:sz w:val="20"/>
                <w:szCs w:val="20"/>
                <w:color w:val="auto"/>
              </w:rPr>
            </w:pPr>
            <w:r>
              <w:rPr>
                <w:rFonts w:ascii="Arial" w:cs="Arial" w:eastAsia="Arial" w:hAnsi="Arial"/>
                <w:sz w:val="14"/>
                <w:szCs w:val="14"/>
                <w:b w:val="1"/>
                <w:bCs w:val="1"/>
                <w:color w:val="auto"/>
              </w:rPr>
              <w:t>Description</w:t>
            </w:r>
          </w:p>
        </w:tc>
        <w:tc>
          <w:tcPr>
            <w:tcW w:w="1040" w:type="dxa"/>
            <w:vAlign w:val="bottom"/>
            <w:vMerge w:val="restart"/>
          </w:tcPr>
          <w:p>
            <w:pPr>
              <w:jc w:val="center"/>
              <w:ind w:left="32"/>
              <w:spacing w:after="0"/>
              <w:rPr>
                <w:sz w:val="20"/>
                <w:szCs w:val="20"/>
                <w:color w:val="auto"/>
              </w:rPr>
            </w:pPr>
            <w:r>
              <w:rPr>
                <w:rFonts w:ascii="Arial" w:cs="Arial" w:eastAsia="Arial" w:hAnsi="Arial"/>
                <w:sz w:val="14"/>
                <w:szCs w:val="14"/>
                <w:b w:val="1"/>
                <w:bCs w:val="1"/>
                <w:color w:val="auto"/>
              </w:rPr>
              <w:t>Form</w:t>
            </w:r>
          </w:p>
        </w:tc>
        <w:tc>
          <w:tcPr>
            <w:tcW w:w="136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File No.</w:t>
            </w:r>
          </w:p>
        </w:tc>
        <w:tc>
          <w:tcPr>
            <w:tcW w:w="9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Exhibit</w:t>
            </w: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85"/>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4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16"/>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95"/>
              </w:rPr>
              <w:t>3.1</w:t>
            </w:r>
          </w:p>
        </w:tc>
        <w:tc>
          <w:tcPr>
            <w:tcW w:w="140" w:type="dxa"/>
            <w:vAlign w:val="bottom"/>
          </w:tcPr>
          <w:p>
            <w:pPr>
              <w:spacing w:after="0"/>
              <w:rPr>
                <w:sz w:val="15"/>
                <w:szCs w:val="15"/>
                <w:color w:val="auto"/>
              </w:rPr>
            </w:pPr>
          </w:p>
        </w:tc>
        <w:tc>
          <w:tcPr>
            <w:tcW w:w="3700" w:type="dxa"/>
            <w:vAlign w:val="bottom"/>
            <w:tcBorders>
              <w:bottom w:val="single" w:sz="8" w:color="0000FF"/>
            </w:tcBorders>
            <w:gridSpan w:val="8"/>
          </w:tcPr>
          <w:p>
            <w:pPr>
              <w:spacing w:after="0" w:line="182" w:lineRule="exact"/>
              <w:rPr>
                <w:rFonts w:ascii="Arial" w:cs="Arial" w:eastAsia="Arial" w:hAnsi="Arial"/>
                <w:sz w:val="18"/>
                <w:szCs w:val="18"/>
                <w:color w:val="0000FF"/>
                <w:w w:val="90"/>
              </w:rPr>
            </w:pPr>
            <w:hyperlink r:id="rId284">
              <w:r>
                <w:rPr>
                  <w:rFonts w:ascii="Arial" w:cs="Arial" w:eastAsia="Arial" w:hAnsi="Arial"/>
                  <w:sz w:val="18"/>
                  <w:szCs w:val="18"/>
                  <w:color w:val="0000FF"/>
                  <w:w w:val="90"/>
                </w:rPr>
                <w:t>Amended and Restated Certificate of Incorporation</w:t>
              </w:r>
            </w:hyperlink>
          </w:p>
        </w:tc>
        <w:tc>
          <w:tcPr>
            <w:tcW w:w="1340" w:type="dxa"/>
            <w:vAlign w:val="bottom"/>
            <w:gridSpan w:val="11"/>
          </w:tcPr>
          <w:p>
            <w:pPr>
              <w:spacing w:after="0"/>
              <w:rPr>
                <w:sz w:val="15"/>
                <w:szCs w:val="15"/>
                <w:color w:val="auto"/>
              </w:rPr>
            </w:pPr>
          </w:p>
        </w:tc>
        <w:tc>
          <w:tcPr>
            <w:tcW w:w="1040" w:type="dxa"/>
            <w:vAlign w:val="bottom"/>
          </w:tcPr>
          <w:p>
            <w:pPr>
              <w:jc w:val="center"/>
              <w:ind w:left="32"/>
              <w:spacing w:after="0" w:line="182" w:lineRule="exact"/>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line="182" w:lineRule="exact"/>
              <w:rPr>
                <w:sz w:val="20"/>
                <w:szCs w:val="20"/>
                <w:color w:val="auto"/>
              </w:rPr>
            </w:pPr>
            <w:r>
              <w:rPr>
                <w:rFonts w:ascii="Arial" w:cs="Arial" w:eastAsia="Arial" w:hAnsi="Arial"/>
                <w:sz w:val="18"/>
                <w:szCs w:val="18"/>
                <w:color w:val="auto"/>
                <w:w w:val="90"/>
              </w:rPr>
              <w:t>001-39594</w:t>
            </w:r>
          </w:p>
        </w:tc>
        <w:tc>
          <w:tcPr>
            <w:tcW w:w="960" w:type="dxa"/>
            <w:vAlign w:val="bottom"/>
          </w:tcPr>
          <w:p>
            <w:pPr>
              <w:jc w:val="center"/>
              <w:spacing w:after="0" w:line="182" w:lineRule="exact"/>
              <w:rPr>
                <w:sz w:val="20"/>
                <w:szCs w:val="20"/>
                <w:color w:val="auto"/>
              </w:rPr>
            </w:pPr>
            <w:r>
              <w:rPr>
                <w:rFonts w:ascii="Arial" w:cs="Arial" w:eastAsia="Arial" w:hAnsi="Arial"/>
                <w:sz w:val="18"/>
                <w:szCs w:val="18"/>
                <w:color w:val="auto"/>
                <w:w w:val="87"/>
              </w:rPr>
              <w:t>3.1</w:t>
            </w:r>
          </w:p>
        </w:tc>
        <w:tc>
          <w:tcPr>
            <w:tcW w:w="1780" w:type="dxa"/>
            <w:vAlign w:val="bottom"/>
          </w:tcPr>
          <w:p>
            <w:pPr>
              <w:jc w:val="center"/>
              <w:spacing w:after="0" w:line="182" w:lineRule="exact"/>
              <w:rPr>
                <w:sz w:val="20"/>
                <w:szCs w:val="20"/>
                <w:color w:val="auto"/>
              </w:rPr>
            </w:pPr>
            <w:r>
              <w:rPr>
                <w:rFonts w:ascii="Arial" w:cs="Arial" w:eastAsia="Arial" w:hAnsi="Arial"/>
                <w:sz w:val="18"/>
                <w:szCs w:val="18"/>
                <w:color w:val="auto"/>
                <w:w w:val="90"/>
              </w:rPr>
              <w:t>October 14, 2020</w:t>
            </w:r>
          </w:p>
        </w:tc>
        <w:tc>
          <w:tcPr>
            <w:tcW w:w="0" w:type="dxa"/>
            <w:vAlign w:val="bottom"/>
          </w:tcPr>
          <w:p>
            <w:pPr>
              <w:spacing w:after="0"/>
              <w:rPr>
                <w:sz w:val="1"/>
                <w:szCs w:val="1"/>
                <w:color w:val="auto"/>
              </w:rPr>
            </w:pPr>
          </w:p>
        </w:tc>
      </w:tr>
      <w:tr>
        <w:trPr>
          <w:trHeight w:val="291"/>
        </w:trPr>
        <w:tc>
          <w:tcPr>
            <w:tcW w:w="92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40" w:type="dxa"/>
            <w:vAlign w:val="bottom"/>
          </w:tcPr>
          <w:p>
            <w:pPr>
              <w:spacing w:after="0"/>
              <w:rPr>
                <w:sz w:val="24"/>
                <w:szCs w:val="24"/>
                <w:color w:val="auto"/>
              </w:rPr>
            </w:pPr>
          </w:p>
        </w:tc>
        <w:tc>
          <w:tcPr>
            <w:tcW w:w="2300" w:type="dxa"/>
            <w:vAlign w:val="bottom"/>
            <w:tcBorders>
              <w:bottom w:val="single" w:sz="8" w:color="0000EE"/>
            </w:tcBorders>
            <w:gridSpan w:val="4"/>
          </w:tcPr>
          <w:p>
            <w:pPr>
              <w:spacing w:after="0"/>
              <w:rPr>
                <w:rFonts w:ascii="Arial" w:cs="Arial" w:eastAsia="Arial" w:hAnsi="Arial"/>
                <w:sz w:val="18"/>
                <w:szCs w:val="18"/>
                <w:color w:val="0000FF"/>
                <w:w w:val="90"/>
              </w:rPr>
            </w:pPr>
            <w:hyperlink r:id="rId285">
              <w:r>
                <w:rPr>
                  <w:rFonts w:ascii="Arial" w:cs="Arial" w:eastAsia="Arial" w:hAnsi="Arial"/>
                  <w:sz w:val="18"/>
                  <w:szCs w:val="18"/>
                  <w:color w:val="0000FF"/>
                  <w:w w:val="90"/>
                </w:rPr>
                <w:t>Amended and Restated Bylaws</w:t>
              </w:r>
            </w:hyperlink>
          </w:p>
        </w:tc>
        <w:tc>
          <w:tcPr>
            <w:tcW w:w="2740" w:type="dxa"/>
            <w:vAlign w:val="bottom"/>
            <w:gridSpan w:val="15"/>
          </w:tcPr>
          <w:p>
            <w:pPr>
              <w:spacing w:after="0"/>
              <w:rPr>
                <w:sz w:val="24"/>
                <w:szCs w:val="24"/>
                <w:color w:val="auto"/>
              </w:rPr>
            </w:pPr>
          </w:p>
        </w:tc>
        <w:tc>
          <w:tcPr>
            <w:tcW w:w="1040" w:type="dxa"/>
            <w:vAlign w:val="bottom"/>
          </w:tcPr>
          <w:p>
            <w:pPr>
              <w:jc w:val="center"/>
              <w:ind w:left="32"/>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001-39594</w:t>
            </w: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October 14, 2020</w:t>
            </w:r>
          </w:p>
        </w:tc>
        <w:tc>
          <w:tcPr>
            <w:tcW w:w="0" w:type="dxa"/>
            <w:vAlign w:val="bottom"/>
          </w:tcPr>
          <w:p>
            <w:pPr>
              <w:spacing w:after="0"/>
              <w:rPr>
                <w:sz w:val="1"/>
                <w:szCs w:val="1"/>
                <w:color w:val="auto"/>
              </w:rPr>
            </w:pPr>
          </w:p>
        </w:tc>
      </w:tr>
      <w:tr>
        <w:trPr>
          <w:trHeight w:val="291"/>
        </w:trPr>
        <w:tc>
          <w:tcPr>
            <w:tcW w:w="92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40" w:type="dxa"/>
            <w:vAlign w:val="bottom"/>
          </w:tcPr>
          <w:p>
            <w:pPr>
              <w:spacing w:after="0"/>
              <w:rPr>
                <w:sz w:val="24"/>
                <w:szCs w:val="24"/>
                <w:color w:val="auto"/>
              </w:rPr>
            </w:pPr>
          </w:p>
        </w:tc>
        <w:tc>
          <w:tcPr>
            <w:tcW w:w="2560" w:type="dxa"/>
            <w:vAlign w:val="bottom"/>
            <w:tcBorders>
              <w:bottom w:val="single" w:sz="8" w:color="0000FF"/>
            </w:tcBorders>
            <w:gridSpan w:val="5"/>
          </w:tcPr>
          <w:p>
            <w:pPr>
              <w:spacing w:after="0"/>
              <w:rPr>
                <w:rFonts w:ascii="Arial" w:cs="Arial" w:eastAsia="Arial" w:hAnsi="Arial"/>
                <w:sz w:val="18"/>
                <w:szCs w:val="18"/>
                <w:color w:val="0000FF"/>
                <w:w w:val="91"/>
              </w:rPr>
            </w:pPr>
            <w:hyperlink r:id="rId286">
              <w:r>
                <w:rPr>
                  <w:rFonts w:ascii="Arial" w:cs="Arial" w:eastAsia="Arial" w:hAnsi="Arial"/>
                  <w:sz w:val="18"/>
                  <w:szCs w:val="18"/>
                  <w:color w:val="0000FF"/>
                  <w:w w:val="91"/>
                </w:rPr>
                <w:t>Form of Common Stock Certificate</w:t>
              </w:r>
            </w:hyperlink>
          </w:p>
        </w:tc>
        <w:tc>
          <w:tcPr>
            <w:tcW w:w="20" w:type="dxa"/>
            <w:vAlign w:val="bottom"/>
            <w:tcBorders>
              <w:bottom w:val="single" w:sz="8" w:color="0000EE"/>
            </w:tcBorders>
          </w:tcPr>
          <w:p>
            <w:pPr>
              <w:spacing w:after="0"/>
              <w:rPr>
                <w:sz w:val="24"/>
                <w:szCs w:val="24"/>
                <w:color w:val="auto"/>
              </w:rPr>
            </w:pPr>
          </w:p>
        </w:tc>
        <w:tc>
          <w:tcPr>
            <w:tcW w:w="2460" w:type="dxa"/>
            <w:vAlign w:val="bottom"/>
            <w:gridSpan w:val="13"/>
          </w:tcPr>
          <w:p>
            <w:pPr>
              <w:spacing w:after="0"/>
              <w:rPr>
                <w:sz w:val="24"/>
                <w:szCs w:val="24"/>
                <w:color w:val="auto"/>
              </w:rPr>
            </w:pPr>
          </w:p>
        </w:tc>
        <w:tc>
          <w:tcPr>
            <w:tcW w:w="1040" w:type="dxa"/>
            <w:vAlign w:val="bottom"/>
          </w:tcPr>
          <w:p>
            <w:pPr>
              <w:jc w:val="center"/>
              <w:ind w:left="32"/>
              <w:spacing w:after="0"/>
              <w:rPr>
                <w:sz w:val="20"/>
                <w:szCs w:val="20"/>
                <w:color w:val="auto"/>
              </w:rPr>
            </w:pPr>
            <w:r>
              <w:rPr>
                <w:rFonts w:ascii="Arial" w:cs="Arial" w:eastAsia="Arial" w:hAnsi="Arial"/>
                <w:sz w:val="18"/>
                <w:szCs w:val="18"/>
                <w:color w:val="auto"/>
                <w:w w:val="97"/>
              </w:rPr>
              <w:t>S-1/A</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333-248924</w:t>
            </w: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October 5, 2020</w:t>
            </w:r>
          </w:p>
        </w:tc>
        <w:tc>
          <w:tcPr>
            <w:tcW w:w="0" w:type="dxa"/>
            <w:vAlign w:val="bottom"/>
          </w:tcPr>
          <w:p>
            <w:pPr>
              <w:spacing w:after="0"/>
              <w:rPr>
                <w:sz w:val="1"/>
                <w:szCs w:val="1"/>
                <w:color w:val="auto"/>
              </w:rPr>
            </w:pPr>
          </w:p>
        </w:tc>
      </w:tr>
      <w:tr>
        <w:trPr>
          <w:trHeight w:val="290"/>
        </w:trPr>
        <w:tc>
          <w:tcPr>
            <w:tcW w:w="92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40" w:type="dxa"/>
            <w:vAlign w:val="bottom"/>
          </w:tcPr>
          <w:p>
            <w:pPr>
              <w:spacing w:after="0"/>
              <w:rPr>
                <w:sz w:val="24"/>
                <w:szCs w:val="24"/>
                <w:color w:val="auto"/>
              </w:rPr>
            </w:pPr>
          </w:p>
        </w:tc>
        <w:tc>
          <w:tcPr>
            <w:tcW w:w="4140" w:type="dxa"/>
            <w:vAlign w:val="bottom"/>
            <w:tcBorders>
              <w:bottom w:val="single" w:sz="8" w:color="0000FF"/>
            </w:tcBorders>
            <w:gridSpan w:val="9"/>
          </w:tcPr>
          <w:p>
            <w:pPr>
              <w:spacing w:after="0"/>
              <w:rPr>
                <w:rFonts w:ascii="Arial" w:cs="Arial" w:eastAsia="Arial" w:hAnsi="Arial"/>
                <w:sz w:val="18"/>
                <w:szCs w:val="18"/>
                <w:color w:val="0000FF"/>
                <w:w w:val="89"/>
              </w:rPr>
            </w:pPr>
            <w:hyperlink r:id="rId287">
              <w:r>
                <w:rPr>
                  <w:rFonts w:ascii="Arial" w:cs="Arial" w:eastAsia="Arial" w:hAnsi="Arial"/>
                  <w:sz w:val="18"/>
                  <w:szCs w:val="18"/>
                  <w:color w:val="0000FF"/>
                  <w:w w:val="89"/>
                </w:rPr>
                <w:t>Form of Pre-Funded Warrant to Purchase Common Stock</w:t>
              </w:r>
            </w:hyperlink>
          </w:p>
        </w:tc>
        <w:tc>
          <w:tcPr>
            <w:tcW w:w="900" w:type="dxa"/>
            <w:vAlign w:val="bottom"/>
            <w:gridSpan w:val="10"/>
          </w:tcPr>
          <w:p>
            <w:pPr>
              <w:spacing w:after="0"/>
              <w:rPr>
                <w:sz w:val="24"/>
                <w:szCs w:val="24"/>
                <w:color w:val="auto"/>
              </w:rPr>
            </w:pPr>
          </w:p>
        </w:tc>
        <w:tc>
          <w:tcPr>
            <w:tcW w:w="1040" w:type="dxa"/>
            <w:vAlign w:val="bottom"/>
          </w:tcPr>
          <w:p>
            <w:pPr>
              <w:jc w:val="center"/>
              <w:ind w:left="32"/>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001-39594</w:t>
            </w: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780" w:type="dxa"/>
            <w:vAlign w:val="bottom"/>
          </w:tcPr>
          <w:p>
            <w:pPr>
              <w:jc w:val="center"/>
              <w:spacing w:after="0"/>
              <w:rPr>
                <w:sz w:val="20"/>
                <w:szCs w:val="20"/>
                <w:color w:val="auto"/>
              </w:rPr>
            </w:pPr>
            <w:r>
              <w:rPr>
                <w:rFonts w:ascii="Arial" w:cs="Arial" w:eastAsia="Arial" w:hAnsi="Arial"/>
                <w:sz w:val="18"/>
                <w:szCs w:val="18"/>
                <w:color w:val="auto"/>
                <w:w w:val="88"/>
              </w:rPr>
              <w:t>February 9, 2023</w:t>
            </w:r>
          </w:p>
        </w:tc>
        <w:tc>
          <w:tcPr>
            <w:tcW w:w="0" w:type="dxa"/>
            <w:vAlign w:val="bottom"/>
          </w:tcPr>
          <w:p>
            <w:pPr>
              <w:spacing w:after="0"/>
              <w:rPr>
                <w:sz w:val="1"/>
                <w:szCs w:val="1"/>
                <w:color w:val="auto"/>
              </w:rPr>
            </w:pPr>
          </w:p>
        </w:tc>
      </w:tr>
      <w:tr>
        <w:trPr>
          <w:trHeight w:val="291"/>
        </w:trPr>
        <w:tc>
          <w:tcPr>
            <w:tcW w:w="92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40" w:type="dxa"/>
            <w:vAlign w:val="bottom"/>
          </w:tcPr>
          <w:p>
            <w:pPr>
              <w:spacing w:after="0"/>
              <w:rPr>
                <w:sz w:val="24"/>
                <w:szCs w:val="24"/>
                <w:color w:val="auto"/>
              </w:rPr>
            </w:pPr>
          </w:p>
        </w:tc>
        <w:tc>
          <w:tcPr>
            <w:tcW w:w="5040" w:type="dxa"/>
            <w:vAlign w:val="bottom"/>
            <w:gridSpan w:val="19"/>
          </w:tcPr>
          <w:p>
            <w:pPr>
              <w:spacing w:after="0"/>
              <w:rPr>
                <w:rFonts w:ascii="Arial" w:cs="Arial" w:eastAsia="Arial" w:hAnsi="Arial"/>
                <w:sz w:val="18"/>
                <w:szCs w:val="18"/>
                <w:color w:val="0000FF"/>
              </w:rPr>
            </w:pPr>
            <w:hyperlink r:id="rId288">
              <w:r>
                <w:rPr>
                  <w:rFonts w:ascii="Arial" w:cs="Arial" w:eastAsia="Arial" w:hAnsi="Arial"/>
                  <w:sz w:val="18"/>
                  <w:szCs w:val="18"/>
                  <w:color w:val="0000FF"/>
                </w:rPr>
                <w:t>Form of Common Stock Purchase Warrant</w:t>
              </w:r>
            </w:hyperlink>
          </w:p>
        </w:tc>
        <w:tc>
          <w:tcPr>
            <w:tcW w:w="1040" w:type="dxa"/>
            <w:vAlign w:val="bottom"/>
          </w:tcPr>
          <w:p>
            <w:pPr>
              <w:jc w:val="center"/>
              <w:ind w:left="32"/>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001-39594</w:t>
            </w: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780" w:type="dxa"/>
            <w:vAlign w:val="bottom"/>
          </w:tcPr>
          <w:p>
            <w:pPr>
              <w:jc w:val="center"/>
              <w:spacing w:after="0"/>
              <w:rPr>
                <w:sz w:val="20"/>
                <w:szCs w:val="20"/>
                <w:color w:val="auto"/>
              </w:rPr>
            </w:pPr>
            <w:r>
              <w:rPr>
                <w:rFonts w:ascii="Arial" w:cs="Arial" w:eastAsia="Arial" w:hAnsi="Arial"/>
                <w:sz w:val="18"/>
                <w:szCs w:val="18"/>
                <w:color w:val="auto"/>
                <w:w w:val="88"/>
              </w:rPr>
              <w:t>February 9, 2023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20" w:type="dxa"/>
            <w:vAlign w:val="bottom"/>
            <w:gridSpan w:val="4"/>
            <w:shd w:val="clear" w:color="auto" w:fill="0000FF"/>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2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140" w:type="dxa"/>
            <w:vAlign w:val="bottom"/>
          </w:tcPr>
          <w:p>
            <w:pPr>
              <w:spacing w:after="0"/>
              <w:rPr>
                <w:sz w:val="24"/>
                <w:szCs w:val="24"/>
                <w:color w:val="auto"/>
              </w:rPr>
            </w:pPr>
          </w:p>
        </w:tc>
        <w:tc>
          <w:tcPr>
            <w:tcW w:w="5000" w:type="dxa"/>
            <w:vAlign w:val="bottom"/>
            <w:tcBorders>
              <w:bottom w:val="single" w:sz="8" w:color="0000FF"/>
            </w:tcBorders>
            <w:gridSpan w:val="18"/>
          </w:tcPr>
          <w:p>
            <w:pPr>
              <w:spacing w:after="0"/>
              <w:rPr>
                <w:rFonts w:ascii="Arial" w:cs="Arial" w:eastAsia="Arial" w:hAnsi="Arial"/>
                <w:sz w:val="18"/>
                <w:szCs w:val="18"/>
                <w:color w:val="0000FF"/>
                <w:w w:val="90"/>
              </w:rPr>
            </w:pPr>
            <w:hyperlink r:id="rId289">
              <w:r>
                <w:rPr>
                  <w:rFonts w:ascii="Arial" w:cs="Arial" w:eastAsia="Arial" w:hAnsi="Arial"/>
                  <w:sz w:val="18"/>
                  <w:szCs w:val="18"/>
                  <w:color w:val="0000FF"/>
                  <w:w w:val="90"/>
                </w:rPr>
                <w:t>Amended and Restated Investors’ Rights Agreement, dated February</w:t>
              </w:r>
            </w:hyperlink>
          </w:p>
        </w:tc>
        <w:tc>
          <w:tcPr>
            <w:tcW w:w="40" w:type="dxa"/>
            <w:vAlign w:val="bottom"/>
          </w:tcPr>
          <w:p>
            <w:pPr>
              <w:spacing w:after="0"/>
              <w:rPr>
                <w:sz w:val="24"/>
                <w:szCs w:val="24"/>
                <w:color w:val="auto"/>
              </w:rPr>
            </w:pPr>
          </w:p>
        </w:tc>
        <w:tc>
          <w:tcPr>
            <w:tcW w:w="1040" w:type="dxa"/>
            <w:vAlign w:val="bottom"/>
          </w:tcPr>
          <w:p>
            <w:pPr>
              <w:jc w:val="center"/>
              <w:ind w:left="32"/>
              <w:spacing w:after="0"/>
              <w:rPr>
                <w:sz w:val="20"/>
                <w:szCs w:val="20"/>
                <w:color w:val="auto"/>
              </w:rPr>
            </w:pPr>
            <w:r>
              <w:rPr>
                <w:rFonts w:ascii="Arial" w:cs="Arial" w:eastAsia="Arial" w:hAnsi="Arial"/>
                <w:sz w:val="18"/>
                <w:szCs w:val="18"/>
                <w:color w:val="auto"/>
                <w:w w:val="85"/>
              </w:rPr>
              <w:t>S-1</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333-248924</w:t>
            </w: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September 18, 2020</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line="196" w:lineRule="exact"/>
              <w:rPr>
                <w:rFonts w:ascii="Arial" w:cs="Arial" w:eastAsia="Arial" w:hAnsi="Arial"/>
                <w:sz w:val="18"/>
                <w:szCs w:val="18"/>
                <w:color w:val="0000FF"/>
                <w:w w:val="82"/>
              </w:rPr>
            </w:pPr>
            <w:hyperlink r:id="rId289">
              <w:r>
                <w:rPr>
                  <w:rFonts w:ascii="Arial" w:cs="Arial" w:eastAsia="Arial" w:hAnsi="Arial"/>
                  <w:sz w:val="18"/>
                  <w:szCs w:val="18"/>
                  <w:color w:val="0000FF"/>
                  <w:w w:val="82"/>
                </w:rPr>
                <w:t>19, 2020</w:t>
              </w:r>
            </w:hyperlink>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20" w:type="dxa"/>
            <w:vAlign w:val="bottom"/>
          </w:tcPr>
          <w:p>
            <w:pPr>
              <w:jc w:val="center"/>
              <w:spacing w:after="0"/>
              <w:rPr>
                <w:sz w:val="20"/>
                <w:szCs w:val="20"/>
                <w:color w:val="auto"/>
              </w:rPr>
            </w:pPr>
            <w:r>
              <w:rPr>
                <w:rFonts w:ascii="Arial" w:cs="Arial" w:eastAsia="Arial" w:hAnsi="Arial"/>
                <w:sz w:val="18"/>
                <w:szCs w:val="18"/>
                <w:color w:val="auto"/>
                <w:w w:val="87"/>
              </w:rPr>
              <w:t>10.1+</w:t>
            </w:r>
          </w:p>
        </w:tc>
        <w:tc>
          <w:tcPr>
            <w:tcW w:w="140" w:type="dxa"/>
            <w:vAlign w:val="bottom"/>
          </w:tcPr>
          <w:p>
            <w:pPr>
              <w:spacing w:after="0"/>
              <w:rPr>
                <w:sz w:val="24"/>
                <w:szCs w:val="24"/>
                <w:color w:val="auto"/>
              </w:rPr>
            </w:pPr>
          </w:p>
        </w:tc>
        <w:tc>
          <w:tcPr>
            <w:tcW w:w="504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1"/>
              </w:rPr>
              <w:t>Non-Employee Director Compensation Policy, as amended on March</w:t>
            </w:r>
          </w:p>
        </w:tc>
        <w:tc>
          <w:tcPr>
            <w:tcW w:w="1040" w:type="dxa"/>
            <w:vAlign w:val="bottom"/>
          </w:tcPr>
          <w:p>
            <w:pPr>
              <w:spacing w:after="0"/>
              <w:rPr>
                <w:sz w:val="24"/>
                <w:szCs w:val="24"/>
                <w:color w:val="auto"/>
              </w:rPr>
            </w:pPr>
          </w:p>
        </w:tc>
        <w:tc>
          <w:tcPr>
            <w:tcW w:w="2320" w:type="dxa"/>
            <w:vAlign w:val="bottom"/>
            <w:gridSpan w:val="2"/>
          </w:tcPr>
          <w:p>
            <w:pPr>
              <w:ind w:left="1100"/>
              <w:spacing w:after="0"/>
              <w:rPr>
                <w:sz w:val="20"/>
                <w:szCs w:val="20"/>
                <w:color w:val="auto"/>
              </w:rPr>
            </w:pPr>
            <w:r>
              <w:rPr>
                <w:rFonts w:ascii="Arial" w:cs="Arial" w:eastAsia="Arial" w:hAnsi="Arial"/>
                <w:sz w:val="18"/>
                <w:szCs w:val="18"/>
                <w:color w:val="auto"/>
              </w:rPr>
              <w:t>Filed herewith</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line="196" w:lineRule="exact"/>
              <w:rPr>
                <w:sz w:val="20"/>
                <w:szCs w:val="20"/>
                <w:color w:val="auto"/>
              </w:rPr>
            </w:pPr>
            <w:r>
              <w:rPr>
                <w:rFonts w:ascii="Arial" w:cs="Arial" w:eastAsia="Arial" w:hAnsi="Arial"/>
                <w:sz w:val="18"/>
                <w:szCs w:val="18"/>
                <w:color w:val="0000FF"/>
                <w:w w:val="82"/>
              </w:rPr>
              <w:t>30, 2023</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w:t>
            </w:r>
          </w:p>
        </w:tc>
        <w:tc>
          <w:tcPr>
            <w:tcW w:w="140" w:type="dxa"/>
            <w:vAlign w:val="bottom"/>
          </w:tcPr>
          <w:p>
            <w:pPr>
              <w:spacing w:after="0"/>
              <w:rPr>
                <w:sz w:val="24"/>
                <w:szCs w:val="24"/>
                <w:color w:val="auto"/>
              </w:rPr>
            </w:pPr>
          </w:p>
        </w:tc>
        <w:tc>
          <w:tcPr>
            <w:tcW w:w="4980" w:type="dxa"/>
            <w:vAlign w:val="bottom"/>
            <w:tcBorders>
              <w:bottom w:val="single" w:sz="8" w:color="0000FF"/>
            </w:tcBorders>
            <w:gridSpan w:val="17"/>
          </w:tcPr>
          <w:p>
            <w:pPr>
              <w:spacing w:after="0"/>
              <w:rPr>
                <w:rFonts w:ascii="Arial" w:cs="Arial" w:eastAsia="Arial" w:hAnsi="Arial"/>
                <w:sz w:val="18"/>
                <w:szCs w:val="18"/>
                <w:color w:val="0000FF"/>
                <w:w w:val="90"/>
              </w:rPr>
            </w:pPr>
            <w:hyperlink r:id="rId290">
              <w:r>
                <w:rPr>
                  <w:rFonts w:ascii="Arial" w:cs="Arial" w:eastAsia="Arial" w:hAnsi="Arial"/>
                  <w:sz w:val="18"/>
                  <w:szCs w:val="18"/>
                  <w:color w:val="0000FF"/>
                  <w:w w:val="90"/>
                </w:rPr>
                <w:t>Collaboration and License Agreement, by and between the registrant</w:t>
              </w:r>
            </w:hyperlink>
          </w:p>
        </w:tc>
        <w:tc>
          <w:tcPr>
            <w:tcW w:w="60" w:type="dxa"/>
            <w:vAlign w:val="bottom"/>
            <w:gridSpan w:val="2"/>
          </w:tcPr>
          <w:p>
            <w:pPr>
              <w:spacing w:after="0"/>
              <w:rPr>
                <w:sz w:val="24"/>
                <w:szCs w:val="24"/>
                <w:color w:val="auto"/>
              </w:rPr>
            </w:pPr>
          </w:p>
        </w:tc>
        <w:tc>
          <w:tcPr>
            <w:tcW w:w="1040" w:type="dxa"/>
            <w:vAlign w:val="bottom"/>
          </w:tcPr>
          <w:p>
            <w:pPr>
              <w:jc w:val="center"/>
              <w:ind w:left="32"/>
              <w:spacing w:after="0"/>
              <w:rPr>
                <w:sz w:val="20"/>
                <w:szCs w:val="20"/>
                <w:color w:val="auto"/>
              </w:rPr>
            </w:pPr>
            <w:r>
              <w:rPr>
                <w:rFonts w:ascii="Arial" w:cs="Arial" w:eastAsia="Arial" w:hAnsi="Arial"/>
                <w:sz w:val="18"/>
                <w:szCs w:val="18"/>
                <w:color w:val="auto"/>
                <w:w w:val="94"/>
              </w:rPr>
              <w:t>10-K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001-39594</w:t>
            </w: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10.27</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March 16, 2023</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40" w:type="dxa"/>
            <w:vAlign w:val="bottom"/>
            <w:gridSpan w:val="19"/>
          </w:tcPr>
          <w:p>
            <w:pPr>
              <w:spacing w:after="0" w:line="196" w:lineRule="exact"/>
              <w:rPr>
                <w:rFonts w:ascii="Arial" w:cs="Arial" w:eastAsia="Arial" w:hAnsi="Arial"/>
                <w:sz w:val="18"/>
                <w:szCs w:val="18"/>
                <w:color w:val="0000FF"/>
              </w:rPr>
            </w:pPr>
            <w:hyperlink r:id="rId290">
              <w:r>
                <w:rPr>
                  <w:rFonts w:ascii="Arial" w:cs="Arial" w:eastAsia="Arial" w:hAnsi="Arial"/>
                  <w:sz w:val="18"/>
                  <w:szCs w:val="18"/>
                  <w:color w:val="0000FF"/>
                </w:rPr>
                <w:t>and Kaken Pharmaceutical Co., LTD., dated January 5, 2023</w:t>
              </w:r>
            </w:hyperlink>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20" w:type="dxa"/>
            <w:vAlign w:val="bottom"/>
            <w:gridSpan w:val="7"/>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40" w:type="dxa"/>
            <w:vAlign w:val="bottom"/>
          </w:tcPr>
          <w:p>
            <w:pPr>
              <w:spacing w:after="0"/>
              <w:rPr>
                <w:sz w:val="24"/>
                <w:szCs w:val="24"/>
                <w:color w:val="auto"/>
              </w:rPr>
            </w:pPr>
          </w:p>
        </w:tc>
        <w:tc>
          <w:tcPr>
            <w:tcW w:w="480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2"/>
              </w:rPr>
              <w:t>Certification of Principal Executive Officer pursuant to Rules 13a-</w:t>
            </w:r>
          </w:p>
        </w:tc>
        <w:tc>
          <w:tcPr>
            <w:tcW w:w="240" w:type="dxa"/>
            <w:vAlign w:val="bottom"/>
            <w:gridSpan w:val="5"/>
          </w:tcPr>
          <w:p>
            <w:pPr>
              <w:spacing w:after="0"/>
              <w:rPr>
                <w:sz w:val="24"/>
                <w:szCs w:val="24"/>
                <w:color w:val="auto"/>
              </w:rPr>
            </w:pPr>
          </w:p>
        </w:tc>
        <w:tc>
          <w:tcPr>
            <w:tcW w:w="1040" w:type="dxa"/>
            <w:vAlign w:val="bottom"/>
          </w:tcPr>
          <w:p>
            <w:pPr>
              <w:spacing w:after="0"/>
              <w:rPr>
                <w:sz w:val="24"/>
                <w:szCs w:val="24"/>
                <w:color w:val="auto"/>
              </w:rPr>
            </w:pPr>
          </w:p>
        </w:tc>
        <w:tc>
          <w:tcPr>
            <w:tcW w:w="2320" w:type="dxa"/>
            <w:vAlign w:val="bottom"/>
            <w:gridSpan w:val="2"/>
          </w:tcPr>
          <w:p>
            <w:pPr>
              <w:ind w:left="1100"/>
              <w:spacing w:after="0"/>
              <w:rPr>
                <w:sz w:val="20"/>
                <w:szCs w:val="20"/>
                <w:color w:val="auto"/>
              </w:rPr>
            </w:pPr>
            <w:r>
              <w:rPr>
                <w:rFonts w:ascii="Arial" w:cs="Arial" w:eastAsia="Arial" w:hAnsi="Arial"/>
                <w:sz w:val="18"/>
                <w:szCs w:val="18"/>
                <w:color w:val="auto"/>
              </w:rPr>
              <w:t>Filed herewith</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40" w:type="dxa"/>
            <w:vAlign w:val="bottom"/>
            <w:tcBorders>
              <w:bottom w:val="single" w:sz="8" w:color="0000FF"/>
            </w:tcBorders>
            <w:gridSpan w:val="15"/>
          </w:tcPr>
          <w:p>
            <w:pPr>
              <w:spacing w:after="0" w:line="196" w:lineRule="exact"/>
              <w:rPr>
                <w:sz w:val="20"/>
                <w:szCs w:val="20"/>
                <w:color w:val="auto"/>
              </w:rPr>
            </w:pPr>
            <w:r>
              <w:rPr>
                <w:rFonts w:ascii="Arial" w:cs="Arial" w:eastAsia="Arial" w:hAnsi="Arial"/>
                <w:sz w:val="18"/>
                <w:szCs w:val="18"/>
                <w:color w:val="0000FF"/>
                <w:w w:val="90"/>
              </w:rPr>
              <w:t>14(a) and 15d-14(a) under the Securities Exchange Act of 1934, as</w:t>
            </w:r>
          </w:p>
        </w:tc>
        <w:tc>
          <w:tcPr>
            <w:tcW w:w="200" w:type="dxa"/>
            <w:vAlign w:val="bottom"/>
            <w:gridSpan w:val="4"/>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940" w:type="dxa"/>
            <w:vAlign w:val="bottom"/>
            <w:tcBorders>
              <w:bottom w:val="single" w:sz="8" w:color="0000FF"/>
            </w:tcBorders>
            <w:gridSpan w:val="16"/>
          </w:tcPr>
          <w:p>
            <w:pPr>
              <w:spacing w:after="0" w:line="196" w:lineRule="exact"/>
              <w:rPr>
                <w:sz w:val="20"/>
                <w:szCs w:val="20"/>
                <w:color w:val="auto"/>
              </w:rPr>
            </w:pPr>
            <w:r>
              <w:rPr>
                <w:rFonts w:ascii="Arial" w:cs="Arial" w:eastAsia="Arial" w:hAnsi="Arial"/>
                <w:sz w:val="18"/>
                <w:szCs w:val="18"/>
                <w:color w:val="0000FF"/>
                <w:w w:val="88"/>
              </w:rPr>
              <w:t>amended, as adopted pursuant to Section 302 of the Sarbanes-Oxley</w:t>
            </w:r>
          </w:p>
        </w:tc>
        <w:tc>
          <w:tcPr>
            <w:tcW w:w="100" w:type="dxa"/>
            <w:vAlign w:val="bottom"/>
            <w:gridSpan w:val="3"/>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92"/>
              </w:rPr>
              <w:t>Act of 2002</w:t>
            </w:r>
          </w:p>
        </w:tc>
        <w:tc>
          <w:tcPr>
            <w:tcW w:w="4180" w:type="dxa"/>
            <w:vAlign w:val="bottom"/>
            <w:gridSpan w:val="17"/>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40" w:type="dxa"/>
            <w:vAlign w:val="bottom"/>
          </w:tcPr>
          <w:p>
            <w:pPr>
              <w:spacing w:after="0"/>
              <w:rPr>
                <w:sz w:val="24"/>
                <w:szCs w:val="24"/>
                <w:color w:val="auto"/>
              </w:rPr>
            </w:pPr>
          </w:p>
        </w:tc>
        <w:tc>
          <w:tcPr>
            <w:tcW w:w="5040" w:type="dxa"/>
            <w:vAlign w:val="bottom"/>
            <w:gridSpan w:val="19"/>
          </w:tcPr>
          <w:p>
            <w:pPr>
              <w:spacing w:after="0"/>
              <w:rPr>
                <w:sz w:val="20"/>
                <w:szCs w:val="20"/>
                <w:color w:val="auto"/>
              </w:rPr>
            </w:pPr>
            <w:r>
              <w:rPr>
                <w:rFonts w:ascii="Arial" w:cs="Arial" w:eastAsia="Arial" w:hAnsi="Arial"/>
                <w:sz w:val="18"/>
                <w:szCs w:val="18"/>
                <w:color w:val="0000FF"/>
                <w:w w:val="98"/>
              </w:rPr>
              <w:t>Certification of Principal Financial Officer pursuant to Rules 13a-</w:t>
            </w:r>
          </w:p>
        </w:tc>
        <w:tc>
          <w:tcPr>
            <w:tcW w:w="1040" w:type="dxa"/>
            <w:vAlign w:val="bottom"/>
          </w:tcPr>
          <w:p>
            <w:pPr>
              <w:spacing w:after="0"/>
              <w:rPr>
                <w:sz w:val="24"/>
                <w:szCs w:val="24"/>
                <w:color w:val="auto"/>
              </w:rPr>
            </w:pPr>
          </w:p>
        </w:tc>
        <w:tc>
          <w:tcPr>
            <w:tcW w:w="2320" w:type="dxa"/>
            <w:vAlign w:val="bottom"/>
            <w:gridSpan w:val="2"/>
          </w:tcPr>
          <w:p>
            <w:pPr>
              <w:ind w:left="1100"/>
              <w:spacing w:after="0"/>
              <w:rPr>
                <w:sz w:val="20"/>
                <w:szCs w:val="20"/>
                <w:color w:val="auto"/>
              </w:rPr>
            </w:pPr>
            <w:r>
              <w:rPr>
                <w:rFonts w:ascii="Arial" w:cs="Arial" w:eastAsia="Arial" w:hAnsi="Arial"/>
                <w:sz w:val="18"/>
                <w:szCs w:val="18"/>
                <w:color w:val="auto"/>
              </w:rPr>
              <w:t>Filed herewith</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3400" w:type="dxa"/>
            <w:vAlign w:val="bottom"/>
            <w:tcBorders>
              <w:right w:val="single" w:sz="8" w:color="0000FF"/>
            </w:tcBorders>
            <w:gridSpan w:val="8"/>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40" w:type="dxa"/>
            <w:vAlign w:val="bottom"/>
            <w:tcBorders>
              <w:bottom w:val="single" w:sz="8" w:color="0000FF"/>
            </w:tcBorders>
            <w:gridSpan w:val="15"/>
          </w:tcPr>
          <w:p>
            <w:pPr>
              <w:spacing w:after="0" w:line="196" w:lineRule="exact"/>
              <w:rPr>
                <w:sz w:val="20"/>
                <w:szCs w:val="20"/>
                <w:color w:val="auto"/>
              </w:rPr>
            </w:pPr>
            <w:r>
              <w:rPr>
                <w:rFonts w:ascii="Arial" w:cs="Arial" w:eastAsia="Arial" w:hAnsi="Arial"/>
                <w:sz w:val="18"/>
                <w:szCs w:val="18"/>
                <w:color w:val="0000FF"/>
                <w:w w:val="90"/>
              </w:rPr>
              <w:t>14(a) and 15d-14(a) under the Securities Exchange Act of 1934, as</w:t>
            </w:r>
          </w:p>
        </w:tc>
        <w:tc>
          <w:tcPr>
            <w:tcW w:w="200" w:type="dxa"/>
            <w:vAlign w:val="bottom"/>
            <w:gridSpan w:val="4"/>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940" w:type="dxa"/>
            <w:vAlign w:val="bottom"/>
            <w:tcBorders>
              <w:bottom w:val="single" w:sz="8" w:color="0000FF"/>
            </w:tcBorders>
            <w:gridSpan w:val="16"/>
          </w:tcPr>
          <w:p>
            <w:pPr>
              <w:spacing w:after="0" w:line="196" w:lineRule="exact"/>
              <w:rPr>
                <w:sz w:val="20"/>
                <w:szCs w:val="20"/>
                <w:color w:val="auto"/>
              </w:rPr>
            </w:pPr>
            <w:r>
              <w:rPr>
                <w:rFonts w:ascii="Arial" w:cs="Arial" w:eastAsia="Arial" w:hAnsi="Arial"/>
                <w:sz w:val="18"/>
                <w:szCs w:val="18"/>
                <w:color w:val="0000FF"/>
                <w:w w:val="88"/>
              </w:rPr>
              <w:t>amended, as adopted pursuant to Section 302 of the Sarbanes-Oxley</w:t>
            </w:r>
          </w:p>
        </w:tc>
        <w:tc>
          <w:tcPr>
            <w:tcW w:w="100" w:type="dxa"/>
            <w:vAlign w:val="bottom"/>
            <w:gridSpan w:val="3"/>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92"/>
              </w:rPr>
              <w:t>Act of 2002</w:t>
            </w:r>
          </w:p>
        </w:tc>
        <w:tc>
          <w:tcPr>
            <w:tcW w:w="4180" w:type="dxa"/>
            <w:vAlign w:val="bottom"/>
            <w:gridSpan w:val="17"/>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920" w:type="dxa"/>
            <w:vAlign w:val="bottom"/>
          </w:tcPr>
          <w:p>
            <w:pPr>
              <w:jc w:val="center"/>
              <w:spacing w:after="0"/>
              <w:rPr>
                <w:sz w:val="20"/>
                <w:szCs w:val="20"/>
                <w:color w:val="auto"/>
              </w:rPr>
            </w:pPr>
            <w:r>
              <w:rPr>
                <w:rFonts w:ascii="Arial" w:cs="Arial" w:eastAsia="Arial" w:hAnsi="Arial"/>
                <w:sz w:val="18"/>
                <w:szCs w:val="18"/>
                <w:color w:val="auto"/>
                <w:w w:val="88"/>
              </w:rPr>
              <w:t>32.1#</w:t>
            </w:r>
          </w:p>
        </w:tc>
        <w:tc>
          <w:tcPr>
            <w:tcW w:w="140" w:type="dxa"/>
            <w:vAlign w:val="bottom"/>
          </w:tcPr>
          <w:p>
            <w:pPr>
              <w:spacing w:after="0"/>
              <w:rPr>
                <w:sz w:val="24"/>
                <w:szCs w:val="24"/>
                <w:color w:val="auto"/>
              </w:rPr>
            </w:pPr>
          </w:p>
        </w:tc>
        <w:tc>
          <w:tcPr>
            <w:tcW w:w="478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3"/>
              </w:rPr>
              <w:t>Certification of Principal Executive Officer pursuant to 18 U.S.C.</w:t>
            </w:r>
          </w:p>
        </w:tc>
        <w:tc>
          <w:tcPr>
            <w:tcW w:w="260" w:type="dxa"/>
            <w:vAlign w:val="bottom"/>
            <w:gridSpan w:val="6"/>
          </w:tcPr>
          <w:p>
            <w:pPr>
              <w:spacing w:after="0"/>
              <w:rPr>
                <w:sz w:val="24"/>
                <w:szCs w:val="24"/>
                <w:color w:val="auto"/>
              </w:rPr>
            </w:pPr>
          </w:p>
        </w:tc>
        <w:tc>
          <w:tcPr>
            <w:tcW w:w="1040" w:type="dxa"/>
            <w:vAlign w:val="bottom"/>
          </w:tcPr>
          <w:p>
            <w:pPr>
              <w:spacing w:after="0"/>
              <w:rPr>
                <w:sz w:val="24"/>
                <w:szCs w:val="24"/>
                <w:color w:val="auto"/>
              </w:rPr>
            </w:pPr>
          </w:p>
        </w:tc>
        <w:tc>
          <w:tcPr>
            <w:tcW w:w="2320" w:type="dxa"/>
            <w:vAlign w:val="bottom"/>
            <w:gridSpan w:val="2"/>
          </w:tcPr>
          <w:p>
            <w:pPr>
              <w:ind w:left="1100"/>
              <w:spacing w:after="0"/>
              <w:rPr>
                <w:sz w:val="20"/>
                <w:szCs w:val="20"/>
                <w:color w:val="auto"/>
              </w:rPr>
            </w:pPr>
            <w:r>
              <w:rPr>
                <w:rFonts w:ascii="Arial" w:cs="Arial" w:eastAsia="Arial" w:hAnsi="Arial"/>
                <w:sz w:val="18"/>
                <w:szCs w:val="18"/>
                <w:color w:val="auto"/>
              </w:rPr>
              <w:t>Filed herewith</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40" w:type="dxa"/>
            <w:vAlign w:val="bottom"/>
            <w:gridSpan w:val="19"/>
          </w:tcPr>
          <w:p>
            <w:pPr>
              <w:spacing w:after="0" w:line="196" w:lineRule="exact"/>
              <w:rPr>
                <w:sz w:val="20"/>
                <w:szCs w:val="20"/>
                <w:color w:val="auto"/>
              </w:rPr>
            </w:pPr>
            <w:r>
              <w:rPr>
                <w:rFonts w:ascii="Arial" w:cs="Arial" w:eastAsia="Arial" w:hAnsi="Arial"/>
                <w:sz w:val="18"/>
                <w:szCs w:val="18"/>
                <w:color w:val="0000FF"/>
                <w:w w:val="93"/>
              </w:rPr>
              <w:t>Section 1350, as adopted pursuant to Section 906 of the Sarbanes-</w:t>
            </w: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Borders>
              <w:top w:val="single" w:sz="8" w:color="0000FF"/>
              <w:bottom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92"/>
              </w:rPr>
              <w:t>Oxley Act of 2002</w:t>
            </w:r>
          </w:p>
        </w:tc>
        <w:tc>
          <w:tcPr>
            <w:tcW w:w="3420" w:type="dxa"/>
            <w:vAlign w:val="bottom"/>
            <w:tcBorders>
              <w:top w:val="single" w:sz="8" w:color="0000FF"/>
            </w:tcBorders>
            <w:gridSpan w:val="9"/>
          </w:tcPr>
          <w:p>
            <w:pPr>
              <w:spacing w:after="0"/>
              <w:rPr>
                <w:sz w:val="17"/>
                <w:szCs w:val="17"/>
                <w:color w:val="auto"/>
              </w:rPr>
            </w:pPr>
          </w:p>
        </w:tc>
        <w:tc>
          <w:tcPr>
            <w:tcW w:w="280" w:type="dxa"/>
            <w:vAlign w:val="bottom"/>
            <w:gridSpan w:val="7"/>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920" w:type="dxa"/>
            <w:vAlign w:val="bottom"/>
          </w:tcPr>
          <w:p>
            <w:pPr>
              <w:jc w:val="center"/>
              <w:spacing w:after="0"/>
              <w:rPr>
                <w:sz w:val="20"/>
                <w:szCs w:val="20"/>
                <w:color w:val="auto"/>
              </w:rPr>
            </w:pPr>
            <w:r>
              <w:rPr>
                <w:rFonts w:ascii="Arial" w:cs="Arial" w:eastAsia="Arial" w:hAnsi="Arial"/>
                <w:sz w:val="18"/>
                <w:szCs w:val="18"/>
                <w:color w:val="auto"/>
                <w:w w:val="88"/>
              </w:rPr>
              <w:t>32.2#</w:t>
            </w:r>
          </w:p>
        </w:tc>
        <w:tc>
          <w:tcPr>
            <w:tcW w:w="140" w:type="dxa"/>
            <w:vAlign w:val="bottom"/>
          </w:tcPr>
          <w:p>
            <w:pPr>
              <w:spacing w:after="0"/>
              <w:rPr>
                <w:sz w:val="24"/>
                <w:szCs w:val="24"/>
                <w:color w:val="auto"/>
              </w:rPr>
            </w:pPr>
          </w:p>
        </w:tc>
        <w:tc>
          <w:tcPr>
            <w:tcW w:w="474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3"/>
              </w:rPr>
              <w:t>Certification of Principal Financial Officer pursuant to 18 U.S.C.</w:t>
            </w:r>
          </w:p>
        </w:tc>
        <w:tc>
          <w:tcPr>
            <w:tcW w:w="300" w:type="dxa"/>
            <w:vAlign w:val="bottom"/>
            <w:gridSpan w:val="8"/>
          </w:tcPr>
          <w:p>
            <w:pPr>
              <w:spacing w:after="0"/>
              <w:rPr>
                <w:sz w:val="24"/>
                <w:szCs w:val="24"/>
                <w:color w:val="auto"/>
              </w:rPr>
            </w:pPr>
          </w:p>
        </w:tc>
        <w:tc>
          <w:tcPr>
            <w:tcW w:w="1040" w:type="dxa"/>
            <w:vAlign w:val="bottom"/>
          </w:tcPr>
          <w:p>
            <w:pPr>
              <w:spacing w:after="0"/>
              <w:rPr>
                <w:sz w:val="24"/>
                <w:szCs w:val="24"/>
                <w:color w:val="auto"/>
              </w:rPr>
            </w:pPr>
          </w:p>
        </w:tc>
        <w:tc>
          <w:tcPr>
            <w:tcW w:w="2320" w:type="dxa"/>
            <w:vAlign w:val="bottom"/>
            <w:gridSpan w:val="2"/>
          </w:tcPr>
          <w:p>
            <w:pPr>
              <w:ind w:left="1100"/>
              <w:spacing w:after="0"/>
              <w:rPr>
                <w:sz w:val="20"/>
                <w:szCs w:val="20"/>
                <w:color w:val="auto"/>
              </w:rPr>
            </w:pPr>
            <w:r>
              <w:rPr>
                <w:rFonts w:ascii="Arial" w:cs="Arial" w:eastAsia="Arial" w:hAnsi="Arial"/>
                <w:sz w:val="18"/>
                <w:szCs w:val="18"/>
                <w:color w:val="auto"/>
              </w:rPr>
              <w:t>Filed herewith</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40" w:type="dxa"/>
            <w:vAlign w:val="bottom"/>
            <w:gridSpan w:val="19"/>
          </w:tcPr>
          <w:p>
            <w:pPr>
              <w:spacing w:after="0" w:line="196" w:lineRule="exact"/>
              <w:rPr>
                <w:sz w:val="20"/>
                <w:szCs w:val="20"/>
                <w:color w:val="auto"/>
              </w:rPr>
            </w:pPr>
            <w:r>
              <w:rPr>
                <w:rFonts w:ascii="Arial" w:cs="Arial" w:eastAsia="Arial" w:hAnsi="Arial"/>
                <w:sz w:val="18"/>
                <w:szCs w:val="18"/>
                <w:color w:val="0000FF"/>
                <w:w w:val="93"/>
              </w:rPr>
              <w:t>Section 1350, as adopted pursuant to Section 906 of the Sarbanes-</w:t>
            </w: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Borders>
              <w:top w:val="single" w:sz="8" w:color="0000FF"/>
              <w:bottom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92"/>
              </w:rPr>
              <w:t>Oxley Act of 2002</w:t>
            </w:r>
          </w:p>
        </w:tc>
        <w:tc>
          <w:tcPr>
            <w:tcW w:w="3420" w:type="dxa"/>
            <w:vAlign w:val="bottom"/>
            <w:tcBorders>
              <w:top w:val="single" w:sz="8" w:color="0000FF"/>
            </w:tcBorders>
            <w:gridSpan w:val="9"/>
          </w:tcPr>
          <w:p>
            <w:pPr>
              <w:spacing w:after="0"/>
              <w:rPr>
                <w:sz w:val="17"/>
                <w:szCs w:val="17"/>
                <w:color w:val="auto"/>
              </w:rPr>
            </w:pPr>
          </w:p>
        </w:tc>
        <w:tc>
          <w:tcPr>
            <w:tcW w:w="280" w:type="dxa"/>
            <w:vAlign w:val="bottom"/>
            <w:gridSpan w:val="7"/>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92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140" w:type="dxa"/>
            <w:vAlign w:val="bottom"/>
          </w:tcPr>
          <w:p>
            <w:pPr>
              <w:spacing w:after="0"/>
              <w:rPr>
                <w:sz w:val="24"/>
                <w:szCs w:val="24"/>
                <w:color w:val="auto"/>
              </w:rPr>
            </w:pPr>
          </w:p>
        </w:tc>
        <w:tc>
          <w:tcPr>
            <w:tcW w:w="5040" w:type="dxa"/>
            <w:vAlign w:val="bottom"/>
            <w:gridSpan w:val="19"/>
          </w:tcPr>
          <w:p>
            <w:pPr>
              <w:spacing w:after="0"/>
              <w:rPr>
                <w:sz w:val="20"/>
                <w:szCs w:val="20"/>
                <w:color w:val="auto"/>
              </w:rPr>
            </w:pPr>
            <w:r>
              <w:rPr>
                <w:rFonts w:ascii="Arial" w:cs="Arial" w:eastAsia="Arial" w:hAnsi="Arial"/>
                <w:sz w:val="18"/>
                <w:szCs w:val="18"/>
                <w:color w:val="auto"/>
                <w:w w:val="94"/>
              </w:rPr>
              <w:t>Inline XBRL Instance Document - the Instance Document does not</w:t>
            </w:r>
          </w:p>
        </w:tc>
        <w:tc>
          <w:tcPr>
            <w:tcW w:w="1040" w:type="dxa"/>
            <w:vAlign w:val="bottom"/>
          </w:tcPr>
          <w:p>
            <w:pPr>
              <w:spacing w:after="0"/>
              <w:rPr>
                <w:sz w:val="24"/>
                <w:szCs w:val="24"/>
                <w:color w:val="auto"/>
              </w:rPr>
            </w:pPr>
          </w:p>
        </w:tc>
        <w:tc>
          <w:tcPr>
            <w:tcW w:w="2320" w:type="dxa"/>
            <w:vAlign w:val="bottom"/>
            <w:gridSpan w:val="2"/>
          </w:tcPr>
          <w:p>
            <w:pPr>
              <w:ind w:left="1100"/>
              <w:spacing w:after="0"/>
              <w:rPr>
                <w:sz w:val="20"/>
                <w:szCs w:val="20"/>
                <w:color w:val="auto"/>
              </w:rPr>
            </w:pPr>
            <w:r>
              <w:rPr>
                <w:rFonts w:ascii="Arial" w:cs="Arial" w:eastAsia="Arial" w:hAnsi="Arial"/>
                <w:sz w:val="18"/>
                <w:szCs w:val="18"/>
                <w:color w:val="auto"/>
              </w:rPr>
              <w:t>Filed herewith</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gridSpan w:val="19"/>
          </w:tcPr>
          <w:p>
            <w:pPr>
              <w:spacing w:after="0"/>
              <w:rPr>
                <w:sz w:val="20"/>
                <w:szCs w:val="20"/>
                <w:color w:val="auto"/>
              </w:rPr>
            </w:pPr>
            <w:r>
              <w:rPr>
                <w:rFonts w:ascii="Arial" w:cs="Arial" w:eastAsia="Arial" w:hAnsi="Arial"/>
                <w:sz w:val="18"/>
                <w:szCs w:val="18"/>
                <w:color w:val="auto"/>
              </w:rPr>
              <w:t>appear in the Interactive Data File because its XBRL tags are</w:t>
            </w: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40" w:type="dxa"/>
            <w:vAlign w:val="bottom"/>
            <w:gridSpan w:val="19"/>
          </w:tcPr>
          <w:p>
            <w:pPr>
              <w:spacing w:after="0"/>
              <w:rPr>
                <w:sz w:val="20"/>
                <w:szCs w:val="20"/>
                <w:color w:val="auto"/>
              </w:rPr>
            </w:pPr>
            <w:r>
              <w:rPr>
                <w:rFonts w:ascii="Arial" w:cs="Arial" w:eastAsia="Arial" w:hAnsi="Arial"/>
                <w:sz w:val="18"/>
                <w:szCs w:val="18"/>
                <w:color w:val="auto"/>
              </w:rPr>
              <w:t>embedded within the Inline XBRL document</w:t>
            </w:r>
          </w:p>
        </w:tc>
        <w:tc>
          <w:tcPr>
            <w:tcW w:w="10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920" w:type="dxa"/>
            <w:vAlign w:val="bottom"/>
          </w:tcPr>
          <w:p>
            <w:pPr>
              <w:jc w:val="center"/>
              <w:spacing w:after="0"/>
              <w:rPr>
                <w:sz w:val="20"/>
                <w:szCs w:val="20"/>
                <w:color w:val="auto"/>
              </w:rPr>
            </w:pPr>
            <w:r>
              <w:rPr>
                <w:rFonts w:ascii="Arial" w:cs="Arial" w:eastAsia="Arial" w:hAnsi="Arial"/>
                <w:sz w:val="18"/>
                <w:szCs w:val="18"/>
                <w:color w:val="auto"/>
                <w:w w:val="93"/>
              </w:rPr>
              <w:t>101.SCH</w:t>
            </w:r>
          </w:p>
        </w:tc>
        <w:tc>
          <w:tcPr>
            <w:tcW w:w="140" w:type="dxa"/>
            <w:vAlign w:val="bottom"/>
          </w:tcPr>
          <w:p>
            <w:pPr>
              <w:spacing w:after="0"/>
              <w:rPr>
                <w:sz w:val="24"/>
                <w:szCs w:val="24"/>
                <w:color w:val="auto"/>
              </w:rPr>
            </w:pPr>
          </w:p>
        </w:tc>
        <w:tc>
          <w:tcPr>
            <w:tcW w:w="5040" w:type="dxa"/>
            <w:vAlign w:val="bottom"/>
            <w:gridSpan w:val="19"/>
          </w:tcPr>
          <w:p>
            <w:pPr>
              <w:spacing w:after="0"/>
              <w:rPr>
                <w:sz w:val="20"/>
                <w:szCs w:val="20"/>
                <w:color w:val="auto"/>
              </w:rPr>
            </w:pPr>
            <w:r>
              <w:rPr>
                <w:rFonts w:ascii="Arial" w:cs="Arial" w:eastAsia="Arial" w:hAnsi="Arial"/>
                <w:sz w:val="18"/>
                <w:szCs w:val="18"/>
                <w:color w:val="auto"/>
              </w:rPr>
              <w:t>Inline XBRL Taxonomy Extension Schema Document</w:t>
            </w:r>
          </w:p>
        </w:tc>
        <w:tc>
          <w:tcPr>
            <w:tcW w:w="1040" w:type="dxa"/>
            <w:vAlign w:val="bottom"/>
          </w:tcPr>
          <w:p>
            <w:pPr>
              <w:spacing w:after="0"/>
              <w:rPr>
                <w:sz w:val="24"/>
                <w:szCs w:val="24"/>
                <w:color w:val="auto"/>
              </w:rPr>
            </w:pPr>
          </w:p>
        </w:tc>
        <w:tc>
          <w:tcPr>
            <w:tcW w:w="2320" w:type="dxa"/>
            <w:vAlign w:val="bottom"/>
            <w:gridSpan w:val="2"/>
          </w:tcPr>
          <w:p>
            <w:pPr>
              <w:ind w:left="1100"/>
              <w:spacing w:after="0"/>
              <w:rPr>
                <w:sz w:val="20"/>
                <w:szCs w:val="20"/>
                <w:color w:val="auto"/>
              </w:rPr>
            </w:pPr>
            <w:r>
              <w:rPr>
                <w:rFonts w:ascii="Arial" w:cs="Arial" w:eastAsia="Arial" w:hAnsi="Arial"/>
                <w:sz w:val="18"/>
                <w:szCs w:val="18"/>
                <w:color w:val="auto"/>
              </w:rPr>
              <w:t>Filed herewith</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2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140" w:type="dxa"/>
            <w:vAlign w:val="bottom"/>
          </w:tcPr>
          <w:p>
            <w:pPr>
              <w:spacing w:after="0"/>
              <w:rPr>
                <w:sz w:val="24"/>
                <w:szCs w:val="24"/>
                <w:color w:val="auto"/>
              </w:rPr>
            </w:pPr>
          </w:p>
        </w:tc>
        <w:tc>
          <w:tcPr>
            <w:tcW w:w="5040" w:type="dxa"/>
            <w:vAlign w:val="bottom"/>
            <w:gridSpan w:val="19"/>
          </w:tcPr>
          <w:p>
            <w:pPr>
              <w:spacing w:after="0"/>
              <w:rPr>
                <w:sz w:val="20"/>
                <w:szCs w:val="20"/>
                <w:color w:val="auto"/>
              </w:rPr>
            </w:pPr>
            <w:r>
              <w:rPr>
                <w:rFonts w:ascii="Arial" w:cs="Arial" w:eastAsia="Arial" w:hAnsi="Arial"/>
                <w:sz w:val="18"/>
                <w:szCs w:val="18"/>
                <w:color w:val="auto"/>
                <w:w w:val="95"/>
              </w:rPr>
              <w:t>Inline XBRL Taxonomy Extension Calculation Linkbase Document</w:t>
            </w:r>
          </w:p>
        </w:tc>
        <w:tc>
          <w:tcPr>
            <w:tcW w:w="1040" w:type="dxa"/>
            <w:vAlign w:val="bottom"/>
          </w:tcPr>
          <w:p>
            <w:pPr>
              <w:spacing w:after="0"/>
              <w:rPr>
                <w:sz w:val="24"/>
                <w:szCs w:val="24"/>
                <w:color w:val="auto"/>
              </w:rPr>
            </w:pPr>
          </w:p>
        </w:tc>
        <w:tc>
          <w:tcPr>
            <w:tcW w:w="2320" w:type="dxa"/>
            <w:vAlign w:val="bottom"/>
            <w:gridSpan w:val="2"/>
          </w:tcPr>
          <w:p>
            <w:pPr>
              <w:ind w:left="1100"/>
              <w:spacing w:after="0"/>
              <w:rPr>
                <w:sz w:val="20"/>
                <w:szCs w:val="20"/>
                <w:color w:val="auto"/>
              </w:rPr>
            </w:pPr>
            <w:r>
              <w:rPr>
                <w:rFonts w:ascii="Arial" w:cs="Arial" w:eastAsia="Arial" w:hAnsi="Arial"/>
                <w:sz w:val="18"/>
                <w:szCs w:val="18"/>
                <w:color w:val="auto"/>
              </w:rPr>
              <w:t>Filed herewith</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20" w:type="dxa"/>
            <w:vAlign w:val="bottom"/>
          </w:tcPr>
          <w:p>
            <w:pPr>
              <w:jc w:val="center"/>
              <w:spacing w:after="0"/>
              <w:rPr>
                <w:sz w:val="20"/>
                <w:szCs w:val="20"/>
                <w:color w:val="auto"/>
              </w:rPr>
            </w:pPr>
            <w:r>
              <w:rPr>
                <w:rFonts w:ascii="Arial" w:cs="Arial" w:eastAsia="Arial" w:hAnsi="Arial"/>
                <w:sz w:val="18"/>
                <w:szCs w:val="18"/>
                <w:color w:val="auto"/>
                <w:w w:val="90"/>
              </w:rPr>
              <w:t>101.DEF</w:t>
            </w:r>
          </w:p>
        </w:tc>
        <w:tc>
          <w:tcPr>
            <w:tcW w:w="140" w:type="dxa"/>
            <w:vAlign w:val="bottom"/>
          </w:tcPr>
          <w:p>
            <w:pPr>
              <w:spacing w:after="0"/>
              <w:rPr>
                <w:sz w:val="24"/>
                <w:szCs w:val="24"/>
                <w:color w:val="auto"/>
              </w:rPr>
            </w:pPr>
          </w:p>
        </w:tc>
        <w:tc>
          <w:tcPr>
            <w:tcW w:w="5040" w:type="dxa"/>
            <w:vAlign w:val="bottom"/>
            <w:gridSpan w:val="19"/>
          </w:tcPr>
          <w:p>
            <w:pPr>
              <w:spacing w:after="0"/>
              <w:rPr>
                <w:sz w:val="20"/>
                <w:szCs w:val="20"/>
                <w:color w:val="auto"/>
              </w:rPr>
            </w:pPr>
            <w:r>
              <w:rPr>
                <w:rFonts w:ascii="Arial" w:cs="Arial" w:eastAsia="Arial" w:hAnsi="Arial"/>
                <w:sz w:val="18"/>
                <w:szCs w:val="18"/>
                <w:color w:val="auto"/>
                <w:w w:val="97"/>
              </w:rPr>
              <w:t>Inline XBRL Taxonomy Extension Definition Linkbase Document</w:t>
            </w:r>
          </w:p>
        </w:tc>
        <w:tc>
          <w:tcPr>
            <w:tcW w:w="1040" w:type="dxa"/>
            <w:vAlign w:val="bottom"/>
          </w:tcPr>
          <w:p>
            <w:pPr>
              <w:spacing w:after="0"/>
              <w:rPr>
                <w:sz w:val="24"/>
                <w:szCs w:val="24"/>
                <w:color w:val="auto"/>
              </w:rPr>
            </w:pPr>
          </w:p>
        </w:tc>
        <w:tc>
          <w:tcPr>
            <w:tcW w:w="2320" w:type="dxa"/>
            <w:vAlign w:val="bottom"/>
            <w:gridSpan w:val="2"/>
          </w:tcPr>
          <w:p>
            <w:pPr>
              <w:ind w:left="1100"/>
              <w:spacing w:after="0"/>
              <w:rPr>
                <w:sz w:val="20"/>
                <w:szCs w:val="20"/>
                <w:color w:val="auto"/>
              </w:rPr>
            </w:pPr>
            <w:r>
              <w:rPr>
                <w:rFonts w:ascii="Arial" w:cs="Arial" w:eastAsia="Arial" w:hAnsi="Arial"/>
                <w:sz w:val="18"/>
                <w:szCs w:val="18"/>
                <w:color w:val="auto"/>
              </w:rPr>
              <w:t>Filed herewith</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2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140" w:type="dxa"/>
            <w:vAlign w:val="bottom"/>
          </w:tcPr>
          <w:p>
            <w:pPr>
              <w:spacing w:after="0"/>
              <w:rPr>
                <w:sz w:val="24"/>
                <w:szCs w:val="24"/>
                <w:color w:val="auto"/>
              </w:rPr>
            </w:pPr>
          </w:p>
        </w:tc>
        <w:tc>
          <w:tcPr>
            <w:tcW w:w="5040" w:type="dxa"/>
            <w:vAlign w:val="bottom"/>
            <w:gridSpan w:val="19"/>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040" w:type="dxa"/>
            <w:vAlign w:val="bottom"/>
          </w:tcPr>
          <w:p>
            <w:pPr>
              <w:spacing w:after="0"/>
              <w:rPr>
                <w:sz w:val="24"/>
                <w:szCs w:val="24"/>
                <w:color w:val="auto"/>
              </w:rPr>
            </w:pPr>
          </w:p>
        </w:tc>
        <w:tc>
          <w:tcPr>
            <w:tcW w:w="2320" w:type="dxa"/>
            <w:vAlign w:val="bottom"/>
            <w:gridSpan w:val="2"/>
          </w:tcPr>
          <w:p>
            <w:pPr>
              <w:ind w:left="1100"/>
              <w:spacing w:after="0"/>
              <w:rPr>
                <w:sz w:val="20"/>
                <w:szCs w:val="20"/>
                <w:color w:val="auto"/>
              </w:rPr>
            </w:pPr>
            <w:r>
              <w:rPr>
                <w:rFonts w:ascii="Arial" w:cs="Arial" w:eastAsia="Arial" w:hAnsi="Arial"/>
                <w:sz w:val="18"/>
                <w:szCs w:val="18"/>
                <w:color w:val="auto"/>
              </w:rPr>
              <w:t>Filed herewith</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140" w:type="dxa"/>
            <w:vAlign w:val="bottom"/>
          </w:tcPr>
          <w:p>
            <w:pPr>
              <w:spacing w:after="0"/>
              <w:rPr>
                <w:sz w:val="24"/>
                <w:szCs w:val="24"/>
                <w:color w:val="auto"/>
              </w:rPr>
            </w:pPr>
          </w:p>
        </w:tc>
        <w:tc>
          <w:tcPr>
            <w:tcW w:w="5040" w:type="dxa"/>
            <w:vAlign w:val="bottom"/>
            <w:gridSpan w:val="19"/>
          </w:tcPr>
          <w:p>
            <w:pPr>
              <w:spacing w:after="0"/>
              <w:rPr>
                <w:sz w:val="20"/>
                <w:szCs w:val="20"/>
                <w:color w:val="auto"/>
              </w:rPr>
            </w:pPr>
            <w:r>
              <w:rPr>
                <w:rFonts w:ascii="Arial" w:cs="Arial" w:eastAsia="Arial" w:hAnsi="Arial"/>
                <w:sz w:val="18"/>
                <w:szCs w:val="18"/>
                <w:color w:val="auto"/>
                <w:w w:val="93"/>
              </w:rPr>
              <w:t>Inline XBRL Taxonomy Extension Presentation Linkbase Document</w:t>
            </w:r>
          </w:p>
        </w:tc>
        <w:tc>
          <w:tcPr>
            <w:tcW w:w="1040" w:type="dxa"/>
            <w:vAlign w:val="bottom"/>
          </w:tcPr>
          <w:p>
            <w:pPr>
              <w:spacing w:after="0"/>
              <w:rPr>
                <w:sz w:val="24"/>
                <w:szCs w:val="24"/>
                <w:color w:val="auto"/>
              </w:rPr>
            </w:pPr>
          </w:p>
        </w:tc>
        <w:tc>
          <w:tcPr>
            <w:tcW w:w="2320" w:type="dxa"/>
            <w:vAlign w:val="bottom"/>
            <w:gridSpan w:val="2"/>
          </w:tcPr>
          <w:p>
            <w:pPr>
              <w:ind w:left="1100"/>
              <w:spacing w:after="0"/>
              <w:rPr>
                <w:sz w:val="20"/>
                <w:szCs w:val="20"/>
                <w:color w:val="auto"/>
              </w:rPr>
            </w:pPr>
            <w:r>
              <w:rPr>
                <w:rFonts w:ascii="Arial" w:cs="Arial" w:eastAsia="Arial" w:hAnsi="Arial"/>
                <w:sz w:val="18"/>
                <w:szCs w:val="18"/>
                <w:color w:val="auto"/>
              </w:rPr>
              <w:t>Filed herewith</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920" w:type="dxa"/>
            <w:vAlign w:val="bottom"/>
          </w:tcPr>
          <w:p>
            <w:pPr>
              <w:jc w:val="center"/>
              <w:spacing w:after="0"/>
              <w:rPr>
                <w:sz w:val="20"/>
                <w:szCs w:val="20"/>
                <w:color w:val="auto"/>
              </w:rPr>
            </w:pPr>
            <w:r>
              <w:rPr>
                <w:rFonts w:ascii="Arial" w:cs="Arial" w:eastAsia="Arial" w:hAnsi="Arial"/>
                <w:sz w:val="18"/>
                <w:szCs w:val="18"/>
                <w:color w:val="auto"/>
                <w:w w:val="93"/>
              </w:rPr>
              <w:t>104</w:t>
            </w:r>
          </w:p>
        </w:tc>
        <w:tc>
          <w:tcPr>
            <w:tcW w:w="140" w:type="dxa"/>
            <w:vAlign w:val="bottom"/>
          </w:tcPr>
          <w:p>
            <w:pPr>
              <w:spacing w:after="0"/>
              <w:rPr>
                <w:sz w:val="24"/>
                <w:szCs w:val="24"/>
                <w:color w:val="auto"/>
              </w:rPr>
            </w:pPr>
          </w:p>
        </w:tc>
        <w:tc>
          <w:tcPr>
            <w:tcW w:w="5040" w:type="dxa"/>
            <w:vAlign w:val="bottom"/>
            <w:gridSpan w:val="19"/>
          </w:tcPr>
          <w:p>
            <w:pPr>
              <w:spacing w:after="0"/>
              <w:rPr>
                <w:sz w:val="20"/>
                <w:szCs w:val="20"/>
                <w:color w:val="auto"/>
              </w:rPr>
            </w:pPr>
            <w:r>
              <w:rPr>
                <w:rFonts w:ascii="Arial" w:cs="Arial" w:eastAsia="Arial" w:hAnsi="Arial"/>
                <w:sz w:val="18"/>
                <w:szCs w:val="18"/>
                <w:color w:val="auto"/>
                <w:w w:val="99"/>
              </w:rPr>
              <w:t>Cover Page Interactive Data File (formatted as inline XBRL and</w:t>
            </w:r>
          </w:p>
        </w:tc>
        <w:tc>
          <w:tcPr>
            <w:tcW w:w="1040" w:type="dxa"/>
            <w:vAlign w:val="bottom"/>
          </w:tcPr>
          <w:p>
            <w:pPr>
              <w:spacing w:after="0"/>
              <w:rPr>
                <w:sz w:val="24"/>
                <w:szCs w:val="24"/>
                <w:color w:val="auto"/>
              </w:rPr>
            </w:pPr>
          </w:p>
        </w:tc>
        <w:tc>
          <w:tcPr>
            <w:tcW w:w="2320" w:type="dxa"/>
            <w:vAlign w:val="bottom"/>
            <w:gridSpan w:val="2"/>
          </w:tcPr>
          <w:p>
            <w:pPr>
              <w:ind w:left="1100"/>
              <w:spacing w:after="0"/>
              <w:rPr>
                <w:sz w:val="20"/>
                <w:szCs w:val="20"/>
                <w:color w:val="auto"/>
              </w:rPr>
            </w:pPr>
            <w:r>
              <w:rPr>
                <w:rFonts w:ascii="Arial" w:cs="Arial" w:eastAsia="Arial" w:hAnsi="Arial"/>
                <w:sz w:val="18"/>
                <w:szCs w:val="18"/>
                <w:color w:val="auto"/>
              </w:rPr>
              <w:t>Filed herewith</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40" w:type="dxa"/>
            <w:vAlign w:val="bottom"/>
            <w:gridSpan w:val="19"/>
          </w:tcPr>
          <w:p>
            <w:pPr>
              <w:spacing w:after="0"/>
              <w:rPr>
                <w:sz w:val="20"/>
                <w:szCs w:val="20"/>
                <w:color w:val="auto"/>
              </w:rPr>
            </w:pPr>
            <w:r>
              <w:rPr>
                <w:rFonts w:ascii="Arial" w:cs="Arial" w:eastAsia="Arial" w:hAnsi="Arial"/>
                <w:sz w:val="18"/>
                <w:szCs w:val="18"/>
                <w:color w:val="auto"/>
              </w:rPr>
              <w:t>contained in Exhibit 101)</w:t>
            </w:r>
          </w:p>
        </w:tc>
        <w:tc>
          <w:tcPr>
            <w:tcW w:w="10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w:t>
      </w:r>
    </w:p>
    <w:p>
      <w:pPr>
        <w:spacing w:after="0" w:line="117" w:lineRule="exact"/>
        <w:rPr>
          <w:sz w:val="20"/>
          <w:szCs w:val="20"/>
          <w:color w:val="auto"/>
        </w:rPr>
      </w:pPr>
    </w:p>
    <w:p>
      <w:pPr>
        <w:ind w:right="140" w:firstLine="8"/>
        <w:spacing w:after="0" w:line="263" w:lineRule="auto"/>
        <w:tabs>
          <w:tab w:leader="none" w:pos="1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Pursuant to Item 601(b)(10) of Regulation S-K, certain portions of this exhibit have been omitted by means of marking such portions with asterisks because the registrant has determined that the information is the type that the registrant customarily and actually treats as private or confidential and is not material.</w:t>
      </w:r>
    </w:p>
    <w:p>
      <w:pPr>
        <w:spacing w:after="0" w:line="76" w:lineRule="exact"/>
        <w:rPr>
          <w:sz w:val="20"/>
          <w:szCs w:val="20"/>
          <w:color w:val="auto"/>
        </w:rPr>
      </w:pPr>
    </w:p>
    <w:p>
      <w:pPr>
        <w:ind w:right="80" w:firstLine="8"/>
        <w:spacing w:after="0" w:line="259" w:lineRule="auto"/>
        <w:tabs>
          <w:tab w:leader="none" w:pos="13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in Exhibits 32.1 and 32.2 shall not be deemed “filed” for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(including this Quarterly Report on Form 10-Q), unless the Registrant specifically incorporates the foregoing information into those documents by reference.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2">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p>
        </w:tc>
        <w:tc>
          <w:tcPr>
            <w:tcW w:w="7840" w:type="dxa"/>
            <w:vAlign w:val="bottom"/>
            <w:gridSpan w:val="2"/>
          </w:tcPr>
          <w:p>
            <w:pPr>
              <w:ind w:left="1960"/>
              <w:spacing w:after="0"/>
              <w:rPr>
                <w:sz w:val="20"/>
                <w:szCs w:val="20"/>
                <w:color w:val="auto"/>
              </w:rPr>
            </w:pPr>
            <w:r>
              <w:rPr>
                <w:rFonts w:ascii="Arial" w:cs="Arial" w:eastAsia="Arial" w:hAnsi="Arial"/>
                <w:sz w:val="18"/>
                <w:szCs w:val="18"/>
                <w:color w:val="auto"/>
              </w:rPr>
              <w:t>SPRUCE BIOSCIENCES, INC.</w:t>
            </w:r>
          </w:p>
        </w:tc>
      </w:tr>
      <w:tr>
        <w:trPr>
          <w:trHeight w:val="499"/>
        </w:trPr>
        <w:tc>
          <w:tcPr>
            <w:tcW w:w="3380" w:type="dxa"/>
            <w:vAlign w:val="bottom"/>
          </w:tcPr>
          <w:p>
            <w:pPr>
              <w:spacing w:after="0"/>
              <w:rPr>
                <w:sz w:val="20"/>
                <w:szCs w:val="20"/>
                <w:color w:val="auto"/>
              </w:rPr>
            </w:pPr>
            <w:r>
              <w:rPr>
                <w:rFonts w:ascii="Arial" w:cs="Arial" w:eastAsia="Arial" w:hAnsi="Arial"/>
                <w:sz w:val="18"/>
                <w:szCs w:val="18"/>
                <w:color w:val="auto"/>
              </w:rPr>
              <w:t>Date: May 15, 2023</w:t>
            </w:r>
          </w:p>
        </w:tc>
        <w:tc>
          <w:tcPr>
            <w:tcW w:w="2300" w:type="dxa"/>
            <w:vAlign w:val="bottom"/>
          </w:tcPr>
          <w:p>
            <w:pPr>
              <w:ind w:left="1960"/>
              <w:spacing w:after="0"/>
              <w:rPr>
                <w:sz w:val="20"/>
                <w:szCs w:val="20"/>
                <w:color w:val="auto"/>
              </w:rPr>
            </w:pPr>
            <w:r>
              <w:rPr>
                <w:rFonts w:ascii="Arial" w:cs="Arial" w:eastAsia="Arial" w:hAnsi="Arial"/>
                <w:sz w:val="18"/>
                <w:szCs w:val="18"/>
                <w:color w:val="auto"/>
              </w:rPr>
              <w:t>By:</w:t>
            </w:r>
          </w:p>
        </w:tc>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/s/ Javier Szwarcberg M.D., MPH</w:t>
            </w:r>
          </w:p>
        </w:tc>
      </w:tr>
      <w:tr>
        <w:trPr>
          <w:trHeight w:val="224"/>
        </w:trPr>
        <w:tc>
          <w:tcPr>
            <w:tcW w:w="33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540" w:type="dxa"/>
            <w:vAlign w:val="bottom"/>
          </w:tcPr>
          <w:p>
            <w:pPr>
              <w:jc w:val="center"/>
              <w:spacing w:after="0"/>
              <w:rPr>
                <w:sz w:val="20"/>
                <w:szCs w:val="20"/>
                <w:color w:val="auto"/>
              </w:rPr>
            </w:pPr>
            <w:r>
              <w:rPr>
                <w:rFonts w:ascii="Arial" w:cs="Arial" w:eastAsia="Arial" w:hAnsi="Arial"/>
                <w:sz w:val="18"/>
                <w:szCs w:val="18"/>
                <w:color w:val="auto"/>
                <w:w w:val="91"/>
              </w:rPr>
              <w:t>Javier Szwarcberg, M.D., MPH</w:t>
            </w:r>
          </w:p>
        </w:tc>
      </w:tr>
      <w:tr>
        <w:trPr>
          <w:trHeight w:val="228"/>
        </w:trPr>
        <w:tc>
          <w:tcPr>
            <w:tcW w:w="33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54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230"/>
        </w:trPr>
        <w:tc>
          <w:tcPr>
            <w:tcW w:w="33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54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499"/>
        </w:trPr>
        <w:tc>
          <w:tcPr>
            <w:tcW w:w="3380" w:type="dxa"/>
            <w:vAlign w:val="bottom"/>
          </w:tcPr>
          <w:p>
            <w:pPr>
              <w:spacing w:after="0"/>
              <w:rPr>
                <w:sz w:val="20"/>
                <w:szCs w:val="20"/>
                <w:color w:val="auto"/>
              </w:rPr>
            </w:pPr>
            <w:r>
              <w:rPr>
                <w:rFonts w:ascii="Arial" w:cs="Arial" w:eastAsia="Arial" w:hAnsi="Arial"/>
                <w:sz w:val="18"/>
                <w:szCs w:val="18"/>
                <w:color w:val="auto"/>
              </w:rPr>
              <w:t>Date: May 15, 2023</w:t>
            </w:r>
          </w:p>
        </w:tc>
        <w:tc>
          <w:tcPr>
            <w:tcW w:w="2300" w:type="dxa"/>
            <w:vAlign w:val="bottom"/>
          </w:tcPr>
          <w:p>
            <w:pPr>
              <w:ind w:left="1960"/>
              <w:spacing w:after="0"/>
              <w:rPr>
                <w:sz w:val="20"/>
                <w:szCs w:val="20"/>
                <w:color w:val="auto"/>
              </w:rPr>
            </w:pPr>
            <w:r>
              <w:rPr>
                <w:rFonts w:ascii="Arial" w:cs="Arial" w:eastAsia="Arial" w:hAnsi="Arial"/>
                <w:sz w:val="18"/>
                <w:szCs w:val="18"/>
                <w:color w:val="auto"/>
              </w:rPr>
              <w:t>By:</w:t>
            </w:r>
          </w:p>
        </w:tc>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3"/>
              </w:rPr>
              <w:t>/s/ Samir Gharib</w:t>
            </w:r>
          </w:p>
        </w:tc>
      </w:tr>
      <w:tr>
        <w:trPr>
          <w:trHeight w:val="224"/>
        </w:trPr>
        <w:tc>
          <w:tcPr>
            <w:tcW w:w="33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540" w:type="dxa"/>
            <w:vAlign w:val="bottom"/>
          </w:tcPr>
          <w:p>
            <w:pPr>
              <w:jc w:val="center"/>
              <w:spacing w:after="0"/>
              <w:rPr>
                <w:sz w:val="20"/>
                <w:szCs w:val="20"/>
                <w:color w:val="auto"/>
              </w:rPr>
            </w:pPr>
            <w:r>
              <w:rPr>
                <w:rFonts w:ascii="Arial" w:cs="Arial" w:eastAsia="Arial" w:hAnsi="Arial"/>
                <w:sz w:val="18"/>
                <w:szCs w:val="18"/>
                <w:color w:val="auto"/>
                <w:w w:val="92"/>
              </w:rPr>
              <w:t>Samir Gharib</w:t>
            </w:r>
          </w:p>
        </w:tc>
      </w:tr>
    </w:tbl>
    <w:p>
      <w:pPr>
        <w:spacing w:after="0" w:line="12" w:lineRule="exact"/>
        <w:rPr>
          <w:sz w:val="20"/>
          <w:szCs w:val="20"/>
          <w:color w:val="auto"/>
        </w:rPr>
      </w:pPr>
    </w:p>
    <w:p>
      <w:pPr>
        <w:jc w:val="center"/>
        <w:ind w:left="5680"/>
        <w:spacing w:after="0"/>
        <w:rPr>
          <w:sz w:val="20"/>
          <w:szCs w:val="20"/>
          <w:color w:val="auto"/>
        </w:rPr>
      </w:pPr>
      <w:r>
        <w:rPr>
          <w:rFonts w:ascii="Arial" w:cs="Arial" w:eastAsia="Arial" w:hAnsi="Arial"/>
          <w:sz w:val="18"/>
          <w:szCs w:val="18"/>
          <w:color w:val="auto"/>
        </w:rPr>
        <w:t>President and Chief Financial Officer</w:t>
      </w:r>
    </w:p>
    <w:p>
      <w:pPr>
        <w:spacing w:after="0" w:line="23" w:lineRule="exact"/>
        <w:rPr>
          <w:sz w:val="20"/>
          <w:szCs w:val="20"/>
          <w:color w:val="auto"/>
        </w:rPr>
      </w:pPr>
    </w:p>
    <w:p>
      <w:pPr>
        <w:jc w:val="center"/>
        <w:ind w:left="56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0" w:name="page81"/>
    <w:bookmarkEnd w:id="80"/>
    <w:p>
      <w:pPr>
        <w:ind w:left="10180"/>
        <w:spacing w:after="0"/>
        <w:rPr>
          <w:sz w:val="20"/>
          <w:szCs w:val="20"/>
          <w:color w:val="auto"/>
        </w:rPr>
      </w:pPr>
      <w:r>
        <w:rPr>
          <w:rFonts w:ascii="Arial" w:cs="Arial" w:eastAsia="Arial" w:hAnsi="Arial"/>
          <w:sz w:val="19"/>
          <w:szCs w:val="19"/>
          <w:color w:val="auto"/>
        </w:rPr>
        <w:t>Exhibit 10.1</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SPRUCE BIOSCIENCES, INC.</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NON-EMPLOYEE DIRECTOR COMPENSATION POLICY</w:t>
      </w:r>
    </w:p>
    <w:p>
      <w:pPr>
        <w:spacing w:after="0" w:line="200" w:lineRule="exact"/>
        <w:rPr>
          <w:sz w:val="20"/>
          <w:szCs w:val="20"/>
          <w:color w:val="auto"/>
        </w:rPr>
      </w:pPr>
    </w:p>
    <w:p>
      <w:pPr>
        <w:spacing w:after="0" w:line="28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Each member of the Board of Directors (the “</w:t>
      </w:r>
      <w:r>
        <w:rPr>
          <w:rFonts w:ascii="Arial" w:cs="Arial" w:eastAsia="Arial" w:hAnsi="Arial"/>
          <w:sz w:val="21"/>
          <w:szCs w:val="21"/>
          <w:b w:val="1"/>
          <w:bCs w:val="1"/>
          <w:i w:val="1"/>
          <w:iCs w:val="1"/>
          <w:color w:val="auto"/>
        </w:rPr>
        <w:t>Board</w:t>
      </w:r>
      <w:r>
        <w:rPr>
          <w:rFonts w:ascii="Arial" w:cs="Arial" w:eastAsia="Arial" w:hAnsi="Arial"/>
          <w:sz w:val="21"/>
          <w:szCs w:val="21"/>
          <w:color w:val="auto"/>
        </w:rPr>
        <w:t>”) who is not also serving as an employee of or consultant to Spruce Biosciences, Inc.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or any of its subsidiaries (each such member, an “</w:t>
      </w:r>
      <w:r>
        <w:rPr>
          <w:rFonts w:ascii="Arial" w:cs="Arial" w:eastAsia="Arial" w:hAnsi="Arial"/>
          <w:sz w:val="21"/>
          <w:szCs w:val="21"/>
          <w:b w:val="1"/>
          <w:bCs w:val="1"/>
          <w:i w:val="1"/>
          <w:iCs w:val="1"/>
          <w:color w:val="auto"/>
        </w:rPr>
        <w:t>Eligible Director</w:t>
      </w:r>
      <w:r>
        <w:rPr>
          <w:rFonts w:ascii="Arial" w:cs="Arial" w:eastAsia="Arial" w:hAnsi="Arial"/>
          <w:sz w:val="21"/>
          <w:szCs w:val="21"/>
          <w:color w:val="auto"/>
        </w:rPr>
        <w:t>”) will receive the compensation described in this Non-Employee Director Compensation Policy for his or her Board service upon and following the date of the underwriting agreement between the Company and the underwriters managing the initial public offering of the Company’s common stock (the “</w:t>
      </w:r>
      <w:r>
        <w:rPr>
          <w:rFonts w:ascii="Arial" w:cs="Arial" w:eastAsia="Arial" w:hAnsi="Arial"/>
          <w:sz w:val="21"/>
          <w:szCs w:val="21"/>
          <w:b w:val="1"/>
          <w:bCs w:val="1"/>
          <w:i w:val="1"/>
          <w:iCs w:val="1"/>
          <w:color w:val="auto"/>
        </w:rPr>
        <w:t>Common Stock</w:t>
      </w:r>
      <w:r>
        <w:rPr>
          <w:rFonts w:ascii="Arial" w:cs="Arial" w:eastAsia="Arial" w:hAnsi="Arial"/>
          <w:sz w:val="21"/>
          <w:szCs w:val="21"/>
          <w:color w:val="auto"/>
        </w:rPr>
        <w:t>”), pursuant to which the Common Stock is priced in such initial public offering (the “</w:t>
      </w:r>
      <w:r>
        <w:rPr>
          <w:rFonts w:ascii="Arial" w:cs="Arial" w:eastAsia="Arial" w:hAnsi="Arial"/>
          <w:sz w:val="21"/>
          <w:szCs w:val="21"/>
          <w:b w:val="1"/>
          <w:bCs w:val="1"/>
          <w:i w:val="1"/>
          <w:iCs w:val="1"/>
          <w:color w:val="auto"/>
        </w:rPr>
        <w:t>Effective Date</w:t>
      </w:r>
      <w:r>
        <w:rPr>
          <w:rFonts w:ascii="Arial" w:cs="Arial" w:eastAsia="Arial" w:hAnsi="Arial"/>
          <w:sz w:val="21"/>
          <w:szCs w:val="21"/>
          <w:color w:val="auto"/>
        </w:rPr>
        <w:t>”). An Eligible Director may decline all or any portion of his or her compensation by giving notice to the Company prior to the date cash may be paid or equity awards are to be granted, as the case may be. This policy is effective as of the Effective Date and may be amended at any time in the sole discretion of the Board.</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Cash Compensation</w:t>
      </w:r>
    </w:p>
    <w:p>
      <w:pPr>
        <w:spacing w:after="0" w:line="23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annual cash compensation amount set forth below is payable to Eligible Directors in equal quarterly installments, payable in arrears on the last day of each fiscal quarter in which the service occurred. If an Eligible Director joins the Board or a committee of the Board at a time other than effective as of the first day of a fiscal quarter, each annual retainer set forth below will be pro-rated based on days served in the applicable fiscal year, with the pro-rated amount paid for the first fiscal quarter in which the Eligible Director provides the service and regular full quarterly payments thereafter. All annual cash fees are vested upon payment.</w:t>
      </w:r>
    </w:p>
    <w:p>
      <w:pPr>
        <w:spacing w:after="0" w:line="215" w:lineRule="exact"/>
        <w:rPr>
          <w:sz w:val="20"/>
          <w:szCs w:val="20"/>
          <w:color w:val="auto"/>
        </w:rPr>
      </w:pPr>
    </w:p>
    <w:p>
      <w:pPr>
        <w:ind w:left="760" w:hanging="752"/>
        <w:spacing w:after="0"/>
        <w:tabs>
          <w:tab w:leader="none" w:pos="76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Annual Board Service Retainer</w:t>
      </w:r>
      <w:r>
        <w:rPr>
          <w:rFonts w:ascii="Arial" w:cs="Arial" w:eastAsia="Arial" w:hAnsi="Arial"/>
          <w:sz w:val="22"/>
          <w:szCs w:val="22"/>
          <w:color w:val="auto"/>
        </w:rPr>
        <w:t>:</w:t>
      </w:r>
    </w:p>
    <w:p>
      <w:pPr>
        <w:spacing w:after="0" w:line="8" w:lineRule="exact"/>
        <w:rPr>
          <w:rFonts w:ascii="Arial" w:cs="Arial" w:eastAsia="Arial" w:hAnsi="Arial"/>
          <w:sz w:val="22"/>
          <w:szCs w:val="22"/>
          <w:color w:val="auto"/>
        </w:rPr>
      </w:pPr>
    </w:p>
    <w:p>
      <w:pPr>
        <w:ind w:left="1180" w:hanging="423"/>
        <w:spacing w:after="0" w:line="230" w:lineRule="auto"/>
        <w:tabs>
          <w:tab w:leader="none" w:pos="1180" w:val="left"/>
        </w:tabs>
        <w:numPr>
          <w:ilvl w:val="1"/>
          <w:numId w:val="44"/>
        </w:numPr>
        <w:rPr>
          <w:rFonts w:ascii="Arial" w:cs="Arial" w:eastAsia="Arial" w:hAnsi="Arial"/>
          <w:sz w:val="22"/>
          <w:szCs w:val="22"/>
          <w:color w:val="auto"/>
        </w:rPr>
      </w:pPr>
      <w:r>
        <w:rPr>
          <w:rFonts w:ascii="Arial" w:cs="Arial" w:eastAsia="Arial" w:hAnsi="Arial"/>
          <w:sz w:val="22"/>
          <w:szCs w:val="22"/>
          <w:color w:val="auto"/>
        </w:rPr>
        <w:t>All Eligible Directors: $40,000</w:t>
      </w:r>
    </w:p>
    <w:p>
      <w:pPr>
        <w:ind w:left="820"/>
        <w:spacing w:after="0"/>
        <w:rPr>
          <w:rFonts w:ascii="Arial" w:cs="Arial" w:eastAsia="Arial" w:hAnsi="Arial"/>
          <w:sz w:val="22"/>
          <w:szCs w:val="22"/>
          <w:color w:val="auto"/>
        </w:rPr>
      </w:pPr>
      <w:r>
        <w:rPr>
          <w:rFonts w:ascii="Arial" w:cs="Arial" w:eastAsia="Arial" w:hAnsi="Arial"/>
          <w:sz w:val="22"/>
          <w:szCs w:val="22"/>
          <w:color w:val="auto"/>
        </w:rPr>
        <w:t>b.</w:t>
      </w:r>
      <w:r>
        <w:rPr>
          <w:rFonts w:ascii="Arial" w:cs="Arial" w:eastAsia="Arial" w:hAnsi="Arial"/>
          <w:sz w:val="19"/>
          <w:szCs w:val="19"/>
          <w:color w:val="auto"/>
        </w:rPr>
        <w:t>Executive Chairman of the Board Service Retainer (in addition to Eligible Director Service Retainer): $30,000</w:t>
      </w:r>
    </w:p>
    <w:p>
      <w:pPr>
        <w:spacing w:after="0" w:line="215" w:lineRule="exact"/>
        <w:rPr>
          <w:rFonts w:ascii="Arial" w:cs="Arial" w:eastAsia="Arial" w:hAnsi="Arial"/>
          <w:sz w:val="22"/>
          <w:szCs w:val="22"/>
          <w:color w:val="auto"/>
        </w:rPr>
      </w:pPr>
    </w:p>
    <w:p>
      <w:pPr>
        <w:ind w:left="760" w:hanging="752"/>
        <w:spacing w:after="0"/>
        <w:tabs>
          <w:tab w:leader="none" w:pos="76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Annual Committee Chair Service Retainer (in lieu of Annual Committee Member Service Retainer)</w:t>
      </w:r>
      <w:r>
        <w:rPr>
          <w:rFonts w:ascii="Arial" w:cs="Arial" w:eastAsia="Arial" w:hAnsi="Arial"/>
          <w:sz w:val="22"/>
          <w:szCs w:val="22"/>
          <w:color w:val="auto"/>
        </w:rPr>
        <w:t>:</w:t>
      </w:r>
    </w:p>
    <w:p>
      <w:pPr>
        <w:spacing w:after="0" w:line="8" w:lineRule="exact"/>
        <w:rPr>
          <w:rFonts w:ascii="Arial" w:cs="Arial" w:eastAsia="Arial" w:hAnsi="Arial"/>
          <w:sz w:val="22"/>
          <w:szCs w:val="22"/>
          <w:color w:val="auto"/>
        </w:rPr>
      </w:pPr>
    </w:p>
    <w:p>
      <w:pPr>
        <w:ind w:left="1180" w:hanging="423"/>
        <w:spacing w:after="0" w:line="230" w:lineRule="auto"/>
        <w:tabs>
          <w:tab w:leader="none" w:pos="1180" w:val="left"/>
        </w:tabs>
        <w:numPr>
          <w:ilvl w:val="1"/>
          <w:numId w:val="44"/>
        </w:numPr>
        <w:rPr>
          <w:rFonts w:ascii="Arial" w:cs="Arial" w:eastAsia="Arial" w:hAnsi="Arial"/>
          <w:sz w:val="22"/>
          <w:szCs w:val="22"/>
          <w:color w:val="auto"/>
        </w:rPr>
      </w:pPr>
      <w:r>
        <w:rPr>
          <w:rFonts w:ascii="Arial" w:cs="Arial" w:eastAsia="Arial" w:hAnsi="Arial"/>
          <w:sz w:val="22"/>
          <w:szCs w:val="22"/>
          <w:color w:val="auto"/>
        </w:rPr>
        <w:t>Chair of the Audit Committee: $15,000</w:t>
      </w:r>
    </w:p>
    <w:p>
      <w:pPr>
        <w:ind w:left="1180" w:hanging="423"/>
        <w:spacing w:after="0" w:line="230" w:lineRule="auto"/>
        <w:tabs>
          <w:tab w:leader="none" w:pos="1180" w:val="left"/>
        </w:tabs>
        <w:numPr>
          <w:ilvl w:val="1"/>
          <w:numId w:val="44"/>
        </w:numPr>
        <w:rPr>
          <w:rFonts w:ascii="Arial" w:cs="Arial" w:eastAsia="Arial" w:hAnsi="Arial"/>
          <w:sz w:val="22"/>
          <w:szCs w:val="22"/>
          <w:color w:val="auto"/>
        </w:rPr>
      </w:pPr>
      <w:r>
        <w:rPr>
          <w:rFonts w:ascii="Arial" w:cs="Arial" w:eastAsia="Arial" w:hAnsi="Arial"/>
          <w:sz w:val="22"/>
          <w:szCs w:val="22"/>
          <w:color w:val="auto"/>
        </w:rPr>
        <w:t>Chair of the Compensation Committee: $10,000</w:t>
      </w:r>
    </w:p>
    <w:p>
      <w:pPr>
        <w:ind w:left="1180" w:hanging="423"/>
        <w:spacing w:after="0"/>
        <w:tabs>
          <w:tab w:leader="none" w:pos="1180" w:val="left"/>
        </w:tabs>
        <w:numPr>
          <w:ilvl w:val="1"/>
          <w:numId w:val="44"/>
        </w:numPr>
        <w:rPr>
          <w:rFonts w:ascii="Arial" w:cs="Arial" w:eastAsia="Arial" w:hAnsi="Arial"/>
          <w:sz w:val="22"/>
          <w:szCs w:val="22"/>
          <w:color w:val="auto"/>
        </w:rPr>
      </w:pPr>
      <w:r>
        <w:rPr>
          <w:rFonts w:ascii="Arial" w:cs="Arial" w:eastAsia="Arial" w:hAnsi="Arial"/>
          <w:sz w:val="22"/>
          <w:szCs w:val="22"/>
          <w:color w:val="auto"/>
        </w:rPr>
        <w:t>Chair of the Nominating and Corporate Governance Committee: $8,000</w:t>
      </w:r>
    </w:p>
    <w:p>
      <w:pPr>
        <w:spacing w:after="0" w:line="215" w:lineRule="exact"/>
        <w:rPr>
          <w:rFonts w:ascii="Arial" w:cs="Arial" w:eastAsia="Arial" w:hAnsi="Arial"/>
          <w:sz w:val="22"/>
          <w:szCs w:val="22"/>
          <w:color w:val="auto"/>
        </w:rPr>
      </w:pPr>
    </w:p>
    <w:p>
      <w:pPr>
        <w:ind w:left="760" w:hanging="752"/>
        <w:spacing w:after="0"/>
        <w:tabs>
          <w:tab w:leader="none" w:pos="76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Annual Committee Member Service Retainer</w:t>
      </w:r>
      <w:r>
        <w:rPr>
          <w:rFonts w:ascii="Arial" w:cs="Arial" w:eastAsia="Arial" w:hAnsi="Arial"/>
          <w:sz w:val="22"/>
          <w:szCs w:val="22"/>
          <w:color w:val="auto"/>
        </w:rPr>
        <w:t>:</w:t>
      </w:r>
    </w:p>
    <w:p>
      <w:pPr>
        <w:spacing w:after="0" w:line="8" w:lineRule="exact"/>
        <w:rPr>
          <w:rFonts w:ascii="Arial" w:cs="Arial" w:eastAsia="Arial" w:hAnsi="Arial"/>
          <w:sz w:val="22"/>
          <w:szCs w:val="22"/>
          <w:color w:val="auto"/>
        </w:rPr>
      </w:pPr>
    </w:p>
    <w:p>
      <w:pPr>
        <w:ind w:left="1180" w:hanging="423"/>
        <w:spacing w:after="0" w:line="230" w:lineRule="auto"/>
        <w:tabs>
          <w:tab w:leader="none" w:pos="1180" w:val="left"/>
        </w:tabs>
        <w:numPr>
          <w:ilvl w:val="1"/>
          <w:numId w:val="44"/>
        </w:numPr>
        <w:rPr>
          <w:rFonts w:ascii="Arial" w:cs="Arial" w:eastAsia="Arial" w:hAnsi="Arial"/>
          <w:sz w:val="22"/>
          <w:szCs w:val="22"/>
          <w:color w:val="auto"/>
        </w:rPr>
      </w:pPr>
      <w:r>
        <w:rPr>
          <w:rFonts w:ascii="Arial" w:cs="Arial" w:eastAsia="Arial" w:hAnsi="Arial"/>
          <w:sz w:val="22"/>
          <w:szCs w:val="22"/>
          <w:color w:val="auto"/>
        </w:rPr>
        <w:t>Member of the Audit Committee: $7,500</w:t>
      </w:r>
    </w:p>
    <w:p>
      <w:pPr>
        <w:ind w:left="1180" w:hanging="423"/>
        <w:spacing w:after="0" w:line="230" w:lineRule="auto"/>
        <w:tabs>
          <w:tab w:leader="none" w:pos="1180" w:val="left"/>
        </w:tabs>
        <w:numPr>
          <w:ilvl w:val="1"/>
          <w:numId w:val="44"/>
        </w:numPr>
        <w:rPr>
          <w:rFonts w:ascii="Arial" w:cs="Arial" w:eastAsia="Arial" w:hAnsi="Arial"/>
          <w:sz w:val="22"/>
          <w:szCs w:val="22"/>
          <w:color w:val="auto"/>
        </w:rPr>
      </w:pPr>
      <w:r>
        <w:rPr>
          <w:rFonts w:ascii="Arial" w:cs="Arial" w:eastAsia="Arial" w:hAnsi="Arial"/>
          <w:sz w:val="22"/>
          <w:szCs w:val="22"/>
          <w:color w:val="auto"/>
        </w:rPr>
        <w:t>Member of the Compensation Committee: $5,000</w:t>
      </w:r>
    </w:p>
    <w:p>
      <w:pPr>
        <w:ind w:left="1180" w:hanging="423"/>
        <w:spacing w:after="0"/>
        <w:tabs>
          <w:tab w:leader="none" w:pos="1180" w:val="left"/>
        </w:tabs>
        <w:numPr>
          <w:ilvl w:val="1"/>
          <w:numId w:val="44"/>
        </w:numPr>
        <w:rPr>
          <w:rFonts w:ascii="Arial" w:cs="Arial" w:eastAsia="Arial" w:hAnsi="Arial"/>
          <w:sz w:val="22"/>
          <w:szCs w:val="22"/>
          <w:color w:val="auto"/>
        </w:rPr>
      </w:pPr>
      <w:r>
        <w:rPr>
          <w:rFonts w:ascii="Arial" w:cs="Arial" w:eastAsia="Arial" w:hAnsi="Arial"/>
          <w:sz w:val="22"/>
          <w:szCs w:val="22"/>
          <w:color w:val="auto"/>
        </w:rPr>
        <w:t>Member of the Nominating and Corporate Governance Committee: $4,000</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525780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spacing w:after="0"/>
        <w:rPr>
          <w:sz w:val="20"/>
          <w:szCs w:val="20"/>
          <w:color w:val="auto"/>
        </w:rPr>
      </w:pPr>
      <w:r>
        <w:rPr>
          <w:rFonts w:ascii="Arial" w:cs="Arial" w:eastAsia="Arial" w:hAnsi="Arial"/>
          <w:sz w:val="22"/>
          <w:szCs w:val="22"/>
          <w:b w:val="1"/>
          <w:bCs w:val="1"/>
          <w:color w:val="auto"/>
        </w:rPr>
        <w:t>Equity Compensation</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equity compensation set forth below will be granted under the Company’s 2020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subject to the approval of the Plan by the Company’s stockholders. All stock options granted under this policy will be nonstatutory stock options, with an exercise price per share equal to 100% of the Fair Market Value (as defined in the Plan) of the underlying Common Stock on the date of grant, and a term of ten years from the date of grant (subject to earlier termination in connection with a termination of service as provided in the Plan, provided that upon a termination of service other than for death, disability or cause, the post-termination exercise period will be three months from the date of termination).</w:t>
      </w:r>
    </w:p>
    <w:p>
      <w:pPr>
        <w:spacing w:after="0" w:line="177" w:lineRule="exact"/>
        <w:rPr>
          <w:sz w:val="20"/>
          <w:szCs w:val="20"/>
          <w:color w:val="auto"/>
        </w:rPr>
      </w:pPr>
    </w:p>
    <w:p>
      <w:pPr>
        <w:jc w:val="both"/>
        <w:ind w:firstLine="8"/>
        <w:spacing w:after="0" w:line="245" w:lineRule="auto"/>
        <w:tabs>
          <w:tab w:leader="none" w:pos="444"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Initial Grant</w:t>
      </w:r>
      <w:r>
        <w:rPr>
          <w:rFonts w:ascii="Arial" w:cs="Arial" w:eastAsia="Arial" w:hAnsi="Arial"/>
          <w:sz w:val="21"/>
          <w:szCs w:val="21"/>
          <w:color w:val="auto"/>
        </w:rPr>
        <w:t>: For each Eligible Director who is first elected or appointed to the Board following the Effective Date, on the date of such Eligible Director’s initial election or appointment to the Board (or, if such date is not a market trading day, the first market trading day thereafter), the Eligible Director will be automatically, and without further action by the Board, granted a stock option to purchase 60,000 shares of Common Stock (the “</w:t>
      </w:r>
      <w:r>
        <w:rPr>
          <w:rFonts w:ascii="Arial" w:cs="Arial" w:eastAsia="Arial" w:hAnsi="Arial"/>
          <w:sz w:val="21"/>
          <w:szCs w:val="21"/>
          <w:b w:val="1"/>
          <w:bCs w:val="1"/>
          <w:i w:val="1"/>
          <w:iCs w:val="1"/>
          <w:color w:val="auto"/>
        </w:rPr>
        <w:t>Initial Grant</w:t>
      </w:r>
      <w:r>
        <w:rPr>
          <w:rFonts w:ascii="Arial" w:cs="Arial" w:eastAsia="Arial" w:hAnsi="Arial"/>
          <w:sz w:val="21"/>
          <w:szCs w:val="21"/>
          <w:color w:val="auto"/>
        </w:rPr>
        <w:t>”). Each person who, after the Effective Date, served as an employee of, or consultant to, the Company and as a member of the Board, but who later ceases to provide such employment or consulting services shall not be entitled to an Initial Grant. The shares subject to each Initial Grant will vest in equal monthly installments over a three year period such that the option is fully vested on the third anniversary of the date of grant, subject to the Eligible Director’s Continuous Service (as defined in the Plan) through each such vesting date and will vest in full upon a Change in Control (as defined in the Plan).</w:t>
      </w:r>
    </w:p>
    <w:p>
      <w:pPr>
        <w:spacing w:after="0" w:line="211" w:lineRule="exact"/>
        <w:rPr>
          <w:rFonts w:ascii="Arial" w:cs="Arial" w:eastAsia="Arial" w:hAnsi="Arial"/>
          <w:sz w:val="21"/>
          <w:szCs w:val="21"/>
          <w:color w:val="auto"/>
        </w:rPr>
      </w:pPr>
    </w:p>
    <w:p>
      <w:pPr>
        <w:jc w:val="both"/>
        <w:ind w:firstLine="8"/>
        <w:spacing w:after="0" w:line="274" w:lineRule="auto"/>
        <w:tabs>
          <w:tab w:leader="none" w:pos="442"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Annual Grant</w:t>
      </w:r>
      <w:r>
        <w:rPr>
          <w:rFonts w:ascii="Arial" w:cs="Arial" w:eastAsia="Arial" w:hAnsi="Arial"/>
          <w:sz w:val="19"/>
          <w:szCs w:val="19"/>
          <w:color w:val="auto"/>
        </w:rPr>
        <w:t>: On the date of each annual stockholder meeting of the Company held after the Effective Date, each Eligible Director who continues to serve as a non-employee member of the Board following such stockholder meeting will be automatically, and without further action by the Board, granted a stock option to purchase 30,000 shares of Common Stock (the “</w:t>
      </w:r>
      <w:r>
        <w:rPr>
          <w:rFonts w:ascii="Arial" w:cs="Arial" w:eastAsia="Arial" w:hAnsi="Arial"/>
          <w:sz w:val="19"/>
          <w:szCs w:val="19"/>
          <w:b w:val="1"/>
          <w:bCs w:val="1"/>
          <w:i w:val="1"/>
          <w:iCs w:val="1"/>
          <w:color w:val="auto"/>
        </w:rPr>
        <w:t>Annual Grant</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the Eligible Director has not served as member of the Board for 12 months prior to the applicable annual stockholder meeting, the number of shares subject to such individual’s Annual Grant will be pro-rated based on the number of full months served on the Board, rounded to the nearest whole share. The shares subject to the Annual Grant will vest on the first anniversary of the date of grant, provided that the Annual Grant will in any case be fully vested on the date of Company’s next annual stockholder meeting, subject to the Eligible Director’s Continuous Service (as defined in the Plan) through such vesting date and will vest in full upon a Change in Control (as defined in the Plan).</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680085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2" w:name="page83"/>
    <w:bookmarkEnd w:id="82"/>
    <w:p>
      <w:pPr>
        <w:jc w:val="both"/>
        <w:ind w:firstLine="8"/>
        <w:spacing w:after="0" w:line="274" w:lineRule="auto"/>
        <w:tabs>
          <w:tab w:leader="none" w:pos="469"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Non-Employee Director Compensation Limit:</w:t>
      </w:r>
      <w:r>
        <w:rPr>
          <w:rFonts w:ascii="Arial" w:cs="Arial" w:eastAsia="Arial" w:hAnsi="Arial"/>
          <w:sz w:val="19"/>
          <w:szCs w:val="19"/>
          <w:color w:val="auto"/>
        </w:rPr>
        <w:t xml:space="preserve"> The aggregate value of all compensation granted or paid, as applicable, to any Eligible Director for service as a non-employee member of the Board with respect to any period commencing on the date of the Company’s Annual Meeting of Stockholders for a particular year and ending on the day immediately prior to the date of the Company’s Annual Meeting of Stockholders for the next subsequent year (the “</w:t>
      </w:r>
      <w:r>
        <w:rPr>
          <w:rFonts w:ascii="Arial" w:cs="Arial" w:eastAsia="Arial" w:hAnsi="Arial"/>
          <w:sz w:val="19"/>
          <w:szCs w:val="19"/>
          <w:b w:val="1"/>
          <w:bCs w:val="1"/>
          <w:i w:val="1"/>
          <w:iCs w:val="1"/>
          <w:color w:val="auto"/>
        </w:rPr>
        <w:t>Annual Period</w:t>
      </w:r>
      <w:r>
        <w:rPr>
          <w:rFonts w:ascii="Arial" w:cs="Arial" w:eastAsia="Arial" w:hAnsi="Arial"/>
          <w:sz w:val="19"/>
          <w:szCs w:val="19"/>
          <w:color w:val="auto"/>
        </w:rPr>
        <w:t>”), including equity awards granted and cash fees paid by the Company to such Eligible Director, will not exceed (i) $750,000 in total value or (ii) in the event such Eligible Director is first appointed or elected to the Board during such Annual Period, $1,000,000 in total value, in each case calculating the value of any equity awards based on the grant date fair value of such equity awards for financial reporting purposes. The limitations in this section shall apply commencing with the Annual Period that begins on the Company’s first Annual Meeting of Stockholders following the Effective Date.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Adopted: October 8, 2020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Amended: April 6, 2022</w:t>
      </w:r>
    </w:p>
    <w:p>
      <w:pPr>
        <w:spacing w:after="0"/>
        <w:rPr>
          <w:sz w:val="20"/>
          <w:szCs w:val="20"/>
          <w:color w:val="auto"/>
        </w:rPr>
      </w:pPr>
      <w:r>
        <w:rPr>
          <w:rFonts w:ascii="Arial" w:cs="Arial" w:eastAsia="Arial" w:hAnsi="Arial"/>
          <w:sz w:val="22"/>
          <w:szCs w:val="22"/>
          <w:b w:val="1"/>
          <w:bCs w:val="1"/>
          <w:color w:val="auto"/>
        </w:rPr>
        <w:t>Amended: March 30, 2023</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680085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83" w:name="page84"/>
    <w:bookmarkEnd w:id="8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Javier Szwarcberg, certify that:</w:t>
      </w:r>
    </w:p>
    <w:p>
      <w:pPr>
        <w:spacing w:after="0" w:line="225" w:lineRule="exact"/>
        <w:rPr>
          <w:sz w:val="20"/>
          <w:szCs w:val="20"/>
          <w:color w:val="auto"/>
        </w:rPr>
      </w:pPr>
    </w:p>
    <w:p>
      <w:pPr>
        <w:ind w:left="520" w:hanging="512"/>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Spruce Biosciences,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80" w:hanging="512"/>
        <w:spacing w:after="0" w:line="263"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5680" w:val="left"/>
          <w:tab w:leader="none" w:pos="7380" w:val="left"/>
        </w:tabs>
        <w:rPr>
          <w:sz w:val="20"/>
          <w:szCs w:val="20"/>
          <w:color w:val="auto"/>
        </w:rPr>
      </w:pPr>
      <w:r>
        <w:rPr>
          <w:rFonts w:ascii="Arial" w:cs="Arial" w:eastAsia="Arial" w:hAnsi="Arial"/>
          <w:sz w:val="18"/>
          <w:szCs w:val="18"/>
          <w:color w:val="auto"/>
        </w:rPr>
        <w:t>Date: May 15,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Javier Szwarcberg, M.D., MPH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7">
                      <a:extLst>
                        <a:ext uri="{28A0092B-C50C-407E-A947-70E740481C1C}"/>
                      </a:extLst>
                    </a:blip>
                    <a:srcRect/>
                    <a:stretch>
                      <a:fillRect/>
                    </a:stretch>
                  </pic:blipFill>
                  <pic:spPr bwMode="auto">
                    <a:xfrm>
                      <a:off x="0" y="0"/>
                      <a:ext cx="3300730" cy="8890"/>
                    </a:xfrm>
                    <a:prstGeom prst="rect">
                      <a:avLst/>
                    </a:prstGeom>
                    <a:noFill/>
                  </pic:spPr>
                </pic:pic>
              </a:graphicData>
            </a:graphic>
          </wp:anchor>
        </w:drawing>
      </w:r>
    </w:p>
    <w:p>
      <w:pPr>
        <w:spacing w:after="0" w:line="26"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Javier Szwarcberg, M.D., MPH</w:t>
      </w:r>
    </w:p>
    <w:p>
      <w:pPr>
        <w:spacing w:after="0" w:line="36"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Chief Executive Officer</w:t>
      </w:r>
    </w:p>
    <w:p>
      <w:pPr>
        <w:spacing w:after="0" w:line="27"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5" w:name="page86"/>
    <w:bookmarkEnd w:id="8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Samir Gharib, certify that:</w:t>
      </w:r>
    </w:p>
    <w:p>
      <w:pPr>
        <w:spacing w:after="0" w:line="225" w:lineRule="exact"/>
        <w:rPr>
          <w:sz w:val="20"/>
          <w:szCs w:val="20"/>
          <w:color w:val="auto"/>
        </w:rPr>
      </w:pPr>
    </w:p>
    <w:p>
      <w:pPr>
        <w:ind w:left="520" w:hanging="512"/>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Spruce Biosciences,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80" w:hanging="512"/>
        <w:spacing w:after="0" w:line="263"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5680" w:val="left"/>
          <w:tab w:leader="none" w:pos="8020" w:val="left"/>
        </w:tabs>
        <w:rPr>
          <w:sz w:val="20"/>
          <w:szCs w:val="20"/>
          <w:color w:val="auto"/>
        </w:rPr>
      </w:pPr>
      <w:r>
        <w:rPr>
          <w:rFonts w:ascii="Arial" w:cs="Arial" w:eastAsia="Arial" w:hAnsi="Arial"/>
          <w:sz w:val="18"/>
          <w:szCs w:val="18"/>
          <w:color w:val="auto"/>
        </w:rPr>
        <w:t>Date: May 15,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Samir Gharib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9">
                      <a:extLst>
                        <a:ext uri="{28A0092B-C50C-407E-A947-70E740481C1C}"/>
                      </a:extLst>
                    </a:blip>
                    <a:srcRect/>
                    <a:stretch>
                      <a:fillRect/>
                    </a:stretch>
                  </pic:blipFill>
                  <pic:spPr bwMode="auto">
                    <a:xfrm>
                      <a:off x="0" y="0"/>
                      <a:ext cx="3300730" cy="8890"/>
                    </a:xfrm>
                    <a:prstGeom prst="rect">
                      <a:avLst/>
                    </a:prstGeom>
                    <a:noFill/>
                  </pic:spPr>
                </pic:pic>
              </a:graphicData>
            </a:graphic>
          </wp:anchor>
        </w:drawing>
      </w:r>
    </w:p>
    <w:p>
      <w:pPr>
        <w:spacing w:after="0" w:line="2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Samir Gharib</w:t>
      </w:r>
    </w:p>
    <w:p>
      <w:pPr>
        <w:spacing w:after="0" w:line="27"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President and Chief Financial Officer</w:t>
      </w:r>
    </w:p>
    <w:p>
      <w:pPr>
        <w:spacing w:after="0" w:line="9"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7" w:name="page88"/>
    <w:bookmarkEnd w:id="8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In connection with the Quarterly Report of Spruce Biosciences, Inc. (the “Company”) on Form 10-Q for the period ended March 31, 2023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20" w:hanging="503"/>
        <w:spacing w:after="0"/>
        <w:tabs>
          <w:tab w:leader="none" w:pos="10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248" w:lineRule="exact"/>
        <w:rPr>
          <w:rFonts w:ascii="Arial" w:cs="Arial" w:eastAsia="Arial" w:hAnsi="Arial"/>
          <w:sz w:val="16"/>
          <w:szCs w:val="16"/>
          <w:color w:val="auto"/>
        </w:rPr>
      </w:pPr>
    </w:p>
    <w:p>
      <w:pPr>
        <w:ind w:left="1020" w:right="560" w:hanging="503"/>
        <w:spacing w:after="0" w:line="277"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8" w:lineRule="exact"/>
        <w:rPr>
          <w:sz w:val="20"/>
          <w:szCs w:val="20"/>
          <w:color w:val="auto"/>
        </w:rPr>
      </w:pPr>
    </w:p>
    <w:p>
      <w:pPr>
        <w:ind w:left="20"/>
        <w:spacing w:after="0"/>
        <w:tabs>
          <w:tab w:leader="none" w:pos="5680" w:val="left"/>
          <w:tab w:leader="none" w:pos="7380" w:val="left"/>
        </w:tabs>
        <w:rPr>
          <w:sz w:val="20"/>
          <w:szCs w:val="20"/>
          <w:color w:val="auto"/>
        </w:rPr>
      </w:pPr>
      <w:r>
        <w:rPr>
          <w:rFonts w:ascii="Arial" w:cs="Arial" w:eastAsia="Arial" w:hAnsi="Arial"/>
          <w:sz w:val="18"/>
          <w:szCs w:val="18"/>
          <w:color w:val="auto"/>
        </w:rPr>
        <w:t>Date: May 15,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Javier Szwarcberg, M.D., MPH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1">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2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Javier Szwarcberg, M.D., MPH</w:t>
      </w:r>
    </w:p>
    <w:p>
      <w:pPr>
        <w:spacing w:after="0" w:line="27"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9" w:name="page90"/>
    <w:bookmarkEnd w:id="8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In connection with the Quarterly Report of Spruce Biosciences, Inc. (the “Company”) on Form 10-Q for the period ended March 31, 2023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20" w:hanging="503"/>
        <w:spacing w:after="0"/>
        <w:tabs>
          <w:tab w:leader="none" w:pos="10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248" w:lineRule="exact"/>
        <w:rPr>
          <w:rFonts w:ascii="Arial" w:cs="Arial" w:eastAsia="Arial" w:hAnsi="Arial"/>
          <w:sz w:val="16"/>
          <w:szCs w:val="16"/>
          <w:color w:val="auto"/>
        </w:rPr>
      </w:pPr>
    </w:p>
    <w:p>
      <w:pPr>
        <w:ind w:left="1020" w:right="560" w:hanging="503"/>
        <w:spacing w:after="0" w:line="277"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8" w:lineRule="exact"/>
        <w:rPr>
          <w:sz w:val="20"/>
          <w:szCs w:val="20"/>
          <w:color w:val="auto"/>
        </w:rPr>
      </w:pPr>
    </w:p>
    <w:p>
      <w:pPr>
        <w:ind w:left="20"/>
        <w:spacing w:after="0"/>
        <w:tabs>
          <w:tab w:leader="none" w:pos="5680" w:val="left"/>
          <w:tab w:leader="none" w:pos="8020" w:val="left"/>
        </w:tabs>
        <w:rPr>
          <w:sz w:val="20"/>
          <w:szCs w:val="20"/>
          <w:color w:val="auto"/>
        </w:rPr>
      </w:pPr>
      <w:r>
        <w:rPr>
          <w:rFonts w:ascii="Arial" w:cs="Arial" w:eastAsia="Arial" w:hAnsi="Arial"/>
          <w:sz w:val="18"/>
          <w:szCs w:val="18"/>
          <w:color w:val="auto"/>
        </w:rPr>
        <w:t>Date: May 15,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Samir Gharib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3">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26"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color w:val="auto"/>
        </w:rPr>
        <w:t>Samir Gharib</w:t>
      </w:r>
    </w:p>
    <w:p>
      <w:pPr>
        <w:spacing w:after="0" w:line="27"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President and Chief Financial Officer</w:t>
      </w:r>
    </w:p>
    <w:p>
      <w:pPr>
        <w:spacing w:after="0" w:line="9"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1" w:name="page92"/>
    <w:bookmarkEnd w:id="9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1."/>
      <w:numFmt w:val="decimal"/>
      <w:start w:val="1"/>
    </w:lvl>
  </w:abstractNum>
  <w:abstractNum w:abstractNumId="5">
    <w:nsid w:val="2CA88611"/>
    <w:multiLevelType w:val="hybridMultilevel"/>
    <w:lvl w:ilvl="0">
      <w:lvlJc w:val="left"/>
      <w:lvlText w:val="%1."/>
      <w:numFmt w:val="decimal"/>
      <w:start w:val="2"/>
    </w:lvl>
  </w:abstractNum>
  <w:abstractNum w:abstractNumId="6">
    <w:nsid w:val="836C40E"/>
    <w:multiLevelType w:val="hybridMultilevel"/>
    <w:lvl w:ilvl="0">
      <w:lvlJc w:val="left"/>
      <w:lvlText w:val="%1."/>
      <w:numFmt w:val="decimal"/>
      <w:start w:val="8"/>
    </w:lvl>
  </w:abstractNum>
  <w:abstractNum w:abstractNumId="7">
    <w:nsid w:val="2901D82"/>
    <w:multiLevelType w:val="hybridMultilevel"/>
    <w:lvl w:ilvl="0">
      <w:lvlJc w:val="left"/>
      <w:lvlText w:val="(%1)"/>
      <w:numFmt w:val="lowerRoman"/>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lvl w:ilvl="1">
      <w:lvlJc w:val="left"/>
      <w:lvlText w:val="o"/>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4">
    <w:nsid w:val="38437FDB"/>
    <w:multiLevelType w:val="hybridMultilevel"/>
    <w:lvl w:ilvl="0">
      <w:lvlJc w:val="left"/>
      <w:lvlText w:val="%1."/>
      <w:numFmt w:val="decimal"/>
      <w:start w:val="1"/>
    </w:lvl>
  </w:abstractNum>
  <w:abstractNum w:abstractNumId="45">
    <w:nsid w:val="7644A45C"/>
    <w:multiLevelType w:val="hybridMultilevel"/>
    <w:lvl w:ilvl="0">
      <w:lvlJc w:val="left"/>
      <w:lvlText w:val="%1."/>
      <w:numFmt w:val="decimal"/>
      <w:start w:val="3"/>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91" Type="http://schemas.openxmlformats.org/officeDocument/2006/relationships/image" Target="media/image277.png"/><Relationship Id="rId292" Type="http://schemas.openxmlformats.org/officeDocument/2006/relationships/image" Target="media/image278.png"/><Relationship Id="rId293" Type="http://schemas.openxmlformats.org/officeDocument/2006/relationships/image" Target="media/image279.png"/><Relationship Id="rId294" Type="http://schemas.openxmlformats.org/officeDocument/2006/relationships/image" Target="media/image280.png"/><Relationship Id="rId295" Type="http://schemas.openxmlformats.org/officeDocument/2006/relationships/image" Target="media/image281.png"/><Relationship Id="rId296" Type="http://schemas.openxmlformats.org/officeDocument/2006/relationships/image" Target="media/image282.png"/><Relationship Id="rId297" Type="http://schemas.openxmlformats.org/officeDocument/2006/relationships/image" Target="media/image283.png"/><Relationship Id="rId298" Type="http://schemas.openxmlformats.org/officeDocument/2006/relationships/image" Target="media/image284.png"/><Relationship Id="rId299" Type="http://schemas.openxmlformats.org/officeDocument/2006/relationships/image" Target="media/image285.png"/><Relationship Id="rId300" Type="http://schemas.openxmlformats.org/officeDocument/2006/relationships/image" Target="media/image286.png"/><Relationship Id="rId301" Type="http://schemas.openxmlformats.org/officeDocument/2006/relationships/image" Target="media/image287.png"/><Relationship Id="rId302" Type="http://schemas.openxmlformats.org/officeDocument/2006/relationships/image" Target="media/image288.png"/><Relationship Id="rId303" Type="http://schemas.openxmlformats.org/officeDocument/2006/relationships/image" Target="media/image289.png"/><Relationship Id="rId304" Type="http://schemas.openxmlformats.org/officeDocument/2006/relationships/image" Target="media/image290.png"/><Relationship Id="rId284" Type="http://schemas.openxmlformats.org/officeDocument/2006/relationships/hyperlink" Target="https://www.sec.gov/Archives/edgar/data/1683553/000119312520269344/d12372dex31.htm" TargetMode="External"/><Relationship Id="rId285" Type="http://schemas.openxmlformats.org/officeDocument/2006/relationships/hyperlink" Target="https://www.sec.gov/Archives/edgar/data/1683553/000119312520269344/d12372dex32.htm" TargetMode="External"/><Relationship Id="rId286" Type="http://schemas.openxmlformats.org/officeDocument/2006/relationships/hyperlink" Target="https://www.sec.gov/Archives/edgar/data/1683553/000119312520263195/d902020dex41.htm" TargetMode="External"/><Relationship Id="rId287" Type="http://schemas.openxmlformats.org/officeDocument/2006/relationships/hyperlink" Target="https://www.sec.gov/Archives/edgar/data/1683553/000095017023002369/sprb-ex4_1.htm" TargetMode="External"/><Relationship Id="rId288" Type="http://schemas.openxmlformats.org/officeDocument/2006/relationships/hyperlink" Target="https://www.sec.gov/Archives/edgar/data/1683553/000095017023002369/sprb-ex4_2.htm" TargetMode="External"/><Relationship Id="rId289" Type="http://schemas.openxmlformats.org/officeDocument/2006/relationships/hyperlink" Target="https://www.sec.gov/Archives/edgar/data/1683553/000119312520249221/d902020dex42.htm" TargetMode="External"/><Relationship Id="rId290" Type="http://schemas.openxmlformats.org/officeDocument/2006/relationships/hyperlink" Target="https://www.sec.gov/Archives/edgar/data/1683553/000095017023008456/sprb-ex10_2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2023-05-15T07:36:34Z</dcterms:created>
  <dcterms:modified xsi:type="dcterms:W3CDTF">2023-05-15T07:36:34Z</dcterms:modified>
</cp:coreProperties>
</file>