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Spruce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160,981.00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160,981.00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160,981.00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160,981.00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160,981.00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160,981.00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160,981.00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160,981.00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160,981.00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160,981.00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160,981.00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160,981.00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Spruce Biosciences,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740,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 As of the date hereof, the reporting persons have ceased to beneficially own more than 5 percent of the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3,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22241d1_ex-i.htm"/>
      <w:bookmarkStart w:id="29" w:name="kstm2622241d1_exi"/>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Spruce Biosciences,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 2026</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424"/>
        <w:gridCol w:w="3405"/>
        <w:gridCol w:w="75"/>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INTEGRATED CORE STRATEGIES (US)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Integrated Holding Group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Managing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 xml:space="preserve">Title: Global General Counsel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1616</Words>
  <Characters>8417</Characters>
  <CharactersWithSpaces>10033</CharactersWithSpaces>
  <Paragraphs>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