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83185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6" w:lineRule="exact"/>
        <w:rPr>
          <w:rFonts w:ascii="MS PGothic" w:cs="MS PGothic" w:eastAsia="MS PGothic" w:hAnsi="MS PGothic"/>
          <w:sz w:val="16"/>
          <w:szCs w:val="16"/>
          <w:color w:val="auto"/>
        </w:rPr>
      </w:pPr>
    </w:p>
    <w:p>
      <w:pPr>
        <w:ind w:left="39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fiscal year ended December 31, 2020</w:t>
      </w:r>
    </w:p>
    <w:p>
      <w:pPr>
        <w:spacing w:after="0" w:line="63"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-438150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6" w:lineRule="exact"/>
        <w:rPr>
          <w:rFonts w:ascii="MS PGothic" w:cs="MS PGothic" w:eastAsia="MS PGothic" w:hAnsi="MS PGothic"/>
          <w:sz w:val="16"/>
          <w:szCs w:val="16"/>
          <w:color w:val="auto"/>
        </w:rPr>
      </w:pPr>
    </w:p>
    <w:p>
      <w:pPr>
        <w:ind w:left="4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-232410</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57785</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Spruce Biosciences,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4"/>
              </w:rPr>
              <w:t>Delaware</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jc w:val="right"/>
              <w:ind w:right="2394"/>
              <w:spacing w:after="0"/>
              <w:rPr>
                <w:sz w:val="20"/>
                <w:szCs w:val="20"/>
                <w:color w:val="auto"/>
              </w:rPr>
            </w:pPr>
            <w:r>
              <w:rPr>
                <w:rFonts w:ascii="Arial" w:cs="Arial" w:eastAsia="Arial" w:hAnsi="Arial"/>
                <w:sz w:val="14"/>
                <w:szCs w:val="14"/>
                <w:b w:val="1"/>
                <w:bCs w:val="1"/>
                <w:color w:val="auto"/>
              </w:rPr>
              <w:t>81-2154263</w:t>
            </w:r>
          </w:p>
        </w:tc>
        <w:tc>
          <w:tcPr>
            <w:tcW w:w="0" w:type="dxa"/>
            <w:vAlign w:val="bottom"/>
          </w:tcPr>
          <w:p>
            <w:pPr>
              <w:spacing w:after="0"/>
              <w:rPr>
                <w:sz w:val="1"/>
                <w:szCs w:val="1"/>
                <w:color w:val="auto"/>
              </w:rPr>
            </w:pPr>
          </w:p>
        </w:tc>
      </w:tr>
      <w:tr>
        <w:trPr>
          <w:trHeight w:val="135"/>
        </w:trPr>
        <w:tc>
          <w:tcPr>
            <w:tcW w:w="5200" w:type="dxa"/>
            <w:vAlign w:val="bottom"/>
            <w:gridSpan w:val="3"/>
          </w:tcPr>
          <w:p>
            <w:pPr>
              <w:jc w:val="center"/>
              <w:ind w:left="35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520" w:type="dxa"/>
            <w:vAlign w:val="bottom"/>
          </w:tcPr>
          <w:p>
            <w:pPr>
              <w:jc w:val="center"/>
              <w:ind w:right="2034"/>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1"/>
        </w:trPr>
        <w:tc>
          <w:tcPr>
            <w:tcW w:w="5200" w:type="dxa"/>
            <w:vAlign w:val="bottom"/>
            <w:gridSpan w:val="3"/>
          </w:tcPr>
          <w:p>
            <w:pPr>
              <w:jc w:val="center"/>
              <w:ind w:left="374"/>
              <w:spacing w:after="0" w:line="131" w:lineRule="exact"/>
              <w:rPr>
                <w:sz w:val="20"/>
                <w:szCs w:val="20"/>
                <w:color w:val="auto"/>
              </w:rPr>
            </w:pPr>
            <w:r>
              <w:rPr>
                <w:rFonts w:ascii="Arial" w:cs="Arial" w:eastAsia="Arial" w:hAnsi="Arial"/>
                <w:sz w:val="13"/>
                <w:szCs w:val="13"/>
                <w:b w:val="1"/>
                <w:bCs w:val="1"/>
                <w:color w:val="auto"/>
                <w:w w:val="88"/>
              </w:rPr>
              <w:t>incorporation or organization)</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520" w:type="dxa"/>
            <w:vAlign w:val="bottom"/>
          </w:tcPr>
          <w:p>
            <w:pPr>
              <w:jc w:val="center"/>
              <w:ind w:right="2034"/>
              <w:spacing w:after="0" w:line="131"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8"/>
        </w:trPr>
        <w:tc>
          <w:tcPr>
            <w:tcW w:w="5200" w:type="dxa"/>
            <w:vAlign w:val="bottom"/>
            <w:gridSpan w:val="3"/>
          </w:tcPr>
          <w:p>
            <w:pPr>
              <w:jc w:val="center"/>
              <w:ind w:left="374"/>
              <w:spacing w:after="0" w:line="149" w:lineRule="exact"/>
              <w:rPr>
                <w:sz w:val="20"/>
                <w:szCs w:val="20"/>
                <w:color w:val="auto"/>
              </w:rPr>
            </w:pPr>
            <w:r>
              <w:rPr>
                <w:rFonts w:ascii="Arial" w:cs="Arial" w:eastAsia="Arial" w:hAnsi="Arial"/>
                <w:sz w:val="14"/>
                <w:szCs w:val="14"/>
                <w:b w:val="1"/>
                <w:bCs w:val="1"/>
                <w:color w:val="auto"/>
                <w:w w:val="92"/>
              </w:rPr>
              <w:t>2001 Junipero Serra Boulevard, Suite 640</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520" w:type="dxa"/>
            <w:vAlign w:val="bottom"/>
            <w:vMerge w:val="restart"/>
          </w:tcPr>
          <w:p>
            <w:pPr>
              <w:jc w:val="right"/>
              <w:ind w:right="2554"/>
              <w:spacing w:after="0"/>
              <w:rPr>
                <w:sz w:val="20"/>
                <w:szCs w:val="20"/>
                <w:color w:val="auto"/>
              </w:rPr>
            </w:pPr>
            <w:r>
              <w:rPr>
                <w:rFonts w:ascii="Arial" w:cs="Arial" w:eastAsia="Arial" w:hAnsi="Arial"/>
                <w:sz w:val="14"/>
                <w:szCs w:val="14"/>
                <w:b w:val="1"/>
                <w:bCs w:val="1"/>
                <w:color w:val="auto"/>
              </w:rPr>
              <w:t>94014</w:t>
            </w:r>
          </w:p>
        </w:tc>
        <w:tc>
          <w:tcPr>
            <w:tcW w:w="0" w:type="dxa"/>
            <w:vAlign w:val="bottom"/>
          </w:tcPr>
          <w:p>
            <w:pPr>
              <w:spacing w:after="0"/>
              <w:rPr>
                <w:sz w:val="1"/>
                <w:szCs w:val="1"/>
                <w:color w:val="auto"/>
              </w:rPr>
            </w:pPr>
          </w:p>
        </w:tc>
      </w:tr>
      <w:tr>
        <w:trPr>
          <w:trHeight w:val="153"/>
        </w:trPr>
        <w:tc>
          <w:tcPr>
            <w:tcW w:w="5200" w:type="dxa"/>
            <w:vAlign w:val="bottom"/>
            <w:gridSpan w:val="3"/>
          </w:tcPr>
          <w:p>
            <w:pPr>
              <w:jc w:val="center"/>
              <w:ind w:left="374"/>
              <w:spacing w:after="0" w:line="153" w:lineRule="exact"/>
              <w:rPr>
                <w:sz w:val="20"/>
                <w:szCs w:val="20"/>
                <w:color w:val="auto"/>
              </w:rPr>
            </w:pPr>
            <w:r>
              <w:rPr>
                <w:rFonts w:ascii="Arial" w:cs="Arial" w:eastAsia="Arial" w:hAnsi="Arial"/>
                <w:sz w:val="14"/>
                <w:szCs w:val="14"/>
                <w:b w:val="1"/>
                <w:bCs w:val="1"/>
                <w:color w:val="auto"/>
                <w:w w:val="96"/>
              </w:rPr>
              <w:t>Daly City, California</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200" w:type="dxa"/>
            <w:vAlign w:val="bottom"/>
            <w:gridSpan w:val="3"/>
          </w:tcPr>
          <w:p>
            <w:pPr>
              <w:jc w:val="center"/>
              <w:ind w:left="3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jc w:val="center"/>
              <w:ind w:right="203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06"/>
        </w:trPr>
        <w:tc>
          <w:tcPr>
            <w:tcW w:w="7720" w:type="dxa"/>
            <w:vAlign w:val="bottom"/>
            <w:gridSpan w:val="7"/>
          </w:tcPr>
          <w:p>
            <w:pPr>
              <w:jc w:val="center"/>
              <w:ind w:left="3474"/>
              <w:spacing w:after="0"/>
              <w:rPr>
                <w:sz w:val="20"/>
                <w:szCs w:val="20"/>
                <w:color w:val="auto"/>
              </w:rPr>
            </w:pPr>
            <w:r>
              <w:rPr>
                <w:rFonts w:ascii="Arial" w:cs="Arial" w:eastAsia="Arial" w:hAnsi="Arial"/>
                <w:sz w:val="14"/>
                <w:szCs w:val="14"/>
                <w:b w:val="1"/>
                <w:bCs w:val="1"/>
                <w:color w:val="auto"/>
                <w:w w:val="92"/>
              </w:rPr>
              <w:t>Registrant’s telephone number, including area code: (415) 655-4168</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200" w:type="dxa"/>
            <w:vAlign w:val="bottom"/>
            <w:gridSpan w:val="3"/>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8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20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20" w:type="dxa"/>
            <w:vAlign w:val="bottom"/>
            <w:gridSpan w:val="4"/>
          </w:tcPr>
          <w:p>
            <w:pPr>
              <w:jc w:val="center"/>
              <w:ind w:right="1700"/>
              <w:spacing w:after="0"/>
              <w:rPr>
                <w:sz w:val="20"/>
                <w:szCs w:val="20"/>
                <w:color w:val="auto"/>
              </w:rPr>
            </w:pPr>
            <w:r>
              <w:rPr>
                <w:rFonts w:ascii="Arial" w:cs="Arial" w:eastAsia="Arial" w:hAnsi="Arial"/>
                <w:sz w:val="13"/>
                <w:szCs w:val="13"/>
                <w:b w:val="1"/>
                <w:bCs w:val="1"/>
                <w:color w:val="auto"/>
                <w:w w:val="88"/>
              </w:rPr>
              <w:t>Trading</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200" w:type="dxa"/>
            <w:vAlign w:val="bottom"/>
            <w:gridSpan w:val="3"/>
          </w:tcPr>
          <w:p>
            <w:pPr>
              <w:ind w:left="1840"/>
              <w:spacing w:after="0"/>
              <w:rPr>
                <w:sz w:val="20"/>
                <w:szCs w:val="20"/>
                <w:color w:val="auto"/>
              </w:rPr>
            </w:pPr>
            <w:r>
              <w:rPr>
                <w:rFonts w:ascii="Arial" w:cs="Arial" w:eastAsia="Arial" w:hAnsi="Arial"/>
                <w:sz w:val="13"/>
                <w:szCs w:val="13"/>
                <w:b w:val="1"/>
                <w:bCs w:val="1"/>
                <w:color w:val="auto"/>
              </w:rPr>
              <w:t>Title of each class</w:t>
            </w:r>
          </w:p>
        </w:tc>
        <w:tc>
          <w:tcPr>
            <w:tcW w:w="2520" w:type="dxa"/>
            <w:vAlign w:val="bottom"/>
            <w:gridSpan w:val="4"/>
          </w:tcPr>
          <w:p>
            <w:pPr>
              <w:jc w:val="center"/>
              <w:ind w:right="1700"/>
              <w:spacing w:after="0"/>
              <w:rPr>
                <w:sz w:val="20"/>
                <w:szCs w:val="20"/>
                <w:color w:val="auto"/>
              </w:rPr>
            </w:pPr>
            <w:r>
              <w:rPr>
                <w:rFonts w:ascii="Arial" w:cs="Arial" w:eastAsia="Arial" w:hAnsi="Arial"/>
                <w:sz w:val="13"/>
                <w:szCs w:val="13"/>
                <w:b w:val="1"/>
                <w:bCs w:val="1"/>
                <w:color w:val="auto"/>
                <w:w w:val="85"/>
              </w:rPr>
              <w:t>Symbol(s)</w:t>
            </w:r>
          </w:p>
        </w:tc>
        <w:tc>
          <w:tcPr>
            <w:tcW w:w="3520" w:type="dxa"/>
            <w:vAlign w:val="bottom"/>
          </w:tcPr>
          <w:p>
            <w:pPr>
              <w:jc w:val="center"/>
              <w:ind w:right="1034"/>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54"/>
        </w:trPr>
        <w:tc>
          <w:tcPr>
            <w:tcW w:w="46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Common Stock, par value $0.0001 per share</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3"/>
                <w:szCs w:val="13"/>
                <w:color w:val="auto"/>
                <w:w w:val="84"/>
              </w:rPr>
              <w:t>SPRB</w:t>
            </w: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tcPr>
          <w:p>
            <w:pPr>
              <w:jc w:val="center"/>
              <w:ind w:right="1034"/>
              <w:spacing w:after="0"/>
              <w:rPr>
                <w:sz w:val="20"/>
                <w:szCs w:val="20"/>
                <w:color w:val="auto"/>
              </w:rPr>
            </w:pPr>
            <w:r>
              <w:rPr>
                <w:rFonts w:ascii="Arial" w:cs="Arial" w:eastAsia="Arial" w:hAnsi="Arial"/>
                <w:sz w:val="13"/>
                <w:szCs w:val="13"/>
                <w:color w:val="auto"/>
                <w:w w:val="88"/>
              </w:rPr>
              <w:t>Nasdaq Global Select Market</w:t>
            </w:r>
          </w:p>
        </w:tc>
        <w:tc>
          <w:tcPr>
            <w:tcW w:w="0" w:type="dxa"/>
            <w:vAlign w:val="bottom"/>
          </w:tcPr>
          <w:p>
            <w:pPr>
              <w:spacing w:after="0"/>
              <w:rPr>
                <w:sz w:val="1"/>
                <w:szCs w:val="1"/>
                <w:color w:val="auto"/>
              </w:rPr>
            </w:pPr>
          </w:p>
        </w:tc>
      </w:tr>
      <w:tr>
        <w:trPr>
          <w:trHeight w:val="175"/>
        </w:trPr>
        <w:tc>
          <w:tcPr>
            <w:tcW w:w="5200" w:type="dxa"/>
            <w:vAlign w:val="bottom"/>
            <w:gridSpan w:val="3"/>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452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26"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20"/>
        <w:spacing w:after="0" w:line="236" w:lineRule="auto"/>
        <w:rPr>
          <w:sz w:val="20"/>
          <w:szCs w:val="20"/>
          <w:color w:val="auto"/>
        </w:rPr>
      </w:pPr>
      <w:r>
        <w:rPr>
          <w:rFonts w:ascii="Arial" w:cs="Arial" w:eastAsia="Arial" w:hAnsi="Arial"/>
          <w:sz w:val="13"/>
          <w:szCs w:val="13"/>
          <w:color w:val="auto"/>
        </w:rPr>
        <w:t>The Registrant did not have an aggregate market value for the common equity held by non-affiliates of the Registrant on the last business day of its most recently completed second fiscal quarter because there was no public market for the Registrant’s common equity as of such date.</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19, 2021 was 23,301,872.</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Portions of the Registrant’s definitive Proxy Statement for its 2021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60" w:type="dxa"/>
            <w:vAlign w:val="bottom"/>
            <w:gridSpan w:val="2"/>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046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104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 OF RISKS ASSOCIATED WITH OUR 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Principal Accountant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Exhibits and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This Annual Report on Form 10-K, or this Annual Report, contains forward-looking statements within the meaning of the federal securities laws made pursuant to the safe harbor provisions of the Private Securities Litigation Reform Act of 1995. All statements other than statements of historical facts contained in this Annual Report, including statements regarding our future results of operations and financial position, business strategy, research and development costs; the anticipated timing, costs and conduct of our clinical trials for our only product candidate, tildacerfont; the timing and likelihood of regulatory filings and approvals for tildacerfont; our ability to commercialize tildacerfont, if approved; the pricing and reimbursement of tildacerfont, if approved; the potential benefits of strategic collaborations and our ability to enter into strategic arrangements; the timing and likelihood of success, plans and objectives of management for future operations; future results of anticipated product development efforts; and our expected future financing needs,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5"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titled “Risk Factors” and “Management’s Discussion and Analysis of Financial Condition and Results of Operations”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Securities and Exchange Commission, or SEC, after the date of this Annual Report.</w:t>
      </w:r>
    </w:p>
    <w:p>
      <w:pPr>
        <w:spacing w:after="0" w:line="17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RISKS ASSOCIATED WITH OUR BUSINESSES</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160" w:right="18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16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160" w:right="5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160" w:right="20" w:hanging="572"/>
        <w:spacing w:after="0" w:line="259"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8" w:lineRule="exact"/>
        <w:rPr>
          <w:rFonts w:ascii="Arial" w:cs="Arial" w:eastAsia="Arial" w:hAnsi="Arial"/>
          <w:sz w:val="18"/>
          <w:szCs w:val="18"/>
          <w:color w:val="auto"/>
        </w:rPr>
      </w:pPr>
    </w:p>
    <w:p>
      <w:pPr>
        <w:ind w:left="1160" w:right="100" w:hanging="572"/>
        <w:spacing w:after="0" w:line="286"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rFonts w:ascii="Arial" w:cs="Arial" w:eastAsia="Arial" w:hAnsi="Arial"/>
          <w:sz w:val="17"/>
          <w:szCs w:val="17"/>
          <w:color w:val="auto"/>
        </w:rPr>
      </w:pPr>
    </w:p>
    <w:p>
      <w:pPr>
        <w:ind w:left="1160" w:right="120" w:hanging="572"/>
        <w:spacing w:after="0" w:line="279"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63" w:lineRule="exact"/>
        <w:rPr>
          <w:rFonts w:ascii="Arial" w:cs="Arial" w:eastAsia="Arial" w:hAnsi="Arial"/>
          <w:sz w:val="17"/>
          <w:szCs w:val="17"/>
          <w:color w:val="auto"/>
        </w:rPr>
      </w:pPr>
    </w:p>
    <w:p>
      <w:pPr>
        <w:ind w:left="1160" w:right="4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160" w:right="100" w:hanging="572"/>
        <w:spacing w:after="0" w:line="259"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78" w:lineRule="exact"/>
        <w:rPr>
          <w:rFonts w:ascii="Arial" w:cs="Arial" w:eastAsia="Arial" w:hAnsi="Arial"/>
          <w:sz w:val="18"/>
          <w:szCs w:val="18"/>
          <w:color w:val="auto"/>
        </w:rPr>
      </w:pPr>
    </w:p>
    <w:p>
      <w:pPr>
        <w:ind w:left="1160" w:right="10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right="24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160" w:hanging="572"/>
        <w:spacing w:after="0" w:line="301"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49" w:lineRule="exact"/>
        <w:rPr>
          <w:rFonts w:ascii="Arial" w:cs="Arial" w:eastAsia="Arial" w:hAnsi="Arial"/>
          <w:sz w:val="16"/>
          <w:szCs w:val="16"/>
          <w:color w:val="auto"/>
        </w:rPr>
      </w:pPr>
    </w:p>
    <w:p>
      <w:pPr>
        <w:ind w:left="1160" w:right="2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62" w:lineRule="exact"/>
        <w:rPr>
          <w:rFonts w:ascii="Arial" w:cs="Arial" w:eastAsia="Arial" w:hAnsi="Arial"/>
          <w:sz w:val="18"/>
          <w:szCs w:val="18"/>
          <w:color w:val="auto"/>
        </w:rPr>
      </w:pPr>
    </w:p>
    <w:p>
      <w:pPr>
        <w:ind w:left="1160" w:right="26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171 subjects across seven clinical trials to date have been administered tildacerfont with no drug-related serious adverse events, or SAEs, reported.</w:t>
      </w:r>
    </w:p>
    <w:p>
      <w:pPr>
        <w:spacing w:after="0" w:line="17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in CAHmelia-204, we plan to meet with the FDA and comparable foreign regulatory authorities to discuss registration.</w:t>
      </w:r>
    </w:p>
    <w:p>
      <w:pPr>
        <w:spacing w:after="0" w:line="18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addition, we plan to investigate tildacerfont for the treatment of classic CAH in children as young as two years of age, and plan to initiate the clinical development program for tildacerfont in the pediatric classic CAH population in the second half of 2021. We have received feedback from the FDA and European Medicines Agency, or EMA, on our planned Phase 2 clinical trial of tildacerfont in children with classic CAH. We have also submitted a pediatric investigational plan, or PIP, to the Pediatric Committee of the EMA regarding a registrational program in children with classic CAH. Beyond classic CAH, we believe tildacerfont has potential utility in a range of diseases where the underlying biology supports a need to reduce excess secretion of or hyperresponsiveness to adrenocorticotropic hormone, or ACTH. We are committed to leveraging our deep scientific knowledge of the biology of rare endocrine disorders, the unique benefits of tildacerfont, and our commercial expertise to dramatically transform the lives of individuals living with these devastating disorders.</w:t>
      </w:r>
    </w:p>
    <w:p>
      <w:pPr>
        <w:spacing w:after="0" w:line="192" w:lineRule="exact"/>
        <w:rPr>
          <w:sz w:val="20"/>
          <w:szCs w:val="20"/>
          <w:color w:val="auto"/>
        </w:rPr>
      </w:pPr>
    </w:p>
    <w:p>
      <w:pPr>
        <w:jc w:val="both"/>
        <w:ind w:right="20" w:firstLine="589"/>
        <w:spacing w:after="0" w:line="301" w:lineRule="auto"/>
        <w:rPr>
          <w:sz w:val="20"/>
          <w:szCs w:val="20"/>
          <w:color w:val="auto"/>
        </w:rPr>
      </w:pPr>
      <w:r>
        <w:rPr>
          <w:rFonts w:ascii="Arial" w:cs="Arial" w:eastAsia="Arial" w:hAnsi="Arial"/>
          <w:sz w:val="16"/>
          <w:szCs w:val="16"/>
          <w:color w:val="auto"/>
        </w:rPr>
        <w:t>Classic CAH is an autosomal recessive disease, driven by a mutation in the gene that encodes an enzyme necessary for the synthesis of key adrenal hormones. In classic CAH patients, the body is not able to produce cortisol, leading to serious health consequences. In the absence of cortisol, patients can face adrenal crisis and death rapidly as a result of any stressing event, such as infection. Physicians administer replacement steroid hormones to reduce the risk of adrenal crises and death; however, replacement alone is not sufficient to address all of the consequences associated with classic CAH.</w:t>
      </w:r>
    </w:p>
    <w:p>
      <w:pPr>
        <w:spacing w:after="0" w:line="15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absence of cortisol alters the normal feedback cycle of the hypothalamic-pituitary-adrenal, or HPA, axis, and leads to excess secretion of ACTH, hyperplasia of the adrenal gland, and consequently high levels of endogenous androgen production. As a result, classic CAH patients suffer from premature puberty, impaired fertility, hirsutism, acne, the development of adrenal rest tumors, and an impaired quality of life, and additionally for females, virilized genitalia and menstrual irregularities. Currently, the only way to downregulate the production of excess androgens in classic CAH patients is to administer even higher doses of glucocorticoids, known as supraphysiologic glucocorticoid dosing. These elevated dose levels present specific side effects, including increased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risks of developing diabetes, cardiovascular disease, stunted growth, osteoporosis, thin skin, gastrointestinal disorders, and decreased lifespan.</w:t>
      </w:r>
    </w:p>
    <w:p>
      <w:pPr>
        <w:spacing w:after="0" w:line="237"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Due to the severity of the disease, most developed countries have established newborn screening programs to test for classic CAH at birth. Infants diagnosed with classic CAH are generally initiated on glucocorticoid therapy at the time of diagnosis and lifelong disease management with steroids is required, with pediatric patients generally transitioning into the care of adult endocrinologists between the ages of 18 and 21. Due to the complexity of management of classic CAH, in the United States, patients are generally managed within specialty endocrinology clinics, and in the European Union, or EU, most countries have a small number of centers of excellence addressing the population. We estimate the total classic CAH populations are approximately 20,000 to 30,000 people in the United States and approximately 50,000 people in the EU, and, according to the National Organization for Rare Disorders, the estimated incidence of classic CAH in the United States and Europe is between one in 10,000 and one in 15,000 live births. In addition, we estimate based on industry reports that the global market opportunity in patients with classic CAH is at least approximately $3.0 billion.</w:t>
      </w:r>
    </w:p>
    <w:p>
      <w:pPr>
        <w:spacing w:after="0" w:line="16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Tildacerfont is a potent and highly selective, non-steroidal, oral antagonist of the CRF1 receptor, which is the receptor for corticotropin-releasing factor, or CRF, a hormone that is secreted by the hypothalamus. The CRF1 receptor is abundantly expressed in the pituitary gland where it is the primary regulator of the HPA axis. By blocking the CRF1 receptor, tildacerfont has the potential to address the uncontrolled cortisol feedback regulatory pathway in CAH, and in turn reduce the production of ACTH in the pituitary, limiting the amount of androgen produced downstream from the adrenal gland. We believe that by controlling excess adrenal androgens through an independent mechanism, tildacerfont could reduce the unwanted clinical symptoms associated with high androgen exposure. Tildacerfont use could also enable treating physicians to lower the supraphysiologic glucocorticoid doses given to classic CAH patients to near physiologic levels, thus reducing or avoiding the long-term and serious side effects associated with the chronic use of high dose glucocorticoids.</w:t>
      </w:r>
    </w:p>
    <w:p>
      <w:pPr>
        <w:spacing w:after="0" w:line="19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Tildacerfont has been evaluated in 171 patients across seven clinical trials in which it has been generally well tolerated. No drug-related SAEs have been reported related to tildacerfont treatment. To date, we have completed two Phase 2 clinical trials in patients with classic CAH, comprising of a two-week proof-of-mechanism dose ranging clinical trial, and a 12-week proof-of-concept clinical trial, in which we observed that tildacerfont led to the decrease in the levels of a series of hormones associated with adrenal hyperplasia and androgen synthesis, both of which are key indicators of poor disease control. In our 12-week clinical trial, among patients with highly elevated hormones and androgens at baseline, 60% achieved normalization of ACTH, one subject at week two prior to discontinuation and two subjects during month three, and 40% achieved normalization of androstenedione, or A4, during month three. A4 is an androgen steroid routinely used as a biomarker of androgen synthesis by the adrenal gland.</w:t>
      </w:r>
    </w:p>
    <w:p>
      <w:pPr>
        <w:spacing w:after="0" w:line="166"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Through our clinical trials completed to date, we have conducted post-hoc analyses of two distinct groups of classic CAH patients, both on stable standard-of-care glucocorticoids: those who have poor disease control, as evidenced by highly elevated hormones and androgens at baseline; and those who have good disease control, as evidenced by hormones and androgens that are close to or within the normal range at baseline. In patients with poor disease control, the dose of glucocorticoids being administered was insufficient on its own to suppress adrenal hyperplasia and androgen synthesis. Patients with poor disease control may be intolerant to higher glucocorticoid doses or unwilling to accept the negative consequences resulting from chronic use of high doses of glucocorticoids. In patients with poor disease control, the addition of tildacerfont provided a potential non-steroidal solution to control excess androgen synthesis. Patients receiving tildacerfont showed reduced levels of disease-driving hormones and androgens by a mean of approximately 80%, resulting in levels close to those found in healthy adults without any changes to the glucocorticoid dosing in these patients.</w:t>
      </w:r>
    </w:p>
    <w:p>
      <w:pPr>
        <w:spacing w:after="0" w:line="165"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observed that classic CAH patients in our clinical trials with good disease control upon trial enrollment were receiving glucocorticoid doses approximately 44% higher than those patients with poor disease control. Dosing of tildacerfont in patients with good disease control was well tolerated and did not lead to further suppression of adrenal function or androgen synthesis. In these patients, tildacerfont may be able to allow a significant reduction in glucocorticoid dosing while continuing to maintain normal levels of androgens. Based on the strength of our clinical results to date, we believe tildacerfont has the potential to offer improved clinical outcomes for both poor disease control and good disease control classic CAH patients.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have initiated CAHmelia-203, a double-blind, placebo-controlled Phase 2b clinical trial in adult patients with classic CAH who have poor disease control despite stable glucocorticoid dosing. The goals of this clinical trial are to: (i) assess the ability of three dose levels of tildacerfont to reduce the levels of disease associated hormones and androgens over a period of 12 weeks; (ii) assess the impact of dose-titration of tildacerfont to further improve these hormone and androgen levels over 24 weeks; (iii) assess clinical outcomes that result from hormone reductions over 70 weeks; and (iv) assess the long-term safety of tildacerfont over 70 weeks. We have also initiated CAHmelia-204, a second Phase 2b clinical trial in adult patients with classic CAH with good disease control focused on glucocorticoid reduction. The goals of this clinical trial are to: (i) evaluate the ability of tildacerfont to allow clinically meaningful reductions in glucocorticoid dosing over periods of 24 and 76 weeks while maintaining good disease control; (ii) assess the combined impact of tildacerfont administration and glucocorticoid reduction on improving clinical outcomes over 24 and 76 weeks; and (iii) assess the long-term safety of tildacerfont over 76 weeks. 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in CAHmelia-204, we plan to meet with the FDA and comparable foreign regulatory authorities to discuss registration. We also plan to investigate tildacerfont for the treatment of classic CAH in children as young as two years of age, and plan to initiate a clinical development program for tildacerfont in the pediatric classic CAH population in the second half of 2021.</w:t>
      </w:r>
    </w:p>
    <w:p>
      <w:pPr>
        <w:spacing w:after="0" w:line="176"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We own worldwide development and commercialization rights for tildacerfont. We intend to build a highly specialized commercial organization to support the commercialization of tildacerfont, if approved, in the United States and Europe.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95"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We have developed and continue to expand our extensive patent portfolio for tildacerfont, covering composition of matter, method of synthesis, formulation, and use. We have also been granted orphan drug designation for tildacerfont for the treatment of CAH both in the United States and the EU. We have assembled a highly experienced team with broad capabilities in drug discovery, development, and commercialization. In aggregate, our team has contributed to the development and commercial launch of 40 products, including within the fields of endocrinology and rare diseases. Richard King, our Chief Executive Officer, previously served as Chief Operating Officer at Adamas Pharmaceuticals, Inc. and President and Chief Executive Officer of AcelRx Pharmaceuticals, Inc. Prior to that, Mr. King served as President and Chief Operating Officer of Tercica, Inc., a company focused on developing and commercializing therapeutics for rare endocrine disorders, until its acquisition by Ipsen, S.A. Samir Gharib, our Chief Financial Officer, previously served as Chief Financial Officer at Stemedica Cell Technologies. Rosh Dias, M.D., M.R.C.P., our Chief Medical Officer, previously served as Chief Medical Officer of Indivior PLC, and prior to that in clinical development and medical affairs roles with Amgen Inc., Onyx Pharmaceuticals, Inc., and Novartis International AG.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Plan for Tildacerfont</w:t>
      </w:r>
    </w:p>
    <w:p>
      <w:pPr>
        <w:spacing w:after="0" w:line="12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are investigating tildacerfont in orphan indications where the underlying disease biology supports a need to reduce excess secretion of or hyperresponsiveness to ACTH. We are currently in late-stage clinical development for tildacerfont in adult patients with classic CAH. We have initiated the CAHmelia-203 trial in adult patients with classic CAH with poor disease control and anticipate topline results in the first half of 2022. We have also initiated the CAHmelia-204 trial in adult patients with classic CAH with good disease control focused on glucocorticoid reduction and anticipate topline results in the second half of 2022. Based on analyses of our clinical data to date, we have chosen to target two distinct groups of classic CAH patients with either good disease control or poor disease control. These two groups, which together make up the entire classic CAH patient population, have differing disease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in CAHmelia-204, we plan to meet with the FDA and comparable foreign regulatory authorities to discuss registration.</w:t>
      </w:r>
    </w:p>
    <w:p>
      <w:pPr>
        <w:spacing w:after="0" w:line="15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We also plan to investigate tildacerfont for the treatment of classic CAH in children as young as two years of age, and plan to initiate the clinical development program for tildacerfont in the pediatric classic CAH population in the second half of 2021. By leveraging our existing Phase 1 program, which includes safety, tolerability, and pharmacokinetics of tildacerfont, in addition to dose modelling to adapt the information from adults to children, we plan to initiate a Phase 2 pediatric clinical trial. We have received feedback from the FDA and EMA on our planned Phase 2 pediatric clinical trial.</w:t>
      </w:r>
    </w:p>
    <w:p>
      <w:pPr>
        <w:spacing w:after="0" w:line="15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Polycystic ovary syndrome, or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this rare form of PCOS, representing 3-5% of females with PCOS (estimated to be 150,000 to 200,000 patients in the United States). We plan to file an investigational new drug application, or IND, to study tildacerfont in this patient population in the first half of 2021 and are pursuing orphan drug designation in this patient population. By leveraging our existing Phase 1 program, which includes safety, tolerability, and pharmacokinetics of tildacerfont, subject to the clearance of our planned IND, we plan to initiate a Phase 2 proof-of-concept clinical trial in the second half of 2021.</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development plan for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151765</wp:posOffset>
            </wp:positionV>
            <wp:extent cx="889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42862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151765</wp:posOffset>
            </wp:positionV>
            <wp:extent cx="825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151765</wp:posOffset>
            </wp:positionV>
            <wp:extent cx="889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42862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1980" w:type="dxa"/>
            <w:vAlign w:val="bottom"/>
            <w:tcBorders>
              <w:top w:val="single" w:sz="8" w:color="auto"/>
              <w:left w:val="single" w:sz="8" w:color="auto"/>
              <w:right w:val="single" w:sz="8" w:color="3ADBB5"/>
            </w:tcBorders>
            <w:shd w:val="clear" w:color="auto" w:fill="3ADBB5"/>
          </w:tcPr>
          <w:p>
            <w:pPr>
              <w:jc w:val="center"/>
              <w:ind w:left="70"/>
              <w:spacing w:after="0"/>
              <w:rPr>
                <w:sz w:val="20"/>
                <w:szCs w:val="20"/>
                <w:color w:val="auto"/>
              </w:rPr>
            </w:pPr>
            <w:r>
              <w:rPr>
                <w:rFonts w:ascii="Arial" w:cs="Arial" w:eastAsia="Arial" w:hAnsi="Arial"/>
                <w:sz w:val="18"/>
                <w:szCs w:val="18"/>
                <w:b w:val="1"/>
                <w:bCs w:val="1"/>
                <w:color w:val="FFFFFF"/>
                <w:w w:val="91"/>
              </w:rPr>
              <w:t>Product</w:t>
            </w:r>
          </w:p>
        </w:tc>
        <w:tc>
          <w:tcPr>
            <w:tcW w:w="2820" w:type="dxa"/>
            <w:vAlign w:val="bottom"/>
            <w:tcBorders>
              <w:top w:val="single" w:sz="8" w:color="auto"/>
              <w:right w:val="single" w:sz="8" w:color="3ADBB5"/>
            </w:tcBorders>
            <w:vMerge w:val="restart"/>
            <w:shd w:val="clear" w:color="auto" w:fill="3ADBB5"/>
          </w:tcPr>
          <w:p>
            <w:pPr>
              <w:jc w:val="center"/>
              <w:spacing w:after="0"/>
              <w:rPr>
                <w:sz w:val="20"/>
                <w:szCs w:val="20"/>
                <w:color w:val="auto"/>
              </w:rPr>
            </w:pPr>
            <w:r>
              <w:rPr>
                <w:rFonts w:ascii="Arial" w:cs="Arial" w:eastAsia="Arial" w:hAnsi="Arial"/>
                <w:sz w:val="18"/>
                <w:szCs w:val="18"/>
                <w:b w:val="1"/>
                <w:bCs w:val="1"/>
                <w:color w:val="FFFFFF"/>
                <w:w w:val="94"/>
              </w:rPr>
              <w:t>Indication</w:t>
            </w:r>
          </w:p>
        </w:tc>
        <w:tc>
          <w:tcPr>
            <w:tcW w:w="3240" w:type="dxa"/>
            <w:vAlign w:val="bottom"/>
            <w:tcBorders>
              <w:top w:val="single" w:sz="8" w:color="auto"/>
              <w:right w:val="single" w:sz="8" w:color="3ADBB5"/>
            </w:tcBorders>
            <w:vMerge w:val="restart"/>
            <w:shd w:val="clear" w:color="auto" w:fill="3ADBB5"/>
          </w:tcPr>
          <w:p>
            <w:pPr>
              <w:ind w:left="1400"/>
              <w:spacing w:after="0"/>
              <w:rPr>
                <w:sz w:val="20"/>
                <w:szCs w:val="20"/>
                <w:color w:val="auto"/>
              </w:rPr>
            </w:pPr>
            <w:r>
              <w:rPr>
                <w:rFonts w:ascii="Arial" w:cs="Arial" w:eastAsia="Arial" w:hAnsi="Arial"/>
                <w:sz w:val="18"/>
                <w:szCs w:val="18"/>
                <w:b w:val="1"/>
                <w:bCs w:val="1"/>
                <w:color w:val="FFFFFF"/>
              </w:rPr>
              <w:t>Status</w:t>
            </w:r>
          </w:p>
        </w:tc>
        <w:tc>
          <w:tcPr>
            <w:tcW w:w="260" w:type="dxa"/>
            <w:vAlign w:val="bottom"/>
            <w:tcBorders>
              <w:top w:val="single" w:sz="8" w:color="auto"/>
            </w:tcBorders>
            <w:shd w:val="clear" w:color="auto" w:fill="3ADBB5"/>
          </w:tcPr>
          <w:p>
            <w:pPr>
              <w:spacing w:after="0"/>
              <w:rPr>
                <w:sz w:val="24"/>
                <w:szCs w:val="24"/>
                <w:color w:val="auto"/>
              </w:rPr>
            </w:pPr>
          </w:p>
        </w:tc>
        <w:tc>
          <w:tcPr>
            <w:tcW w:w="2960" w:type="dxa"/>
            <w:vAlign w:val="bottom"/>
            <w:tcBorders>
              <w:top w:val="single" w:sz="8" w:color="auto"/>
              <w:right w:val="single" w:sz="8" w:color="auto"/>
            </w:tcBorders>
            <w:vMerge w:val="restart"/>
            <w:shd w:val="clear" w:color="auto" w:fill="3ADBB5"/>
          </w:tcPr>
          <w:p>
            <w:pPr>
              <w:ind w:left="260"/>
              <w:spacing w:after="0"/>
              <w:rPr>
                <w:sz w:val="20"/>
                <w:szCs w:val="20"/>
                <w:color w:val="auto"/>
              </w:rPr>
            </w:pPr>
            <w:r>
              <w:rPr>
                <w:rFonts w:ascii="Arial" w:cs="Arial" w:eastAsia="Arial" w:hAnsi="Arial"/>
                <w:sz w:val="18"/>
                <w:szCs w:val="18"/>
                <w:b w:val="1"/>
                <w:bCs w:val="1"/>
                <w:color w:val="FFFFFF"/>
              </w:rPr>
              <w:t>Key Anticipated Milestone(s)</w:t>
            </w:r>
          </w:p>
        </w:tc>
        <w:tc>
          <w:tcPr>
            <w:tcW w:w="0" w:type="dxa"/>
            <w:vAlign w:val="bottom"/>
          </w:tcPr>
          <w:p>
            <w:pPr>
              <w:spacing w:after="0"/>
              <w:rPr>
                <w:sz w:val="1"/>
                <w:szCs w:val="1"/>
                <w:color w:val="auto"/>
              </w:rPr>
            </w:pPr>
          </w:p>
        </w:tc>
      </w:tr>
      <w:tr>
        <w:trPr>
          <w:trHeight w:val="126"/>
        </w:trPr>
        <w:tc>
          <w:tcPr>
            <w:tcW w:w="1980" w:type="dxa"/>
            <w:vAlign w:val="bottom"/>
            <w:tcBorders>
              <w:left w:val="single" w:sz="8" w:color="auto"/>
              <w:right w:val="single" w:sz="8" w:color="3ADBB5"/>
            </w:tcBorders>
            <w:vMerge w:val="restart"/>
            <w:shd w:val="clear" w:color="auto" w:fill="3ADBB5"/>
          </w:tcPr>
          <w:p>
            <w:pPr>
              <w:jc w:val="center"/>
              <w:ind w:left="10"/>
              <w:spacing w:after="0"/>
              <w:rPr>
                <w:sz w:val="20"/>
                <w:szCs w:val="20"/>
                <w:color w:val="auto"/>
              </w:rPr>
            </w:pPr>
            <w:r>
              <w:rPr>
                <w:rFonts w:ascii="Arial" w:cs="Arial" w:eastAsia="Arial" w:hAnsi="Arial"/>
                <w:sz w:val="18"/>
                <w:szCs w:val="18"/>
                <w:b w:val="1"/>
                <w:bCs w:val="1"/>
                <w:color w:val="FFFFFF"/>
                <w:w w:val="91"/>
              </w:rPr>
              <w:t>Candidate</w:t>
            </w:r>
          </w:p>
        </w:tc>
        <w:tc>
          <w:tcPr>
            <w:tcW w:w="2820" w:type="dxa"/>
            <w:vAlign w:val="bottom"/>
            <w:tcBorders>
              <w:right w:val="single" w:sz="8" w:color="3ADBB5"/>
            </w:tcBorders>
            <w:vMerge w:val="continue"/>
            <w:shd w:val="clear" w:color="auto" w:fill="3ADBB5"/>
          </w:tcPr>
          <w:p>
            <w:pPr>
              <w:spacing w:after="0"/>
              <w:rPr>
                <w:sz w:val="10"/>
                <w:szCs w:val="10"/>
                <w:color w:val="auto"/>
              </w:rPr>
            </w:pPr>
          </w:p>
        </w:tc>
        <w:tc>
          <w:tcPr>
            <w:tcW w:w="3240" w:type="dxa"/>
            <w:vAlign w:val="bottom"/>
            <w:tcBorders>
              <w:right w:val="single" w:sz="8" w:color="3ADBB5"/>
            </w:tcBorders>
            <w:vMerge w:val="continue"/>
            <w:shd w:val="clear" w:color="auto" w:fill="3ADBB5"/>
          </w:tcPr>
          <w:p>
            <w:pPr>
              <w:spacing w:after="0"/>
              <w:rPr>
                <w:sz w:val="10"/>
                <w:szCs w:val="10"/>
                <w:color w:val="auto"/>
              </w:rPr>
            </w:pPr>
          </w:p>
        </w:tc>
        <w:tc>
          <w:tcPr>
            <w:tcW w:w="260" w:type="dxa"/>
            <w:vAlign w:val="bottom"/>
            <w:shd w:val="clear" w:color="auto" w:fill="3ADBB5"/>
          </w:tcPr>
          <w:p>
            <w:pPr>
              <w:spacing w:after="0"/>
              <w:rPr>
                <w:sz w:val="10"/>
                <w:szCs w:val="10"/>
                <w:color w:val="auto"/>
              </w:rPr>
            </w:pPr>
          </w:p>
        </w:tc>
        <w:tc>
          <w:tcPr>
            <w:tcW w:w="2960" w:type="dxa"/>
            <w:vAlign w:val="bottom"/>
            <w:tcBorders>
              <w:right w:val="single" w:sz="8" w:color="auto"/>
            </w:tcBorders>
            <w:vMerge w:val="continue"/>
            <w:shd w:val="clear" w:color="auto" w:fill="3ADBB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bottom w:val="single" w:sz="8" w:color="auto"/>
              <w:right w:val="single" w:sz="8" w:color="3ADBB5"/>
            </w:tcBorders>
            <w:vMerge w:val="continue"/>
            <w:shd w:val="clear" w:color="auto" w:fill="3ADBB5"/>
          </w:tcPr>
          <w:p>
            <w:pPr>
              <w:spacing w:after="0"/>
              <w:rPr>
                <w:sz w:val="9"/>
                <w:szCs w:val="9"/>
                <w:color w:val="auto"/>
              </w:rPr>
            </w:pPr>
          </w:p>
        </w:tc>
        <w:tc>
          <w:tcPr>
            <w:tcW w:w="2820" w:type="dxa"/>
            <w:vAlign w:val="bottom"/>
            <w:tcBorders>
              <w:bottom w:val="single" w:sz="8" w:color="auto"/>
              <w:right w:val="single" w:sz="8" w:color="3ADBB5"/>
            </w:tcBorders>
            <w:shd w:val="clear" w:color="auto" w:fill="3ADBB5"/>
          </w:tcPr>
          <w:p>
            <w:pPr>
              <w:spacing w:after="0"/>
              <w:rPr>
                <w:sz w:val="9"/>
                <w:szCs w:val="9"/>
                <w:color w:val="auto"/>
              </w:rPr>
            </w:pPr>
          </w:p>
        </w:tc>
        <w:tc>
          <w:tcPr>
            <w:tcW w:w="3240" w:type="dxa"/>
            <w:vAlign w:val="bottom"/>
            <w:tcBorders>
              <w:bottom w:val="single" w:sz="8" w:color="auto"/>
              <w:right w:val="single" w:sz="8" w:color="3ADBB5"/>
            </w:tcBorders>
            <w:shd w:val="clear" w:color="auto" w:fill="3ADBB5"/>
          </w:tcPr>
          <w:p>
            <w:pPr>
              <w:spacing w:after="0"/>
              <w:rPr>
                <w:sz w:val="9"/>
                <w:szCs w:val="9"/>
                <w:color w:val="auto"/>
              </w:rPr>
            </w:pPr>
          </w:p>
        </w:tc>
        <w:tc>
          <w:tcPr>
            <w:tcW w:w="260" w:type="dxa"/>
            <w:vAlign w:val="bottom"/>
            <w:tcBorders>
              <w:bottom w:val="single" w:sz="8" w:color="auto"/>
            </w:tcBorders>
            <w:shd w:val="clear" w:color="auto" w:fill="3ADBB5"/>
          </w:tcPr>
          <w:p>
            <w:pPr>
              <w:spacing w:after="0"/>
              <w:rPr>
                <w:sz w:val="9"/>
                <w:szCs w:val="9"/>
                <w:color w:val="auto"/>
              </w:rPr>
            </w:pPr>
          </w:p>
        </w:tc>
        <w:tc>
          <w:tcPr>
            <w:tcW w:w="2960" w:type="dxa"/>
            <w:vAlign w:val="bottom"/>
            <w:tcBorders>
              <w:bottom w:val="single" w:sz="8" w:color="auto"/>
              <w:right w:val="single" w:sz="8" w:color="auto"/>
            </w:tcBorders>
            <w:shd w:val="clear" w:color="auto" w:fill="3ADBB5"/>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980" w:type="dxa"/>
            <w:vAlign w:val="bottom"/>
            <w:tcBorders>
              <w:left w:val="single" w:sz="8" w:color="auto"/>
              <w:right w:val="single" w:sz="8" w:color="auto"/>
            </w:tcBorders>
            <w:shd w:val="clear" w:color="auto" w:fill="E5E5E5"/>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Initiated Phase 2b clinical trial</w:t>
            </w:r>
          </w:p>
        </w:tc>
        <w:tc>
          <w:tcPr>
            <w:tcW w:w="26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(CAHmelia</w:t>
            </w:r>
            <w:r>
              <w:rPr>
                <w:rFonts w:ascii="Arial" w:cs="Arial" w:eastAsia="Arial" w:hAnsi="Arial"/>
                <w:sz w:val="14"/>
                <w:szCs w:val="14"/>
                <w:color w:val="auto"/>
                <w:w w:val="94"/>
              </w:rPr>
              <w:t>-</w:t>
            </w:r>
            <w:r>
              <w:rPr>
                <w:rFonts w:ascii="Arial" w:cs="Arial" w:eastAsia="Arial" w:hAnsi="Arial"/>
                <w:sz w:val="18"/>
                <w:szCs w:val="18"/>
                <w:color w:val="auto"/>
                <w:w w:val="94"/>
              </w:rPr>
              <w:t>203) to evaluate androgen</w:t>
            </w:r>
          </w:p>
        </w:tc>
        <w:tc>
          <w:tcPr>
            <w:tcW w:w="2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reduction and clinical consequences in</w:t>
            </w:r>
          </w:p>
        </w:tc>
        <w:tc>
          <w:tcPr>
            <w:tcW w:w="260" w:type="dxa"/>
            <w:vAlign w:val="bottom"/>
            <w:vMerge w:val="continue"/>
          </w:tcPr>
          <w:p>
            <w:pPr>
              <w:spacing w:after="0"/>
              <w:rPr>
                <w:sz w:val="18"/>
                <w:szCs w:val="18"/>
                <w:color w:val="auto"/>
              </w:rPr>
            </w:pPr>
          </w:p>
        </w:tc>
        <w:tc>
          <w:tcPr>
            <w:tcW w:w="29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1H 2022: CAHmelia</w:t>
            </w:r>
            <w:r>
              <w:rPr>
                <w:rFonts w:ascii="Arial" w:cs="Arial" w:eastAsia="Arial" w:hAnsi="Arial"/>
                <w:sz w:val="14"/>
                <w:szCs w:val="14"/>
                <w:color w:val="auto"/>
              </w:rPr>
              <w:t>-</w:t>
            </w:r>
            <w:r>
              <w:rPr>
                <w:rFonts w:ascii="Arial" w:cs="Arial" w:eastAsia="Arial" w:hAnsi="Arial"/>
                <w:sz w:val="18"/>
                <w:szCs w:val="18"/>
                <w:color w:val="auto"/>
              </w:rPr>
              <w:t>203 topline</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shd w:val="clear" w:color="auto" w:fill="E5E5E5"/>
          </w:tcPr>
          <w:p>
            <w:pPr>
              <w:spacing w:after="0"/>
              <w:rPr>
                <w:sz w:val="20"/>
                <w:szCs w:val="20"/>
                <w:color w:val="auto"/>
              </w:rPr>
            </w:pPr>
          </w:p>
        </w:tc>
        <w:tc>
          <w:tcPr>
            <w:tcW w:w="28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w w:val="96"/>
              </w:rPr>
              <w:t>Adult Classic Congenital Adrenal</w:t>
            </w: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adult patients with classic CAH</w:t>
            </w:r>
          </w:p>
        </w:tc>
        <w:tc>
          <w:tcPr>
            <w:tcW w:w="260" w:type="dxa"/>
            <w:vAlign w:val="bottom"/>
          </w:tcPr>
          <w:p>
            <w:pPr>
              <w:spacing w:after="0"/>
              <w:rPr>
                <w:sz w:val="20"/>
                <w:szCs w:val="20"/>
                <w:color w:val="auto"/>
              </w:rPr>
            </w:pPr>
          </w:p>
        </w:tc>
        <w:tc>
          <w:tcPr>
            <w:tcW w:w="2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results</w:t>
            </w:r>
          </w:p>
        </w:tc>
        <w:tc>
          <w:tcPr>
            <w:tcW w:w="0" w:type="dxa"/>
            <w:vAlign w:val="bottom"/>
          </w:tcPr>
          <w:p>
            <w:pPr>
              <w:spacing w:after="0"/>
              <w:rPr>
                <w:sz w:val="1"/>
                <w:szCs w:val="1"/>
                <w:color w:val="auto"/>
              </w:rPr>
            </w:pPr>
          </w:p>
        </w:tc>
      </w:tr>
      <w:tr>
        <w:trPr>
          <w:trHeight w:val="202"/>
        </w:trPr>
        <w:tc>
          <w:tcPr>
            <w:tcW w:w="1980" w:type="dxa"/>
            <w:vAlign w:val="bottom"/>
            <w:tcBorders>
              <w:left w:val="single" w:sz="8" w:color="auto"/>
              <w:right w:val="single" w:sz="8" w:color="auto"/>
            </w:tcBorders>
            <w:shd w:val="clear" w:color="auto" w:fill="E5E5E5"/>
          </w:tcPr>
          <w:p>
            <w:pPr>
              <w:spacing w:after="0"/>
              <w:rPr>
                <w:sz w:val="17"/>
                <w:szCs w:val="17"/>
                <w:color w:val="auto"/>
              </w:rPr>
            </w:pPr>
          </w:p>
        </w:tc>
        <w:tc>
          <w:tcPr>
            <w:tcW w:w="2820" w:type="dxa"/>
            <w:vAlign w:val="bottom"/>
            <w:tcBorders>
              <w:right w:val="single" w:sz="8" w:color="auto"/>
            </w:tcBorders>
            <w:vMerge w:val="continue"/>
          </w:tcPr>
          <w:p>
            <w:pPr>
              <w:spacing w:after="0"/>
              <w:rPr>
                <w:sz w:val="17"/>
                <w:szCs w:val="17"/>
                <w:color w:val="auto"/>
              </w:rPr>
            </w:pPr>
          </w:p>
        </w:tc>
        <w:tc>
          <w:tcPr>
            <w:tcW w:w="324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Initiated Phase 2b clinical trial</w:t>
            </w:r>
          </w:p>
        </w:tc>
        <w:tc>
          <w:tcPr>
            <w:tcW w:w="2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Hyperplasia</w:t>
            </w:r>
          </w:p>
        </w:tc>
        <w:tc>
          <w:tcPr>
            <w:tcW w:w="3240" w:type="dxa"/>
            <w:vAlign w:val="bottom"/>
            <w:tcBorders>
              <w:right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2H 2022: CAHmelia</w:t>
            </w:r>
            <w:r>
              <w:rPr>
                <w:rFonts w:ascii="Arial" w:cs="Arial" w:eastAsia="Arial" w:hAnsi="Arial"/>
                <w:sz w:val="14"/>
                <w:szCs w:val="14"/>
                <w:color w:val="auto"/>
              </w:rPr>
              <w:t>-</w:t>
            </w:r>
            <w:r>
              <w:rPr>
                <w:rFonts w:ascii="Arial" w:cs="Arial" w:eastAsia="Arial" w:hAnsi="Arial"/>
                <w:sz w:val="18"/>
                <w:szCs w:val="18"/>
                <w:color w:val="auto"/>
              </w:rPr>
              <w:t>204 topline</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(CAHmelia</w:t>
            </w:r>
            <w:r>
              <w:rPr>
                <w:rFonts w:ascii="Arial" w:cs="Arial" w:eastAsia="Arial" w:hAnsi="Arial"/>
                <w:sz w:val="14"/>
                <w:szCs w:val="14"/>
                <w:color w:val="auto"/>
              </w:rPr>
              <w:t>-</w:t>
            </w:r>
            <w:r>
              <w:rPr>
                <w:rFonts w:ascii="Arial" w:cs="Arial" w:eastAsia="Arial" w:hAnsi="Arial"/>
                <w:sz w:val="18"/>
                <w:szCs w:val="18"/>
                <w:color w:val="auto"/>
              </w:rPr>
              <w:t>204) to evaluate</w:t>
            </w:r>
          </w:p>
        </w:tc>
        <w:tc>
          <w:tcPr>
            <w:tcW w:w="260" w:type="dxa"/>
            <w:vAlign w:val="bottom"/>
          </w:tcPr>
          <w:p>
            <w:pPr>
              <w:spacing w:after="0"/>
              <w:rPr>
                <w:sz w:val="18"/>
                <w:szCs w:val="18"/>
                <w:color w:val="auto"/>
              </w:rPr>
            </w:pPr>
          </w:p>
        </w:tc>
        <w:tc>
          <w:tcPr>
            <w:tcW w:w="2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results</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glucocorticoid reduction and clinical</w:t>
            </w:r>
          </w:p>
        </w:tc>
        <w:tc>
          <w:tcPr>
            <w:tcW w:w="2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consequences in adult patients with</w:t>
            </w:r>
          </w:p>
        </w:tc>
        <w:tc>
          <w:tcPr>
            <w:tcW w:w="2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vMerge w:val="restart"/>
            <w:shd w:val="clear" w:color="auto" w:fill="E5E5E5"/>
          </w:tcPr>
          <w:p>
            <w:pPr>
              <w:jc w:val="center"/>
              <w:ind w:left="50"/>
              <w:spacing w:after="0"/>
              <w:rPr>
                <w:sz w:val="20"/>
                <w:szCs w:val="20"/>
                <w:color w:val="auto"/>
              </w:rPr>
            </w:pPr>
            <w:r>
              <w:rPr>
                <w:rFonts w:ascii="Arial" w:cs="Arial" w:eastAsia="Arial" w:hAnsi="Arial"/>
                <w:sz w:val="18"/>
                <w:szCs w:val="18"/>
                <w:b w:val="1"/>
                <w:bCs w:val="1"/>
                <w:color w:val="auto"/>
                <w:w w:val="93"/>
              </w:rPr>
              <w:t>Tildacerfont</w:t>
            </w:r>
          </w:p>
        </w:tc>
        <w:tc>
          <w:tcPr>
            <w:tcW w:w="282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classic CAH</w:t>
            </w:r>
          </w:p>
        </w:tc>
        <w:tc>
          <w:tcPr>
            <w:tcW w:w="2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E5E5E5"/>
              <w:right w:val="single" w:sz="8" w:color="auto"/>
            </w:tcBorders>
            <w:vMerge w:val="continue"/>
            <w:shd w:val="clear" w:color="auto" w:fill="E5E5E5"/>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980" w:type="dxa"/>
            <w:vAlign w:val="bottom"/>
            <w:tcBorders>
              <w:left w:val="single" w:sz="8" w:color="auto"/>
              <w:right w:val="single" w:sz="8" w:color="auto"/>
            </w:tcBorders>
            <w:shd w:val="clear" w:color="auto" w:fill="E5E5E5"/>
          </w:tcPr>
          <w:p>
            <w:pPr>
              <w:spacing w:after="0"/>
              <w:rPr>
                <w:sz w:val="24"/>
                <w:szCs w:val="24"/>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Pediatric Classic Congenital Adrenal</w:t>
            </w:r>
          </w:p>
        </w:tc>
        <w:tc>
          <w:tcPr>
            <w:tcW w:w="32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Received FDA and EMA feedback on</w:t>
            </w:r>
          </w:p>
        </w:tc>
        <w:tc>
          <w:tcPr>
            <w:tcW w:w="2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3"/>
              </w:rPr>
              <w:t>2H 2021: Initiate Phase 2 clinical trial</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shd w:val="clear" w:color="auto" w:fill="E5E5E5"/>
          </w:tcPr>
          <w:p>
            <w:pPr>
              <w:spacing w:after="0"/>
              <w:rPr>
                <w:sz w:val="12"/>
                <w:szCs w:val="12"/>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Hyperplasia</w:t>
            </w:r>
          </w:p>
        </w:tc>
        <w:tc>
          <w:tcPr>
            <w:tcW w:w="3240" w:type="dxa"/>
            <w:vAlign w:val="bottom"/>
            <w:tcBorders>
              <w:right w:val="single" w:sz="8" w:color="auto"/>
            </w:tcBorders>
          </w:tcPr>
          <w:p>
            <w:pPr>
              <w:ind w:left="360"/>
              <w:spacing w:after="0" w:line="148" w:lineRule="exact"/>
              <w:rPr>
                <w:sz w:val="20"/>
                <w:szCs w:val="20"/>
                <w:color w:val="auto"/>
              </w:rPr>
            </w:pPr>
            <w:r>
              <w:rPr>
                <w:rFonts w:ascii="Arial" w:cs="Arial" w:eastAsia="Arial" w:hAnsi="Arial"/>
                <w:sz w:val="17"/>
                <w:szCs w:val="17"/>
                <w:color w:val="auto"/>
              </w:rPr>
              <w:t>planned Phase 2 clinical trial in</w:t>
            </w:r>
          </w:p>
        </w:tc>
        <w:tc>
          <w:tcPr>
            <w:tcW w:w="260" w:type="dxa"/>
            <w:vAlign w:val="bottom"/>
            <w:vMerge w:val="continue"/>
          </w:tcPr>
          <w:p>
            <w:pPr>
              <w:spacing w:after="0"/>
              <w:rPr>
                <w:sz w:val="12"/>
                <w:szCs w:val="12"/>
                <w:color w:val="auto"/>
              </w:rPr>
            </w:pPr>
          </w:p>
        </w:tc>
        <w:tc>
          <w:tcPr>
            <w:tcW w:w="2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shd w:val="clear" w:color="auto" w:fill="E5E5E5"/>
          </w:tcPr>
          <w:p>
            <w:pPr>
              <w:spacing w:after="0"/>
              <w:rPr>
                <w:sz w:val="10"/>
                <w:szCs w:val="10"/>
                <w:color w:val="auto"/>
              </w:rPr>
            </w:pPr>
          </w:p>
        </w:tc>
        <w:tc>
          <w:tcPr>
            <w:tcW w:w="2820" w:type="dxa"/>
            <w:vAlign w:val="bottom"/>
            <w:tcBorders>
              <w:right w:val="single" w:sz="8" w:color="auto"/>
            </w:tcBorders>
            <w:vMerge w:val="continue"/>
          </w:tcPr>
          <w:p>
            <w:pPr>
              <w:spacing w:after="0"/>
              <w:rPr>
                <w:sz w:val="10"/>
                <w:szCs w:val="10"/>
                <w:color w:val="auto"/>
              </w:rPr>
            </w:pPr>
          </w:p>
        </w:tc>
        <w:tc>
          <w:tcPr>
            <w:tcW w:w="32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children</w:t>
            </w:r>
          </w:p>
        </w:tc>
        <w:tc>
          <w:tcPr>
            <w:tcW w:w="260" w:type="dxa"/>
            <w:vAlign w:val="bottom"/>
          </w:tcPr>
          <w:p>
            <w:pPr>
              <w:spacing w:after="0"/>
              <w:rPr>
                <w:sz w:val="10"/>
                <w:szCs w:val="10"/>
                <w:color w:val="auto"/>
              </w:rPr>
            </w:pPr>
          </w:p>
        </w:tc>
        <w:tc>
          <w:tcPr>
            <w:tcW w:w="2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shd w:val="clear" w:color="auto" w:fill="E5E5E5"/>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E5E5E5"/>
              <w:right w:val="single" w:sz="8" w:color="auto"/>
            </w:tcBorders>
            <w:shd w:val="clear" w:color="auto" w:fill="E5E5E5"/>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980" w:type="dxa"/>
            <w:vAlign w:val="bottom"/>
            <w:tcBorders>
              <w:left w:val="single" w:sz="8" w:color="auto"/>
              <w:right w:val="single" w:sz="8" w:color="auto"/>
            </w:tcBorders>
            <w:shd w:val="clear" w:color="auto" w:fill="E5E5E5"/>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Developing clinical development plan</w:t>
            </w:r>
          </w:p>
        </w:tc>
        <w:tc>
          <w:tcPr>
            <w:tcW w:w="2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1H 2021: File IND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shd w:val="clear" w:color="auto" w:fill="E5E5E5"/>
          </w:tcPr>
          <w:p>
            <w:pPr>
              <w:spacing w:after="0"/>
              <w:rPr>
                <w:sz w:val="18"/>
                <w:szCs w:val="18"/>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Polycystic Ovary Syndrome</w:t>
            </w: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in a subpopulation of females with a</w:t>
            </w:r>
          </w:p>
        </w:tc>
        <w:tc>
          <w:tcPr>
            <w:tcW w:w="2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shd w:val="clear" w:color="auto" w:fill="E5E5E5"/>
          </w:tcPr>
          <w:p>
            <w:pPr>
              <w:spacing w:after="0"/>
              <w:rPr>
                <w:sz w:val="10"/>
                <w:szCs w:val="10"/>
                <w:color w:val="auto"/>
              </w:rPr>
            </w:pPr>
          </w:p>
        </w:tc>
        <w:tc>
          <w:tcPr>
            <w:tcW w:w="2820" w:type="dxa"/>
            <w:vAlign w:val="bottom"/>
            <w:tcBorders>
              <w:right w:val="single" w:sz="8" w:color="auto"/>
            </w:tcBorders>
            <w:vMerge w:val="continue"/>
          </w:tcPr>
          <w:p>
            <w:pPr>
              <w:spacing w:after="0"/>
              <w:rPr>
                <w:sz w:val="10"/>
                <w:szCs w:val="10"/>
                <w:color w:val="auto"/>
              </w:rPr>
            </w:pPr>
          </w:p>
        </w:tc>
        <w:tc>
          <w:tcPr>
            <w:tcW w:w="32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w w:val="95"/>
              </w:rPr>
              <w:t>rare form of PCOS; planning Phase 2</w:t>
            </w:r>
          </w:p>
        </w:tc>
        <w:tc>
          <w:tcPr>
            <w:tcW w:w="260" w:type="dxa"/>
            <w:vAlign w:val="bottom"/>
            <w:vMerge w:val="continue"/>
          </w:tcPr>
          <w:p>
            <w:pPr>
              <w:spacing w:after="0"/>
              <w:rPr>
                <w:sz w:val="10"/>
                <w:szCs w:val="10"/>
                <w:color w:val="auto"/>
              </w:rPr>
            </w:pPr>
          </w:p>
        </w:tc>
        <w:tc>
          <w:tcPr>
            <w:tcW w:w="29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2H 2021: Initiate Phase 2 proof-of-</w:t>
            </w: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shd w:val="clear" w:color="auto" w:fill="E5E5E5"/>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2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shd w:val="clear" w:color="auto" w:fill="E5E5E5"/>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proof-of-concept clinical trial</w:t>
            </w:r>
          </w:p>
        </w:tc>
        <w:tc>
          <w:tcPr>
            <w:tcW w:w="260" w:type="dxa"/>
            <w:vAlign w:val="bottom"/>
          </w:tcPr>
          <w:p>
            <w:pPr>
              <w:spacing w:after="0"/>
              <w:rPr>
                <w:sz w:val="20"/>
                <w:szCs w:val="20"/>
                <w:color w:val="auto"/>
              </w:rPr>
            </w:pPr>
          </w:p>
        </w:tc>
        <w:tc>
          <w:tcPr>
            <w:tcW w:w="2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concept clinical trial*</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shd w:val="clear" w:color="auto" w:fill="E5E5E5"/>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clearance of the IND.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ind w:left="1160" w:right="60" w:hanging="572"/>
        <w:spacing w:after="0" w:line="269" w:lineRule="auto"/>
        <w:tabs>
          <w:tab w:leader="none" w:pos="1160" w:val="left"/>
        </w:tabs>
        <w:numPr>
          <w:ilvl w:val="0"/>
          <w:numId w:val="6"/>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Complete clinical development for tildacerfont and seek regulatory approval for the treatment of adults with classic CAH. </w:t>
      </w:r>
      <w:r>
        <w:rPr>
          <w:rFonts w:ascii="Arial" w:cs="Arial" w:eastAsia="Arial" w:hAnsi="Arial"/>
          <w:sz w:val="17"/>
          <w:szCs w:val="17"/>
          <w:color w:val="auto"/>
        </w:rPr>
        <w:t>Our</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Phase 2 clinical trials of tildacerfont in classic CAH patients have demonstrated the potential of tildacerfont to lower ACTH and levels of key steroid precursors for androgen synthesis. We have initiated CAHmelia-203, a placebo-controlled, double 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 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two clinical trials will provide sufficient patient exposures for our registrational safety database. Assuming positive results in CAHmelia-204, we plan to meet with the FDA and comparable foreign regulatory authorities to discuss registration.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160" w:right="60" w:hanging="572"/>
        <w:spacing w:after="0" w:line="274" w:lineRule="auto"/>
        <w:tabs>
          <w:tab w:leader="none" w:pos="1160"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Advance tildacerfont through clinical development and seek regulatory approval for the treatment of children with classic CAH. </w:t>
      </w:r>
      <w:r>
        <w:rPr>
          <w:rFonts w:ascii="Arial" w:cs="Arial" w:eastAsia="Arial" w:hAnsi="Arial"/>
          <w:sz w:val="17"/>
          <w:szCs w:val="17"/>
          <w:color w:val="auto"/>
        </w:rPr>
        <w:t>There is an urgent need to bring androgen-lowering and glucocorticoid-reduction therapy to pediatric classic CAH patients to</w:t>
      </w:r>
      <w:r>
        <w:rPr>
          <w:rFonts w:ascii="Arial" w:cs="Arial" w:eastAsia="Arial" w:hAnsi="Arial"/>
          <w:sz w:val="17"/>
          <w:szCs w:val="17"/>
          <w:b w:val="1"/>
          <w:bCs w:val="1"/>
          <w:color w:val="auto"/>
        </w:rPr>
        <w:t xml:space="preserve"> </w:t>
      </w:r>
      <w:r>
        <w:rPr>
          <w:rFonts w:ascii="Arial" w:cs="Arial" w:eastAsia="Arial" w:hAnsi="Arial"/>
          <w:sz w:val="17"/>
          <w:szCs w:val="17"/>
          <w:color w:val="auto"/>
        </w:rPr>
        <w:t>avoid premature puberty, which together with the adverse effects of glucocorticoids, can prevent a child from growing to their full height. We are developing a pediatric development plan to assess the safety and efficacy of tildacerfont in patients as young as two years of age. We plan to initiate a pediatric development program in classic CAH in the second half of 2021. We have received feedback from the FDA and EMA on our planned Phase 2 clinical trial of tildacerfont in children with classic CAH.</w:t>
      </w:r>
    </w:p>
    <w:p>
      <w:pPr>
        <w:spacing w:after="0" w:line="65" w:lineRule="exact"/>
        <w:rPr>
          <w:rFonts w:ascii="MS PGothic" w:cs="MS PGothic" w:eastAsia="MS PGothic" w:hAnsi="MS PGothic"/>
          <w:sz w:val="17"/>
          <w:szCs w:val="17"/>
          <w:color w:val="auto"/>
        </w:rPr>
      </w:pPr>
    </w:p>
    <w:p>
      <w:pPr>
        <w:ind w:left="1160" w:right="20" w:hanging="572"/>
        <w:spacing w:after="0" w:line="292" w:lineRule="auto"/>
        <w:tabs>
          <w:tab w:leader="none" w:pos="116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Maximize the commercial potential of tildacerfont in classic CAH. </w:t>
      </w:r>
      <w:r>
        <w:rPr>
          <w:rFonts w:ascii="Arial" w:cs="Arial" w:eastAsia="Arial" w:hAnsi="Arial"/>
          <w:sz w:val="16"/>
          <w:szCs w:val="16"/>
          <w:color w:val="auto"/>
        </w:rPr>
        <w:t>We intend to build a highly specialized commercial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support the commercialization of tildacerfont, if approved, in the United States and Europe.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opportunistically either build a commercial infrastructure or seek strategic collaborations to benefit from the resources of biopharmaceutical companies specialized in either relevant disease areas or geographies.</w:t>
      </w:r>
    </w:p>
    <w:p>
      <w:pPr>
        <w:spacing w:after="0" w:line="53" w:lineRule="exact"/>
        <w:rPr>
          <w:rFonts w:ascii="MS PGothic" w:cs="MS PGothic" w:eastAsia="MS PGothic" w:hAnsi="MS PGothic"/>
          <w:sz w:val="16"/>
          <w:szCs w:val="16"/>
          <w:color w:val="auto"/>
        </w:rPr>
      </w:pPr>
    </w:p>
    <w:p>
      <w:pPr>
        <w:ind w:left="1160" w:right="60" w:hanging="572"/>
        <w:spacing w:after="0" w:line="289" w:lineRule="auto"/>
        <w:tabs>
          <w:tab w:leader="none" w:pos="116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Explore the potential of tildacerfont to bring therapeutic benefit to patients with other rare endocrine disorders. </w:t>
      </w:r>
      <w:r>
        <w:rPr>
          <w:rFonts w:ascii="Arial" w:cs="Arial" w:eastAsia="Arial" w:hAnsi="Arial"/>
          <w:sz w:val="16"/>
          <w:szCs w:val="16"/>
          <w:color w:val="auto"/>
        </w:rPr>
        <w:t>We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tildacerfont has the potential to bring therapeutic benefit to patients suffering from rare endocrine disorders where the underlying disease biology supports a need to reduce excess secretion of or hyperresponsiveness to ACTH. Based on this biological rationale, we believe tildacerfont may have utility in controlling elevated levels of adrenal androgens in a subpopulation of females with a rare form of PCOS. We believe these patients may </w:t>
      </w:r>
      <w:r>
        <w:rPr>
          <w:rFonts w:ascii="Arial" w:cs="Arial" w:eastAsia="Arial" w:hAnsi="Arial"/>
          <w:sz w:val="16"/>
          <w:szCs w:val="16"/>
          <w:i w:val="1"/>
          <w:iCs w:val="1"/>
          <w:color w:val="auto"/>
        </w:rPr>
        <w:t>potentially</w:t>
      </w:r>
      <w:r>
        <w:rPr>
          <w:rFonts w:ascii="Arial" w:cs="Arial" w:eastAsia="Arial" w:hAnsi="Arial"/>
          <w:sz w:val="16"/>
          <w:szCs w:val="16"/>
          <w:color w:val="auto"/>
        </w:rPr>
        <w:t xml:space="preserve"> benefit from treatment with tildacerfont by reducing their ACTH level and related adrenal androgen production. We plan to file an IND to study tildacerfont in this patient population in the first half of 2021. By leveraging our existing Phase 1 program, which includes safety, tolerability, and pharmacokinetics of tildacerfont, subject to the clearance of our planned IND, we believe we will be able to initiate a Phase 2 proof-of-concept clinical trial in the second half of 2021 and are planning to pursue orphan drug designation in this patient population in the United States. We will also continue to explore the utility of tildacerfont in other rare endocrine disorders, such as the severe form of non-classic CAH in which there is a strong scientific and clinical rationale.</w:t>
      </w:r>
    </w:p>
    <w:p>
      <w:pPr>
        <w:spacing w:after="0" w:line="52" w:lineRule="exact"/>
        <w:rPr>
          <w:rFonts w:ascii="MS PGothic" w:cs="MS PGothic" w:eastAsia="MS PGothic" w:hAnsi="MS PGothic"/>
          <w:sz w:val="16"/>
          <w:szCs w:val="16"/>
          <w:color w:val="auto"/>
        </w:rPr>
      </w:pPr>
    </w:p>
    <w:p>
      <w:pPr>
        <w:jc w:val="both"/>
        <w:ind w:left="1160" w:hanging="572"/>
        <w:spacing w:after="0" w:line="261" w:lineRule="auto"/>
        <w:tabs>
          <w:tab w:leader="none" w:pos="116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Evaluate strategic opportunities to expand our product candidate portfolio. </w:t>
      </w:r>
      <w:r>
        <w:rPr>
          <w:rFonts w:ascii="Arial" w:cs="Arial" w:eastAsia="Arial" w:hAnsi="Arial"/>
          <w:sz w:val="18"/>
          <w:szCs w:val="18"/>
          <w:color w:val="auto"/>
        </w:rPr>
        <w:t>We intend to seek to in-license or acquire development-stage product candidates in rare endocrine disorders that have the potential to complement our existing portfolio. We believe that there are many opportunities to leverage our deep endocrine expertise to develop new treatments for rare endocrine disorders with significant unmet medical needs.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Endocrine System and the HPA Axis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endocrine system regulates most of the body’s physiological activities through the actions of hormones, which are chemical and biochemical messengers secreted from different organs that influence growth, gastrointestinal function, maturation and development, reproduction, stress, metabolism, and nearly all aspects of homeostasis. The endocrine system includes, among other glands and organs, the pituitary gland, hypothalamus, pancreas, adrenal gland, thyroid and parathyroid, ovaries and testes, as well as specialized enteroendocrine cells. Hormonal secretion is complex and the body employs several mechanisms to exert positive and negative feedback control to maintain homeostasis.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HPA axis is a critical component of the endocrine system and the body’s response to stress. In a functioning HPA axis, CRF is synthesized and secreted from the hypothalamus in the brain. This stimulates the secretion of ACTH, through activation of the CRF1 receptor at the pituitary gland, which in turn stimulates the production of several hormones in the adrenal cortex: corticosteroids, which gauge the body’s response to illness or injury; mineralocorticoids, which regulate salt and water levels; and androgens, which are male sex hormones. Cortisol, a glucocorticoid steroid, exerts a negative feedback response at the hypothalamus and pituitary, which decreases secretion of CRF and ACTH, respectively, to maintain an appropriate balance of all three hormones.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131445</wp:posOffset>
            </wp:positionV>
            <wp:extent cx="4431665" cy="1791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3166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 Normal HPA Axis function.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Classic CAH Disease Overview</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Classic CAH is a chronic and potentially life-threatening rare disease with no cure. The most common cause of classic CAH, accounting for an estimated 95% of cases, is a genetic mutation leading to the production of dysfunctional 21-hydroxylase, an enzyme necessary for the biosynthesis of both corticosteroids and mineralocorticoids. Patients with classic CAH present with dysregulation across the HPA axis due to this enzymatic deficiency that shuts down the production of corticosteroids and, in approximately 75% of cases, the production of mineralocorticoids.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117475</wp:posOffset>
            </wp:positionV>
            <wp:extent cx="4431665" cy="1825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3166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2. The dysregulation of the HPA axis in classic CAH.</w:t>
      </w:r>
    </w:p>
    <w:p>
      <w:pPr>
        <w:spacing w:after="0" w:line="229"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The immediate goal of treatment is the prevention of adrenal crises by replacing the missing physiological levels of corticosteroids. However, cortisol levels in the body vary daily, and normally increase during periods of high stress, making adequate control very difficult to achieve for most patients. In response to chronically absent or inadequate cortisol levels, the pituitary gland secretes higher levels of ACTH to further stimulate steroid synthesis 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adrenal gland. This results in hyperplasia of the gland and the shunting of the steroid precursors to androgen synthesis, resulting in excess levels of androgens such as testosterone and A4 with overt symptoms of virilization. Therefore, the long-term symptomatic control in these patients is to reduce ACTH through supraphysiological doses of exogenous glucocorticoids via a negative feedback response.</w:t>
      </w:r>
    </w:p>
    <w:p>
      <w:pPr>
        <w:spacing w:after="0" w:line="165"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consequences of being born with CAH are severe. All patients born with classic CAH have cortisol deficiency, which makes these patients susceptible to adrenal crises in as early as one to four weeks of age. Due to the life-threatening adrenal crisis, screening for classic CAH is a standard part of routine neonatal screening in the United States and many other major geographies around the world. The most common cause of an adrenal crisis is an infection. Adrenal crisis can also be precipitated by other inducers of stress including surgery, dehydration, or trauma, and is characterized by extreme weakness, nausea, and vomiting. To prevent adrenal crises, physiological replacement of glucocorticoids is initiated in the neonatal period. Data from approximately 6.5 million newborn infants screened worldwide show an estimated incidence of approximately one in 15,000 live births.</w:t>
      </w:r>
    </w:p>
    <w:p>
      <w:pPr>
        <w:spacing w:after="0" w:line="164"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Even when patients are diagnosed early and treated with steroids, the associated, continued exposure to high levels of androgens results in premature or precocious puberty, with onset sometimes occurring as early as five years of age. Early puberty drives early maturation of the body’s bones, resulting in an adult height that is typically significantly below the height expected based on the parents’ heights. In females, the presence of excess androgens in the body causes virilization, often leading to ambiguous genitalia and masculinizing features apparent at birth. Female adolescents and adults may develop male-pattern alopecia, acne, hirsutism, menstrual irregularities, and impaired fertility. Often commencing in early adolescence, a substantial proportion of males can develop testicular adrenal rest tumors, or TARTs, benign tumors that can lead to pain and impaired fertility.</w:t>
      </w:r>
    </w:p>
    <w:p>
      <w:pPr>
        <w:spacing w:after="0" w:line="164" w:lineRule="exact"/>
        <w:rPr>
          <w:sz w:val="20"/>
          <w:szCs w:val="20"/>
          <w:color w:val="auto"/>
        </w:rPr>
      </w:pPr>
    </w:p>
    <w:p>
      <w:pPr>
        <w:ind w:right="600" w:firstLine="589"/>
        <w:spacing w:after="0" w:line="263" w:lineRule="auto"/>
        <w:rPr>
          <w:sz w:val="20"/>
          <w:szCs w:val="20"/>
          <w:color w:val="auto"/>
        </w:rPr>
      </w:pPr>
      <w:r>
        <w:rPr>
          <w:rFonts w:ascii="Arial" w:cs="Arial" w:eastAsia="Arial" w:hAnsi="Arial"/>
          <w:sz w:val="18"/>
          <w:szCs w:val="18"/>
          <w:color w:val="auto"/>
        </w:rPr>
        <w:t>Numerous studies have documented diminished quality of life in patients with CAH related both to the disease and its treatment with glucocorticoids. For example, CAH patients commonly experience fatigue, sleep disturbances, concentration problems, and challenges with social interactions.</w:t>
      </w:r>
    </w:p>
    <w:p>
      <w:pPr>
        <w:spacing w:after="0" w:line="184"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Patients with classic CAH face increased risk of mortality, with one study documenting an average reduced lifespan of 6.5 years. The causes of death were adrenal crisis (42%), cardiovascular disease (32%), cancer (16%), and suicide (10%).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Lack of Cortisol and Aldosterone</w:t>
      </w:r>
    </w:p>
    <w:p>
      <w:pPr>
        <w:spacing w:after="0" w:line="11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A lack of functional 21-hydroxylase enzyme results in the inability to produce sufficient corticosteroids, such as cortisol, and mineralocorticoids, such as aldosterone. Cortisol functions as the body’s main stress hormone. Biochemically, it regulates glucose metabolism, inflammation and blood pressure. On a behavioral level, it controls mood, motivation, fear, and sleep/wake cycles. Aldosterone regulates the electrolyte balance between sodium and potassium in the body. Low levels of aldosterone result in hyponatremia, low blood pressure and volume, dizziness, and lightheadedness. Restoration of the function of both cortisol and aldosterone is the primary goal of current therapies for classic CAH.</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the Accumulation of the Androgen Precursor 17-OHP</w:t>
      </w:r>
    </w:p>
    <w:p>
      <w:pPr>
        <w:spacing w:after="0" w:line="117"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A consequence of the absence of 21-hydroxylase is the accumulation of 17-hydroxyprogesterone, or 17-OHP, a precursor molecule to androgens and cortisol. Without 21-hydroxylase to convert 17-OHP into cortisol, increased levels of 17-OHP are shunted to an alternative hormone resulting in increased synthesis of the testosterone precursor, A4, and related increases in the levels of other androgens in the body, resulting in virilization that</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complicates fertility and sexual maturation in both females and males. The following figure depicts steroid treatment intervention in patients with classic CAH.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117475</wp:posOffset>
            </wp:positionV>
            <wp:extent cx="4663440" cy="2443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634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Figure 3. Depiction of steroid treatment intervention in patients with classic CAH.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Inadequate Regulation of Steroid Synthesis Leading to Androgen Excess</w:t>
      </w:r>
    </w:p>
    <w:p>
      <w:pPr>
        <w:spacing w:after="0" w:line="117"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Cortisol serves as a negative regulator of the HPA axis, regulating its own production. Increasing levels of cortisol downregulate the synthesis of CRF in the hypothalamus and ACTH in the pituitary to ultimately reduce the production of cortisol precursor molecules, such as 17-OHP. In classic CAH patients, deficiencies in cortisol levels stimulate this feedback mechanism and results in excess production of CRF and ACTH. CRF produced in the hypothalamus binds to the CRF1 receptor in the pituitary gland to stimulate the production of ACTH. In turn, ACTH overproduction drives both adrenal hyperplasia, or enlargement of the adrenal glands, and overproduction of steroid molecules such as 17-OHP and A4, leading to increased androgen production. This serves to further exacerbate the excessive levels of androgens in these patients.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 Paradigm and its Limitations</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The mainstay of classic CAH therapy for over 50 years has been lifelong treatment with glucocorticoids such as hydrocortisone, prednisone, prednisolone, methylprednisolone, or dexamethasone. These treatments do not cure the disease, but they serve a two-fold purpose in disease management. Firstly, physiologic levels of glucocorticoids replace the missing cortisol in order to prevent adrenal crisis. Secondly, supraphysiologic levels of glucocorticoids reduce excess androgens through the negative feedback loop alleviating additional hyperandrogenic symptoms.</w:t>
      </w:r>
    </w:p>
    <w:p>
      <w:pPr>
        <w:spacing w:after="0" w:line="171"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The level of glucocorticoid necessary to achieve therapeutic benefit is specific to each patient, requires adjustment to individual patient circumstances, and may change over the patient’s lifetime, thereby creating multiple challenges for effective treatment. Chronic use of glucocorticoids requires careful management, because of the well-known serious side effects of these drugs, which include growth inhibition in children, high blood pressure, diabetes, psychological effects, skin thinning, and increased risks of infections.</w:t>
      </w:r>
    </w:p>
    <w:p>
      <w:pPr>
        <w:spacing w:after="0" w:line="1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Clinical management of classic CAH is a difficult balance between supplying sufficient levels of glucocorticoids to compensate for deficiencies in cortisol levels while minimizing side effects resulting in a narrow therapeutic window. In an analysis of classic CAH patients treated in the United States and the United Kingdom, or UK, only one-third of those dosed with glucocorticoids achieved optimal control of their androgen levels. While treatment with supraphysiologic glucocorticoids can help restore the regulation of CRF and ACTH production leading to reductions in excess 17-OHP and A4 synthesis, in order to restore a more appropriate balance, physicians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must identify the desired glucocorticoid dose for each patient. This is challenging, because the amount of cortisol needed to modulate 17-OHP and A4 levels is much higher than that required to functionally replace the missing cortisol.</w:t>
      </w:r>
    </w:p>
    <w:p>
      <w:pPr>
        <w:spacing w:after="0" w:line="170"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From birth to adulthood, the aim of glucocorticoid treatment is to identify the right balance based on both the patient’s physical maturation as well as gender. At birth, the aim of treatment is to provide an adequate level of steroids to prevent an adrenal crisis. Throughout childhood, treatment becomes more complex with both a need to maintain adequate steroid levels but also ensure androgen levels are as close to normal to prevent precocious puberty while not stunting growth and to prevent premature closure of bone growth plates as a result of treatment with supraphysiologic steroids. The aim of treatment for adolescents and adults is to provide the body with the ability to maintain a normal energy level, normal growth, and fertility while minimizing clinically overt signs of excess glucocorticoids or excess androgens. In adults, the balancing act may be different between males and females. Females experience more outward signs of excess androgens than males, so females are more attentive to androgen control through supraphysiologic glucocorticoids while males may be more attentive to the adverse outcomes associated with supraphysiologic glucocorticoid replacement.</w:t>
      </w:r>
    </w:p>
    <w:p>
      <w:pPr>
        <w:spacing w:after="0" w:line="165"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This makes glucocorticoid therapy challenging, since treatment with high levels of glucocorticoids leads to, among other consequences, obesity, short stature, the loss of bone mineral density, drug-induced Cushing’s disease, which is a condition that occurs from exposure to high cortisol levels for a long period of time, metabolic disorders, increased cardiovascular and infection risk, and early mortality. The following figure depicts the need to balance the negative consequences that result from poor control of androgen levels with those associated with high levels of glucocorticoids.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108585</wp:posOffset>
            </wp:positionV>
            <wp:extent cx="4688840" cy="1474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8884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Figure 4. The challenge in treating CAH is balancing therapy to provide optimal control of androgens while avoiding excess cortisol levels.</w:t>
      </w:r>
    </w:p>
    <w:p>
      <w:pPr>
        <w:spacing w:after="0" w:line="252"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A novel approach to suppress androgen synthesis would be to directly inhibit the ability of CRF to stimulate ACTH synthesis using a CRF1 receptor antagonist. This approach has the potential to dissociate physiologic cortisol replacement with glucocorticoids from cortisol’s regulatory role as a negative-regulator of ACTH to both prevent the hyperplasia of the adrenal gland and reduce the ensuing excess androgen synthesis. In effect, this is an independent mechanism to block excessive ACTH production. We believe that an effective CRF1receptor antagonist will enable physicians to reduce the dose of glucocorticoids administered to patients in a way that will address their cortisol replacement needs and simultaneously avoid excessive androgen production.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Tildacerfont</w:t>
      </w:r>
    </w:p>
    <w:p>
      <w:pPr>
        <w:spacing w:after="0" w:line="121"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Tildacerfont is a potent and highly selective, non-steroidal, oral, small-molecule antagonist of the CRF1 receptor, a regulator of the production of ACTH. The CRF1 receptor binds CRF, a potent mediator of endocrine, autonomic, behavioral, and immune responses to stress. Activation of the CRF1 receptor in the pituitary gland has been shown to increase the secretion of ACTH, which in turn drives the production of cortisol and androgens in the adrenal gland. By blocking the CRF1 receptor, tildacerfont can address the uncontrolled cortisol feedback regulatory pathway in CAH, and in turn reduce the production of ACTH in the pituitary, limiting the amount of androgen produced downstream from the adrenal gland. Tildacerfont has been assessed in 171 patients across seven clinical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trials, in which it has been well tolerated with no drug-related SAEs. In preclinical studies, we showed that blocking the binding of CRF to this receptor decreased ACTH production and the production of hormones and androgens such as 17-OHP and A4 and that tildacerfont was over 1,000-fold selective for the CRF1 receptor versus any other receptor tested. Based on preclinical data, receptor occupancy of at least 90% was predicted to be achieved at a dose of less than 400mg.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127635</wp:posOffset>
            </wp:positionV>
            <wp:extent cx="4431665" cy="1825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3166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60" w:right="200"/>
        <w:spacing w:after="0" w:line="282" w:lineRule="auto"/>
        <w:rPr>
          <w:sz w:val="20"/>
          <w:szCs w:val="20"/>
          <w:color w:val="auto"/>
        </w:rPr>
      </w:pPr>
      <w:r>
        <w:rPr>
          <w:rFonts w:ascii="Arial" w:cs="Arial" w:eastAsia="Arial" w:hAnsi="Arial"/>
          <w:sz w:val="18"/>
          <w:szCs w:val="18"/>
          <w:b w:val="1"/>
          <w:bCs w:val="1"/>
          <w:color w:val="auto"/>
        </w:rPr>
        <w:t>Figure 5. Tildacerfont blocks CRF1 receptors at the anterior pituitary gland to decrease secretion of ACTH, hormones, such as 17-OHP, and androgens, such as A4.</w:t>
      </w:r>
    </w:p>
    <w:p>
      <w:pPr>
        <w:spacing w:after="0" w:line="166"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Tildacerfont has been investigated in five completed Phase 1 clinical trials in healthy adult volunteers, in single doses up to 800mg as well as in multiple doses ranging from 50mg to 200mg once daily, for 14 days. In all of these clinical trials, tildacerfont was generally well tolerated. A total of 145 healthy volunteers have received at least one dose of tildacerfont in completed studies. No drug-related SAEs during tildacerfont treatment were observed in these clinical trials and the most frequent non-procedural adverse events experienced by greater than 5% of the healthy volunteer population were headache and cough.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in Classic CAH Patients</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conducted two Phase 2a clinical trials of tildacerfont in adult patients with classic CAH on stable glucocorticoid therapy. Clinical trial SPR001-201 was an open-label, dose-ranging clinical trial in 24 patients. These patients received a series of doses of tildacerfont for two weeks each in addition to their standard daily glucocorticoid dose. Two patients participated in two cohorts in SPR001-201. Clinical trial SPR001-202 was a 12-week clinical trial of 11 patients treated with a fixed dose of 400mg tildacerfont once daily. Nine of the 11 SPR001-202 patients also participated in SPR001-201. A total of 26 unique classic CAH patients have been treated to date with tildacerfont. The results from the clinical trials to date suggest that tildacerfont may reduce elevated androgens and may also allow for reduction of supraphysiologic glucocorticoid doses.</w:t>
      </w:r>
    </w:p>
    <w:p>
      <w:pPr>
        <w:spacing w:after="0" w:line="178"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Previous observations had identified that tildacerfont interacts with CYP3A4, a liver enzyme that is responsible for the metabolism of a number of drugs. When a drug inhibits or induces CYP3A4, it can impact the body’s ability to metabolize other drugs. In SPR001-201, we observed that tildacerfont led to an approximately two-fold increase in the levels of dexamethasone, a glucocorticoid that is primarily metabolized through CYP3A4. In order to eliminate any potentially confounding drug-drug interactions from our clinical trial, we subsequently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removed patients who were being treated with dexamethasone from our efficacy analyses. No drug-drug interactions were observed with other glucocorticoids and we made no other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117475</wp:posOffset>
            </wp:positionV>
            <wp:extent cx="4637405" cy="1851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3740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6. Dosing regimen in Phase 2 SPR001-201 and SPR001-202.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SPR001-201 Results</w:t>
      </w:r>
    </w:p>
    <w:p>
      <w:pPr>
        <w:spacing w:after="0" w:line="117"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SPR001-201 was our first clinical trial in adults with classic CAH and was a proof-of-concept, dose-escalating Phase 2a clinical trial in patients who were on a stable glucocorticoid dosing regimen but still had levels of 17-OHP that were four-fold or greater above the 200 ng/dL upper limit of normal, or ULN. Patients enrolled in three sequential cohorts, and during the clinical trial, could not change their underlying glucocorticoid regimen to avoid confounding the effect of varying glucocorticoid levels on disease-driving hormones. The clinical trial assessed the safety and pharmacokinetics of tildacerfont across a range of doses from 200mg to 1,000mg once daily and 100mg and 200mg twice daily. Pharmacodynamic activity was assessed using ACTH, 17-OHP, and A4 overnight with the baseline and key assessment at 8:00 a.m. This overnight period was selected as it represents the time period during which excess production of ACTH and hormones and androgens peak. The goal of this clinical trial was to assess whether tildacerfont could blunt the magnitude of this rise in the hormones.</w:t>
      </w:r>
    </w:p>
    <w:p>
      <w:pPr>
        <w:spacing w:after="0" w:line="178"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enrollment screening criteria for SPR001-201 ensured that 17-OHP was elevated in all but one patient at baseline (8:00 a.m. on day one) enrolled in this clinical trial; however, the levels of ACTH and A4 were more variable. In a post-hoc analysis, we identified two homogenous patient groups using ACTH and A4 and classified these patients as either those with “poor disease control” or “good disease control”. In our clinical trial, patients with poor disease control had highly elevated ACTH, 17-OHP, and A4 levels, generally greater than twice the ULN and, more commonly, greater than four times the ULN. These patients with poor disease control were on a stable mean daily supraphysiologic dose of approximately 25mg of hydrocortisone, or a dose of another glucocorticoid equivalent to 25mg of hydrocortisone. Patients with good disease control had elevated 17-OHP levels but had ACTH and A4 generally less than twice the ULN and more commonly, within the normal bounds for ACTH and A4. These patients were on doses equivalent to a mean daily supraphysiologic dose 36mg of hydrocortisone, which was a 44% higher total daily dose than patients with poor disease control. These findings suggest that patients in the poor disease control patient group may have been receiving inadequate glucocorticoid doses to provide adequate control of their disease, possibly due to an inability to tolerate higher doses of glucocorticoids or unwillingness to accept the adverse outcomes attributed to chronic dosing of supraphysiologic glucocorticoids. Given the clear differences in baseline hormone profiles and glucocorticoid dosing, we decided to analyze the effect of tildacerfont on hormones in these two groups independently. We believe that by identifying these two homogeneous patient groups, and designing our development program around the two groups, we are uniquely positioned to address the two major areas of unmet medical need for these patients.</w:t>
      </w:r>
    </w:p>
    <w:p>
      <w:pPr>
        <w:spacing w:after="0" w:line="17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Table 1 summarizes the key demographic and baseline characteristics across the two patient groups. The demographics across both patient groups were similar. The age distribution trended to older subjects with an average age of 44 years, as compared to an age range of 19 years to 67 years, with an average body mass index, or BMI,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approximately 31, signifying an obese population on average. The daily glucocorticoid dose and baseline hormones were different between the two patient groups.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rPr>
              <w:t>Good Disease Control</w:t>
            </w:r>
          </w:p>
        </w:tc>
        <w:tc>
          <w:tcPr>
            <w:tcW w:w="1820" w:type="dxa"/>
            <w:vAlign w:val="bottom"/>
          </w:tcPr>
          <w:p>
            <w:pPr>
              <w:jc w:val="right"/>
              <w:ind w:right="194"/>
              <w:spacing w:after="0"/>
              <w:rPr>
                <w:sz w:val="20"/>
                <w:szCs w:val="20"/>
                <w:color w:val="auto"/>
              </w:rPr>
            </w:pPr>
            <w:r>
              <w:rPr>
                <w:rFonts w:ascii="Arial" w:cs="Arial" w:eastAsia="Arial" w:hAnsi="Arial"/>
                <w:sz w:val="14"/>
                <w:szCs w:val="14"/>
                <w:b w:val="1"/>
                <w:bCs w:val="1"/>
                <w:color w:val="auto"/>
              </w:rPr>
              <w:t>Poor Disease Control</w:t>
            </w:r>
          </w:p>
        </w:tc>
      </w:tr>
      <w:tr>
        <w:trPr>
          <w:trHeight w:val="171"/>
        </w:trPr>
        <w:tc>
          <w:tcPr>
            <w:tcW w:w="52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(N=6)</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(N=11)</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Demographics</w:t>
            </w: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Age (yrs), mean (SD)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(16.6)</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 (17.0)</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Sex, Female, n (%)</w:t>
            </w:r>
          </w:p>
        </w:tc>
        <w:tc>
          <w:tcPr>
            <w:tcW w:w="1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5 (83%)</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(55%)</w:t>
            </w: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Race, White n (%)</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(100%)</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 (91%)</w:t>
            </w: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BMI (kg/m2), mean (SD)</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(5.77)</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 (5.9)</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Baseline Glucocorticoid dose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Dose (mg) in Hydrocortisone equivalents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(8.02)</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 (8.6)</w:t>
            </w:r>
          </w:p>
        </w:tc>
      </w:tr>
      <w:tr>
        <w:trPr>
          <w:trHeight w:val="229"/>
        </w:trPr>
        <w:tc>
          <w:tcPr>
            <w:tcW w:w="5220" w:type="dxa"/>
            <w:vAlign w:val="bottom"/>
          </w:tcPr>
          <w:p>
            <w:pPr>
              <w:spacing w:after="0"/>
              <w:rPr>
                <w:sz w:val="20"/>
                <w:szCs w:val="20"/>
                <w:color w:val="auto"/>
              </w:rPr>
            </w:pPr>
            <w:r>
              <w:rPr>
                <w:rFonts w:ascii="Arial" w:cs="Arial" w:eastAsia="Arial" w:hAnsi="Arial"/>
                <w:sz w:val="18"/>
                <w:szCs w:val="18"/>
                <w:b w:val="1"/>
                <w:bCs w:val="1"/>
                <w:color w:val="auto"/>
              </w:rPr>
              <w:t>Baseline Hormones (8:00 a.m.)</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ACTH (pg/mL), geometric mean (CV%)</w:t>
            </w: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30.9 (273.1%)</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 (88.5%)</w:t>
            </w: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17-OHP (ng/dl), geometric mean (CV%)</w:t>
            </w:r>
          </w:p>
        </w:tc>
        <w:tc>
          <w:tcPr>
            <w:tcW w:w="1200" w:type="dxa"/>
            <w:vAlign w:val="bottom"/>
          </w:tcPr>
          <w:p>
            <w:pPr>
              <w:jc w:val="right"/>
              <w:spacing w:after="0"/>
              <w:rPr>
                <w:sz w:val="20"/>
                <w:szCs w:val="20"/>
                <w:color w:val="auto"/>
              </w:rPr>
            </w:pPr>
            <w:r>
              <w:rPr>
                <w:rFonts w:ascii="Arial" w:cs="Arial" w:eastAsia="Arial" w:hAnsi="Arial"/>
                <w:sz w:val="18"/>
                <w:szCs w:val="18"/>
                <w:color w:val="auto"/>
              </w:rPr>
              <w:t>1531.6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(489%)</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6688.6 (113%)</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A4 (ng/dL), geometric mean (CV%)</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(338%)</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 (171%)</w:t>
            </w: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Demographics and baseline hormones in non-dexamethasone patients (SPR001-201).</w:t>
      </w:r>
    </w:p>
    <w:p>
      <w:pPr>
        <w:spacing w:after="0" w:line="229"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While the exposure levels, as a function of dose, generally demonstrated dose linearity, no clear dose-response was observed in ACTH, 17-OHP, and A4 reductions. The lowest evaluated dose of 200mg once daily resulted in hormone changes that were comparable to those observed at higher doses (Figures 7-9). Also, overall dosing twice daily did not result in greater hormone reductions compared to once daily dosing. This finding corresponds with the initial predicted receptor occupancy data based on preclinical experiments demonstrating at least 90% receptor occupancy at doses of tildacerfont up to 400mg.</w:t>
      </w:r>
    </w:p>
    <w:p>
      <w:pPr>
        <w:spacing w:after="0" w:line="18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Figures 7-9 below summarize the changes in hormones across the overnight period. We conducted a post-hoc analysis which divided the subjects in this study into two groups, based on their hormone and androgen levels at baseline: poor disease control and good disease control. In the poor disease control group, there were 11 patients at doses equal to 200mg, six of whom received 200mg once per day in Cohort A and five of whom received 100mg twice per day in Cohort C, and 12 patients at doses greater than 200mg, six of whom received 600mg once per day and the same six of whom received 1,000mg once per day. In the good disease control group, there were six patients, one patient at 200mg once per day in Cohort A and five patients at doses greater than 200mg, each receiving 200mg twice per day in Cohort B.</w:t>
      </w:r>
    </w:p>
    <w:p>
      <w:pPr>
        <w:spacing w:after="0" w:line="178"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Patients in the poor disease control group had baseline levels of ACTH, 17-OHP, and A4 that were substantially above the target goal for these hormones (ACTH target of 63.3 pg/mL, 17-OHP target of 1200 ng/dL and A4 target of 152 ng/dL for males and 262 ng/dL for females). Subsequent to receiving tildacerfont for 14 days, the mean levels of all three hormones were generally reduced throughout the overnight period from 10:00 p.m. to 8:00 a.m. These reductions were observed despite no changes in glucocorticoid dosing. We believe that the reductions in the poor disease control group demonstrated proof of concept and supported further studies to assess the ability of tildacerfont to reduce hormones.</w:t>
      </w:r>
    </w:p>
    <w:p>
      <w:pPr>
        <w:spacing w:after="0" w:line="176"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Patients in the good disease control group had mean baseline levels of ACTH and A4 that were already below the target goal for these hormones. Treatment with tildacerfont did not lead to clinically meaningful reduction of these levels, suggesting that administering tildacerfont in good disease control patients has a low risk of excessive adrenal suppression. We believe the observed changes in these hormones are reflective of typical day-to-day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variation in these patients. Treatment of patients with good disease control who had elevated levels of 17-OHP led to a modest decrease in 17-OHP.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159385</wp:posOffset>
            </wp:positionV>
            <wp:extent cx="4543425" cy="1148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4342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7. Change from baseline in ACTH (pg/mL) in poor and good disease control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161925</wp:posOffset>
            </wp:positionV>
            <wp:extent cx="4543425" cy="1139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4342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8. Change from baseline in 17-OHP (ng/dL) in poor and good disease control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161925</wp:posOffset>
            </wp:positionV>
            <wp:extent cx="3068955" cy="1508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895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9. Change from baseline in A4 (ng/dL) in poor and good disease control patients (SPR001-201).</w:t>
      </w:r>
    </w:p>
    <w:p>
      <w:pPr>
        <w:spacing w:after="0" w:line="229"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Of note, one classic CAH patient enrolled in this clinical trial, who had a pre-existing testicular mass classified as TART, saw a 25% decrease in the size of his tumor following six weeks of dosing with tildacerfont through two dose escalations in Cohort A. TARTs are directly driven by excess ACTH and the empiric standard of care to reduce TARTs is high dose dexamethasone. This tumor shrinkage is consistent with the mechanism of action of tildacerfont, reduction of excess ACTH, and provides the first known evidence of a non-steroidal, non-surgical reduction in a TART.</w:t>
      </w:r>
    </w:p>
    <w:p>
      <w:pPr>
        <w:spacing w:after="0" w:line="171"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Tildacerfont was well tolerated in SPR001-201 at doses up to 1,000mg once daily. No drug-related SAEs were reported. The most common adverse event was headache (n=3). The majority of events were grade one in nature. A female subject (age 48; 200mg twice daily) experienced a grade three hot flush that resolved on its own within 30 minutes in the first week of treatment. One event of special interest was observed at the highest dose of 1,000mg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once daily. After 14 days of treatment at 1,000mg once daily, this patient experienced a grade one liver-related adverse event, as determined by the investigator. This patient had elevated levels of alanine transaminase, or ALT, between five and nine times ULN, elevations in aspartate aminotransferase, or AST, less than five times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and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SPR001-202 Results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SPR001-202, our open-label, 12-week Phase 2a clinical trial, assessed the ability of a daily dose of 400mg of tildacerfont to lower disease-driving hormones such as ACTH, 17-OHP, and A4 over a 12-week dosing period. SPR001-202 was an extension clinical trial of SPR001-201, where the enrollment criteria was either prior participation in SPR001-201 or treatment-naïve patients meeting the 17-OHP criterion in SPR001-201. Disease-driving hormones were assessed at approximately 8:00 a.m. on each day corresponding to the peak excess hormone production. This clinical trial was conducted to evaluate the safety and tolerability of long-term treatment with tildacerfont and to assess the magnitude of hormone reductions after 12 weeks of treatment.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with SPR001-201, dexamethasone subjects (n=3) were excluded from pharmacodynamic activity summaries but included in safety summaries.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key demographic and baseline hormones in the non-dexamethasone patients.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Good Disease Control</w:t>
            </w:r>
          </w:p>
        </w:tc>
        <w:tc>
          <w:tcPr>
            <w:tcW w:w="1820" w:type="dxa"/>
            <w:vAlign w:val="bottom"/>
          </w:tcPr>
          <w:p>
            <w:pPr>
              <w:jc w:val="right"/>
              <w:ind w:right="194"/>
              <w:spacing w:after="0"/>
              <w:rPr>
                <w:sz w:val="20"/>
                <w:szCs w:val="20"/>
                <w:color w:val="auto"/>
              </w:rPr>
            </w:pPr>
            <w:r>
              <w:rPr>
                <w:rFonts w:ascii="Arial" w:cs="Arial" w:eastAsia="Arial" w:hAnsi="Arial"/>
                <w:sz w:val="14"/>
                <w:szCs w:val="14"/>
                <w:b w:val="1"/>
                <w:bCs w:val="1"/>
                <w:color w:val="auto"/>
              </w:rPr>
              <w:t>Poor Disease Control</w:t>
            </w:r>
          </w:p>
        </w:tc>
      </w:tr>
      <w:tr>
        <w:trPr>
          <w:trHeight w:val="171"/>
        </w:trPr>
        <w:tc>
          <w:tcPr>
            <w:tcW w:w="522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(N=3)</w:t>
            </w:r>
          </w:p>
        </w:tc>
        <w:tc>
          <w:tcPr>
            <w:tcW w:w="1820" w:type="dxa"/>
            <w:vAlign w:val="bottom"/>
          </w:tcPr>
          <w:p>
            <w:pPr>
              <w:jc w:val="right"/>
              <w:ind w:right="654"/>
              <w:spacing w:after="0"/>
              <w:rPr>
                <w:sz w:val="20"/>
                <w:szCs w:val="20"/>
                <w:color w:val="auto"/>
              </w:rPr>
            </w:pPr>
            <w:r>
              <w:rPr>
                <w:rFonts w:ascii="Arial" w:cs="Arial" w:eastAsia="Arial" w:hAnsi="Arial"/>
                <w:sz w:val="14"/>
                <w:szCs w:val="14"/>
                <w:b w:val="1"/>
                <w:bCs w:val="1"/>
                <w:color w:val="auto"/>
              </w:rPr>
              <w:t>(N=5)</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Demographics</w:t>
            </w:r>
          </w:p>
        </w:tc>
        <w:tc>
          <w:tcPr>
            <w:tcW w:w="1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Age (yrs), mean (SD)</w:t>
            </w:r>
          </w:p>
        </w:tc>
        <w:tc>
          <w:tcPr>
            <w:tcW w:w="1800" w:type="dxa"/>
            <w:vAlign w:val="bottom"/>
          </w:tcPr>
          <w:p>
            <w:pPr>
              <w:jc w:val="right"/>
              <w:spacing w:after="0"/>
              <w:rPr>
                <w:sz w:val="20"/>
                <w:szCs w:val="20"/>
                <w:color w:val="auto"/>
              </w:rPr>
            </w:pPr>
            <w:r>
              <w:rPr>
                <w:rFonts w:ascii="Arial" w:cs="Arial" w:eastAsia="Arial" w:hAnsi="Arial"/>
                <w:sz w:val="18"/>
                <w:szCs w:val="18"/>
                <w:color w:val="auto"/>
              </w:rPr>
              <w:t>48.0 (17.69)</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42.4 (15.63)</w:t>
            </w: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Sex, Female, n (%)</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(100%)</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(40%)</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Race, White n (%)</w:t>
            </w:r>
          </w:p>
        </w:tc>
        <w:tc>
          <w:tcPr>
            <w:tcW w:w="1800" w:type="dxa"/>
            <w:vAlign w:val="bottom"/>
          </w:tcPr>
          <w:p>
            <w:pPr>
              <w:jc w:val="right"/>
              <w:spacing w:after="0"/>
              <w:rPr>
                <w:sz w:val="20"/>
                <w:szCs w:val="20"/>
                <w:color w:val="auto"/>
              </w:rPr>
            </w:pPr>
            <w:r>
              <w:rPr>
                <w:rFonts w:ascii="Arial" w:cs="Arial" w:eastAsia="Arial" w:hAnsi="Arial"/>
                <w:sz w:val="18"/>
                <w:szCs w:val="18"/>
                <w:color w:val="auto"/>
              </w:rPr>
              <w:t>3 (100%)</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 (80%)</w:t>
            </w: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BMI (kg/m2), mean (SD)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 (6.10)</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 (5.56)</w:t>
            </w:r>
          </w:p>
        </w:tc>
      </w:tr>
      <w:tr>
        <w:trPr>
          <w:trHeight w:val="229"/>
        </w:trPr>
        <w:tc>
          <w:tcPr>
            <w:tcW w:w="5220" w:type="dxa"/>
            <w:vAlign w:val="bottom"/>
          </w:tcPr>
          <w:p>
            <w:pPr>
              <w:spacing w:after="0"/>
              <w:rPr>
                <w:sz w:val="20"/>
                <w:szCs w:val="20"/>
                <w:color w:val="auto"/>
              </w:rPr>
            </w:pPr>
            <w:r>
              <w:rPr>
                <w:rFonts w:ascii="Arial" w:cs="Arial" w:eastAsia="Arial" w:hAnsi="Arial"/>
                <w:sz w:val="18"/>
                <w:szCs w:val="18"/>
                <w:b w:val="1"/>
                <w:bCs w:val="1"/>
                <w:color w:val="auto"/>
              </w:rPr>
              <w:t>Baseline Glucocorticoid dose</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Dose (mg) in Hydrocortisone equivalents</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 (11.6)</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 (11.5)</w:t>
            </w:r>
          </w:p>
        </w:tc>
      </w:tr>
      <w:tr>
        <w:trPr>
          <w:trHeight w:val="229"/>
        </w:trPr>
        <w:tc>
          <w:tcPr>
            <w:tcW w:w="5220" w:type="dxa"/>
            <w:vAlign w:val="bottom"/>
          </w:tcPr>
          <w:p>
            <w:pPr>
              <w:spacing w:after="0"/>
              <w:rPr>
                <w:sz w:val="20"/>
                <w:szCs w:val="20"/>
                <w:color w:val="auto"/>
              </w:rPr>
            </w:pPr>
            <w:r>
              <w:rPr>
                <w:rFonts w:ascii="Arial" w:cs="Arial" w:eastAsia="Arial" w:hAnsi="Arial"/>
                <w:sz w:val="18"/>
                <w:szCs w:val="18"/>
                <w:b w:val="1"/>
                <w:bCs w:val="1"/>
                <w:color w:val="auto"/>
              </w:rPr>
              <w:t>Baseline hormones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ACTH (pg/mL), geometric mean (CV%)</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 (584.1%)</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 (108.5%)</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17-OHP (ng/dl), geometric mean (CV%)</w:t>
            </w:r>
          </w:p>
        </w:tc>
        <w:tc>
          <w:tcPr>
            <w:tcW w:w="1800" w:type="dxa"/>
            <w:vAlign w:val="bottom"/>
          </w:tcPr>
          <w:p>
            <w:pPr>
              <w:jc w:val="right"/>
              <w:spacing w:after="0"/>
              <w:rPr>
                <w:sz w:val="20"/>
                <w:szCs w:val="20"/>
                <w:color w:val="auto"/>
              </w:rPr>
            </w:pPr>
            <w:r>
              <w:rPr>
                <w:rFonts w:ascii="Arial" w:cs="Arial" w:eastAsia="Arial" w:hAnsi="Arial"/>
                <w:sz w:val="18"/>
                <w:szCs w:val="18"/>
                <w:color w:val="auto"/>
              </w:rPr>
              <w:t>314.1 (1068.6%)</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15323.3 (46.9%)</w:t>
            </w: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A4 (ng/dL), geometric mean (CV%)</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 (216.1%)</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1001.1 (48.4%)</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2. Demographics and baseline hormones in good and poor disease control patients (SPR001-202).</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Like with the SPR001-201 clinical trial, in the SPR001-202 clinical trial, we conducted a post-hoc analysis which divided the subjects in this study into a poor disease control group and a good disease control, based on their hormone and androgen levels at baseline: poor disease control and good disease control. We observed that tildacerfont-treated patients who were in the poor disease control group had mean maximum reductions in ACTH, 17-OHP, and A4 of approximately 80% compared to baseline at 8:00 a.m., bringing the levels of these key hormones to near normal levels that are used as targets for standard glucocorticoid therapy. In addition, 60% of patients achieved normalization of ACTH levels, one subject at week two prior to discontinuation from the clinical trial and two subjects during month three, and 40% achieved normalization of A4 levels during month three. We are not aware of normalization of these highly elevated hormones in classic CAH patients with any other investigational product candidate without increases to daily steroid doses.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As reflected in the figures below, we observed reductions in these hormones as early as the two-week time point and the reductions increased throughout the 12-week dosing period of the clinical trial. Last observation carried forward is applied for patients missing assessments during the 12-week period in the time course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125730</wp:posOffset>
            </wp:positionV>
            <wp:extent cx="4543425" cy="1156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4342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10. Change from baseline in ACTH (pg/mL) in poor and good disease control patients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154305</wp:posOffset>
            </wp:positionV>
            <wp:extent cx="2194560" cy="1157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45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11. Change from baseline in 17-OHP (ng/dL) in poor and good disease control patients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154305</wp:posOffset>
            </wp:positionV>
            <wp:extent cx="4543425" cy="1148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4342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12. Change from baseline in A4 (ng/dL) in poor and good disease control patients (SPR001-202).</w:t>
      </w:r>
    </w:p>
    <w:p>
      <w:pPr>
        <w:spacing w:after="0" w:line="22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Upon completion of tildacerfont dosing at week 12, in poor disease control patients, levels of these disease-driving hormones increased, approaching their pre-trial baseline levels at follow-up, week 16. The results from this clinical trial are consistent with the ability of tildacerfont to inhibit CRF signaling, leading to reduction of adrenal stimulation by ACTH and the production of androgen precursors. Treatment with tildacerfont in this clinical trial led to this adrenal hormone and androgen reduction without requiring any change in the dose of glucocorticoids.</w:t>
      </w:r>
    </w:p>
    <w:p>
      <w:pPr>
        <w:spacing w:after="0" w:line="171"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The best response for each patient in the non-dexamethasone poor disease control group in month three is summarized below. The majority of patients achieved robust reductions. One patient discontinued prior to month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three and is not included in this figure. This patient had reductions of 99%, 82% and 68% for ACTH, 17-OHP and A4, respectively, prior to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117475</wp:posOffset>
            </wp:positionV>
            <wp:extent cx="2854325" cy="1654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43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60" w:right="200"/>
        <w:spacing w:after="0" w:line="282" w:lineRule="auto"/>
        <w:rPr>
          <w:sz w:val="20"/>
          <w:szCs w:val="20"/>
          <w:color w:val="auto"/>
        </w:rPr>
      </w:pPr>
      <w:r>
        <w:rPr>
          <w:rFonts w:ascii="Arial" w:cs="Arial" w:eastAsia="Arial" w:hAnsi="Arial"/>
          <w:sz w:val="18"/>
          <w:szCs w:val="18"/>
          <w:b w:val="1"/>
          <w:bCs w:val="1"/>
          <w:color w:val="auto"/>
        </w:rPr>
        <w:t>Figure 13. Change from baseline in hormones in poor disease control patients in month three (SPR001-202) at the individual patient level for subjects completing 12 weeks of treatment.</w:t>
      </w:r>
    </w:p>
    <w:p>
      <w:pPr>
        <w:spacing w:after="0" w:line="166"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Patients who were in good disease control upon entry to SPR001-202 had mean levels of ACTH, 17-OHP and A4 that were well below the target goal. Administration of tildacerfont to these patients did not lead to significant changes in these levels. We believe that this finding is important because it supports that there may be a limit as to how much tildacerfont can suppress adrenal function, which could reduce the risk that excess dosing with tildacerfont could lead to excessive levels of suppression. This is consistent with the results we observed in SPR001-201.</w:t>
      </w:r>
    </w:p>
    <w:p>
      <w:pPr>
        <w:spacing w:after="0" w:line="171"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Tildacerfont was well tolerated in SPR001-202. The most common adverse events were upper respiratory tract infection (n=2) and elevated A1c (n=2) and all four events deemed not related to tildacerfont treatment. The majority of events were grade one in nature. One subject discontinued study drug due to itching without a rash experienced between weeks two and four of treatment.</w:t>
      </w:r>
    </w:p>
    <w:p>
      <w:pPr>
        <w:spacing w:after="0" w:line="184"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Patients in poor disease control were receiving supraphysiologic glucocorticoid doses equivalent to approximately 25mg hydrocortisone daily. Based on the levels of ACTH, 17-OHP, and A4 at baseline, these glucocorticoid doses were insufficient to adequately suppress androgen synthesis. However, the addition of tildacerfont lowered the levels of these hormones by approximately 80%, bringing them close to normal levels. In contrast, patients who were in good disease control upon enrollment in the clinical trial were receiving supraphysiologic glucocorticoid doses equivalent to 36mg of hydrocortisone daily. Because the baseline levels of ACTH and A4 were all well below the target goal, we believe that these patients may have been receiving glucocorticoid doses that were higher than would be necessary with the addition of tildacerfont. Furthermore, we believe that treatment of these patients with tildacerfont could enable these patients to reduce their glucocorticoid doses. Over time, we believe that tildacerfont may enable both groups of patients to achieve potentially normal or markedly improved levels of androgen synthesis with minimized levels of glucocorticoid replacement.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Late-Stage Clinical Trials in Classic CAH</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We have two ongoing late-stage clinical trials in patients with classic CAH. We recently initiated CAHmelia-203, a randomized, double-blind, placebo-controlled, dose-ranging Phase 2b clinical trial to evaluate the safety and efficacy of tildacerfont in adults with classic CAH who are exhibiting high levels of adrenal hormones while on stable glucocorticoid dosing. This clinical trial will enroll approximately 72 patients who have levels of A4 that are at least 1.5-fold higher than the ULN and also ACTH levels that are at least twice as high as the ULN. For the first six weeks, patients will receive blinded placebo to assess their adherence to their existing glucocorticoid therapy. Patients who continue to meet all eligibility criteria at the end of this period will enter a three-part treatment period. During the placebo-controlled treatment period, patients will be randomized in a blinded manner to receive placebo, 50mg, 100mg, or 200mg tildacerfont once daily. Dosing in the placebo-controlled treatment period will continue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12 weeks. The primary endpoint of the clinical trial will be the percentage change in A4 from baseline at week zero to week 12 with secondary endpoints including the mean percentage change in ACTH and 17-OHP; and the proportion of patients with levels of ACTH and A4 within the normal range, or levels of 17-OHP less than four times above normal. In the open-label extension period, all patients will receive tildacerfont following a proposed dose-escalation protocol based on hormone response in which the dosage can be increased up to 200mg daily. Following the 12-week dose-escalation period, all patients will continue receiving tildacerfont with the potential to increase the dose up to 200mg daily for an additional 46 weeks. Patients who achieve good disease control while on supraphysiologic glucocorticoid treatment will have the opportunity to taper down their glucocorticoid dosing in the open-label extension period according to a pre-specified algorithm in the protocol. Additional endpoints for this clinical trial include the percentage change in ACTH, 17-OHP, and A4 from baseline through week 70 as well as the proportion of patients with normalized levels of ACTH, A4, or levels of 17-OHP less than four times above normal. Other endpoints include the absolute change in glucocorticoids required to achieve good disease control, TARTs in men, clinical outcomes, and patient and clinician reported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57785</wp:posOffset>
            </wp:positionV>
            <wp:extent cx="5349240" cy="141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14. Design of trial CAHmelia-203</w:t>
      </w:r>
    </w:p>
    <w:p>
      <w:pPr>
        <w:spacing w:after="0" w:line="189"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also initiated CAHmelia-204, a randomized, double-blind, placebo-controlled clinical trial to evaluate the safety and efficacy of tildacerfont in reducing supraphysiologic glucocorticoid usage in approximately 90 adults with classic CAH in good disease control. This clinical trial is designed in two parts. In the first part of the clinical trial, patients will be randomized to receive 200mg tildacerfont once daily or placebo for 24 weeks. During the second part of the clinical trial, all patients will receive open-label tildacerfont for 52 weeks. Prior to initiation of the 24-week blinded treatment portion of the clinical trial, glucocorticoid dosing of all patients will be standardized to sponsor-provided hydrocortisone dosed three times per day or prednisolone dosed two times per day for a minimum of six weeks for patients requiring a conversion from their current therapy. During the tildacerfont treatment period, tapering of glucocorticoids will commence according to a pre-specified algorithm and continue to the lowest level possible (replacement levels only), as long as patients remain well controlled based on standard biomarkers and clinical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96520</wp:posOffset>
            </wp:positionV>
            <wp:extent cx="5349240" cy="15176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15. Design of trial CAHmelia-204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primary endpoint of this clinical trial will be the absolute change in glucocorticoid dose at week 24. Exploratory endpoints include changes from baseline over 24 weeks and 76 weeks in levels of ACTH, 17-OHP, A4 and other disease-driving hormones of adrenal hyperplasia and androgen overproduction. Effects of tildacerfont on metabolism, cardiac function, body weight, fat mass, BMI, blood pressure, body composition, bone turnover, and bone density will be assessed as well as patient-reported measures of quality of life.</w:t>
      </w:r>
    </w:p>
    <w:p>
      <w:pPr>
        <w:spacing w:after="0" w:line="18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in CAHmelia-204, we plan to meet with the FDA and comparable foreign regulatory authorities to discuss registration.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 of Tildacerfont</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We plan to investigate tildacerfont for the treatment of classic CAH in children as young as two years of age, and plan to initiate the clinical development program for tildacerfont in the pediatric classic CAH population in the second half of 2021. At birth, newborns with classic CAH are immediately faced with a risk of adrenal crisis, which produces symptoms that include vomiting, severe dehydration, low blood pressure, and life-threatening shock. Replacement glucocorticoid therapy, initiated immediately after diagnosis, remains the customary treatment for children with classic CAH. Glucocorticoid therapy is administered to avoid precocious puberty. The growth suppressing effects of glucocorticoids, however, combined with the early bone growth closure from elevated levels of adrenal androgens, limits the height potential of children impacted by classic CAH. Many patients with classic CAH complete growth prematurely and are ultimately short as adults. We believe tildacerfont has the potential to reduce both the levels of adrenal androgens and the need for excess glucocorticoids, which may enable management of classic CAH at doses of glucocorticoids near physiologic replacement levels, with potential to enable more normal growth progression through childhood and adolescence. By leveraging our existing Phase 1 program, which includes safety, tolerability, and pharmacokinetics of tildacerfont, in addition to dose modelling to adapt the information from adults to children, we believe we will be able to initiate a Phase 2 pediatric clinical trial. We have received feedback from the FDA and EMA on our planned Phase 2 pediatric clinical trial. We estimate that children represent approximately 20% of the total classic CAH patient population.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Role of Tildacerfont in the Treatment of Polycystic Ovary Syndrome</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Females with PCOS present with additional symptoms, including hirsutism, alopecia, acne, infertility, weight gain, fatigue, depression and mood changes. The underlying causes of PCOS are unknown. However, excess insulin secretion and low-grade inflammation, which stimulate the polycystic ovaries, have been linked to androgen excess. The source of this androgen excess may be ovarian, adrenal, both adrenal and ovarian, or from other sources. Adrenal androgen excess in PCOS appears to occur independently of ovarian androgen excess, suggesting it may represent an intrinsic, and possible primary source of abnormal synthesis of androgens. Adrenal androgen excess in PCOS does not result from enzymatic deficiencies, rather it represents an altered adrenal responsivity to ACTH. We believe that, in women whose PCOS is caused by elevated adrenal androgens, representing approximately 3-5% of females with PCOS (estimated to be 150,000 to 200,000 patients in the United States), tildacerfont may provide a therapeutic option to treat the underlying cause of disease through reduction of ACTH and overall ACTH hyperresponsiveness in this population. We plan to file an IND to study tildacerfont in this patient population in the first half of 2021 and are planning to pursue orphan drug designation in this patient population. By leveraging our existing Phase 1 program, which includes safety, tolerability, and pharmacokinetics of tildacerfont, subject to the clearance of our planned IND, we believe we will be able to initiate a Phase 2 proof-of-concept clinical trial in the second half of 2021.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Role of Tildacerfont in the Treatment of Non-Classic CAH</w:t>
      </w:r>
    </w:p>
    <w:p>
      <w:pPr>
        <w:spacing w:after="0" w:line="11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The non-classic form of CAH, or non-classic CAH, also called late-onset CAH, occurs in approximately one in 1,000 of the general population. In females, non-classic CAH is characterized by a generally less severe dysregulation of cortisol production and clinically manifests with a variety of late-onset virilizing symptoms. Females may experience irregular periods, hirsutism, deep voice, and infertility. Some males and females may experience early onset puberty and rapid growth in childhood but short stature in adulthood. Other symptoms of non-classic CAH include low bone density, severe acne, obesity, and elevated lipids. Patients with non-classic CAH typically do not require glucocorticoids to replace deficiencies in cortisol levels. However, they possess high levels of adrenal androgens caused by the inability of their endogenous levels of cortisol to properly regulate ACTH production and adrenal stimulation. Although, genetic mutations have been associated with about 30% to 40% of residual 21-hydroxylase enzymatic activity, approximately 5% of patients presenting with non-classic CAH may have a mutation in one copy of the 21-hydroxylase gene, that results in clinical phenotype that is indistinguishable from classic CAH. We believe that tildacerfont has the potential to bring non-steroidal therapeutic benefit to these non-classic CAH patients with the severe form of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w:t>
      </w:r>
    </w:p>
    <w:p>
      <w:pPr>
        <w:spacing w:after="0" w:line="12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other than a Lilly Compound, which we refer to collectively as the Lilly Licensed Products, for all pharmaceutical uses, including all diagnostic, therapeutic, and prophylactic uses, for human or animal administration, which we refer to as the Field. Lilly retained rights under the Lilly IP and the Lilly Licensed Patents for internal research purposes.</w:t>
      </w:r>
    </w:p>
    <w:p>
      <w:pPr>
        <w:spacing w:after="0" w:line="19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Under the License Agreement, we are required to use commercially reasonable efforts to develop and commercialize a Lilly Licensed Product in the Field. In addition, we are responsible to oversee, monitor, and manage all regulatory interactions, communications, and filings with, and submissions to regulatory authorities, with respect to the Lilly Licensed Products, and shall have final decision making authority regarding all such regulatory activities, including the regulatory and labeling strategy and the content of submissions.</w:t>
      </w:r>
    </w:p>
    <w:p>
      <w:pPr>
        <w:spacing w:after="0" w:line="187"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As partial consideration for the rights granted to us under the License Agreement, we made a one-time upfront payment to Lilly of approximately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event, and are due shortly after achieving the applicable milestone. In addition, we are required to pay Lilly tiered royalties on annual worldwide net sales of Lilly Licensed Products in the Field, with rates ranging from mid-single-digits to sub-teens, or the Lilly Royalties. The Lilly Royalties shall commence on a country-by-country basis on the date of the first commercial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 come fully paid-up, royalty-free, perpetual and irrevocable. In addition, the Lilly Royalties may be reduced upon the occurrence of certain events.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License Agreement shall remain in effect until the expiration of all payment obligations thereunder, unless terminated earlier as follows,</w:t>
      </w:r>
    </w:p>
    <w:p>
      <w:pPr>
        <w:spacing w:after="0" w:line="35" w:lineRule="exact"/>
        <w:rPr>
          <w:sz w:val="20"/>
          <w:szCs w:val="20"/>
          <w:color w:val="auto"/>
        </w:rPr>
      </w:pPr>
    </w:p>
    <w:p>
      <w:pPr>
        <w:ind w:right="20" w:firstLine="8"/>
        <w:spacing w:after="0" w:line="290"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termination upon mutual agreement, (ii) unilateral termination by us, on a worldwide basis or with respect to any country or countries, in our sole discretion, upon 60 days’ advance written notice, (iii) unilateral termination by either party upon written notice of the other party’s material breach of its obligations under the License Agreement and failure to cure such breach within 90 days after receiving written notice of such breach, and (iv) unilateral termination by either party in the event of a general assignment for the benefit of creditors of the other party or if proceedings are commenced against such other party relating to bankruptcy, insolvency, liquidation, reorganization, winding up, or composition or adjustment of debt, and such proceedings continue undismissed, or an order with respect to the foregoing shall be entered and continue unabated, for a period of more than 60 days.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have developed and continue to expand our patent portfolio for tildacerfont. We have licensed from Lilly 31 patents in the United States and other countries throughout the world covering composition of matter of tildacerfont, which are expected to expire in 2027, absent any patent term adjustments or extensions. We also have pending applications from the same family in El Salvador, Venezuela, and Pakistan covering tildacerfont, which, if issued, would also be expected to expire in 2027, absent any patent term adjustments or extensions. Additionally, we have licensed patents in the United States and other countries from Lilly covering methods of making tildacerfont, which are expected to expire in 2029, absent any patent term adjustments or extensions.</w:t>
      </w:r>
    </w:p>
    <w:p>
      <w:pPr>
        <w:spacing w:after="0" w:line="192"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have filed our own patent applications in the United States and other countries throughout the world directed to various methods of use and formulations, and one of these applications has been issued. The issued patent is expected to expire around 2038. The remaining patent applications, if issued, would be expected to expire between 2038 and 2041, absent any patent term adjustments or extensions. We have also filed an international patent application and applications in Argentina and Taiwan directed to combination therapies as well as further uses of tildacerfont. Any patents that would issue from these applications would be expected to expire no later than 2040, absent any patent term adjustments or extensions. Patents related to tildacerfont may be eligible for patent term extensions in certain jurisdictions, including up to five years in both the United States and the EU, upon approval of a commercial use of the corresponding product by a regulatory agency in the jurisdiction where the patent was granted.</w:t>
      </w:r>
    </w:p>
    <w:p>
      <w:pPr>
        <w:spacing w:after="0" w:line="166" w:lineRule="exact"/>
        <w:rPr>
          <w:sz w:val="20"/>
          <w:szCs w:val="20"/>
          <w:color w:val="auto"/>
        </w:rPr>
      </w:pPr>
    </w:p>
    <w:p>
      <w:pPr>
        <w:ind w:right="520" w:firstLine="589"/>
        <w:spacing w:after="0" w:line="259" w:lineRule="auto"/>
        <w:rPr>
          <w:sz w:val="20"/>
          <w:szCs w:val="20"/>
          <w:color w:val="auto"/>
        </w:rPr>
      </w:pPr>
      <w:r>
        <w:rPr>
          <w:rFonts w:ascii="Arial" w:cs="Arial" w:eastAsia="Arial" w:hAnsi="Arial"/>
          <w:sz w:val="18"/>
          <w:szCs w:val="18"/>
          <w:color w:val="auto"/>
        </w:rPr>
        <w:t>In addition to patent protection, we rely on trade secret protection and know-how to expand our proprietary position around our chemistry, technology, and other discoveries and inventions that we consider important to our business. Under the License Agreement, Lilly granted intellectual property rights to know-how that are important to our business. The License Agreement imposes various development, regulatory, and commercial diligence obligations, payment of milestones and/or royalties, and other obligations.</w:t>
      </w:r>
    </w:p>
    <w:p>
      <w:pPr>
        <w:spacing w:after="0" w:line="18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In addition, we have been granted Orphan Drug Designation for tildacerfont for the treatment of patients with CAH in the United States and the EU, providing the opportunity to receive seven years of market exclusivity in the United States, which can be extended to seven and a half years if clinical trials are conducted in accordance with an agreed-upon pediatric investigational plan, and ten years of market exclusivity in the EU, which can be extended to 12 years in the EU if clinical trials are conducted in accordance with an agreed-upon PIP.</w:t>
      </w:r>
    </w:p>
    <w:p>
      <w:pPr>
        <w:spacing w:after="0" w:line="171" w:lineRule="exact"/>
        <w:rPr>
          <w:sz w:val="20"/>
          <w:szCs w:val="20"/>
          <w:color w:val="auto"/>
        </w:rPr>
      </w:pPr>
    </w:p>
    <w:p>
      <w:pPr>
        <w:jc w:val="both"/>
        <w:ind w:right="260" w:firstLine="589"/>
        <w:spacing w:after="0" w:line="311" w:lineRule="auto"/>
        <w:rPr>
          <w:sz w:val="20"/>
          <w:szCs w:val="20"/>
          <w:color w:val="auto"/>
        </w:rPr>
      </w:pPr>
      <w:r>
        <w:rPr>
          <w:rFonts w:ascii="Arial" w:cs="Arial" w:eastAsia="Arial" w:hAnsi="Arial"/>
          <w:sz w:val="16"/>
          <w:szCs w:val="16"/>
          <w:color w:val="auto"/>
        </w:rPr>
        <w:t>Upon approval in the United States, as tildacerfont has not previously been approved in the United States for any indication, tildacerfont may be eligible for five years of new chemical entity exclusivity, which would run currently with its seven years of orphan drug exclusivity if we obtain orphan drug exclusivity for its approved uses. Further, upon approval in the EU, as tildacerfont has not previously been approved in the EU for any indication,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tildacerfont may be eligible for eight years of data exclusivity, as well as two years of market exclusivity. In the EU, an additional one year of exclusivity may be obtained if tildacerfont is approved for a new indication that provides a significant clinical benefit.</w:t>
      </w:r>
    </w:p>
    <w:p>
      <w:pPr>
        <w:spacing w:after="0" w:line="170"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We also seek to protect our intellectual property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w:t>
      </w:r>
    </w:p>
    <w:p>
      <w:pPr>
        <w:spacing w:after="0" w:line="188"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 addition to patent protection around tildacerfont, we have also licensed from Lilly patents in the United States and other countries throughout the world directed to composition of matter around other CRF1 antagonists.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rely on contract manufacturing organizations, or CMOs, to produce tildacerfont in accordance with the FDA’s current Good Manufacturing Practices, or cGMP, regulations for use in our clinical trials. The manufacture of pharmaceuticals for human use is subject to extensive cGMP regulations, which impose various procedural and documentation requirements and govern all areas of record keeping, production processes and controls, personnel training, and quality control. Tildacerfont is manufactured using common chemical engineering and synthetic processes from readily available raw materials. We have entered into manufacturing, development, and clinical supply agreements with our CMOs that provide for the procurement of active pharmaceutical ingredient, or API, and drug product in connection with our planned and future clinical trials. These agreements contain no minimum purchase commitments or other purchase obligations. To date, the CMOs have met our manufacturing requirements, and we expect them to be capable of providing sufficient quantities of API and our drug product to meet estimated full-scale commercial needs. We plan to enter into commercial manufacturing and supply agreements with our CMOs prior to commercialization of tildacerfont, if approved, in the United States and Europe. Our relationships with CMOs are managed by internal personnel with extensive experience in pharmaceutical development and manufacturing.</w:t>
      </w:r>
    </w:p>
    <w:p>
      <w:pPr>
        <w:spacing w:after="0" w:line="168"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Our contract manufacturing agreements give us visibility into the expected future cost of producing tildacerfont at commercial scale. Based upon a range of prices of currently marketed therapies indicated for orphan diseases, we believe that our cost of goods for tildacerfont will be highly competitive.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 commercialization of new drugs is competitive, and we may face worldwide competition from major pharmaceutical companies, specialty pharmaceutical companies, biotechnology companies, and ultimately generic companies. Our competitors may develop or market therapies that are more effective, safer, or less costly than any that we are commercializing, or may obtain regulatory or reimbursement approval for their therapies more rapidly than we may obtain approval for ours.</w:t>
      </w:r>
    </w:p>
    <w:p>
      <w:pPr>
        <w:spacing w:after="0" w:line="187"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We are aware of three other companies actively developing treatments for patients with classic CAH. Neurocrine Biosciences, Inc., or Neurocrine, is developing a CRF1 receptor antagonist and has completed a two-week Phase 2 clinical trial in adults with classic CAH. Neurocrine has initiated a Phase 2 clinical trial in children between the ages of 14 and 17 years of age diagnosed with classic CAH and a registrational trial for adult patients with classic CAH. Neurocrine has initiated a registrational program in pediatric classic CAH in 2021. BridgeBio Pharma, Inc. plans to evaluate an AAV5 gene therapy product candidate to treat classic CAH in a Phase 1/2 proof of concept study in 2021. In addition, Crinetics Pharmaceuticals, Inc. has initiated a Phase 1 study in 2021 to evaluate to ability of an oral ACTH antagonist to suppress ACTH-stimulated secretion in healthy volunteers.</w:t>
      </w:r>
    </w:p>
    <w:p>
      <w:pPr>
        <w:spacing w:after="0" w:line="16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addition, while tildacerfont ultimately seeks to significantly reduce steroid use for patients with classic CAH, patients will continue use of their steroid regimen. As high doses of corticosteroids are the current standard of care for the treatment of classic CAH, in the United States alone, there are more than two dozen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manufacturing steroid-based products. One such company is Diurnal Group PLC, or Diurnal, which is developing an exogenous cortisol treatment with a modified release intended to more closely match the physiological release profile of cortisol but recently announced a failed Phase 3 clinical trial and placed its U.S. development activities on hold. Diurnal submitted a Marketing Authorization Application, or MAA, to the EMA in December of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 are addressed in a centralized way, but country-specific regulation remains essential in many respects.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70" w:lineRule="exact"/>
        <w:rPr>
          <w:sz w:val="20"/>
          <w:szCs w:val="20"/>
          <w:color w:val="auto"/>
        </w:rPr>
      </w:pPr>
    </w:p>
    <w:p>
      <w:pPr>
        <w:ind w:left="1160" w:right="520" w:hanging="572"/>
        <w:spacing w:after="0" w:line="308" w:lineRule="auto"/>
        <w:tabs>
          <w:tab w:leader="none" w:pos="11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 xml:space="preserve">completion of extensive preclinical laboratory tests, preclinical animal studies and formulation studies in accordance </w:t>
      </w:r>
      <w:r>
        <w:rPr>
          <w:rFonts w:ascii="Arial" w:cs="Arial" w:eastAsia="Arial" w:hAnsi="Arial"/>
          <w:sz w:val="17"/>
          <w:szCs w:val="17"/>
          <w:i w:val="1"/>
          <w:iCs w:val="1"/>
          <w:color w:val="auto"/>
        </w:rPr>
        <w:t>with</w:t>
      </w:r>
      <w:r>
        <w:rPr>
          <w:rFonts w:ascii="Arial" w:cs="Arial" w:eastAsia="Arial" w:hAnsi="Arial"/>
          <w:sz w:val="17"/>
          <w:szCs w:val="17"/>
          <w:color w:val="auto"/>
        </w:rPr>
        <w:t xml:space="preserve"> applicable regulations, including the FDA’s Good Laboratory Practices, or GLP, regulations, and other applicable regulations;</w:t>
      </w:r>
    </w:p>
    <w:p>
      <w:pPr>
        <w:spacing w:after="0" w:line="38" w:lineRule="exact"/>
        <w:rPr>
          <w:rFonts w:ascii="MS PGothic" w:cs="MS PGothic" w:eastAsia="MS PGothic" w:hAnsi="MS PGothic"/>
          <w:sz w:val="17"/>
          <w:szCs w:val="17"/>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submission </w:t>
      </w:r>
      <w:r>
        <w:rPr>
          <w:rFonts w:ascii="Arial" w:cs="Arial" w:eastAsia="Arial" w:hAnsi="Arial"/>
          <w:sz w:val="18"/>
          <w:szCs w:val="18"/>
          <w:color w:val="auto"/>
        </w:rPr>
        <w:t>to the FDA of an IND, which must become effective before human clinical trials may begin;</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approval </w:t>
      </w:r>
      <w:r>
        <w:rPr>
          <w:rFonts w:ascii="Arial" w:cs="Arial" w:eastAsia="Arial" w:hAnsi="Arial"/>
          <w:sz w:val="18"/>
          <w:szCs w:val="18"/>
          <w:color w:val="auto"/>
        </w:rPr>
        <w:t>by an IRB at each clinical site before each clinical trial may be initiated;</w:t>
      </w:r>
    </w:p>
    <w:p>
      <w:pPr>
        <w:spacing w:after="0" w:line="117" w:lineRule="exact"/>
        <w:rPr>
          <w:rFonts w:ascii="MS PGothic" w:cs="MS PGothic" w:eastAsia="MS PGothic" w:hAnsi="MS PGothic"/>
          <w:sz w:val="18"/>
          <w:szCs w:val="18"/>
          <w:color w:val="auto"/>
        </w:rPr>
      </w:pPr>
    </w:p>
    <w:p>
      <w:pPr>
        <w:ind w:left="1160" w:right="180" w:hanging="572"/>
        <w:spacing w:after="0" w:line="330" w:lineRule="auto"/>
        <w:tabs>
          <w:tab w:leader="none" w:pos="1160"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 xml:space="preserve">performance of adequate and well-controlled human clinical trials in accordance with applicable regulations,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the FDA’s current good clinical practices, or GCP, regulations to establish the safety and efficacy of the proposed drug for its proposed indication;</w:t>
      </w:r>
    </w:p>
    <w:p>
      <w:pPr>
        <w:spacing w:after="0" w:line="34" w:lineRule="exact"/>
        <w:rPr>
          <w:rFonts w:ascii="MS PGothic" w:cs="MS PGothic" w:eastAsia="MS PGothic" w:hAnsi="MS PGothic"/>
          <w:sz w:val="16"/>
          <w:szCs w:val="16"/>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submission to the FDA of a new drug application, or NDA, for a new drug;</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17" w:lineRule="exact"/>
        <w:rPr>
          <w:rFonts w:ascii="MS PGothic" w:cs="MS PGothic" w:eastAsia="MS PGothic" w:hAnsi="MS PGothic"/>
          <w:sz w:val="18"/>
          <w:szCs w:val="18"/>
          <w:color w:val="auto"/>
        </w:rPr>
      </w:pPr>
    </w:p>
    <w:p>
      <w:pPr>
        <w:ind w:left="1160" w:right="160" w:hanging="572"/>
        <w:spacing w:after="0" w:line="263" w:lineRule="auto"/>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cGMP requirements to assure that the facilities, methods and controls are adequate to preserve the drug’s identity, strength, quality, and purity;</w:t>
      </w:r>
    </w:p>
    <w:p>
      <w:pPr>
        <w:spacing w:after="0" w:line="75" w:lineRule="exact"/>
        <w:rPr>
          <w:rFonts w:ascii="MS PGothic" w:cs="MS PGothic" w:eastAsia="MS PGothic" w:hAnsi="MS PGothic"/>
          <w:sz w:val="18"/>
          <w:szCs w:val="18"/>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potential FDA audit of the preclinical and/or clinical trial sites that generated the data in support of the NDA;</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satisfactory completion of an FDA advisory committee review, if applicable; and</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w:t>
      </w:r>
    </w:p>
    <w:p>
      <w:pPr>
        <w:spacing w:after="0" w:line="18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Clinical trials involve the administration of the drug candidate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or ethics committee,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160" w:right="180" w:hanging="572"/>
        <w:spacing w:after="0" w:line="279" w:lineRule="auto"/>
        <w:tabs>
          <w:tab w:leader="none" w:pos="1160" w:val="left"/>
        </w:tabs>
        <w:numPr>
          <w:ilvl w:val="0"/>
          <w:numId w:val="10"/>
        </w:numPr>
        <w:rPr>
          <w:rFonts w:ascii="MS PGothic" w:cs="MS PGothic" w:eastAsia="MS PGothic" w:hAnsi="MS PGothic"/>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drug is initially introduced into healthy human subjects and tested for safety, dosage tolerance, absorption, metabolism,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distribution, and excretion, the side effects associated with increasing doses and if </w:t>
      </w:r>
      <w:r>
        <w:rPr>
          <w:rFonts w:ascii="Arial" w:cs="Arial" w:eastAsia="Arial" w:hAnsi="Arial"/>
          <w:sz w:val="17"/>
          <w:szCs w:val="17"/>
          <w:i w:val="1"/>
          <w:iCs w:val="1"/>
          <w:color w:val="auto"/>
        </w:rPr>
        <w:t>possible</w:t>
      </w:r>
      <w:r>
        <w:rPr>
          <w:rFonts w:ascii="Arial" w:cs="Arial" w:eastAsia="Arial" w:hAnsi="Arial"/>
          <w:sz w:val="17"/>
          <w:szCs w:val="17"/>
          <w:color w:val="auto"/>
        </w:rPr>
        <w:t>,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63" w:lineRule="exact"/>
        <w:rPr>
          <w:rFonts w:ascii="MS PGothic" w:cs="MS PGothic" w:eastAsia="MS PGothic" w:hAnsi="MS PGothic"/>
          <w:sz w:val="17"/>
          <w:szCs w:val="17"/>
          <w:color w:val="auto"/>
        </w:rPr>
      </w:pPr>
    </w:p>
    <w:p>
      <w:pPr>
        <w:ind w:left="1160" w:right="380" w:hanging="572"/>
        <w:spacing w:after="0" w:line="263" w:lineRule="auto"/>
        <w:tabs>
          <w:tab w:leader="none" w:pos="1160" w:val="left"/>
        </w:tabs>
        <w:numPr>
          <w:ilvl w:val="0"/>
          <w:numId w:val="10"/>
        </w:numPr>
        <w:rPr>
          <w:rFonts w:ascii="MS PGothic" w:cs="MS PGothic" w:eastAsia="MS PGothic" w:hAnsi="MS PGothic"/>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evaluated in a limited patient population to identify possible adverse effects and safety risks,</w:t>
      </w:r>
      <w:r>
        <w:rPr>
          <w:rFonts w:ascii="Arial" w:cs="Arial" w:eastAsia="Arial" w:hAnsi="Arial"/>
          <w:sz w:val="18"/>
          <w:szCs w:val="18"/>
          <w:i w:val="1"/>
          <w:iCs w:val="1"/>
          <w:color w:val="auto"/>
        </w:rPr>
        <w:t xml:space="preserve"> to </w:t>
      </w:r>
      <w:r>
        <w:rPr>
          <w:rFonts w:ascii="Arial" w:cs="Arial" w:eastAsia="Arial" w:hAnsi="Arial"/>
          <w:sz w:val="18"/>
          <w:szCs w:val="18"/>
          <w:color w:val="auto"/>
        </w:rPr>
        <w:t>preliminarily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efficacy of the product for specific targeted diseases or conditions and to determine dosage tolerance, optimal dosage, and dosing schedule.</w:t>
      </w:r>
    </w:p>
    <w:p>
      <w:pPr>
        <w:spacing w:after="0" w:line="75" w:lineRule="exact"/>
        <w:rPr>
          <w:rFonts w:ascii="MS PGothic" w:cs="MS PGothic" w:eastAsia="MS PGothic" w:hAnsi="MS PGothic"/>
          <w:sz w:val="18"/>
          <w:szCs w:val="18"/>
          <w:color w:val="auto"/>
        </w:rPr>
      </w:pPr>
    </w:p>
    <w:p>
      <w:pPr>
        <w:ind w:left="1160" w:right="40" w:hanging="572"/>
        <w:spacing w:after="0" w:line="259" w:lineRule="auto"/>
        <w:tabs>
          <w:tab w:leader="none" w:pos="1160" w:val="left"/>
        </w:tabs>
        <w:numPr>
          <w:ilvl w:val="0"/>
          <w:numId w:val="10"/>
        </w:numPr>
        <w:rPr>
          <w:rFonts w:ascii="MS PGothic" w:cs="MS PGothic" w:eastAsia="MS PGothic" w:hAnsi="MS PGothic"/>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w:t>
      </w:r>
      <w:r>
        <w:rPr>
          <w:rFonts w:ascii="Arial" w:cs="Arial" w:eastAsia="Arial" w:hAnsi="Arial"/>
          <w:sz w:val="18"/>
          <w:szCs w:val="18"/>
          <w:i w:val="1"/>
          <w:iCs w:val="1"/>
          <w:color w:val="auto"/>
        </w:rPr>
        <w:t xml:space="preserve"> Clinical </w:t>
      </w:r>
      <w:r>
        <w:rPr>
          <w:rFonts w:ascii="Arial" w:cs="Arial" w:eastAsia="Arial" w:hAnsi="Arial"/>
          <w:sz w:val="18"/>
          <w:szCs w:val="18"/>
          <w:color w:val="auto"/>
        </w:rPr>
        <w:t>trials are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1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some cases, FDA may require, or sponsors may voluntarily pursue, post-approval studies, or Phase 4 clinical trials, that are conducted after initial marketing approval. These trials are used to gain additional experience from the treatment of patients in the intended therapeutic indication. In certain instances, such as with accelerated approval drugs, FDA may mandate the performance of Phase 4 trials. In certain instances, the FDA may mandate the performance of Phase 4 clinical trials as a condition of approval of an NDA.</w:t>
      </w:r>
    </w:p>
    <w:p>
      <w:pPr>
        <w:spacing w:after="0" w:line="187" w:lineRule="exact"/>
        <w:rPr>
          <w:sz w:val="20"/>
          <w:szCs w:val="20"/>
          <w:color w:val="auto"/>
        </w:rPr>
      </w:pPr>
    </w:p>
    <w:p>
      <w:pPr>
        <w:ind w:right="300" w:firstLine="589"/>
        <w:spacing w:after="0" w:line="279"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188"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77"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82"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it the application is submitted The FDA does not always meet its PDUFA goal dates for standard and priority NDAs, and the review process is often significantly extended by FDA requests for additional information or clarification.</w:t>
      </w:r>
    </w:p>
    <w:p>
      <w:pPr>
        <w:spacing w:after="0" w:line="195"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4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82"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92"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If an orphan designated product receives marketing approval for an indication broader than what is designated, 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may not be entitled to orphan exclusivity. Orphan drug status in the EU has similar but not identical benefits in that jurisdiction.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0" w:firstLine="589"/>
        <w:spacing w:after="0" w:line="255"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manufacturing,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w:t>
      </w:r>
    </w:p>
    <w:p>
      <w:pPr>
        <w:spacing w:after="0" w:line="1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requirements.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92"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160" w:hanging="572"/>
        <w:spacing w:after="0"/>
        <w:tabs>
          <w:tab w:leader="none" w:pos="1160" w:val="left"/>
        </w:tabs>
        <w:numPr>
          <w:ilvl w:val="0"/>
          <w:numId w:val="11"/>
        </w:numPr>
        <w:rPr>
          <w:rFonts w:ascii="MS PGothic" w:cs="MS PGothic" w:eastAsia="MS PGothic" w:hAnsi="MS PGothic"/>
          <w:sz w:val="17"/>
          <w:szCs w:val="17"/>
          <w:color w:val="auto"/>
        </w:rPr>
      </w:pPr>
      <w:r>
        <w:rPr>
          <w:rFonts w:ascii="Arial" w:cs="Arial" w:eastAsia="Arial" w:hAnsi="Arial"/>
          <w:sz w:val="17"/>
          <w:szCs w:val="17"/>
          <w:i w:val="1"/>
          <w:iCs w:val="1"/>
          <w:color w:val="auto"/>
        </w:rPr>
        <w:t xml:space="preserve">restrictions </w:t>
      </w:r>
      <w:r>
        <w:rPr>
          <w:rFonts w:ascii="Arial" w:cs="Arial" w:eastAsia="Arial" w:hAnsi="Arial"/>
          <w:sz w:val="17"/>
          <w:szCs w:val="17"/>
          <w:color w:val="auto"/>
        </w:rPr>
        <w:t>on the marketing or manufacturing of the product, complete withdrawal of the product from the market or product recalls;</w:t>
      </w:r>
    </w:p>
    <w:p>
      <w:pPr>
        <w:spacing w:after="0" w:line="128" w:lineRule="exact"/>
        <w:rPr>
          <w:rFonts w:ascii="MS PGothic" w:cs="MS PGothic" w:eastAsia="MS PGothic" w:hAnsi="MS PGothic"/>
          <w:sz w:val="17"/>
          <w:szCs w:val="17"/>
          <w:color w:val="auto"/>
        </w:rPr>
      </w:pPr>
    </w:p>
    <w:p>
      <w:pPr>
        <w:ind w:left="1160" w:hanging="572"/>
        <w:spacing w:after="0"/>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 xml:space="preserve">fines, </w:t>
      </w:r>
      <w:r>
        <w:rPr>
          <w:rFonts w:ascii="Arial" w:cs="Arial" w:eastAsia="Arial" w:hAnsi="Arial"/>
          <w:sz w:val="18"/>
          <w:szCs w:val="18"/>
          <w:i w:val="1"/>
          <w:iCs w:val="1"/>
          <w:color w:val="auto"/>
        </w:rPr>
        <w:t>warning</w:t>
      </w:r>
      <w:r>
        <w:rPr>
          <w:rFonts w:ascii="Arial" w:cs="Arial" w:eastAsia="Arial" w:hAnsi="Arial"/>
          <w:sz w:val="18"/>
          <w:szCs w:val="18"/>
          <w:color w:val="auto"/>
        </w:rPr>
        <w:t xml:space="preserve"> letters, or untitled letters;</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 xml:space="preserve">clinical </w:t>
      </w:r>
      <w:r>
        <w:rPr>
          <w:rFonts w:ascii="Arial" w:cs="Arial" w:eastAsia="Arial" w:hAnsi="Arial"/>
          <w:sz w:val="18"/>
          <w:szCs w:val="18"/>
          <w:i w:val="1"/>
          <w:iCs w:val="1"/>
          <w:color w:val="auto"/>
        </w:rPr>
        <w:t>holds</w:t>
      </w:r>
      <w:r>
        <w:rPr>
          <w:rFonts w:ascii="Arial" w:cs="Arial" w:eastAsia="Arial" w:hAnsi="Arial"/>
          <w:sz w:val="18"/>
          <w:szCs w:val="18"/>
          <w:color w:val="auto"/>
        </w:rPr>
        <w:t xml:space="preserve"> on clinical trials;</w:t>
      </w:r>
    </w:p>
    <w:p>
      <w:pPr>
        <w:spacing w:after="0" w:line="117" w:lineRule="exact"/>
        <w:rPr>
          <w:rFonts w:ascii="MS PGothic" w:cs="MS PGothic" w:eastAsia="MS PGothic" w:hAnsi="MS PGothic"/>
          <w:sz w:val="18"/>
          <w:szCs w:val="18"/>
          <w:color w:val="auto"/>
        </w:rPr>
      </w:pPr>
    </w:p>
    <w:p>
      <w:pPr>
        <w:ind w:left="1160" w:hanging="572"/>
        <w:spacing w:after="0" w:line="277" w:lineRule="auto"/>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 xml:space="preserve">refusal of the FDA to approve pending applications or supplements to approved applications, or suspension or revocation </w:t>
      </w:r>
      <w:r>
        <w:rPr>
          <w:rFonts w:ascii="Arial" w:cs="Arial" w:eastAsia="Arial" w:hAnsi="Arial"/>
          <w:sz w:val="18"/>
          <w:szCs w:val="18"/>
          <w:i w:val="1"/>
          <w:iCs w:val="1"/>
          <w:color w:val="auto"/>
        </w:rPr>
        <w:t>of</w:t>
      </w:r>
      <w:r>
        <w:rPr>
          <w:rFonts w:ascii="Arial" w:cs="Arial" w:eastAsia="Arial" w:hAnsi="Arial"/>
          <w:sz w:val="18"/>
          <w:szCs w:val="18"/>
          <w:color w:val="auto"/>
        </w:rPr>
        <w:t xml:space="preserve"> product license approvals;</w:t>
      </w:r>
    </w:p>
    <w:p>
      <w:pPr>
        <w:spacing w:after="0" w:line="62" w:lineRule="exact"/>
        <w:rPr>
          <w:rFonts w:ascii="MS PGothic" w:cs="MS PGothic" w:eastAsia="MS PGothic" w:hAnsi="MS PGothic"/>
          <w:sz w:val="18"/>
          <w:szCs w:val="18"/>
          <w:color w:val="auto"/>
        </w:rPr>
      </w:pPr>
    </w:p>
    <w:p>
      <w:pPr>
        <w:ind w:left="1160" w:hanging="572"/>
        <w:spacing w:after="0"/>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seizure or detention, or refusal to permit the import or export of products;</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consent </w:t>
      </w:r>
      <w:r>
        <w:rPr>
          <w:rFonts w:ascii="Arial" w:cs="Arial" w:eastAsia="Arial" w:hAnsi="Arial"/>
          <w:sz w:val="18"/>
          <w:szCs w:val="18"/>
          <w:color w:val="auto"/>
        </w:rPr>
        <w:t>decrees, corporate integrity agreements, debarment, or exclusion from federal healthcare programs;</w:t>
      </w:r>
    </w:p>
    <w:p>
      <w:pPr>
        <w:spacing w:after="0" w:line="117" w:lineRule="exact"/>
        <w:rPr>
          <w:rFonts w:ascii="MS PGothic" w:cs="MS PGothic" w:eastAsia="MS PGothic" w:hAnsi="MS PGothic"/>
          <w:sz w:val="18"/>
          <w:szCs w:val="18"/>
          <w:color w:val="auto"/>
        </w:rPr>
      </w:pPr>
    </w:p>
    <w:p>
      <w:pPr>
        <w:ind w:left="1160" w:hanging="572"/>
        <w:spacing w:after="0"/>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mandated </w:t>
      </w:r>
      <w:r>
        <w:rPr>
          <w:rFonts w:ascii="Arial" w:cs="Arial" w:eastAsia="Arial" w:hAnsi="Arial"/>
          <w:sz w:val="18"/>
          <w:szCs w:val="18"/>
          <w:color w:val="auto"/>
        </w:rPr>
        <w:t>modification of promotional materials and labeling and the issuance of corrective information;</w:t>
      </w:r>
    </w:p>
    <w:p>
      <w:pPr>
        <w:spacing w:after="0" w:line="117" w:lineRule="exact"/>
        <w:rPr>
          <w:rFonts w:ascii="MS PGothic" w:cs="MS PGothic" w:eastAsia="MS PGothic" w:hAnsi="MS PGothic"/>
          <w:sz w:val="18"/>
          <w:szCs w:val="18"/>
          <w:color w:val="auto"/>
        </w:rPr>
      </w:pPr>
    </w:p>
    <w:p>
      <w:pPr>
        <w:ind w:left="1160" w:hanging="572"/>
        <w:spacing w:after="0" w:line="277" w:lineRule="auto"/>
        <w:tabs>
          <w:tab w:leader="none" w:pos="116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 injunctions or the imposition of civil or criminal penalties.</w:t>
      </w:r>
    </w:p>
    <w:p>
      <w:pPr>
        <w:spacing w:after="0" w:line="17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may require changes to a product’s approved labeling, including the addition of new warnings and contraindications, and also may require the implementation of other risk management measures.</w:t>
      </w:r>
    </w:p>
    <w:p>
      <w:pPr>
        <w:spacing w:after="0" w:line="170" w:lineRule="exact"/>
        <w:rPr>
          <w:sz w:val="20"/>
          <w:szCs w:val="20"/>
          <w:color w:val="auto"/>
        </w:rPr>
      </w:pPr>
    </w:p>
    <w:p>
      <w:pPr>
        <w:ind w:right="140" w:firstLine="589"/>
        <w:spacing w:after="0" w:line="287" w:lineRule="auto"/>
        <w:rPr>
          <w:sz w:val="20"/>
          <w:szCs w:val="20"/>
          <w:color w:val="auto"/>
        </w:rPr>
      </w:pPr>
      <w:r>
        <w:rPr>
          <w:rFonts w:ascii="Arial" w:cs="Arial" w:eastAsia="Arial" w:hAnsi="Arial"/>
          <w:sz w:val="16"/>
          <w:szCs w:val="16"/>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7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5" w:lineRule="exact"/>
        <w:rPr>
          <w:sz w:val="20"/>
          <w:szCs w:val="20"/>
          <w:color w:val="auto"/>
        </w:rPr>
      </w:pPr>
    </w:p>
    <w:p>
      <w:pPr>
        <w:jc w:val="both"/>
        <w:ind w:right="180" w:firstLine="589"/>
        <w:spacing w:after="0" w:line="279" w:lineRule="auto"/>
        <w:rPr>
          <w:sz w:val="20"/>
          <w:szCs w:val="20"/>
          <w:color w:val="auto"/>
        </w:rPr>
      </w:pPr>
      <w:r>
        <w:rPr>
          <w:rFonts w:ascii="Arial" w:cs="Arial" w:eastAsia="Arial" w:hAnsi="Arial"/>
          <w:sz w:val="17"/>
          <w:szCs w:val="17"/>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anti-kickback, fraud and abuse, false claims, privacy and security, price reporting, and physician sunshine laws and regulations.</w:t>
      </w:r>
    </w:p>
    <w:p>
      <w:pPr>
        <w:spacing w:after="0" w:line="18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82" w:lineRule="exact"/>
        <w:rPr>
          <w:sz w:val="20"/>
          <w:szCs w:val="20"/>
          <w:color w:val="auto"/>
        </w:rPr>
      </w:pPr>
    </w:p>
    <w:p>
      <w:pPr>
        <w:jc w:val="both"/>
        <w:ind w:right="100" w:firstLine="589"/>
        <w:spacing w:after="0" w:line="255" w:lineRule="auto"/>
        <w:rPr>
          <w:sz w:val="20"/>
          <w:szCs w:val="20"/>
          <w:color w:val="auto"/>
        </w:rPr>
      </w:pPr>
      <w:r>
        <w:rPr>
          <w:rFonts w:ascii="Arial" w:cs="Arial" w:eastAsia="Arial" w:hAnsi="Arial"/>
          <w:sz w:val="18"/>
          <w:szCs w:val="18"/>
          <w:color w:val="auto"/>
        </w:rPr>
        <w:t>Additionally, the intent standard under the Anti-Kickback Statute and the criminal healthcare fraud statutes (discussed below) was amended by the Patient Protection and Affordable Care Act, as amended by the Health Care and Education Reconciliation Act, together with subsequent amendments and regulations,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(discussed below).</w:t>
      </w:r>
    </w:p>
    <w:p>
      <w:pPr>
        <w:spacing w:after="0" w:line="1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w:t>
      </w:r>
    </w:p>
    <w:p>
      <w:pPr>
        <w:spacing w:after="0" w:line="195"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178"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and teaching hospitals, certain ownership and investment interests held by physicians and their immediate family members. Beginning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2022, applicable manufacturers also will be required to report information regarding payments and transfers of value provided to physician assistants, nurse practitioners, clinical nurse specialists, anesthesiologist assistants, certified registered nurse anesthetists and certified nurse midwives during the previous year.</w:t>
      </w:r>
    </w:p>
    <w:p>
      <w:pPr>
        <w:spacing w:after="0" w:line="184"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We may also be subject to data privacy and security regulations by both the federal government and the states in which we conduct our business. HIPAA, as amended by the Health Information Technology for Economic and Clinical Health Act, or HITECH, and its implementing regulations, impose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and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6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5"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18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9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or VHCA, drug companies are required to offer certain drugs at a reduced price to a number of federal agencies, including the U.S. Department of Veterans Affairs and the U.S.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185"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8"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affected existing government healthcare programs and resulted in the development of new programs.</w:t>
      </w:r>
    </w:p>
    <w:p>
      <w:pPr>
        <w:spacing w:after="0" w:line="17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Among the Affordable Care Act’s provisions of importance to the pharmaceutical industry, in addition to those otherwise described above, are the following:</w:t>
      </w:r>
    </w:p>
    <w:p>
      <w:pPr>
        <w:spacing w:after="0" w:line="62" w:lineRule="exact"/>
        <w:rPr>
          <w:sz w:val="20"/>
          <w:szCs w:val="20"/>
          <w:color w:val="auto"/>
        </w:rPr>
      </w:pPr>
    </w:p>
    <w:p>
      <w:pPr>
        <w:ind w:left="1160" w:right="260" w:hanging="572"/>
        <w:spacing w:after="0" w:line="308" w:lineRule="auto"/>
        <w:tabs>
          <w:tab w:leader="none" w:pos="1160" w:val="left"/>
        </w:tabs>
        <w:numPr>
          <w:ilvl w:val="0"/>
          <w:numId w:val="12"/>
        </w:numPr>
        <w:rPr>
          <w:rFonts w:ascii="MS PGothic" w:cs="MS PGothic" w:eastAsia="MS PGothic" w:hAnsi="MS PGothic"/>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right="120" w:hanging="572"/>
        <w:spacing w:after="0" w:line="263" w:lineRule="auto"/>
        <w:tabs>
          <w:tab w:leader="none" w:pos="11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or AMP;</w:t>
      </w:r>
    </w:p>
    <w:p>
      <w:pPr>
        <w:spacing w:after="0" w:line="75" w:lineRule="exact"/>
        <w:rPr>
          <w:rFonts w:ascii="MS PGothic" w:cs="MS PGothic" w:eastAsia="MS PGothic" w:hAnsi="MS PGothic"/>
          <w:sz w:val="18"/>
          <w:szCs w:val="18"/>
          <w:color w:val="auto"/>
        </w:rPr>
      </w:pPr>
    </w:p>
    <w:p>
      <w:pPr>
        <w:ind w:left="1160" w:right="100" w:hanging="572"/>
        <w:spacing w:after="0" w:line="263" w:lineRule="auto"/>
        <w:tabs>
          <w:tab w:leader="none" w:pos="11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MS PGothic" w:cs="MS PGothic" w:eastAsia="MS PGothic" w:hAnsi="MS PGothic"/>
          <w:sz w:val="18"/>
          <w:szCs w:val="18"/>
          <w:color w:val="auto"/>
        </w:rPr>
      </w:pPr>
    </w:p>
    <w:p>
      <w:pPr>
        <w:ind w:left="1160" w:hanging="572"/>
        <w:spacing w:after="0" w:line="277" w:lineRule="auto"/>
        <w:tabs>
          <w:tab w:leader="none" w:pos="11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MS PGothic" w:cs="MS PGothic" w:eastAsia="MS PGothic" w:hAnsi="MS PGothic"/>
          <w:sz w:val="18"/>
          <w:szCs w:val="18"/>
          <w:color w:val="auto"/>
        </w:rPr>
      </w:pPr>
    </w:p>
    <w:p>
      <w:pPr>
        <w:ind w:left="1160" w:right="40" w:hanging="572"/>
        <w:spacing w:after="0" w:line="263" w:lineRule="auto"/>
        <w:tabs>
          <w:tab w:leader="none" w:pos="11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75" w:lineRule="exact"/>
        <w:rPr>
          <w:rFonts w:ascii="MS PGothic" w:cs="MS PGothic" w:eastAsia="MS PGothic" w:hAnsi="MS PGothic"/>
          <w:sz w:val="18"/>
          <w:szCs w:val="18"/>
          <w:color w:val="auto"/>
        </w:rPr>
      </w:pPr>
    </w:p>
    <w:p>
      <w:pPr>
        <w:ind w:left="1160" w:hanging="572"/>
        <w:spacing w:after="0"/>
        <w:tabs>
          <w:tab w:leader="none" w:pos="11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17" w:lineRule="exact"/>
        <w:rPr>
          <w:rFonts w:ascii="MS PGothic" w:cs="MS PGothic" w:eastAsia="MS PGothic" w:hAnsi="MS PGothic"/>
          <w:sz w:val="18"/>
          <w:szCs w:val="18"/>
          <w:color w:val="auto"/>
        </w:rPr>
      </w:pPr>
    </w:p>
    <w:p>
      <w:pPr>
        <w:ind w:left="1160" w:right="520" w:hanging="572"/>
        <w:spacing w:after="0" w:line="277" w:lineRule="auto"/>
        <w:tabs>
          <w:tab w:leader="none" w:pos="11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Affordable Care Act. For example, the Tax Cuts and Jobs Act of 2017, or the Tax Act, was enacted,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On December 14, 2018, a U.S. District Court Judge in the Northern District of Texas ruled that the individual mandate is a critical and inseverable feature of the Affordable Care Act, and therefore, because it was repealed as part of the Tax Act, the remaining provisions of the Affordable Care Act are invalid as well. Additionally, on December 18, 2019, the U.S. Court of Appeals for the 5th Circuit ruled that that the individual mandate was unconstitutional and remanded the case back to the District Court to determine whether the remaining provisions of the Affordable Care Act are invalid as well. The U.S. Supreme Court is currently reviewing this case, although it is unknown when a decision will be made.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and our business.</w:t>
      </w:r>
    </w:p>
    <w:p>
      <w:pPr>
        <w:spacing w:after="0" w:line="176"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Other legislative changes have also been proposed and adopted in the United States since the Affordable Care Act was enacted. On August 2, 2011, the Budget Control Act of 2011, among other things,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2021 due to the COVID-19 pandemic, unless additional 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There has also been heightened governmental scrutiny recently over the manner in which pharmaceutical companies set prices for their marketed products, which has resulted in several Congressional inquiries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Several final rules have been recently promulgated that seek to implement several of the Trump administration’s proposals. However, it is unclear whether the Biden administration will work to reverse these measures or pursue similar policy initiatives.</w:t>
      </w:r>
    </w:p>
    <w:p>
      <w:pPr>
        <w:spacing w:after="0" w:line="19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anticipate that these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 Further, it is possible that additional government action is taken in response to the COVID-19 pandemic.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HIPAA, as amended by HITECH, and its implementing regulations, impose requirements relating to the privacy, security and transmission of individually identifiable health information on certain health care providers, health plans and health care clearinghouses, known as covered entities, and their business associates that perform certain services that involve creating, receiving, maintaining or transmitting individually identifiable health information for or on behalf of such covered entities as well as their covered subcontractors.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7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8"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addition, state laws govern the privacy and security of health information in specified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California Consumer Privacy Act, or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89"/>
        <w:spacing w:after="0" w:line="267" w:lineRule="auto"/>
        <w:rPr>
          <w:sz w:val="20"/>
          <w:szCs w:val="20"/>
          <w:color w:val="auto"/>
        </w:rPr>
      </w:pPr>
      <w:r>
        <w:rPr>
          <w:rFonts w:ascii="Arial" w:cs="Arial" w:eastAsia="Arial" w:hAnsi="Arial"/>
          <w:sz w:val="17"/>
          <w:szCs w:val="17"/>
          <w:color w:val="auto"/>
        </w:rPr>
        <w:t>We also are or will become subject to privacy laws in the jurisdictions in which we are established or in which we sell or market our products or run clinical trials. For example, in the European Economic Area, or EEA, we are subject to Regulation (EU) 2016/679, the GDPR, in relation to our collection, control, processing, and other use of personal data (i.e. data relating to an identified or identifiable living individual). We process personal data in relation to participants in our clinical trials in the EEA including the health and medical information of these participants. The GDPR is directly applicable in each EU and EEA Member State, and, by operation of the so-called UK GDPR, on which see more below, continues to apply in substantially equivalent form in the context of the United Kingdom-related establishments and processing operations, and may therefore apply in the context of our United Kingdom-related processing operations. The GDPR provides that EEA member states may make their own further laws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w:t>
      </w:r>
    </w:p>
    <w:p>
      <w:pPr>
        <w:spacing w:after="0" w:line="187"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has similarly invalidated use of the EU U.S. Privacy Shield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168"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We are subject to the supervision of local data protection authorities in those EU jurisdictions where we are established or otherwise subject to the GDPR, and we maintain an office in Switzerland, which has its own set of stringent privacy and data protection laws and regulations. Fines for certain breaches of the GDPR are significant: up to the greater of €20 million or 4% of total global annual turnover. Further, the United Kingdom’s vote in favor of exiting the European Union, often referred to as Brexit, and ongoing developments in the United Kingdom have created uncertainty with regard to data protection regulation in the United Kingdom. Following the United Kingdom’s withdrawal from the European Union on January 31, 2020, pursuant to the transitional arrangements agreed to between the United Kingdom and European Union, the GDPR continued to have effect in United Kingdom law, and continued to do so until December 31, 2020 as if the United Kingdom remained a Member State of the European Union for such purposes. Following December 31, 2020, and the expiry of those transitional arrangements, the data protection obligations of the GDPR continue to apply to United Kingdom-related processing of personal data in substantially unvaried form under the so-called “UK GDPR” (i.e., the GDPR as it continues to form part of law in the United Kingdom by virtue of section 3 of the European Union (Withdrawal) Act 2018, as amended (including by the various Data Protection, Privacy and Electronic Communications (Amendments etc) (EU Exit) Regulations)). However, going forward, there will be increasing scope for divergence in application, interpretation and enforcement of the data protection law as between the United Kingdom and EEA. Furthermore, the relationship between the United Kingdom and the EEA in relation to certain aspects of data protection law remains somewhat uncertain. For example, it is unclear whether transfers of personal data from the EEA to the United Kingdom will be permitted to take place on the basis of a future adequacy decision of the European Commission, or whether a “transfer mechanism,” such as the Standard Contractual Clauses, will be required. For the meantime, under the post-Brexit Trade and Cooperation Agreement between the European Union and the United Kingdom, it has been agreed that transfers of personal data to the United Kingdom from European Union Member States will not be treated as “restricted transfers” to a non-EEA country for a period of up to four months from January 1, 2021, plus a potential further two months extension, or the extended adequacy assessment period. This will also apply to transfers to the United Kingdom from EEA Member States, assuming those Member States accede to the relevant provision of the Trade and Cooperation Agreement. Although the current maximum duration of the extended adequacy assessment period is six months it may end sooner, for example, in the event that the European Commission adopts an adequacy decision in respect of the United Kingdom, or the United Kingdom amends the UK GDPR and/or makes certain changes regarding data transfers under the UK GDPR/ Data Protection Act 2018 without the consent of the European Union (unless those amendments or decisions are made simply to keep relevant United Kingdom laws aligned with the European Union’s data protection regime). If the European Commission does not adopt an ‘adequacy decision’ in respect of the United Kingdom prior to the expiry of the extended adequacy assessment period, from that point onwards the United Kingdom will be an “inadequate third country” under the GDPR and transfers of data from the EEA to the United Kingdom will require a “transfer mechanism,” such as the Standard Contractual Clauses.</w:t>
      </w:r>
    </w:p>
    <w:p>
      <w:pPr>
        <w:spacing w:after="0" w:line="171"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Additionally, as noted above, the United Kingdom has transposed the GDPR into United Kingdom domestic law by way of the UK GDPR with effect from January 2021, which could expose us to two parallel regimes, each of which potentially authorizes similar fines and other potentially divergent enforcement actions for certain violations. Also, following the expiry of the post-Brexit transitional arrangements, the United Kingdom Information Commissioner’s Office is not able to be our “lead supervisory authority” in respect of any “cross border processing”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purposes of the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188"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For more information on the potential impact of the GDPR, and associated EEA data protection laws, on our business, see the section titled “Risk Factors—Failure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U.S. Foreign Corrupt Practices Act of 1977,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5"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To obtain regulatory approval of an investigational drug or biological product under the EU regulatory systems, we must submit a marketing authorization application either under the so-called centralized or national authorization procedures.</w:t>
      </w:r>
    </w:p>
    <w:p>
      <w:pPr>
        <w:spacing w:after="0" w:line="170"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i w:val="1"/>
          <w:iCs w:val="1"/>
          <w:color w:val="auto"/>
        </w:rPr>
        <w:t xml:space="preserve">Centralized procedure. </w:t>
      </w:r>
      <w:r>
        <w:rPr>
          <w:rFonts w:ascii="Arial" w:cs="Arial" w:eastAsia="Arial" w:hAnsi="Arial"/>
          <w:sz w:val="17"/>
          <w:szCs w:val="17"/>
          <w:color w:val="auto"/>
        </w:rPr>
        <w:t>The centralized procedure provides for the grant of a single marketing authorization, which is issued by the European</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based on the opinion of the Committee for Medicinal Products for Human Use, or the CHMP, of the EMA and that is valid in all EU Member States, as well as Iceland, Liechtenstein and Norway. The Centralized Procedure is mandatory for certain types of products, such as biotechnology medicinal products, orphan medicinal products, and medicines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an MAA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from the viewpoint of therapeutic innovation. Under the accelerated procedure the standard 210-day review period is reduced to 150 days.</w:t>
      </w:r>
    </w:p>
    <w:p>
      <w:pPr>
        <w:spacing w:after="0" w:line="117" w:lineRule="exact"/>
        <w:rPr>
          <w:sz w:val="20"/>
          <w:szCs w:val="20"/>
          <w:color w:val="auto"/>
        </w:rPr>
      </w:pPr>
    </w:p>
    <w:p>
      <w:pPr>
        <w:ind w:left="1160" w:right="400" w:hanging="572"/>
        <w:spacing w:after="0" w:line="308" w:lineRule="auto"/>
        <w:tabs>
          <w:tab w:leader="none" w:pos="1160" w:val="left"/>
        </w:tabs>
        <w:numPr>
          <w:ilvl w:val="0"/>
          <w:numId w:val="14"/>
        </w:numPr>
        <w:rPr>
          <w:rFonts w:ascii="MS PGothic" w:cs="MS PGothic" w:eastAsia="MS PGothic" w:hAnsi="MS PGothic"/>
          <w:sz w:val="17"/>
          <w:szCs w:val="17"/>
          <w:color w:val="auto"/>
        </w:rPr>
      </w:pPr>
      <w:r>
        <w:rPr>
          <w:rFonts w:ascii="Arial" w:cs="Arial" w:eastAsia="Arial" w:hAnsi="Arial"/>
          <w:sz w:val="17"/>
          <w:szCs w:val="17"/>
          <w:i w:val="1"/>
          <w:iCs w:val="1"/>
          <w:color w:val="auto"/>
        </w:rPr>
        <w:t>National authorization procedures</w:t>
      </w:r>
      <w:r>
        <w:rPr>
          <w:rFonts w:ascii="Arial" w:cs="Arial" w:eastAsia="Arial" w:hAnsi="Arial"/>
          <w:sz w:val="17"/>
          <w:szCs w:val="17"/>
          <w:color w:val="auto"/>
        </w:rPr>
        <w:t>. There are also two other possible routes to authorize medicinal products in several EU countries,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available for investigational medicinal products that fall outside the scope of the centralized procedure:</w:t>
      </w:r>
    </w:p>
    <w:p>
      <w:pPr>
        <w:spacing w:after="0" w:line="38" w:lineRule="exact"/>
        <w:rPr>
          <w:rFonts w:ascii="MS PGothic" w:cs="MS PGothic" w:eastAsia="MS PGothic" w:hAnsi="MS PGothic"/>
          <w:sz w:val="17"/>
          <w:szCs w:val="17"/>
          <w:color w:val="auto"/>
        </w:rPr>
      </w:pPr>
    </w:p>
    <w:p>
      <w:pPr>
        <w:ind w:left="1160" w:right="260" w:hanging="572"/>
        <w:spacing w:after="0" w:line="263" w:lineRule="auto"/>
        <w:tabs>
          <w:tab w:leader="none" w:pos="1160" w:val="left"/>
        </w:tabs>
        <w:numPr>
          <w:ilvl w:val="0"/>
          <w:numId w:val="14"/>
        </w:numPr>
        <w:rPr>
          <w:rFonts w:ascii="MS PGothic" w:cs="MS PGothic" w:eastAsia="MS PGothic" w:hAnsi="MS PGothic"/>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authorizations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 country of medicinal products that have not yet been authorized in any EU Member State and that do not fall within the mandatory scope of the centralized procedure.</w:t>
      </w:r>
    </w:p>
    <w:p>
      <w:pPr>
        <w:spacing w:after="0" w:line="75" w:lineRule="exact"/>
        <w:rPr>
          <w:rFonts w:ascii="MS PGothic" w:cs="MS PGothic" w:eastAsia="MS PGothic" w:hAnsi="MS PGothic"/>
          <w:sz w:val="18"/>
          <w:szCs w:val="18"/>
          <w:color w:val="auto"/>
        </w:rPr>
      </w:pPr>
    </w:p>
    <w:p>
      <w:pPr>
        <w:ind w:left="1160" w:hanging="572"/>
        <w:spacing w:after="0" w:line="311" w:lineRule="auto"/>
        <w:tabs>
          <w:tab w:leader="none" w:pos="1160" w:val="left"/>
        </w:tabs>
        <w:numPr>
          <w:ilvl w:val="0"/>
          <w:numId w:val="14"/>
        </w:numPr>
        <w:rPr>
          <w:rFonts w:ascii="MS PGothic" w:cs="MS PGothic" w:eastAsia="MS PGothic" w:hAnsi="MS PGothic"/>
          <w:sz w:val="16"/>
          <w:szCs w:val="16"/>
          <w:color w:val="auto"/>
        </w:rPr>
      </w:pPr>
      <w:r>
        <w:rPr>
          <w:rFonts w:ascii="Arial" w:cs="Arial" w:eastAsia="Arial" w:hAnsi="Arial"/>
          <w:sz w:val="16"/>
          <w:szCs w:val="16"/>
          <w:i w:val="1"/>
          <w:iCs w:val="1"/>
          <w:color w:val="auto"/>
        </w:rPr>
        <w:t>Mutual recognition procedure</w:t>
      </w:r>
      <w:r>
        <w:rPr>
          <w:rFonts w:ascii="Arial" w:cs="Arial" w:eastAsia="Arial" w:hAnsi="Arial"/>
          <w:sz w:val="16"/>
          <w:szCs w:val="16"/>
          <w:color w:val="auto"/>
        </w:rPr>
        <w:t>. In the mutual recognition procedure, a medicine is first authorized in one EU Member State,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49"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In the EEA,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qualify for data exclusivity.</w:t>
      </w:r>
    </w:p>
    <w:p>
      <w:pPr>
        <w:spacing w:after="0" w:line="17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The EMA grants orphan drug designation to promote the development of products that may offer therapeutic benefits for life-threatening or chronically debilitating conditions affecting not more than five in 10,000 people in the EU. In addition, orphan drug designation can be granted if the drug is intended for a life threatening, seriously debilitating or serious and chronic condition in the EU and without incentives it is unlikely that sales of the drug in the EU would be sufficient to justify developing the drug. Orphan drug designation is only available if there is no other satisfactory method approved in the EU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181"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149"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December 31, 2020, we had 17 employees, including 11 in research and development and six in general and administrative functions. We believe our employee relations are good.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 In response to the COVID-19 pandemic, we implemented significant changes that we determined were in the best interest of our employees, as well as the communities in which we operate, and which comply with government regulations. This includes allowing our employees to work from home.</w:t>
      </w:r>
    </w:p>
    <w:p>
      <w:pPr>
        <w:spacing w:after="0" w:line="192"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provide compensation and benefits programs to help meet the needs of our employees. In addition to salaries, these programs include potential annual discretionary bonuses, stock awards, a 401(k) Plan, healthcare and insurance benefits, paid time off, family leave, and flexible work schedules, among others.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40" w:firstLine="589"/>
        <w:spacing w:after="0" w:line="291" w:lineRule="auto"/>
        <w:rPr>
          <w:sz w:val="20"/>
          <w:szCs w:val="20"/>
          <w:color w:val="auto"/>
        </w:rPr>
      </w:pPr>
      <w:r>
        <w:rPr>
          <w:rFonts w:ascii="Arial" w:cs="Arial" w:eastAsia="Arial" w:hAnsi="Arial"/>
          <w:sz w:val="16"/>
          <w:szCs w:val="16"/>
          <w:color w:val="auto"/>
        </w:rPr>
        <w:t>We were initially formed as a limited liability company in Delaware in November 2014 under the name Spruce Biosciences LLC. In April 2016, Spruce Biosciences LLC converted into a Delaware corporation under the name Spruce Biosciences, Inc. Our principal executive offices are located at</w:t>
      </w:r>
    </w:p>
    <w:p>
      <w:pPr>
        <w:spacing w:after="0" w:line="255" w:lineRule="auto"/>
        <w:rPr>
          <w:sz w:val="20"/>
          <w:szCs w:val="20"/>
          <w:color w:val="auto"/>
        </w:rPr>
      </w:pPr>
      <w:r>
        <w:rPr>
          <w:rFonts w:ascii="Arial" w:cs="Arial" w:eastAsia="Arial" w:hAnsi="Arial"/>
          <w:sz w:val="18"/>
          <w:szCs w:val="18"/>
          <w:color w:val="auto"/>
        </w:rPr>
        <w:t>2001 Junipero Serra Boulevard, Suite 640, Daly City, CA 94014. Our telephone number at that location is (415) 655-4168. Our corporate website address is www.sprucebiosciences.com. Information contained on, or that may be accessed through, our website is not incorporated by reference into this Annual Report and should not be considered a part of this Annual Report.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firstLine="589"/>
        <w:spacing w:after="0" w:line="286" w:lineRule="auto"/>
        <w:rPr>
          <w:sz w:val="20"/>
          <w:szCs w:val="20"/>
          <w:color w:val="auto"/>
        </w:rPr>
      </w:pPr>
      <w:r>
        <w:rPr>
          <w:rFonts w:ascii="Arial" w:cs="Arial" w:eastAsia="Arial" w:hAnsi="Arial"/>
          <w:sz w:val="17"/>
          <w:szCs w:val="17"/>
          <w:color w:val="auto"/>
        </w:rPr>
        <w:t>We make available, free of charge through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6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i w:val="1"/>
          <w:iCs w:val="1"/>
          <w:color w:val="auto"/>
        </w:rPr>
        <w:t>An investment in shares of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Annual Report and those we may make from time to time. You should consider all of the risk factors described when evaluating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17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year ended December 31, 2020, we reported a net loss of $29.5 million. As of December 31, 2020, we had an accumulated deficit of $60.8 million.</w:t>
      </w:r>
    </w:p>
    <w:p>
      <w:pPr>
        <w:spacing w:after="0" w:line="19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30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of December 31, 2020, we had cash and cash equivalents of $157.2 million. In October 2020, we consummated our initial public offering, or IPO, and issued 6,900,000 shares of common stock for net proceeds of $93.4 million, after deducting underwriting discounts and commissions and offering expenses. We believe, based on our current operating plan, that our cash and cash equivalents will be sufficient to fund our operations for at least the next 12 months.</w:t>
      </w:r>
    </w:p>
    <w:p>
      <w:pPr>
        <w:spacing w:after="0" w:line="18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as a result of the COVID-19 pandemic, we have amended our clinical trial protocols to enable remote visits to mitigate any potential impacts. As a result of this home health component, the overall costs of our Phase 2b clinical trials have increased and may continue to increase in the future.</w:t>
      </w:r>
    </w:p>
    <w:p>
      <w:pPr>
        <w:spacing w:after="0" w:line="18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170"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Additional funding may not be available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18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2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w:t>
      </w:r>
    </w:p>
    <w:p>
      <w:pPr>
        <w:spacing w:after="0" w:line="195"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Assuming positive results in CAHmelia-204, we plan to meet with the FDA and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In addition, we have received feedback from the FDA and European Medicines Agency, or EMA, on our planned Phase 2 clinical trial of tildacerfont in children with classic CAH in order to initiate the clinical development program for tildacerfont in the pediatric classic CAH population in the second half of 2021. The COVID-19 pandemic continues to evolve and any impacts on these projected milestones for both the adult and pediatric classic CAH programs are highly uncertain and cannot be predicted with confidence.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in our ongoing and planned clinical trials and completion of such clinical trials with favorable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the FDA and EMA of data from our ongoing Phase 2b clinical trials in adult patients with classic CAH;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62" w:lineRule="exact"/>
        <w:rPr>
          <w:rFonts w:ascii="Arial" w:cs="Arial" w:eastAsia="Arial" w:hAnsi="Arial"/>
          <w:sz w:val="18"/>
          <w:szCs w:val="18"/>
          <w:color w:val="auto"/>
        </w:rPr>
      </w:pPr>
    </w:p>
    <w:p>
      <w:pPr>
        <w:ind w:left="1160" w:right="70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17" w:lineRule="exact"/>
        <w:rPr>
          <w:rFonts w:ascii="Arial" w:cs="Arial" w:eastAsia="Arial" w:hAnsi="Arial"/>
          <w:sz w:val="18"/>
          <w:szCs w:val="18"/>
          <w:color w:val="auto"/>
        </w:rPr>
      </w:pPr>
    </w:p>
    <w:p>
      <w:pPr>
        <w:ind w:left="1160" w:right="44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170"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170"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2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However,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94"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spacing w:after="0" w:line="192"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and approximately 50,000 people in the European Union, or EU. We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spacing w:after="0" w:line="165" w:lineRule="exact"/>
        <w:rPr>
          <w:sz w:val="20"/>
          <w:szCs w:val="20"/>
          <w:color w:val="auto"/>
        </w:rPr>
      </w:pPr>
    </w:p>
    <w:p>
      <w:pPr>
        <w:ind w:right="60" w:firstLine="589"/>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left="5540" w:right="1420" w:hanging="5532"/>
        <w:spacing w:after="0" w:line="511" w:lineRule="auto"/>
        <w:tabs>
          <w:tab w:leader="none" w:pos="2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70"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18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166"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1160" w:right="540" w:hanging="572"/>
        <w:spacing w:after="0" w:line="342"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15" w:lineRule="exact"/>
        <w:rPr>
          <w:rFonts w:ascii="Arial" w:cs="Arial" w:eastAsia="Arial" w:hAnsi="Arial"/>
          <w:sz w:val="16"/>
          <w:szCs w:val="16"/>
          <w:color w:val="auto"/>
        </w:rPr>
      </w:pPr>
    </w:p>
    <w:p>
      <w:pPr>
        <w:ind w:left="1160" w:right="6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 or Ethics Committees, or ECs;</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sites deviating from clinical trial protocol or dropping out of a clinical trial;</w:t>
      </w:r>
    </w:p>
    <w:p>
      <w:pPr>
        <w:spacing w:after="0" w:line="117" w:lineRule="exact"/>
        <w:rPr>
          <w:rFonts w:ascii="Arial" w:cs="Arial" w:eastAsia="Arial" w:hAnsi="Arial"/>
          <w:sz w:val="18"/>
          <w:szCs w:val="18"/>
          <w:color w:val="auto"/>
        </w:rPr>
      </w:pPr>
    </w:p>
    <w:p>
      <w:pPr>
        <w:ind w:left="1160" w:right="50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17" w:lineRule="exact"/>
        <w:rPr>
          <w:rFonts w:ascii="Arial" w:cs="Arial" w:eastAsia="Arial" w:hAnsi="Arial"/>
          <w:sz w:val="18"/>
          <w:szCs w:val="18"/>
          <w:color w:val="auto"/>
        </w:rPr>
      </w:pPr>
    </w:p>
    <w:p>
      <w:pPr>
        <w:ind w:left="1160" w:right="140" w:hanging="572"/>
        <w:spacing w:after="0" w:line="286"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17" w:lineRule="exact"/>
        <w:rPr>
          <w:rFonts w:ascii="Arial" w:cs="Arial" w:eastAsia="Arial" w:hAnsi="Arial"/>
          <w:sz w:val="18"/>
          <w:szCs w:val="18"/>
          <w:color w:val="auto"/>
        </w:rPr>
      </w:pPr>
    </w:p>
    <w:p>
      <w:pPr>
        <w:ind w:left="1160" w:right="100" w:hanging="572"/>
        <w:spacing w:after="0" w:line="342"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17"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22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184"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2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194"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1160" w:right="2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right="30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1160" w:right="6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160" w:right="20" w:hanging="572"/>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1160" w:right="78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160" w:right="66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18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18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2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continues to spread, we may experience ongoing disruptions that could severely impact our business and clinical trials, including:</w:t>
      </w:r>
    </w:p>
    <w:p>
      <w:pPr>
        <w:spacing w:after="0" w:line="76" w:lineRule="exact"/>
        <w:rPr>
          <w:sz w:val="20"/>
          <w:szCs w:val="20"/>
          <w:color w:val="auto"/>
        </w:rPr>
      </w:pPr>
    </w:p>
    <w:p>
      <w:pPr>
        <w:ind w:left="5540" w:right="5500" w:hanging="4952"/>
        <w:spacing w:after="0" w:line="431" w:lineRule="auto"/>
        <w:tabs>
          <w:tab w:leader="none" w:pos="11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or difficulties in enrolling patients in our clinical trials;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160" w:right="24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interruptions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160" w:right="4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225"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70"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180" w:firstLine="8"/>
        <w:spacing w:after="0" w:line="255"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interrupts healthcare services.</w:t>
      </w:r>
    </w:p>
    <w:p>
      <w:pPr>
        <w:spacing w:after="0" w:line="190"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delayed or otherwise adversely affected. Similarly, our ability to recruit and retain principal investigators and site staff who, as healthcare providers, may have heightened exposure to COVID-19, may be adversely impacted.</w:t>
      </w:r>
    </w:p>
    <w:p>
      <w:pPr>
        <w:spacing w:after="0" w:line="184"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195"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19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188" w:lineRule="exact"/>
        <w:rPr>
          <w:sz w:val="20"/>
          <w:szCs w:val="20"/>
          <w:color w:val="auto"/>
        </w:rPr>
      </w:pPr>
    </w:p>
    <w:p>
      <w:pPr>
        <w:jc w:val="both"/>
        <w:ind w:right="60" w:firstLine="589"/>
        <w:spacing w:after="0" w:line="286" w:lineRule="auto"/>
        <w:rPr>
          <w:sz w:val="20"/>
          <w:szCs w:val="20"/>
          <w:color w:val="auto"/>
        </w:rPr>
      </w:pPr>
      <w:r>
        <w:rPr>
          <w:rFonts w:ascii="Arial" w:cs="Arial" w:eastAsia="Arial" w:hAnsi="Arial"/>
          <w:sz w:val="17"/>
          <w:szCs w:val="17"/>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165"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165"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2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2"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disease biology supports a need to reduce excess secretion of or hyperresponsiveness to ACTH, including, but not limited to, a severe form of non-classic CAH in adults and a subpopulation of females with a rare form of PCOS with primary adrenal androgen excess, representing 3-5% of females with PCOS (estimated to be 150,000 to 200,000 patients in the United States).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29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1"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187"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We plan to conduct several clinical trials for tildacerfont in parallel over the next several years, including multiple clinical trials in adult and pediatric patients with classic CAH and in a subpopulation of females with a rare form of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commercial products or profitable market opportunities. Our spending on current and future research and development programs for specific indications may not yield any commercially viable products.</w:t>
      </w:r>
    </w:p>
    <w:p>
      <w:pPr>
        <w:spacing w:after="0" w:line="170"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8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tildacerfont is also subject to approval.</w:t>
      </w:r>
    </w:p>
    <w:p>
      <w:pPr>
        <w:spacing w:after="0" w:line="16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We expect to submit a Marketing Authorization Application, or MAA, to the EMA for approval of tildacerfont in the EU for the treatment of classic CAH. As with the FDA, obtaining approval of an MAA from the EMA is a similarly lengthy and expensive process and the EMA has its own procedures for approval for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28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6"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18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171 patients across seven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4" w:lineRule="exact"/>
        <w:rPr>
          <w:sz w:val="20"/>
          <w:szCs w:val="20"/>
          <w:color w:val="auto"/>
        </w:rPr>
      </w:pPr>
    </w:p>
    <w:p>
      <w:pPr>
        <w:ind w:right="140" w:firstLine="589"/>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146"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17" w:lineRule="exact"/>
        <w:rPr>
          <w:rFonts w:ascii="Arial" w:cs="Arial" w:eastAsia="Arial" w:hAnsi="Arial"/>
          <w:sz w:val="18"/>
          <w:szCs w:val="18"/>
          <w:color w:val="auto"/>
        </w:rPr>
      </w:pPr>
    </w:p>
    <w:p>
      <w:pPr>
        <w:ind w:left="1160" w:right="340" w:hanging="572"/>
        <w:spacing w:after="0" w:line="342"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17"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25"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192"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56" w:lineRule="exact"/>
        <w:rPr>
          <w:sz w:val="20"/>
          <w:szCs w:val="20"/>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146"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296"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government agencies, which would adversely affect our business. For example, over the last several years, including for 35 days beginning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22, 2018, the U.S. government has shut down several times and certain regulatory agencies, such as the FDA, have had to furlough critical FDA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stop critical activities. If a prolonged government shutdown occurs, it could significantly impact the ability of the FDA to timely review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our regulatory submissions, which could have a material adverse effect on our business.</w:t>
      </w:r>
    </w:p>
    <w:p>
      <w:pPr>
        <w:spacing w:after="0" w:line="21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and products and routine surveillance inspections of domestic manufacturing facilities. In July 2020, the FDA restarted routine pre-announced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17" w:lineRule="exact"/>
        <w:rPr>
          <w:rFonts w:ascii="Arial" w:cs="Arial" w:eastAsia="Arial" w:hAnsi="Arial"/>
          <w:sz w:val="18"/>
          <w:szCs w:val="18"/>
          <w:color w:val="auto"/>
        </w:rPr>
      </w:pPr>
    </w:p>
    <w:p>
      <w:pPr>
        <w:ind w:left="1160" w:right="70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128" w:lineRule="exact"/>
        <w:rPr>
          <w:rFonts w:ascii="Arial" w:cs="Arial" w:eastAsia="Arial" w:hAnsi="Arial"/>
          <w:sz w:val="17"/>
          <w:szCs w:val="17"/>
          <w:color w:val="auto"/>
        </w:rPr>
      </w:pPr>
    </w:p>
    <w:p>
      <w:pPr>
        <w:ind w:left="1160" w:right="38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17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7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2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60" w:firstLine="589"/>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192"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188"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w:t>
      </w:r>
    </w:p>
    <w:p>
      <w:pPr>
        <w:spacing w:after="0" w:line="19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30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number of initiatives at the U.S. federal and state levels that seek to reduce healthcare costs and improve the quality of healthcare.</w:t>
      </w:r>
    </w:p>
    <w:p>
      <w:pPr>
        <w:spacing w:after="0" w:line="22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178"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There have been extensive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ruled that that the individual mandate was unconstitutional and remanded the case back to the District Court to determine whether the remaining provisions of the Affordable Care Act are invalid as well. The United States Supreme Court is currently reviewing this case, although it is unknown when a decision will be made. Although the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and our business.</w:t>
      </w:r>
    </w:p>
    <w:p>
      <w:pPr>
        <w:spacing w:after="0" w:line="17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2021 due to the COVID-19 pandemic,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5"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that attempted to implement several of the Trump administration’s proposals. As a result, the FDA released a final rule on September 24, 2020, effective November 30, 2020, implementing a portion of the importation executive order.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the Centers for Medicare &amp; Medicaid Services, or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w:t>
      </w:r>
    </w:p>
    <w:p>
      <w:pPr>
        <w:spacing w:after="0" w:line="179" w:lineRule="exact"/>
        <w:rPr>
          <w:sz w:val="20"/>
          <w:szCs w:val="20"/>
          <w:color w:val="auto"/>
        </w:rPr>
      </w:pPr>
    </w:p>
    <w:p>
      <w:pPr>
        <w:jc w:val="both"/>
        <w:ind w:right="160" w:firstLine="589"/>
        <w:spacing w:after="0" w:line="287" w:lineRule="auto"/>
        <w:rPr>
          <w:sz w:val="20"/>
          <w:szCs w:val="20"/>
          <w:color w:val="auto"/>
        </w:rPr>
      </w:pPr>
      <w:r>
        <w:rPr>
          <w:rFonts w:ascii="Arial" w:cs="Arial" w:eastAsia="Arial" w:hAnsi="Arial"/>
          <w:sz w:val="16"/>
          <w:szCs w:val="16"/>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191" w:lineRule="exact"/>
        <w:rPr>
          <w:sz w:val="20"/>
          <w:szCs w:val="20"/>
          <w:color w:val="auto"/>
        </w:rPr>
      </w:pPr>
    </w:p>
    <w:p>
      <w:pPr>
        <w:ind w:right="240" w:firstLine="589"/>
        <w:spacing w:after="0" w:line="273" w:lineRule="auto"/>
        <w:rPr>
          <w:sz w:val="20"/>
          <w:szCs w:val="20"/>
          <w:color w:val="auto"/>
        </w:rPr>
      </w:pPr>
      <w:r>
        <w:rPr>
          <w:rFonts w:ascii="Arial" w:cs="Arial" w:eastAsia="Arial" w:hAnsi="Arial"/>
          <w:sz w:val="17"/>
          <w:szCs w:val="17"/>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2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FCPA, or comparable foreign regulations;</w:t>
      </w:r>
    </w:p>
    <w:p>
      <w:pPr>
        <w:spacing w:after="0" w:line="117"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One of our strategies is to pursue clinical development of tildacerfont in additional endocrine disorders, including, but not limited to, pediatric classic CAH and a subpopulation of females with a rare form of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marketplace, or more effective than other commercially available alternatives. If we are unable to successfully develop and commercialize tildacerfont for these additional indications, our commercial opportunity may be limited.</w:t>
      </w:r>
    </w:p>
    <w:p>
      <w:pPr>
        <w:spacing w:after="0" w:line="2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17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Although classic CAH is part of the newborn screening program in most developed countries, there are no known novel therapies that have been approved in approximately 50 years. We are aware of three other companies actively developing treatments for patients with classic CAH. Neurocrine Biosciences, Inc., or Neurocrine, is developing a CRF1 receptor antagonist and has completed a two-week Phase 2 clinical trial in adults with classic CAH. Neurocrine has initiated a Phase 2 clinical trial in a pediatric classic CAH population and a registrational trial for adult patients with classic CAH. Neurocrine has initiated a registrational program in pediatric classic CAH in 2021. BridgeBio Pharma, Inc. plans to evaluate an AAV5 gene therapy product candidate to treat classic CAH in a Phase 1/2 proof of concept study in 2021. In addition, Crinetics Pharmaceuticals, Inc. has initiated a Phase 1 study in 2021 to evaluate the ability of an oral ACTH antagonist to suppress ACTH-stimulated secretion in healthy volunteers.</w:t>
      </w:r>
    </w:p>
    <w:p>
      <w:pPr>
        <w:spacing w:after="0" w:line="17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recently announced a failed Phase 3 clinical trial and placed its U.S. development activities on hold. Diurnal submitted a MAA to the EMA in December of 2019.</w:t>
      </w:r>
    </w:p>
    <w:p>
      <w:pPr>
        <w:spacing w:after="0" w:line="16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2"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United States, but for which there is no reasonable expectation that the cost of developing the drug will be recovered from sales in the United States. In the EU, the EMA Committee for Orphan Medicinal Products grants orphan drug designation to promote the development of products that are intended for the diagnosis, prevention or treatment of a life-threatening or chronically debilitating condition affecting not more than five in 10,000 people in the EU.</w:t>
      </w:r>
    </w:p>
    <w:p>
      <w:pPr>
        <w:spacing w:after="0" w:line="149" w:lineRule="exact"/>
        <w:rPr>
          <w:sz w:val="20"/>
          <w:szCs w:val="20"/>
          <w:color w:val="auto"/>
        </w:rPr>
      </w:pPr>
    </w:p>
    <w:p>
      <w:pPr>
        <w:ind w:firstLine="589"/>
        <w:spacing w:after="0" w:line="267" w:lineRule="auto"/>
        <w:rPr>
          <w:sz w:val="20"/>
          <w:szCs w:val="20"/>
          <w:color w:val="auto"/>
        </w:rPr>
      </w:pPr>
      <w:r>
        <w:rPr>
          <w:rFonts w:ascii="Arial" w:cs="Arial" w:eastAsia="Arial" w:hAnsi="Arial"/>
          <w:sz w:val="17"/>
          <w:szCs w:val="17"/>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 different drug for the same condition or the same drug for a different condition, which may subject the orphan-exclusive product to off-label competition. As well, before the expiration of the orphan exclusivity period, the FDA or EMA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19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1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27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b w:val="1"/>
          <w:bCs w:val="1"/>
          <w:i w:val="1"/>
          <w:iCs w:val="1"/>
          <w:color w:val="auto"/>
        </w:rPr>
        <w:t>We are currently pursuing orphan drug designation for tildacerfont for the treatment of a subpopulation of females with a rare form of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49"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a rare form of PCOS are incorrect, we may be unable to receive orphan drug designation.</w:t>
      </w:r>
    </w:p>
    <w:p>
      <w:pPr>
        <w:spacing w:after="0" w:line="164" w:lineRule="exact"/>
        <w:rPr>
          <w:sz w:val="20"/>
          <w:szCs w:val="20"/>
          <w:color w:val="auto"/>
        </w:rPr>
      </w:pPr>
    </w:p>
    <w:p>
      <w:pPr>
        <w:ind w:right="300" w:firstLine="589"/>
        <w:spacing w:after="0" w:line="311" w:lineRule="auto"/>
        <w:rPr>
          <w:sz w:val="20"/>
          <w:szCs w:val="20"/>
          <w:color w:val="auto"/>
        </w:rPr>
      </w:pPr>
      <w:r>
        <w:rPr>
          <w:rFonts w:ascii="Arial" w:cs="Arial" w:eastAsia="Arial" w:hAnsi="Arial"/>
          <w:sz w:val="16"/>
          <w:szCs w:val="16"/>
          <w:color w:val="auto"/>
        </w:rPr>
        <w:t>Even if the FDA grants orphan drug designation for tildacerfont for the treatment of a subpopulation of females with a rare form of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2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2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2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18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178"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jc w:val="both"/>
        <w:ind w:right="460" w:firstLine="589"/>
        <w:spacing w:after="0" w:line="311" w:lineRule="auto"/>
        <w:rPr>
          <w:sz w:val="20"/>
          <w:szCs w:val="20"/>
          <w:color w:val="auto"/>
        </w:rPr>
      </w:pPr>
      <w:r>
        <w:rPr>
          <w:rFonts w:ascii="Arial" w:cs="Arial" w:eastAsia="Arial" w:hAnsi="Arial"/>
          <w:sz w:val="16"/>
          <w:szCs w:val="16"/>
          <w:color w:val="auto"/>
        </w:rPr>
        <w:t>As of December 31, 2020, we had 17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41" w:lineRule="exact"/>
        <w:rPr>
          <w:sz w:val="20"/>
          <w:szCs w:val="20"/>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addition, we initiated enrollment in CAHmelia-203, our ongoing placebo-controlled, double-blind Phase 2b clinical trial in adult patients with classic CAH with poor disease control, and in CAHmelia-204, our second Phase 2b clinical trial in adult patients with classic CAH with good disease control focused on glucocorticoid reduction.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tasks necessary to further develop and commercialize tildacerfont and any future product candidates and, accordingly, may not achieve our research, development and commercialization goals.</w:t>
      </w:r>
    </w:p>
    <w:p>
      <w:pPr>
        <w:spacing w:after="0" w:line="2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September 2019, we entered into a Loan and Security Agreement, or the Loan Agreement, with Silicon Valley Bank, providing for a term loan, or the Term Loan. In April 2020, we entered into a deferral agreement with Silicon Valley Bank, or the Deferral Agreement, whereby we and Silicon Valley Bank agreed to extend the repayment dates of all monthly payments of principal due and the maturity date with respect to the Term Loan by six months. In March 2021, we entered into a First Amendment to Loan and Security Agreement, or the First Amendment, with Silicon Valley Bank. The First Amendment increased the aggregate principal amount of the Term Loan commitment by Silicon Valley Bank to up to $30.0 million. As of December 31, 2020, we had $4.5 million outstanding under the Loan Agreement. Following the First Amendment, the principal amount due under the Loan Agreement was $5.0 million as of the date of this Annual Report.</w:t>
      </w:r>
    </w:p>
    <w:p>
      <w:pPr>
        <w:spacing w:after="0" w:line="195"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164"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66"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82"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Operations—Liquidity and Capital Resources—Loan Agreement” and Note 6 to our financial statements, each included elsewhere in this Annual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2"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28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physicians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4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Our relationships with customers, physicians,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62" w:lineRule="exact"/>
        <w:rPr>
          <w:sz w:val="20"/>
          <w:szCs w:val="20"/>
          <w:color w:val="auto"/>
        </w:rPr>
      </w:pPr>
    </w:p>
    <w:p>
      <w:pPr>
        <w:ind w:left="1160" w:hanging="572"/>
        <w:spacing w:after="0" w:line="270"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72" w:lineRule="exact"/>
        <w:rPr>
          <w:rFonts w:ascii="Arial" w:cs="Arial" w:eastAsia="Arial" w:hAnsi="Arial"/>
          <w:sz w:val="17"/>
          <w:szCs w:val="17"/>
          <w:color w:val="auto"/>
        </w:rPr>
      </w:pPr>
    </w:p>
    <w:p>
      <w:pPr>
        <w:ind w:left="1160" w:right="60" w:hanging="572"/>
        <w:spacing w:after="0" w:line="293"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56" w:lineRule="exact"/>
        <w:rPr>
          <w:rFonts w:ascii="Arial" w:cs="Arial" w:eastAsia="Arial" w:hAnsi="Arial"/>
          <w:sz w:val="16"/>
          <w:szCs w:val="16"/>
          <w:color w:val="auto"/>
        </w:rPr>
      </w:pPr>
    </w:p>
    <w:p>
      <w:pPr>
        <w:ind w:left="1160" w:right="40" w:hanging="572"/>
        <w:spacing w:after="0" w:line="291"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1160" w:right="340" w:hanging="572"/>
        <w:spacing w:after="0" w:line="259"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8" w:lineRule="exact"/>
        <w:rPr>
          <w:rFonts w:ascii="Arial" w:cs="Arial" w:eastAsia="Arial" w:hAnsi="Arial"/>
          <w:sz w:val="18"/>
          <w:szCs w:val="18"/>
          <w:color w:val="auto"/>
        </w:rPr>
      </w:pPr>
    </w:p>
    <w:p>
      <w:pPr>
        <w:ind w:left="1160" w:right="80" w:hanging="572"/>
        <w:spacing w:after="0" w:line="254"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reporting obligations will include payments and other transfers of value provided during the previous year to physician assistants, nurse practitioners, clinical nurse specialists, anesthesiologist assistants, certified nurse anesthetists, and certified nurse-midwives.</w:t>
      </w:r>
    </w:p>
    <w:p>
      <w:pPr>
        <w:spacing w:after="0" w:line="195" w:lineRule="exact"/>
        <w:rPr>
          <w:sz w:val="20"/>
          <w:szCs w:val="20"/>
          <w:color w:val="auto"/>
        </w:rPr>
      </w:pPr>
    </w:p>
    <w:p>
      <w:pPr>
        <w:ind w:right="420" w:firstLine="589"/>
        <w:spacing w:after="0" w:line="279"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those of our third-party collaborators, consultants, contractors, suppliers, and service providers, may be vulnerable to damage from physical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electronic break-ins, computer viruses, malware, ransomware, natural disasters, terrorism, war, telecommunication and electrical failure, denial of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cyberattacks or disruptive incidents that could result in unauthorized access to, use or disclosure of, corruption of, or loss of sensitive, and/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proprietary data, including personal information, including health-related information, and could subject us to significant liabilities and regulatory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enforcement actions, and reputational damage. For example, the loss of clinical trial data from completed or ongoing clinical trials could result in delays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regulatory approval or clearance efforts and significantly increase our costs to recover or reproduce the data, and subsequently commercialize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Additionally, theft of our intellectual property or proprietary business information could require substantial expenditures to remedy. If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third-party collaborators, consultants, contractors, suppliers, or service providers were to suffer an attack or breach, for example, that resulted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unauthorized access to or use or disclosure of personal or health information, we may have to notify consumers, partners, collaborators,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authorities, and the media, and may be subject to investigations, civil penalties, administrative and enforcement actions, and litigation, any of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harm our business and reputation. Likewise, we rely on our third-party research institution collaborators and other third parties to conduct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similar events relating to their computer systems could also have a material adverse effect on our business. The COVID-19 pandemic has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the risk of cybersecurity intrusions. For example, there has been an increase in phishing and spam emails as well as social engineering attempts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“hackers” hoping to use the recent COVID-19 pandemic to their advantage. To the extent that any disruption or security breach were to result in a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or damage to, our data or systems, or inappropriate or unauthorized access to or disclosure or use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confidential, proprietary, or other sensitive, personal, or health information, we could incur liability and suffer reputational harm, and the development and commercialization of tildacerfont could be delayed.</w:t>
      </w:r>
    </w:p>
    <w:p>
      <w:pPr>
        <w:spacing w:after="0" w:line="27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38"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and our partners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78"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8"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ind w:right="80" w:firstLine="589"/>
        <w:spacing w:after="0" w:line="289" w:lineRule="auto"/>
        <w:rPr>
          <w:sz w:val="20"/>
          <w:szCs w:val="20"/>
          <w:color w:val="auto"/>
        </w:rPr>
      </w:pPr>
      <w:r>
        <w:rPr>
          <w:rFonts w:ascii="Arial" w:cs="Arial" w:eastAsia="Arial" w:hAnsi="Arial"/>
          <w:sz w:val="16"/>
          <w:szCs w:val="16"/>
          <w:color w:val="auto"/>
        </w:rPr>
        <w:t>Foreign data protection laws, including the GDPR, which became effective in May 2018, may also apply to health-related and other personal data obtained outside of the United States. The GDPR is directly applicable in each EU and EEA Member State, and, by operation of the so-called UK GDPR, continues to apply in substantially equivalent form in the context of the United Kingdom-related establishments and processing operations. The GDPR provides that EEA member states may make their own further laws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166" w:lineRule="exact"/>
        <w:rPr>
          <w:sz w:val="20"/>
          <w:szCs w:val="20"/>
          <w:color w:val="auto"/>
        </w:rPr>
      </w:pPr>
    </w:p>
    <w:p>
      <w:pPr>
        <w:ind w:right="400" w:firstLine="589"/>
        <w:spacing w:after="0" w:line="275" w:lineRule="auto"/>
        <w:rPr>
          <w:sz w:val="20"/>
          <w:szCs w:val="20"/>
          <w:color w:val="auto"/>
        </w:rPr>
      </w:pPr>
      <w:r>
        <w:rPr>
          <w:rFonts w:ascii="Arial" w:cs="Arial" w:eastAsia="Arial" w:hAnsi="Arial"/>
          <w:sz w:val="17"/>
          <w:szCs w:val="17"/>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process of personal data on our behalf.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 Recent legal developments in the EU have created complexity and uncertainty regarding transfers of personal data from the EEA to the United States, e.g. on July 16, 2020 in a case known colloquially as “Schrems II,” the Court of Justice of the European Union, or CJEU, invalidated the EU-US Privacy Shield Framework, or Privacy Shield, under which personal data could be transferred from the EEA to U.S. entities who had self-certified under the Privacy Shield scheme. Following this decision, the United Kingdom government has similarly invalidated use of the EU U.S. Privacy Shield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00" w:lineRule="exact"/>
        <w:rPr>
          <w:sz w:val="20"/>
          <w:szCs w:val="20"/>
          <w:color w:val="auto"/>
        </w:rPr>
      </w:pPr>
    </w:p>
    <w:p>
      <w:pPr>
        <w:spacing w:after="0" w:line="201"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GDPR applies to any company established in the EEA as well as to those outside the EEA if they process personal data in relation to the offering of goods or services to individuals in the EEA and/or the monitoring of their behavior. The UK GDPR has an equivalent territorial scope in the context of the United Kingdom-related establishments and processing operations. Accordingly, we may be subject to the GDPR and/or UK GDPR in relation to our data processing activities that are carried out in relation to individuals in the EEA and/or United Kingdom. 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UK GDPR, each regime having the ability to fine up to the greater of €20 million/ £17 million or 4% of global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181"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6"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71" w:lineRule="exact"/>
        <w:rPr>
          <w:sz w:val="20"/>
          <w:szCs w:val="20"/>
          <w:color w:val="auto"/>
        </w:rPr>
      </w:pPr>
    </w:p>
    <w:p>
      <w:pPr>
        <w:ind w:right="120" w:firstLine="589"/>
        <w:spacing w:after="0" w:line="253" w:lineRule="auto"/>
        <w:rPr>
          <w:sz w:val="20"/>
          <w:szCs w:val="20"/>
          <w:color w:val="auto"/>
        </w:rPr>
      </w:pPr>
      <w:r>
        <w:rPr>
          <w:rFonts w:ascii="Arial" w:cs="Arial" w:eastAsia="Arial" w:hAnsi="Arial"/>
          <w:sz w:val="18"/>
          <w:szCs w:val="18"/>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or the EU. For example, Great Britain is no longer be covered by the centralized procedures for obtaining EU-wide marketing authorization from the EMA and, unless a specific agreement is entered into, a separate process for authorization of drug products, including tildacerfont and any future product candidates, will be required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tildacerfont in the UK or the EU and restrict our ability to generate revenue and achieve and sustain profitability.</w:t>
      </w:r>
    </w:p>
    <w:p>
      <w:pPr>
        <w:spacing w:after="0" w:line="196" w:lineRule="exact"/>
        <w:rPr>
          <w:sz w:val="20"/>
          <w:szCs w:val="20"/>
          <w:color w:val="auto"/>
        </w:rPr>
      </w:pPr>
    </w:p>
    <w:p>
      <w:pPr>
        <w:ind w:right="200" w:firstLine="589"/>
        <w:spacing w:after="0" w:line="293"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If any of these outcomes occur, we may be forced to restrict or delay efforts to seek regulatory approval in the UK or the EU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2020, after reducing net operating losses, or NOLs, and tax credits for amounts not expected to be utilized, we had federal NOL carryforwards of approximately $58.6 million and state NOL carryforwards of approximately $58.4 million. The federal NOL carryforwards arising in taxable years beginning prior to 2018 will begin to expire in 2036 and state NOL carryforwards will begin to expire in 2036, unless previously utilized. We also have federal and state tax credit carryforwards totaling $3.0 million and $0.6 million, respectively. The federal tax credit carryforwards will begin to expire in 2036, unless previously utilized. The state tax credits will not expire.</w:t>
      </w:r>
    </w:p>
    <w:p>
      <w:pPr>
        <w:spacing w:after="0" w:line="19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Under the Tax Act, as modified by the Coronavirus Aid, Relief, and Economic Security Act, or CARES Act, federal NOL carryforwards generated in tax years beginning after December 31, 2017 may be carried forward indefinitely but, in the case of tax years beginning after 2020, may only be used to offset 80% of our taxable income annually. Similar rules may apply under state tax laws. For example, on June 29, 2020, California enacted A.B. 85 which imposed limits on the usability of California state net operating losses and certain tax credits in tax years beginning after 2019 and before 2023.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2020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2020, we recorded a full valuation allowance on our net deferred tax assets.</w:t>
      </w:r>
    </w:p>
    <w:p>
      <w:pPr>
        <w:spacing w:after="0" w:line="2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 See “Business—License Agreement with Eli Lilly and Company” for a description of our license agreement, which includes a description of the termination provision of this agreement.</w:t>
      </w:r>
    </w:p>
    <w:p>
      <w:pPr>
        <w:spacing w:after="0" w:line="161"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2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179"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firstLine="589"/>
        <w:spacing w:after="0" w:line="279" w:lineRule="auto"/>
        <w:rPr>
          <w:sz w:val="20"/>
          <w:szCs w:val="20"/>
          <w:color w:val="auto"/>
        </w:rPr>
      </w:pPr>
      <w:r>
        <w:rPr>
          <w:rFonts w:ascii="Arial" w:cs="Arial" w:eastAsia="Arial" w:hAnsi="Arial"/>
          <w:sz w:val="17"/>
          <w:szCs w:val="17"/>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171"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257"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187"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active pharmaceutical ingredients, or APIs, and the finished products of tildacerfont or the associated packaging and administration syringes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18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172"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3"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171" w:lineRule="exact"/>
        <w:rPr>
          <w:sz w:val="20"/>
          <w:szCs w:val="20"/>
          <w:color w:val="auto"/>
        </w:rPr>
      </w:pPr>
    </w:p>
    <w:p>
      <w:pPr>
        <w:ind w:right="180" w:firstLine="589"/>
        <w:spacing w:after="0" w:line="272" w:lineRule="auto"/>
        <w:rPr>
          <w:sz w:val="20"/>
          <w:szCs w:val="20"/>
          <w:color w:val="auto"/>
        </w:rPr>
      </w:pPr>
      <w:r>
        <w:rPr>
          <w:rFonts w:ascii="Arial" w:cs="Arial" w:eastAsia="Arial" w:hAnsi="Arial"/>
          <w:sz w:val="17"/>
          <w:szCs w:val="17"/>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2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1160" w:right="100" w:hanging="572"/>
        <w:spacing w:after="0" w:line="311" w:lineRule="auto"/>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40" w:lineRule="exact"/>
        <w:rPr>
          <w:rFonts w:ascii="Arial" w:cs="Arial" w:eastAsia="Arial" w:hAnsi="Arial"/>
          <w:sz w:val="16"/>
          <w:szCs w:val="16"/>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1160" w:right="60" w:hanging="572"/>
        <w:spacing w:after="0" w:line="263"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1160" w:right="20" w:hanging="572"/>
        <w:spacing w:after="0" w:line="259"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78"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ind w:left="1160" w:right="140" w:hanging="572"/>
        <w:spacing w:after="0" w:line="263"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1160" w:right="60" w:hanging="572"/>
        <w:spacing w:after="0" w:line="342" w:lineRule="auto"/>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 w:lineRule="exact"/>
        <w:rPr>
          <w:rFonts w:ascii="Arial" w:cs="Arial" w:eastAsia="Arial" w:hAnsi="Arial"/>
          <w:sz w:val="16"/>
          <w:szCs w:val="16"/>
          <w:color w:val="auto"/>
        </w:rPr>
      </w:pPr>
    </w:p>
    <w:p>
      <w:pPr>
        <w:ind w:left="1160" w:hanging="572"/>
        <w:spacing w:after="0" w:line="263"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160" w:right="140" w:hanging="572"/>
        <w:spacing w:after="0" w:line="308"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14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184"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9" w:lineRule="exact"/>
        <w:rPr>
          <w:sz w:val="20"/>
          <w:szCs w:val="20"/>
          <w:color w:val="auto"/>
        </w:rPr>
      </w:pPr>
    </w:p>
    <w:p>
      <w:pPr>
        <w:ind w:left="1160" w:right="30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160" w:right="600" w:hanging="572"/>
        <w:spacing w:after="0" w:line="263"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1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18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collaborating with us to develop, or threaten our ability to commercialize, tildacerfont or any future product candidates.</w:t>
      </w:r>
    </w:p>
    <w:p>
      <w:pPr>
        <w:spacing w:after="0" w:line="225"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61"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2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 See “Business—License Agreement with Eli Lilly and Company” for a description of our license agreement with Lilly.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Licensing of intellectual property rights is of critical importance to our business and involves complex legal, business and scientific issues.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us and our licensors regarding intellectual property rights subject to a license agreement, including:</w:t>
      </w:r>
    </w:p>
    <w:p>
      <w:pPr>
        <w:spacing w:after="0" w:line="103" w:lineRule="exact"/>
        <w:rPr>
          <w:sz w:val="20"/>
          <w:szCs w:val="20"/>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117" w:lineRule="exact"/>
        <w:rPr>
          <w:rFonts w:ascii="Arial" w:cs="Arial" w:eastAsia="Arial" w:hAnsi="Arial"/>
          <w:sz w:val="18"/>
          <w:szCs w:val="18"/>
          <w:color w:val="auto"/>
        </w:rPr>
      </w:pPr>
    </w:p>
    <w:p>
      <w:pPr>
        <w:ind w:left="1160" w:right="56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29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current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with similar or identical products or technology earlier than should otherwise have been the case, which would have a material adverse effect on our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168"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17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49"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2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7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18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188"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reexamination proceedings before the USPTO, or oppositions and other comparable proceedings in foreign jurisdictions. The America Invents Act introduced new procedures including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post grant review. The implementation of these procedures brings uncertainty to the possibility of challenges to our patents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165" w:lineRule="exact"/>
        <w:rPr>
          <w:sz w:val="20"/>
          <w:szCs w:val="20"/>
          <w:color w:val="auto"/>
        </w:rPr>
      </w:pPr>
    </w:p>
    <w:p>
      <w:pPr>
        <w:ind w:right="180" w:firstLine="589"/>
        <w:spacing w:after="0" w:line="301" w:lineRule="auto"/>
        <w:rPr>
          <w:sz w:val="20"/>
          <w:szCs w:val="20"/>
          <w:color w:val="auto"/>
        </w:rPr>
      </w:pPr>
      <w:r>
        <w:rPr>
          <w:rFonts w:ascii="Arial" w:cs="Arial" w:eastAsia="Arial" w:hAnsi="Arial"/>
          <w:sz w:val="16"/>
          <w:szCs w:val="16"/>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future product candidates. Nevertheless, we are not aware of any issued patents that will prevent us from marketing tildacerfont.</w:t>
      </w:r>
    </w:p>
    <w:p>
      <w:pPr>
        <w:spacing w:after="0" w:line="225"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178"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0"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62" w:lineRule="exact"/>
        <w:rPr>
          <w:rFonts w:ascii="Arial" w:cs="Arial" w:eastAsia="Arial" w:hAnsi="Arial"/>
          <w:sz w:val="18"/>
          <w:szCs w:val="18"/>
          <w:color w:val="auto"/>
        </w:rPr>
      </w:pPr>
    </w:p>
    <w:p>
      <w:pPr>
        <w:ind w:left="1160" w:right="120" w:hanging="572"/>
        <w:spacing w:after="0" w:line="308" w:lineRule="auto"/>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38" w:lineRule="exact"/>
        <w:rPr>
          <w:rFonts w:ascii="Arial" w:cs="Arial" w:eastAsia="Arial" w:hAnsi="Arial"/>
          <w:sz w:val="17"/>
          <w:szCs w:val="17"/>
          <w:color w:val="auto"/>
        </w:rPr>
      </w:pPr>
    </w:p>
    <w:p>
      <w:pPr>
        <w:ind w:left="1160" w:right="320" w:hanging="572"/>
        <w:spacing w:after="0" w:line="342"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178"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168"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4"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2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17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79"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149"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79" w:lineRule="exact"/>
        <w:rPr>
          <w:sz w:val="20"/>
          <w:szCs w:val="20"/>
          <w:color w:val="auto"/>
        </w:rPr>
      </w:pPr>
    </w:p>
    <w:p>
      <w:pPr>
        <w:ind w:right="1160" w:firstLine="589"/>
        <w:spacing w:after="0" w:line="277" w:lineRule="auto"/>
        <w:rPr>
          <w:sz w:val="20"/>
          <w:szCs w:val="20"/>
          <w:color w:val="auto"/>
        </w:rPr>
      </w:pPr>
      <w:r>
        <w:rPr>
          <w:rFonts w:ascii="Arial" w:cs="Arial" w:eastAsia="Arial" w:hAnsi="Arial"/>
          <w:sz w:val="18"/>
          <w:szCs w:val="18"/>
          <w:color w:val="auto"/>
        </w:rPr>
        <w:t>In addition, such security measures may not provide adequate protection for our proprietary information, for example, in the case of misappropriation of a trade secret by an employee, consultant, customer, or third party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73"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7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1160" w:right="260" w:hanging="572"/>
        <w:spacing w:after="0" w:line="311"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1160" w:right="14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160" w:right="540" w:hanging="572"/>
        <w:spacing w:after="0" w:line="26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160" w:hanging="572"/>
        <w:spacing w:after="0" w:line="342"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160" w:right="80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1160" w:right="120" w:hanging="572"/>
        <w:spacing w:after="0" w:line="26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5" w:lineRule="exact"/>
        <w:rPr>
          <w:rFonts w:ascii="Arial" w:cs="Arial" w:eastAsia="Arial" w:hAnsi="Arial"/>
          <w:sz w:val="18"/>
          <w:szCs w:val="18"/>
          <w:color w:val="auto"/>
        </w:rPr>
      </w:pPr>
    </w:p>
    <w:p>
      <w:pPr>
        <w:ind w:left="1160" w:right="54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March 19, 2021 has ranged from a low of $15.38 to a high of $32.42. In addition to the factors discussed in this “Risk Factors” section and elsewhere in this Annual Report, these factors include:</w:t>
      </w:r>
    </w:p>
    <w:p>
      <w:pPr>
        <w:spacing w:after="0" w:line="79" w:lineRule="exact"/>
        <w:rPr>
          <w:sz w:val="20"/>
          <w:szCs w:val="20"/>
          <w:color w:val="auto"/>
        </w:rPr>
      </w:pPr>
    </w:p>
    <w:p>
      <w:pPr>
        <w:jc w:val="both"/>
        <w:ind w:left="1160" w:right="380" w:hanging="572"/>
        <w:spacing w:after="0" w:line="263"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17" w:lineRule="exact"/>
        <w:rPr>
          <w:rFonts w:ascii="Arial" w:cs="Arial" w:eastAsia="Arial" w:hAnsi="Arial"/>
          <w:sz w:val="18"/>
          <w:szCs w:val="18"/>
          <w:color w:val="auto"/>
        </w:rPr>
      </w:pPr>
    </w:p>
    <w:p>
      <w:pPr>
        <w:ind w:left="1160" w:hanging="572"/>
        <w:spacing w:after="0" w:line="263"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for tildacerfont and any future product candidates;</w:t>
      </w:r>
    </w:p>
    <w:p>
      <w:pPr>
        <w:spacing w:after="0" w:line="128" w:lineRule="exact"/>
        <w:rPr>
          <w:rFonts w:ascii="Arial" w:cs="Arial" w:eastAsia="Arial" w:hAnsi="Arial"/>
          <w:sz w:val="17"/>
          <w:szCs w:val="17"/>
          <w:color w:val="auto"/>
        </w:rPr>
      </w:pPr>
    </w:p>
    <w:p>
      <w:pPr>
        <w:ind w:left="1160" w:right="54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17" w:lineRule="exact"/>
        <w:rPr>
          <w:rFonts w:ascii="Arial" w:cs="Arial" w:eastAsia="Arial" w:hAnsi="Arial"/>
          <w:sz w:val="18"/>
          <w:szCs w:val="18"/>
          <w:color w:val="auto"/>
        </w:rPr>
      </w:pPr>
    </w:p>
    <w:p>
      <w:pPr>
        <w:ind w:left="1160" w:right="64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hanging="572"/>
        <w:spacing w:after="0"/>
        <w:tabs>
          <w:tab w:leader="none" w:pos="11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a rare form of PCOS, and other rare endocrine disorders that we may target;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variations in annual operating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political, health, and economic conditions, including the COVID-19 pandemic;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are an “emerging growth company” as defined in the JOBS Act, or the Jumpstart Our Business Startups Acts of 2012.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Annual Report, not being required to have our internal control over financial reporting audited by our independent registered public accounting firm under Section 404 of the Sarbanes-Oxley Act or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182" w:lineRule="exact"/>
        <w:rPr>
          <w:sz w:val="20"/>
          <w:szCs w:val="20"/>
          <w:color w:val="auto"/>
        </w:rPr>
      </w:pPr>
    </w:p>
    <w:p>
      <w:pPr>
        <w:jc w:val="both"/>
        <w:ind w:right="160" w:firstLine="589"/>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16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7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187"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this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19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16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jc w:val="both"/>
        <w:ind w:right="220" w:firstLine="589"/>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165"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2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19, 2021, there were 23,301,872 shares of our common stock outstanding. Of these shares, only the shares of common stock sold in the IPO by us, other than to our affiliates, are freely tradable without restriction in the public market.</w:t>
      </w:r>
    </w:p>
    <w:p>
      <w:pPr>
        <w:spacing w:after="0" w:line="18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The lock-up agreements pertaining to the IPO will expire on April 7, 2021. After the lock-up agreements expire, up to 16,405,123 shares of common stock will be eligible for sale in the public market, of which 11,924,778 shares are held by directors, executive officers, and other affiliates and will be subject to volume limitations under Rule 144 under the Securities Act of 1933, as amended, or the Securities Act. In addition,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95"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Further, the holders of 15,492,019 shares of our common stock are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w:t>
      </w:r>
    </w:p>
    <w:p>
      <w:pPr>
        <w:spacing w:after="0" w:line="2" w:lineRule="exact"/>
        <w:rPr>
          <w:sz w:val="20"/>
          <w:szCs w:val="20"/>
          <w:color w:val="auto"/>
        </w:rPr>
      </w:pPr>
    </w:p>
    <w:p>
      <w:pPr>
        <w:ind w:right="180" w:firstLine="8"/>
        <w:spacing w:after="0" w:line="260"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and (ii). Unless our board of directors elects not to increase the number of shares available for future grant each year, our stockholders may experience additional dilution, which could cause our stock price to fall.</w:t>
      </w:r>
    </w:p>
    <w:p>
      <w:pPr>
        <w:spacing w:after="0" w:line="2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160" w:right="16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160" w:right="40" w:hanging="572"/>
        <w:spacing w:after="0" w:line="263"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8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corporate headquarters are located at 2001 Junipero Serra Boulevard, Suite 640, Daly City, California 94014, where we occupy approximately 8,000 square feet of office space pursuant to a lease entered into in February 2020, which began on September 1, 2020 and is set to expire on November 30, 2025.</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our existing facility meets our current needs.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“SPRB” since October 9, 2020. Prior to that date,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As of March 19, 2021, we had 23,301,872 shares of common stock outstanding held by 22 holders of record,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12 of Part III of this Annual Report for information about our equity compensation plans which is incorporated by reference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In addition, pursuant to the Loan Agreement with Silicon Valley Bank, as amended, we are prohibited from paying cash dividends without the prior written consent of Silicon Valley Bank and future debt instruments may materially restrict our ability to pay dividends on our common stock.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For the year ended December 31, 2020, we granted options to purchase 1,775,808 shares of our common stock to certain of our employees and directors with a weighted-average exercise price of $3.33 per share. The offer, sale and issuance of these options were deemed to be exempt from registration under the Securities Act in reliance on either Rule 701 in that the transactions were under compensatory benefit plans and contracts relating to compensation as provided under Rule 701 or Section 4(a)(2) in that the issuance of securities was to accredited investors in a private placement transaction that did not involve a public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 upon Conversion of Redeemable Convertible Preferred Stock</w:t>
      </w:r>
    </w:p>
    <w:p>
      <w:pPr>
        <w:spacing w:after="0" w:line="117"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On October 8, 2020, upon consummation of our IPO, all shares of our then-outstanding redeemable convertible preferred stock automatically converted into 15,492,019 shares of common stock. The common stock was issued pursuant to the exemption from the registration requirements of the Securities Act provided by Section 3(a)(9) or Section 4(2) of the Securities Act.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 upon Exercise of Warrants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In September 2019, in connection with the first and second tranches under the Loan and Security Agreement with Silicon Valley Bank, we issued a warrant to purchase up to an aggregate of 49,609 shares of our common stock at $1.44 per share. The warrant was net-exercised for 46,358 shares of our common stock in November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commenced our IPO pursuant to the registration statement on Form S-1, as amended (File No. 333-48924), that was declared effective on October 8, 2020 and a registration statement on Form S-1 MEF (File No. 333-249397), which was effective on filing on October 8, 2020, and registered an aggregate of 6,900,000 shares of our common stock. We sold 6,900,000 shares of our common stock at a public offering price of $15.00 per share for aggregate gross proceeds of $103.5 million. On October 14, 2020, we completed our IPO. Cowen and Company, LLC, SVB Leerink LLC, Credit Suisse Securities (USA) LLC and RBC Capital Markets, LLC acted as joint book-running managers for the IPO.</w:t>
      </w:r>
    </w:p>
    <w:p>
      <w:pPr>
        <w:spacing w:after="0" w:line="1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underwriting discounts and commissions for our IPO totaled approximately $7.2 million. We incurred additional costs of approximately $2.9 million in offering expenses, which when added to the underwriting discounts and commissions paid by us, amounts to total fees and costs of approximately $10.1 million. Thus, net offering proceeds to us, after deducting underwriting discounts, commissions and offering expenses, were $93.4 million. No offering expenses were paid directly or indirectly to any of our directors or officers (or their associates) or persons owning ten percent or more of any class of our equity securities or to any other affiliates.</w:t>
      </w:r>
    </w:p>
    <w:p>
      <w:pPr>
        <w:spacing w:after="0" w:line="188"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filed with the SEC pursuant to Rule 424(b)(4) on October 9,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 Unless otherwise indicated, all references in this Annual Report to “Spruce,” the “company,” “we,” “our,” “us” or similar terms refer to Spruce Biosciences, Inc.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or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171 subjects across seven clinical trials to date have been administered tildacerfont with no drug-related SAEs reported.</w:t>
      </w:r>
    </w:p>
    <w:p>
      <w:pPr>
        <w:spacing w:after="0" w:line="177"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in CAHmelia-204, we plan to meet with the FDA and comparable foreign regulatory authorities to discuss registration.</w:t>
      </w:r>
    </w:p>
    <w:p>
      <w:pPr>
        <w:spacing w:after="0" w:line="16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2" w:lineRule="exact"/>
        <w:rPr>
          <w:sz w:val="20"/>
          <w:szCs w:val="20"/>
          <w:color w:val="auto"/>
        </w:rPr>
      </w:pPr>
    </w:p>
    <w:p>
      <w:pPr>
        <w:jc w:val="both"/>
        <w:ind w:right="220" w:firstLine="589"/>
        <w:spacing w:after="0" w:line="311" w:lineRule="auto"/>
        <w:rPr>
          <w:sz w:val="20"/>
          <w:szCs w:val="20"/>
          <w:color w:val="auto"/>
        </w:rPr>
      </w:pPr>
      <w:r>
        <w:rPr>
          <w:rFonts w:ascii="Arial" w:cs="Arial" w:eastAsia="Arial" w:hAnsi="Arial"/>
          <w:sz w:val="16"/>
          <w:szCs w:val="16"/>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eliminating the need for us to invest in our own manufacturing facilities, equipment, and personnel while also enabling us to focus our expertise and resources on the development of tildacerfont.</w:t>
      </w:r>
    </w:p>
    <w:p>
      <w:pPr>
        <w:spacing w:after="0" w:line="170" w:lineRule="exact"/>
        <w:rPr>
          <w:sz w:val="20"/>
          <w:szCs w:val="20"/>
          <w:color w:val="auto"/>
        </w:rPr>
      </w:pPr>
    </w:p>
    <w:p>
      <w:pPr>
        <w:ind w:right="420" w:firstLine="589"/>
        <w:spacing w:after="0" w:line="257"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year ended December 31, 2020, we incurred a net loss of $29.5 million and used $27.5 million of cash in operations. As of December 31, 2020, we had an accumulated deficit of $60.8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8"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In October 2020, we consummated our initial public offering, or IPO, and issued 6,900,000 shares of common stock for net proceeds of $93.4 million, after deducting underwriting discounts and commissions and offering expenses. Since inception through December 31, 2020, we have raised aggregate gross financing proceeds of $224.0 million, including $103.5 million from our IPO in October 2020, $116.0 million from the sale of our redeemable convertible preferred stock and $4.5 million from the issuance of debt. As of December 31, 2020, we had cash and cash equivalents of $157.2 million. We believe, based on our current operating plan, that our cash and cash equivalents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69"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pursue regulatory approvals of tildacerfont in adult patients with classic CAH;</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a rare form of polycystic ovary syndrome, or PCOS;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build a highly specialized commercial organization to support the commercialization of tildacerfont, if approved, in the United States and Europe;</w:t>
      </w:r>
    </w:p>
    <w:p>
      <w:pPr>
        <w:spacing w:after="0" w:line="62" w:lineRule="exact"/>
        <w:rPr>
          <w:rFonts w:ascii="Arial" w:cs="Arial" w:eastAsia="Arial" w:hAnsi="Arial"/>
          <w:sz w:val="18"/>
          <w:szCs w:val="18"/>
          <w:color w:val="auto"/>
        </w:rPr>
      </w:pPr>
    </w:p>
    <w:p>
      <w:pPr>
        <w:ind w:left="1160" w:right="420" w:hanging="572"/>
        <w:spacing w:after="0" w:line="342" w:lineRule="auto"/>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15" w:lineRule="exact"/>
        <w:rPr>
          <w:rFonts w:ascii="Arial" w:cs="Arial" w:eastAsia="Arial" w:hAnsi="Arial"/>
          <w:sz w:val="16"/>
          <w:szCs w:val="16"/>
          <w:color w:val="auto"/>
        </w:rPr>
      </w:pPr>
    </w:p>
    <w:p>
      <w:pPr>
        <w:ind w:left="1160" w:right="50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additional indications and formulations for which to investigate tildacerfont in the future and expand our pipeline of product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52"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our business will depend on future developments, which are highly uncertain and cannot be predicted.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classify operating expenses into two main categories: (i) research and development expenses and (ii) general and administrative expenses.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0" w:firstLine="589"/>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44" w:lineRule="exact"/>
        <w:rPr>
          <w:sz w:val="20"/>
          <w:szCs w:val="20"/>
          <w:color w:val="auto"/>
        </w:rPr>
      </w:pPr>
    </w:p>
    <w:p>
      <w:pPr>
        <w:ind w:left="1620" w:hanging="424"/>
        <w:spacing w:after="0"/>
        <w:tabs>
          <w:tab w:leader="none" w:pos="1620" w:val="left"/>
        </w:tabs>
        <w:numPr>
          <w:ilvl w:val="1"/>
          <w:numId w:val="46"/>
        </w:numPr>
        <w:rPr>
          <w:rFonts w:ascii="Courier New" w:cs="Courier New" w:eastAsia="Courier New" w:hAnsi="Courier New"/>
          <w:sz w:val="18"/>
          <w:szCs w:val="18"/>
          <w:color w:val="auto"/>
        </w:rPr>
      </w:pPr>
      <w:r>
        <w:rPr>
          <w:rFonts w:ascii="Arial" w:cs="Arial" w:eastAsia="Arial" w:hAnsi="Arial"/>
          <w:sz w:val="18"/>
          <w:szCs w:val="18"/>
          <w:color w:val="auto"/>
        </w:rPr>
        <w:t>clinical development—expenses associated with CROs engaged to manage and conduct clinical trials;</w:t>
      </w:r>
    </w:p>
    <w:p>
      <w:pPr>
        <w:spacing w:after="0" w:line="128" w:lineRule="exact"/>
        <w:rPr>
          <w:rFonts w:ascii="Courier New" w:cs="Courier New" w:eastAsia="Courier New" w:hAnsi="Courier New"/>
          <w:sz w:val="18"/>
          <w:szCs w:val="18"/>
          <w:color w:val="auto"/>
        </w:rPr>
      </w:pPr>
    </w:p>
    <w:p>
      <w:pPr>
        <w:ind w:left="1620" w:hanging="424"/>
        <w:spacing w:after="0"/>
        <w:tabs>
          <w:tab w:leader="none" w:pos="1620" w:val="left"/>
        </w:tabs>
        <w:numPr>
          <w:ilvl w:val="1"/>
          <w:numId w:val="46"/>
        </w:numPr>
        <w:rPr>
          <w:rFonts w:ascii="Courier New" w:cs="Courier New" w:eastAsia="Courier New" w:hAnsi="Courier New"/>
          <w:sz w:val="18"/>
          <w:szCs w:val="18"/>
          <w:color w:val="auto"/>
        </w:rPr>
      </w:pPr>
      <w:r>
        <w:rPr>
          <w:rFonts w:ascii="Arial" w:cs="Arial" w:eastAsia="Arial" w:hAnsi="Arial"/>
          <w:sz w:val="18"/>
          <w:szCs w:val="18"/>
          <w:color w:val="auto"/>
        </w:rPr>
        <w:t>preclinical studies—expenses associated with preclinical studies performed by vendors;</w:t>
      </w:r>
    </w:p>
    <w:p>
      <w:pPr>
        <w:spacing w:after="0" w:line="128" w:lineRule="exact"/>
        <w:rPr>
          <w:rFonts w:ascii="Courier New" w:cs="Courier New" w:eastAsia="Courier New" w:hAnsi="Courier New"/>
          <w:sz w:val="18"/>
          <w:szCs w:val="18"/>
          <w:color w:val="auto"/>
        </w:rPr>
      </w:pPr>
    </w:p>
    <w:p>
      <w:pPr>
        <w:ind w:left="1620" w:right="320" w:hanging="424"/>
        <w:spacing w:after="0" w:line="259" w:lineRule="auto"/>
        <w:tabs>
          <w:tab w:leader="none" w:pos="1620" w:val="left"/>
        </w:tabs>
        <w:numPr>
          <w:ilvl w:val="1"/>
          <w:numId w:val="46"/>
        </w:numPr>
        <w:rPr>
          <w:rFonts w:ascii="Courier New" w:cs="Courier New" w:eastAsia="Courier New" w:hAnsi="Courier New"/>
          <w:sz w:val="18"/>
          <w:szCs w:val="18"/>
          <w:color w:val="auto"/>
        </w:rPr>
      </w:pPr>
      <w:r>
        <w:rPr>
          <w:rFonts w:ascii="Arial" w:cs="Arial" w:eastAsia="Arial" w:hAnsi="Arial"/>
          <w:sz w:val="18"/>
          <w:szCs w:val="18"/>
          <w:color w:val="auto"/>
        </w:rPr>
        <w:t>manufacturing—expenses associated with contract manufacturing; labeling, packaging, distribution of clinical trial supplies, and consulting;</w:t>
      </w:r>
    </w:p>
    <w:p>
      <w:pPr>
        <w:spacing w:after="0" w:line="76" w:lineRule="exact"/>
        <w:rPr>
          <w:rFonts w:ascii="Courier New" w:cs="Courier New" w:eastAsia="Courier New" w:hAnsi="Courier New"/>
          <w:sz w:val="18"/>
          <w:szCs w:val="18"/>
          <w:color w:val="auto"/>
        </w:rPr>
      </w:pPr>
    </w:p>
    <w:p>
      <w:pPr>
        <w:ind w:left="1620" w:hanging="424"/>
        <w:spacing w:after="0"/>
        <w:tabs>
          <w:tab w:leader="none" w:pos="1620" w:val="left"/>
        </w:tabs>
        <w:numPr>
          <w:ilvl w:val="1"/>
          <w:numId w:val="46"/>
        </w:numPr>
        <w:rPr>
          <w:rFonts w:ascii="Courier New" w:cs="Courier New" w:eastAsia="Courier New" w:hAnsi="Courier New"/>
          <w:sz w:val="18"/>
          <w:szCs w:val="18"/>
          <w:color w:val="auto"/>
        </w:rPr>
      </w:pPr>
      <w:r>
        <w:rPr>
          <w:rFonts w:ascii="Arial" w:cs="Arial" w:eastAsia="Arial" w:hAnsi="Arial"/>
          <w:sz w:val="18"/>
          <w:szCs w:val="18"/>
          <w:color w:val="auto"/>
        </w:rPr>
        <w:t>other research and development—expenses associated with quality and regulatory compliance; and</w:t>
      </w:r>
    </w:p>
    <w:p>
      <w:pPr>
        <w:spacing w:after="0" w:line="128" w:lineRule="exact"/>
        <w:rPr>
          <w:rFonts w:ascii="Courier New" w:cs="Courier New" w:eastAsia="Courier New" w:hAnsi="Courier New"/>
          <w:sz w:val="18"/>
          <w:szCs w:val="18"/>
          <w:color w:val="auto"/>
        </w:rPr>
      </w:pPr>
    </w:p>
    <w:p>
      <w:pPr>
        <w:ind w:left="1160" w:right="62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170"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To date, these expenses have been incurred to advance tildacerfont. These expenses will primarily consist of expenses for the administration of clinical trials as well as manufacturing costs for clinical material supply. We expect that significant additional spending will be required to progress tildacerfont through clinical development and regulatory approval.</w:t>
      </w:r>
    </w:p>
    <w:p>
      <w:pPr>
        <w:spacing w:after="0" w:line="184" w:lineRule="exact"/>
        <w:rPr>
          <w:sz w:val="20"/>
          <w:szCs w:val="20"/>
          <w:color w:val="auto"/>
        </w:rPr>
      </w:pPr>
    </w:p>
    <w:p>
      <w:pPr>
        <w:ind w:right="280" w:firstLine="589"/>
        <w:spacing w:after="0" w:line="308" w:lineRule="auto"/>
        <w:rPr>
          <w:sz w:val="20"/>
          <w:szCs w:val="20"/>
          <w:color w:val="auto"/>
        </w:rPr>
      </w:pPr>
      <w:r>
        <w:rPr>
          <w:rFonts w:ascii="Arial" w:cs="Arial" w:eastAsia="Arial" w:hAnsi="Arial"/>
          <w:sz w:val="17"/>
          <w:szCs w:val="17"/>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paid for accounting, auditing, consulting, tax, and investor relations services, insurance costs, facility costs not otherwise included in research and development expenses, and public company expenses such as costs associated with compliance with the rules and regulations of the U.S. Securities and Exchange Commission, or the SEC, and those of the Nasdaq Stock Market, Inc., or Nasdaq, listing rules.</w:t>
      </w:r>
    </w:p>
    <w:p>
      <w:pPr>
        <w:spacing w:after="0" w:line="176"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Interest expense consists of interest incurred and non-cash amortization of debt discount and issuance costs in connection with the Term Loan with Silicon Valley Bank.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income, net primarily consists of interest income earned on our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Comparisons of the Year Ended December 31, 2020 and 2019</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23,854</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10,817</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Research and development expenses were $23.9 million for the year ended December 31, 2020, compared to $10.8 million for the year ended December 31, 2019. The overall increase in research and development expenses was primarily related to an increase in clinical development, manufacturing, preclinical studies and personnel costs, associated with our progressing clinical development. The following table sets forth the primary external and internal research and development expenses for the periods presented below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12,747</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4,323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Preclinical studies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Internal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Allocated overhead</w:t>
            </w:r>
          </w:p>
        </w:tc>
        <w:tc>
          <w:tcPr>
            <w:tcW w:w="1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380" w:type="dxa"/>
            <w:vAlign w:val="bottom"/>
            <w:gridSpan w:val="2"/>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40" w:type="dxa"/>
            <w:vAlign w:val="bottom"/>
            <w:gridSpan w:val="2"/>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23,854</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10,817</w:t>
            </w:r>
          </w:p>
        </w:tc>
        <w:tc>
          <w:tcPr>
            <w:tcW w:w="40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13,037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7"/>
          <w:szCs w:val="17"/>
          <w:color w:val="auto"/>
        </w:rPr>
        <w:t>General and administrative expenses were $5.6 million for the year ended December 31, 2020, compared to $2.3 million for the year ended December 31, 2019. The overall increase in general and administrative expenses was primarily driven by an increase of $1.6 million in professional and consultant service fees related to becoming and operating as a public company, an increase of $1.0 million in personnel-related expenses, and an increase of $0.5 million in administrative expenses primarily related to an increase in directors’ and officers’ liability insurance premiums.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340" w:firstLine="589"/>
        <w:spacing w:after="0" w:line="342" w:lineRule="auto"/>
        <w:rPr>
          <w:sz w:val="20"/>
          <w:szCs w:val="20"/>
          <w:color w:val="auto"/>
        </w:rPr>
      </w:pPr>
      <w:r>
        <w:rPr>
          <w:rFonts w:ascii="Arial" w:cs="Arial" w:eastAsia="Arial" w:hAnsi="Arial"/>
          <w:sz w:val="16"/>
          <w:szCs w:val="16"/>
          <w:color w:val="auto"/>
        </w:rPr>
        <w:t>Interest expense was $0.3 million for the year ended December 31, 2020, compared to $0.1 million for the year ended December 31, 2019. The increase was due to interest expense incurred in 2020 on the Term Loan with Silicon Valley Bank, which we entered into in September 2019.</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Other income, net was $0.2 million for the year ended December 31, 2020, compared to $0.1 million for the year ended December 31, 2019. The increase was primarily due to interest income on higher cash and cash equivalents balances in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operations. We anticipate that we will continue to incur net losses for the foreseeable future. As of December 31, 2020, we had an accumulated deficit of $60.8 million. As of December 31, 2020, we had cash and cash equivalents of $157.2 million. In October 2020, we consummated our IPO and issued 6,900,000 shares of common stock for net proceeds of $93.4 million, after deducting underwriting discounts and commissions and offering expenses. We believe, based on our current operating plan, that our cash and cash equivalents will be sufficient to fund our operations for at least the next 12 months.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1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September 2019, we entered into the Loan Agreement with Silicon Valley Bank providing for the Term Loan. Pursuant to the Loan Agreement, we requested $2.5 million from the first tranche in connection with the entry into the Loan Agreement, which is currently outstanding, and we drew the second tranche of $2.0 million in December 2019.</w:t>
      </w:r>
    </w:p>
    <w:p>
      <w:pPr>
        <w:spacing w:after="0" w:line="184"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In April 2020, we and Silicon Valley Bank entered into the Deferral Agreement whereby we and Silicon Valley Bank agreed to extend the repayment dates of all monthly payments of principal due and the maturity date with respect to the Term Loan by six months. In March 2021, we entered into First Amendment with Silicon Valley Bank. The First Amendment increased the aggregate principal amount of the Term Loan commitment by Silicon Valley Bank to up to $30.0 million. Up to $20.0 million is available under the first tranche of the Term Loan, or the First Tranche, $5.0 million of which was advanced immediately to repay the outstanding obligations under the Term Loan prior to the First Amendment with the remainder of the First Tranche commitments available through December 31, 2021, and up to $10.0 million is available under the second tranche, or the Second Tranche, subject to the completion of certain clinical and financial milestones which Second Tranche commitment is available through December 31, 2022. Pursuant to the First Amendment, the Term Loan will mature on January 1, 2026. As of March 22, 2021, we have $5.0 million outstanding under the Term Loan.</w:t>
      </w:r>
    </w:p>
    <w:p>
      <w:pPr>
        <w:spacing w:after="0" w:line="16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Loan Agreement, as amended by the Deferral Agreement and the First Amendment, provides for monthly cash interest-only payments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92"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amendment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4"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82"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5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to advance into later stages of development for the treatment of classic CAH in adult patients, as we conduct clinical trials of tildacerfont in pediatric classic CAH and a rare form of PCOS,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In addition, we expect to incur additional costs associated with operating as a public company.</w:t>
      </w:r>
    </w:p>
    <w:p>
      <w:pPr>
        <w:spacing w:after="0" w:line="196"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impact on our financial condition and our ability to pursue our business strategies. We anticipate that we will need to raise substantial additional capital, the requirements of which will depend on many factors, including:</w:t>
      </w:r>
    </w:p>
    <w:p>
      <w:pPr>
        <w:spacing w:after="0" w:line="62" w:lineRule="exact"/>
        <w:rPr>
          <w:sz w:val="20"/>
          <w:szCs w:val="20"/>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44" w:lineRule="exact"/>
        <w:rPr>
          <w:rFonts w:ascii="Arial" w:cs="Arial" w:eastAsia="Arial" w:hAnsi="Arial"/>
          <w:sz w:val="18"/>
          <w:szCs w:val="18"/>
          <w:color w:val="auto"/>
        </w:rPr>
      </w:pPr>
    </w:p>
    <w:p>
      <w:pPr>
        <w:ind w:left="1160" w:right="82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manufacturing tildacerfont and establishing commercial supplies and sales, marketing, and distribution capabilities;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44" w:lineRule="exact"/>
        <w:rPr>
          <w:rFonts w:ascii="Arial" w:cs="Arial" w:eastAsia="Arial" w:hAnsi="Arial"/>
          <w:sz w:val="18"/>
          <w:szCs w:val="18"/>
          <w:color w:val="auto"/>
        </w:rPr>
      </w:pPr>
    </w:p>
    <w:p>
      <w:pPr>
        <w:ind w:left="1160" w:right="640" w:hanging="572"/>
        <w:spacing w:after="0" w:line="263"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44"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effects of the disruptions to and volatility in the credit and financial markets in the United States and worldwide from the COVID-19 pandemic.</w:t>
      </w:r>
    </w:p>
    <w:p>
      <w:pPr>
        <w:spacing w:after="0" w:line="170"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7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the pace and results of our development efforts.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ever be profitable or generate positive cash flow from operating activities.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12,433</w:t>
            </w:r>
          </w:p>
        </w:tc>
        <w:tc>
          <w:tcPr>
            <w:tcW w:w="80" w:type="dxa"/>
            <w:vAlign w:val="bottom"/>
            <w:shd w:val="clear" w:color="auto" w:fill="CFF0FC"/>
          </w:tcPr>
          <w:p>
            <w:pPr>
              <w:spacing w:after="0"/>
              <w:rPr>
                <w:sz w:val="19"/>
                <w:szCs w:val="19"/>
                <w:color w:val="auto"/>
              </w:rPr>
            </w:pPr>
          </w:p>
        </w:tc>
      </w:tr>
      <w:tr>
        <w:trPr>
          <w:trHeight w:val="209"/>
        </w:trPr>
        <w:tc>
          <w:tcPr>
            <w:tcW w:w="5360" w:type="dxa"/>
            <w:vAlign w:val="bottom"/>
          </w:tcPr>
          <w:p>
            <w:pPr>
              <w:ind w:left="240"/>
              <w:spacing w:after="0"/>
              <w:rPr>
                <w:sz w:val="20"/>
                <w:szCs w:val="20"/>
                <w:color w:val="auto"/>
              </w:rPr>
            </w:pPr>
            <w:r>
              <w:rPr>
                <w:rFonts w:ascii="Arial" w:cs="Arial" w:eastAsia="Arial" w:hAnsi="Arial"/>
                <w:sz w:val="18"/>
                <w:szCs w:val="18"/>
                <w:color w:val="auto"/>
              </w:rPr>
              <w:t>Net increase (decrease) in cash, cash equivalents,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and restricted cash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153,442</w:t>
            </w:r>
          </w:p>
        </w:tc>
        <w:tc>
          <w:tcPr>
            <w:tcW w:w="200" w:type="dxa"/>
            <w:vAlign w:val="bottom"/>
          </w:tcPr>
          <w:p>
            <w:pPr>
              <w:spacing w:after="0"/>
              <w:rPr>
                <w:sz w:val="20"/>
                <w:szCs w:val="20"/>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0"/>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For the year ended December 31, 2020, net cash used in operating activities was $27.5 million, which consisted of a net loss of $29.5 million, partially offset by and a net change of $1.2 million in our net operating assets and liabilities and by $0.9 million in non-cash charges. The net change in our operating assets and liabilities was primarily due to a net increase in accounts payable and accrued expenses of $3.7 million and a $0.3 million net increase in accrued compensation and noncurrent assets and liabilities, partially offset by a net increase in prepaid expenses and other current assets of $2.9 million. The non-cash charges of $0.9 million consisted of stock-based compensation expense, non-cash lease expense, and depreciation and amortization expense.</w:t>
      </w:r>
    </w:p>
    <w:p>
      <w:pPr>
        <w:spacing w:after="0" w:line="161"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For the year ended December 31, 2019, net cash used in operating activities was $12.6 million, which consisted of a net loss of $13.1 million, partially offset by a net change of $0.3 million in our net operating assets and liabilities and $0.2 million in non-cash charges. The net change in our operating assets and liabilities was primarily due to a net increase in accrued compensation of $0.6 million, partially offset by a net decrease in accounts payable and accrued expenses of $0.2 million and a net increase in prepaid expenses of $0.1 million. The non-cash charges of $0.2 million primarily consisted of stock-based compensation expense and depreciation expense.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For the year ended December 31, 2020 and 2019, cash used in investing activities was less than $0.1 million and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320" w:firstLine="589"/>
        <w:spacing w:after="0" w:line="308" w:lineRule="auto"/>
        <w:rPr>
          <w:sz w:val="20"/>
          <w:szCs w:val="20"/>
          <w:color w:val="auto"/>
        </w:rPr>
      </w:pPr>
      <w:r>
        <w:rPr>
          <w:rFonts w:ascii="Arial" w:cs="Arial" w:eastAsia="Arial" w:hAnsi="Arial"/>
          <w:sz w:val="17"/>
          <w:szCs w:val="17"/>
          <w:color w:val="auto"/>
        </w:rPr>
        <w:t>For the year ended December 31, 2020, cash provided by financing activities was $181.0 million, consisting primarily of net proceeds from the issuance of common stock in connection with our IPO and the issuance and sale of Series B redeemable convertible preferred stock.</w:t>
      </w:r>
    </w:p>
    <w:p>
      <w:pPr>
        <w:spacing w:after="0" w:line="146"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For the year ended December 31, 2019, cash provided by financing activities was $12.4 million, consisting primarily of net proceeds of $7.9 million from the issuance and sale of Series A redeemable convertible preferred stock and net proceeds of $4.5 million from the issuance of a term loan.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1 to</w:t>
            </w:r>
          </w:p>
        </w:tc>
        <w:tc>
          <w:tcPr>
            <w:tcW w:w="200" w:type="dxa"/>
            <w:vAlign w:val="bottom"/>
          </w:tcPr>
          <w:p>
            <w:pPr>
              <w:spacing w:after="0"/>
              <w:rPr>
                <w:sz w:val="11"/>
                <w:szCs w:val="11"/>
                <w:color w:val="auto"/>
              </w:rPr>
            </w:pPr>
          </w:p>
        </w:tc>
        <w:tc>
          <w:tcPr>
            <w:tcW w:w="82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88"/>
              </w:rPr>
              <w:t>4 to</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3 Years</w:t>
            </w:r>
          </w:p>
        </w:tc>
        <w:tc>
          <w:tcPr>
            <w:tcW w:w="200" w:type="dxa"/>
            <w:vAlign w:val="bottom"/>
          </w:tcPr>
          <w:p>
            <w:pPr>
              <w:spacing w:after="0"/>
              <w:rPr>
                <w:sz w:val="14"/>
                <w:szCs w:val="14"/>
                <w:color w:val="auto"/>
              </w:rPr>
            </w:pPr>
          </w:p>
        </w:tc>
        <w:tc>
          <w:tcPr>
            <w:tcW w:w="82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5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5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We enter into contracts in the normal course of business with third-party contract manufacturing organizations and CROs for clinical trials, non-clinical studies and testing,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171"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December 31, 2020, we were unable to estimate the timing or likelihood of achieving these milestones or generating future product sales. See the section titled “License Agreement with Lilly and Company”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We did not have off-balance sheet arrangements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right="160" w:firstLine="589"/>
        <w:spacing w:after="0" w:line="275"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The preparation of these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176"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We record accruals for estimated costs of preclinical, clinical, and manufacturing development, within accrued expenses which are significant components of research and development expenses. A substantial portion of our ongoing research and development activities is conducted by third-party service providers, including CROs. Our contracts with CROs generally include fees such as initiation fees, investigator grants, clinical safety, data management, laboratory expenses, project management, and pass-through expenses. The financial terms of these contracts are subject to negotiations, which vary from contract to contract and may result in payment flows that do not match the periods over which materials or services are provided to us under such contracts. We accrue the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or actual timeline (start-date and end-date) of the services and the agreed-upon fees to be paid for such services. Payments made to third parties under these arrangements in advance of the performance of the related services by the third parties are recorded as prepaid expenses until the services are rendered.</w:t>
      </w:r>
    </w:p>
    <w:p>
      <w:pPr>
        <w:spacing w:after="0" w:line="157"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If the actual timing of the performance of services or the level of effort varies from the estimate, we adjust accrued expenses or prepaid expenses accordingly, which impact research and development expenses.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187"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account for stock-based compensation expense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expense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64"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several complex variables. Changes in the assumptions can materially affect the fair value and ultimately how much stock-based compensation expense is recognized. These inputs are subjective and generally require significant analysis and judgment to develop. These inputs are as follows:</w:t>
      </w:r>
    </w:p>
    <w:p>
      <w:pPr>
        <w:spacing w:after="0" w:line="68" w:lineRule="exact"/>
        <w:rPr>
          <w:sz w:val="20"/>
          <w:szCs w:val="20"/>
          <w:color w:val="auto"/>
        </w:rPr>
      </w:pPr>
    </w:p>
    <w:p>
      <w:pPr>
        <w:ind w:left="1160" w:right="80" w:hanging="572"/>
        <w:spacing w:after="0" w:line="293" w:lineRule="auto"/>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Fair value of common stock— Prior to the IPO, the fair value of our common stock was determined by the Board of Directors since it was not publicly traded. The Board of Directors determined fair value of the common stock at the time of grant of the option by considering a number of objective and subjective factors including valuation reports prepared by third-party valuation firms, valuation of comparable companies, sales of redeemable convertible preferred stock to third parties, operating and financial performance, the lack of liquidity of capital stock, and general and industry specific economic outlook, amongst other factors. Following the IPO, the fair market value of our common stock is determined based on the closing price of our common stock on the Nasdaq Global Select Market.</w:t>
      </w:r>
    </w:p>
    <w:p>
      <w:pPr>
        <w:spacing w:after="0" w:line="56" w:lineRule="exact"/>
        <w:rPr>
          <w:rFonts w:ascii="Arial" w:cs="Arial" w:eastAsia="Arial" w:hAnsi="Arial"/>
          <w:sz w:val="16"/>
          <w:szCs w:val="16"/>
          <w:color w:val="auto"/>
        </w:rPr>
      </w:pPr>
    </w:p>
    <w:p>
      <w:pPr>
        <w:ind w:left="1160" w:right="60" w:hanging="572"/>
        <w:spacing w:after="0" w:line="279"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Expected term—The expected term represents the period that our options granted are expected to be outstanding and is determined using the simplified method for employees (based on the mid-point between the vesting date and the end of the contractual term) and is based on the remaining contractual term for non-employees. We have very limited historical information to develop reasonable expectations about future exercise patterns and post-vesting employment termination behavior for our stock option grants.</w:t>
      </w:r>
    </w:p>
    <w:p>
      <w:pPr>
        <w:spacing w:after="0" w:line="63" w:lineRule="exact"/>
        <w:rPr>
          <w:rFonts w:ascii="Arial" w:cs="Arial" w:eastAsia="Arial" w:hAnsi="Arial"/>
          <w:sz w:val="17"/>
          <w:szCs w:val="17"/>
          <w:color w:val="auto"/>
        </w:rPr>
      </w:pPr>
    </w:p>
    <w:p>
      <w:pPr>
        <w:ind w:left="1160" w:hanging="572"/>
        <w:spacing w:after="0" w:line="296" w:lineRule="auto"/>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volatility—Since we were a privately-held company until October 2020, we do not have sufficient historical data regarding the volatility of our common stock. Accordingly, the expected volatility was estimated based on the average volatility for comparable publicly traded biopharmaceutical companies over a period equal to the expected term of the stock option grants. The comparable companies were chosen based on their market capitalization, stage of development, area of specialty, and stock-specific attributes. We will continue to apply this process until enough historical information regarding the volatility of our own stock price becomes available.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160" w:right="8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constant maturity rates with remaining terms similar to the expected term of the options.</w:t>
      </w:r>
    </w:p>
    <w:p>
      <w:pPr>
        <w:spacing w:after="0" w:line="62"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70" w:lineRule="exact"/>
        <w:rPr>
          <w:sz w:val="20"/>
          <w:szCs w:val="20"/>
          <w:color w:val="auto"/>
        </w:rPr>
      </w:pPr>
    </w:p>
    <w:p>
      <w:pPr>
        <w:jc w:val="both"/>
        <w:ind w:right="300" w:firstLine="589"/>
        <w:spacing w:after="0" w:line="263" w:lineRule="auto"/>
        <w:rPr>
          <w:sz w:val="20"/>
          <w:szCs w:val="20"/>
          <w:color w:val="auto"/>
        </w:rPr>
      </w:pPr>
      <w:r>
        <w:rPr>
          <w:rFonts w:ascii="Arial" w:cs="Arial" w:eastAsia="Arial" w:hAnsi="Arial"/>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84"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will continue to use judgment in evaluating the expected volatility, expected terms, and interest rates utilized for our stock-based compensation expense calculations on a prospective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We are an “emerging growth company” as defined in the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cash and cash equivalents as of December 31, 2020 consisted of readily available checking and money market funds.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or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financial institution that is in excess of federally insured limits.</w:t>
      </w:r>
    </w:p>
    <w:p>
      <w:pPr>
        <w:spacing w:after="0" w:line="8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Additionally, the interest rate for borrowings under the Loan Agreement is variable.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To date, foreign currency transaction gains and losses have not been material to our financial statements, and we have not had a formal hedging program with respect to foreign currency. Our expenses are generally denominated in U.S. dollars. Our operations may be subject to fluctuations in foreign currency exchange rates in the future. A hypothetical 10% change in exchange rates during any of the periods presented would not have had a material impact on our financial statements included elsewhere in this Annual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financial statements included elsewhere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Exchange Rate Fluctuations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do not believe that exchange rate fluctuations had a significant impact on our results of operations for any periods presented herein.</w:t>
      </w:r>
    </w:p>
    <w:p>
      <w:pPr>
        <w:spacing w:after="0" w:line="200" w:lineRule="exact"/>
        <w:rPr>
          <w:sz w:val="20"/>
          <w:szCs w:val="20"/>
          <w:color w:val="auto"/>
        </w:rPr>
      </w:pPr>
    </w:p>
    <w:p>
      <w:pPr>
        <w:spacing w:after="0" w:line="25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105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00" w:type="dxa"/>
            <w:vAlign w:val="bottom"/>
          </w:tcPr>
          <w:p>
            <w:pPr>
              <w:spacing w:after="0"/>
              <w:rPr>
                <w:sz w:val="20"/>
                <w:szCs w:val="20"/>
                <w:color w:val="auto"/>
              </w:rPr>
            </w:pPr>
          </w:p>
        </w:tc>
      </w:tr>
      <w:tr>
        <w:trPr>
          <w:trHeight w:val="648"/>
        </w:trPr>
        <w:tc>
          <w:tcPr>
            <w:tcW w:w="1056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00" w:type="dxa"/>
            <w:vAlign w:val="bottom"/>
          </w:tcPr>
          <w:p>
            <w:pPr>
              <w:spacing w:after="0"/>
              <w:rPr>
                <w:sz w:val="24"/>
                <w:szCs w:val="24"/>
                <w:color w:val="auto"/>
              </w:rPr>
            </w:pPr>
          </w:p>
        </w:tc>
      </w:tr>
      <w:tr>
        <w:trPr>
          <w:trHeight w:val="522"/>
        </w:trPr>
        <w:tc>
          <w:tcPr>
            <w:tcW w:w="10560" w:type="dxa"/>
            <w:vAlign w:val="bottom"/>
          </w:tcPr>
          <w:p>
            <w:pPr>
              <w:ind w:left="4680"/>
              <w:spacing w:after="0"/>
              <w:rPr>
                <w:sz w:val="20"/>
                <w:szCs w:val="20"/>
                <w:color w:val="auto"/>
              </w:rPr>
            </w:pPr>
            <w:r>
              <w:rPr>
                <w:rFonts w:ascii="Arial" w:cs="Arial" w:eastAsia="Arial" w:hAnsi="Arial"/>
                <w:sz w:val="18"/>
                <w:szCs w:val="18"/>
                <w:b w:val="1"/>
                <w:bCs w:val="1"/>
                <w:color w:val="auto"/>
              </w:rPr>
              <w:t>SPRUCE BIOSCIENCES, INC.</w:t>
            </w:r>
          </w:p>
        </w:tc>
        <w:tc>
          <w:tcPr>
            <w:tcW w:w="700" w:type="dxa"/>
            <w:vAlign w:val="bottom"/>
          </w:tcPr>
          <w:p>
            <w:pPr>
              <w:spacing w:after="0"/>
              <w:rPr>
                <w:sz w:val="24"/>
                <w:szCs w:val="24"/>
                <w:color w:val="auto"/>
              </w:rPr>
            </w:pPr>
          </w:p>
        </w:tc>
      </w:tr>
      <w:tr>
        <w:trPr>
          <w:trHeight w:val="234"/>
        </w:trPr>
        <w:tc>
          <w:tcPr>
            <w:tcW w:w="10560" w:type="dxa"/>
            <w:vAlign w:val="bottom"/>
          </w:tcPr>
          <w:p>
            <w:pPr>
              <w:ind w:left="4320"/>
              <w:spacing w:after="0"/>
              <w:rPr>
                <w:sz w:val="20"/>
                <w:szCs w:val="20"/>
                <w:color w:val="auto"/>
              </w:rPr>
            </w:pPr>
            <w:r>
              <w:rPr>
                <w:rFonts w:ascii="Arial" w:cs="Arial" w:eastAsia="Arial" w:hAnsi="Arial"/>
                <w:sz w:val="18"/>
                <w:szCs w:val="18"/>
                <w:b w:val="1"/>
                <w:bCs w:val="1"/>
                <w:color w:val="auto"/>
              </w:rPr>
              <w:t>INDEX TO FINANCIAL STATEMENTS</w:t>
            </w:r>
          </w:p>
        </w:tc>
        <w:tc>
          <w:tcPr>
            <w:tcW w:w="700" w:type="dxa"/>
            <w:vAlign w:val="bottom"/>
          </w:tcPr>
          <w:p>
            <w:pPr>
              <w:spacing w:after="0"/>
              <w:rPr>
                <w:sz w:val="20"/>
                <w:szCs w:val="20"/>
                <w:color w:val="auto"/>
              </w:rPr>
            </w:pPr>
          </w:p>
        </w:tc>
      </w:tr>
      <w:tr>
        <w:trPr>
          <w:trHeight w:val="486"/>
        </w:trPr>
        <w:tc>
          <w:tcPr>
            <w:tcW w:w="1056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Report of Independent Registered Public Accounting Firm</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59"/>
        </w:trPr>
        <w:tc>
          <w:tcPr>
            <w:tcW w:w="105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Balance Sheets as of December 31,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59"/>
        </w:trPr>
        <w:tc>
          <w:tcPr>
            <w:tcW w:w="1056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Statements of Operations for the Years ended December 31,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59"/>
        </w:trPr>
        <w:tc>
          <w:tcPr>
            <w:tcW w:w="10560" w:type="dxa"/>
            <w:vAlign w:val="bottom"/>
          </w:tcPr>
          <w:p>
            <w:pPr>
              <w:spacing w:after="0"/>
              <w:rPr>
                <w:rFonts w:ascii="Arial" w:cs="Arial" w:eastAsia="Arial" w:hAnsi="Arial"/>
                <w:sz w:val="18"/>
                <w:szCs w:val="18"/>
                <w:u w:val="single" w:color="auto"/>
                <w:color w:val="0000EE"/>
                <w:w w:val="94"/>
              </w:rPr>
            </w:pPr>
            <w:hyperlink w:anchor="page119">
              <w:r>
                <w:rPr>
                  <w:rFonts w:ascii="Arial" w:cs="Arial" w:eastAsia="Arial" w:hAnsi="Arial"/>
                  <w:sz w:val="18"/>
                  <w:szCs w:val="18"/>
                  <w:u w:val="single" w:color="auto"/>
                  <w:color w:val="0000EE"/>
                  <w:w w:val="94"/>
                </w:rPr>
                <w:t>Statements of Redeemable Convertible Preferred Stock and Stockholders’ Equity (Deficit) for the Years ended December 31,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59"/>
        </w:trPr>
        <w:tc>
          <w:tcPr>
            <w:tcW w:w="1056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Statements of Cash Flows for the Years ended December 31, 2020 and 2019</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59"/>
        </w:trPr>
        <w:tc>
          <w:tcPr>
            <w:tcW w:w="1056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Notes to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648"/>
        </w:trPr>
        <w:tc>
          <w:tcPr>
            <w:tcW w:w="10560" w:type="dxa"/>
            <w:vAlign w:val="bottom"/>
          </w:tcPr>
          <w:p>
            <w:pPr>
              <w:ind w:left="5500"/>
              <w:spacing w:after="0"/>
              <w:rPr>
                <w:sz w:val="20"/>
                <w:szCs w:val="20"/>
                <w:color w:val="auto"/>
              </w:rPr>
            </w:pPr>
            <w:r>
              <w:rPr>
                <w:rFonts w:ascii="Arial" w:cs="Arial" w:eastAsia="Arial" w:hAnsi="Arial"/>
                <w:sz w:val="18"/>
                <w:szCs w:val="18"/>
                <w:color w:val="auto"/>
              </w:rPr>
              <w:t>113</w:t>
            </w:r>
          </w:p>
        </w:tc>
        <w:tc>
          <w:tcPr>
            <w:tcW w:w="700" w:type="dxa"/>
            <w:vAlign w:val="bottom"/>
          </w:tcPr>
          <w:p>
            <w:pPr>
              <w:spacing w:after="0"/>
              <w:rPr>
                <w:sz w:val="24"/>
                <w:szCs w:val="24"/>
                <w:color w:val="auto"/>
              </w:rPr>
            </w:pPr>
          </w:p>
        </w:tc>
      </w:tr>
      <w:tr>
        <w:trPr>
          <w:trHeight w:val="115"/>
        </w:trPr>
        <w:tc>
          <w:tcPr>
            <w:tcW w:w="10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Spruce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Daly City,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Spruce Biosciences, Inc. (the “Company”) as of December 31, 2020 and 2019, the related statements of operations, redeemable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in 2020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22,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157,150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Prepaid expenses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2,971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160,397</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Right-of-use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162,883</w:t>
            </w:r>
          </w:p>
        </w:tc>
        <w:tc>
          <w:tcPr>
            <w:tcW w:w="2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REDEEMABLE CONVERTIBLE PREFERRED STOCK AND</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STOCKHOLDERS’ EQUITY (DEFICIT)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Term loan, current portion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2,554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current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compensation and benefits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Term loan, net of current portion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1,922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 net of current portion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13,456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7,516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Commitments and contingencies (Note 7)</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Series A redeemable convertible preferred stock, $0.0001 par value; 0 shares and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28,000,000 shares authorized, issued and outstanding as of December 31,</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2020 and 2019, respectively; liquidation preference of $0 and $28,000 as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December 31, 2020 and 2019, respectively</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$0.0001 par value; 10,000,000 shares and 0 shares authorized as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December 31, 2020 and 2019, respectively; 0 shares issued and outstanding</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as of December 31, 2020 and 2019</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Common stock, $0.0001 par value; 200,000,000 shares and 41,000,000 shares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authorized as of December 31, 2020 and 2019, respectively; 23,260,399 shares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and 764,408 shares issued and outstanding as of December 31, 2020 and 2019,</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210,266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(60,841)</w:t>
            </w:r>
          </w:p>
        </w:tc>
        <w:tc>
          <w:tcPr>
            <w:tcW w:w="4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(31,302)</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Total stockholders’ equity (deficit)</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149,427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(30,637)</w:t>
            </w:r>
          </w:p>
        </w:tc>
        <w:tc>
          <w:tcPr>
            <w:tcW w:w="0" w:type="dxa"/>
            <w:vAlign w:val="bottom"/>
          </w:tcPr>
          <w:p>
            <w:pPr>
              <w:spacing w:after="0"/>
              <w:rPr>
                <w:sz w:val="1"/>
                <w:szCs w:val="1"/>
                <w:color w:val="auto"/>
              </w:rPr>
            </w:pPr>
          </w:p>
        </w:tc>
      </w:tr>
      <w:tr>
        <w:trPr>
          <w:trHeight w:val="200"/>
        </w:trPr>
        <w:tc>
          <w:tcPr>
            <w:tcW w:w="7720" w:type="dxa"/>
            <w:vAlign w:val="bottom"/>
          </w:tcPr>
          <w:p>
            <w:pPr>
              <w:ind w:left="500"/>
              <w:spacing w:after="0"/>
              <w:rPr>
                <w:sz w:val="20"/>
                <w:szCs w:val="20"/>
                <w:color w:val="auto"/>
              </w:rPr>
            </w:pPr>
            <w:r>
              <w:rPr>
                <w:rFonts w:ascii="Arial" w:cs="Arial" w:eastAsia="Arial" w:hAnsi="Arial"/>
                <w:sz w:val="16"/>
                <w:szCs w:val="16"/>
                <w:color w:val="auto"/>
              </w:rPr>
              <w:t>Total liabilities, redeemable convertible preferred stock and stockholders’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620"/>
              <w:spacing w:after="0"/>
              <w:rPr>
                <w:sz w:val="20"/>
                <w:szCs w:val="20"/>
                <w:color w:val="auto"/>
              </w:rPr>
            </w:pPr>
            <w:r>
              <w:rPr>
                <w:rFonts w:ascii="Arial" w:cs="Arial" w:eastAsia="Arial" w:hAnsi="Arial"/>
                <w:sz w:val="16"/>
                <w:szCs w:val="16"/>
                <w:color w:val="auto"/>
              </w:rPr>
              <w:t>equity (deficit)</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162,883</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23,854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(29,539)</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5,991,213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0" w:type="dxa"/>
            <w:vAlign w:val="bottom"/>
          </w:tcPr>
          <w:p>
            <w:pPr>
              <w:spacing w:after="0"/>
              <w:rPr>
                <w:sz w:val="19"/>
                <w:szCs w:val="19"/>
                <w:color w:val="auto"/>
              </w:rPr>
            </w:pPr>
          </w:p>
        </w:tc>
        <w:tc>
          <w:tcPr>
            <w:tcW w:w="32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Redeemable Convertible Preferred Stock</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56"/>
        </w:trPr>
        <w:tc>
          <w:tcPr>
            <w:tcW w:w="220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16"/>
              <w:spacing w:after="0" w:line="155" w:lineRule="exact"/>
              <w:rPr>
                <w:sz w:val="20"/>
                <w:szCs w:val="20"/>
                <w:color w:val="auto"/>
              </w:rPr>
            </w:pPr>
            <w:r>
              <w:rPr>
                <w:rFonts w:ascii="Arial" w:cs="Arial" w:eastAsia="Arial" w:hAnsi="Arial"/>
                <w:sz w:val="14"/>
                <w:szCs w:val="14"/>
                <w:b w:val="1"/>
                <w:bCs w:val="1"/>
                <w:color w:val="auto"/>
              </w:rPr>
              <w:t>Series A</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Series B</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8"/>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Stockholders'</w:t>
            </w:r>
          </w:p>
        </w:tc>
      </w:tr>
      <w:tr>
        <w:trPr>
          <w:trHeight w:val="156"/>
        </w:trPr>
        <w:tc>
          <w:tcPr>
            <w:tcW w:w="2200" w:type="dxa"/>
            <w:vAlign w:val="bottom"/>
          </w:tcPr>
          <w:p>
            <w:pPr>
              <w:spacing w:after="0"/>
              <w:rPr>
                <w:sz w:val="13"/>
                <w:szCs w:val="13"/>
                <w:color w:val="auto"/>
              </w:rPr>
            </w:pP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Equity (Deficit)</w:t>
            </w:r>
          </w:p>
        </w:tc>
      </w:tr>
      <w:tr>
        <w:trPr>
          <w:trHeight w:val="205"/>
        </w:trPr>
        <w:tc>
          <w:tcPr>
            <w:tcW w:w="22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December</w:t>
            </w: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2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20,000,000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19,872</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764,408</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(18,214)</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(17,802)</w:t>
            </w:r>
          </w:p>
        </w:tc>
      </w:tr>
      <w:tr>
        <w:trPr>
          <w:trHeight w:val="215"/>
        </w:trPr>
        <w:tc>
          <w:tcPr>
            <w:tcW w:w="2200" w:type="dxa"/>
            <w:vAlign w:val="bottom"/>
          </w:tcPr>
          <w:p>
            <w:pPr>
              <w:ind w:left="260"/>
              <w:spacing w:after="0"/>
              <w:rPr>
                <w:sz w:val="20"/>
                <w:szCs w:val="20"/>
                <w:color w:val="auto"/>
              </w:rPr>
            </w:pPr>
            <w:r>
              <w:rPr>
                <w:rFonts w:ascii="Arial" w:cs="Arial" w:eastAsia="Arial" w:hAnsi="Arial"/>
                <w:sz w:val="18"/>
                <w:szCs w:val="18"/>
                <w:color w:val="auto"/>
              </w:rPr>
              <w:t>Issuance of Series A</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260"/>
              <w:spacing w:after="0"/>
              <w:rPr>
                <w:sz w:val="20"/>
                <w:szCs w:val="20"/>
                <w:color w:val="auto"/>
              </w:rPr>
            </w:pPr>
            <w:r>
              <w:rPr>
                <w:rFonts w:ascii="Arial" w:cs="Arial" w:eastAsia="Arial" w:hAnsi="Arial"/>
                <w:sz w:val="18"/>
                <w:szCs w:val="18"/>
                <w:color w:val="auto"/>
              </w:rPr>
              <w:t>redeemable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380"/>
              <w:spacing w:after="0"/>
              <w:rPr>
                <w:sz w:val="20"/>
                <w:szCs w:val="20"/>
                <w:color w:val="auto"/>
              </w:rPr>
            </w:pPr>
            <w:r>
              <w:rPr>
                <w:rFonts w:ascii="Arial" w:cs="Arial" w:eastAsia="Arial" w:hAnsi="Arial"/>
                <w:sz w:val="18"/>
                <w:szCs w:val="18"/>
                <w:color w:val="auto"/>
              </w:rPr>
              <w:t>convertible preferred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260"/>
              <w:spacing w:after="0"/>
              <w:rPr>
                <w:sz w:val="20"/>
                <w:szCs w:val="20"/>
                <w:color w:val="auto"/>
              </w:rPr>
            </w:pPr>
            <w:r>
              <w:rPr>
                <w:rFonts w:ascii="Arial" w:cs="Arial" w:eastAsia="Arial" w:hAnsi="Arial"/>
                <w:sz w:val="18"/>
                <w:szCs w:val="18"/>
                <w:color w:val="auto"/>
              </w:rPr>
              <w:t>stock, net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ind w:left="380"/>
              <w:spacing w:after="0"/>
              <w:rPr>
                <w:sz w:val="20"/>
                <w:szCs w:val="20"/>
                <w:color w:val="auto"/>
              </w:rPr>
            </w:pPr>
            <w:r>
              <w:rPr>
                <w:rFonts w:ascii="Arial" w:cs="Arial" w:eastAsia="Arial" w:hAnsi="Arial"/>
                <w:sz w:val="18"/>
                <w:szCs w:val="18"/>
                <w:color w:val="auto"/>
              </w:rPr>
              <w:t>issuance costs of $60</w:t>
            </w:r>
          </w:p>
        </w:tc>
        <w:tc>
          <w:tcPr>
            <w:tcW w:w="1000" w:type="dxa"/>
            <w:vAlign w:val="bottom"/>
          </w:tcPr>
          <w:p>
            <w:pPr>
              <w:jc w:val="right"/>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7,941</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0"/>
                <w:szCs w:val="20"/>
                <w:color w:val="auto"/>
              </w:rPr>
            </w:pPr>
          </w:p>
        </w:tc>
      </w:tr>
      <w:tr>
        <w:trPr>
          <w:trHeight w:val="215"/>
        </w:trPr>
        <w:tc>
          <w:tcPr>
            <w:tcW w:w="2200" w:type="dxa"/>
            <w:vAlign w:val="bottom"/>
          </w:tcPr>
          <w:p>
            <w:pPr>
              <w:ind w:left="260"/>
              <w:spacing w:after="0"/>
              <w:rPr>
                <w:sz w:val="20"/>
                <w:szCs w:val="20"/>
                <w:color w:val="auto"/>
              </w:rPr>
            </w:pPr>
            <w:r>
              <w:rPr>
                <w:rFonts w:ascii="Arial" w:cs="Arial" w:eastAsia="Arial" w:hAnsi="Arial"/>
                <w:sz w:val="18"/>
                <w:szCs w:val="18"/>
                <w:color w:val="auto"/>
              </w:rPr>
              <w:t>Issuance of warrant to</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260"/>
              <w:spacing w:after="0"/>
              <w:rPr>
                <w:sz w:val="20"/>
                <w:szCs w:val="20"/>
                <w:color w:val="auto"/>
              </w:rPr>
            </w:pPr>
            <w:r>
              <w:rPr>
                <w:rFonts w:ascii="Arial" w:cs="Arial" w:eastAsia="Arial" w:hAnsi="Arial"/>
                <w:sz w:val="18"/>
                <w:szCs w:val="18"/>
                <w:color w:val="auto"/>
              </w:rPr>
              <w:t>purchase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r>
      <w:tr>
        <w:trPr>
          <w:trHeight w:val="229"/>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(13,088)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(13,088)</w:t>
            </w:r>
          </w:p>
        </w:tc>
      </w:tr>
      <w:tr>
        <w:trPr>
          <w:trHeight w:val="205"/>
        </w:trPr>
        <w:tc>
          <w:tcPr>
            <w:tcW w:w="22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December</w:t>
            </w: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31, 2019</w:t>
            </w:r>
          </w:p>
        </w:tc>
        <w:tc>
          <w:tcPr>
            <w:tcW w:w="1000" w:type="dxa"/>
            <w:vAlign w:val="bottom"/>
          </w:tcPr>
          <w:p>
            <w:pPr>
              <w:jc w:val="right"/>
              <w:spacing w:after="0"/>
              <w:rPr>
                <w:sz w:val="20"/>
                <w:szCs w:val="20"/>
                <w:color w:val="auto"/>
              </w:rPr>
            </w:pPr>
            <w:r>
              <w:rPr>
                <w:rFonts w:ascii="Arial" w:cs="Arial" w:eastAsia="Arial" w:hAnsi="Arial"/>
                <w:sz w:val="18"/>
                <w:szCs w:val="18"/>
                <w:color w:val="auto"/>
              </w:rPr>
              <w:t>28,000,000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27,813</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764,408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(31,302)</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(30,637)</w:t>
            </w:r>
          </w:p>
        </w:tc>
      </w:tr>
      <w:tr>
        <w:trPr>
          <w:trHeight w:val="215"/>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Series B</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redeemable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preferred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net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issuance costs of $367</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73,333,330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87,633</w:t>
            </w:r>
          </w:p>
        </w:tc>
        <w:tc>
          <w:tcPr>
            <w:tcW w:w="18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00" w:type="dxa"/>
            <w:vAlign w:val="bottom"/>
          </w:tcPr>
          <w:p>
            <w:pPr>
              <w:ind w:left="260"/>
              <w:spacing w:after="0"/>
              <w:rPr>
                <w:sz w:val="20"/>
                <w:szCs w:val="20"/>
                <w:color w:val="auto"/>
              </w:rPr>
            </w:pPr>
            <w:r>
              <w:rPr>
                <w:rFonts w:ascii="Arial" w:cs="Arial" w:eastAsia="Arial" w:hAnsi="Arial"/>
                <w:sz w:val="18"/>
                <w:szCs w:val="18"/>
                <w:color w:val="auto"/>
              </w:rPr>
              <w:t>Conversion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380"/>
              <w:spacing w:after="0"/>
              <w:rPr>
                <w:sz w:val="20"/>
                <w:szCs w:val="20"/>
                <w:color w:val="auto"/>
              </w:rPr>
            </w:pPr>
            <w:r>
              <w:rPr>
                <w:rFonts w:ascii="Arial" w:cs="Arial" w:eastAsia="Arial" w:hAnsi="Arial"/>
                <w:sz w:val="18"/>
                <w:szCs w:val="18"/>
                <w:color w:val="auto"/>
              </w:rPr>
              <w:t>preferred stock into</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ind w:left="380"/>
              <w:spacing w:after="0"/>
              <w:rPr>
                <w:sz w:val="20"/>
                <w:szCs w:val="20"/>
                <w:color w:val="auto"/>
              </w:rPr>
            </w:pPr>
            <w:r>
              <w:rPr>
                <w:rFonts w:ascii="Arial" w:cs="Arial" w:eastAsia="Arial" w:hAnsi="Arial"/>
                <w:sz w:val="18"/>
                <w:szCs w:val="18"/>
                <w:color w:val="auto"/>
              </w:rPr>
              <w:t>upon initial public</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rPr>
              <w:t>offering</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(28,000,000)</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(27,813)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(73,333,330)</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2"/>
              </w:rPr>
              <w:t>(87,633)</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15,492,019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115,445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115,446</w:t>
            </w:r>
          </w:p>
        </w:tc>
        <w:tc>
          <w:tcPr>
            <w:tcW w:w="100" w:type="dxa"/>
            <w:vAlign w:val="bottom"/>
          </w:tcPr>
          <w:p>
            <w:pPr>
              <w:spacing w:after="0"/>
              <w:rPr>
                <w:sz w:val="20"/>
                <w:szCs w:val="20"/>
                <w:color w:val="auto"/>
              </w:rPr>
            </w:pPr>
          </w:p>
        </w:tc>
      </w:tr>
      <w:tr>
        <w:trPr>
          <w:trHeight w:val="215"/>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Initial public offering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net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underwriting expenses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offering costs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$10,149</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6,900,000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93,351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93,351</w:t>
            </w:r>
          </w:p>
        </w:tc>
        <w:tc>
          <w:tcPr>
            <w:tcW w:w="100" w:type="dxa"/>
            <w:vAlign w:val="bottom"/>
            <w:shd w:val="clear" w:color="auto" w:fill="CFF0FC"/>
          </w:tcPr>
          <w:p>
            <w:pPr>
              <w:spacing w:after="0"/>
              <w:rPr>
                <w:sz w:val="20"/>
                <w:szCs w:val="20"/>
                <w:color w:val="auto"/>
              </w:rPr>
            </w:pPr>
          </w:p>
        </w:tc>
      </w:tr>
      <w:tr>
        <w:trPr>
          <w:trHeight w:val="215"/>
        </w:trPr>
        <w:tc>
          <w:tcPr>
            <w:tcW w:w="2200" w:type="dxa"/>
            <w:vAlign w:val="bottom"/>
          </w:tcPr>
          <w:p>
            <w:pPr>
              <w:ind w:left="260"/>
              <w:spacing w:after="0"/>
              <w:rPr>
                <w:sz w:val="20"/>
                <w:szCs w:val="20"/>
                <w:color w:val="auto"/>
              </w:rPr>
            </w:pPr>
            <w:r>
              <w:rPr>
                <w:rFonts w:ascii="Arial" w:cs="Arial" w:eastAsia="Arial" w:hAnsi="Arial"/>
                <w:sz w:val="18"/>
                <w:szCs w:val="18"/>
                <w:color w:val="auto"/>
              </w:rPr>
              <w:t>Exercise of common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r>
      <w:tr>
        <w:trPr>
          <w:trHeight w:val="215"/>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common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warrant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46,358</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200" w:type="dxa"/>
            <w:vAlign w:val="bottom"/>
          </w:tcPr>
          <w:p>
            <w:pPr>
              <w:ind w:left="260"/>
              <w:spacing w:after="0"/>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r>
      <w:tr>
        <w:trPr>
          <w:trHeight w:val="229"/>
        </w:trPr>
        <w:tc>
          <w:tcPr>
            <w:tcW w:w="2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(29,539)</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(29,539)</w:t>
            </w:r>
          </w:p>
        </w:tc>
      </w:tr>
      <w:tr>
        <w:trPr>
          <w:trHeight w:val="205"/>
        </w:trPr>
        <w:tc>
          <w:tcPr>
            <w:tcW w:w="22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as of December</w:t>
            </w: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31, 2020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23,260,399</w:t>
            </w:r>
          </w:p>
        </w:tc>
        <w:tc>
          <w:tcPr>
            <w:tcW w:w="4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210,266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(60,841)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149,427</w:t>
            </w:r>
          </w:p>
        </w:tc>
        <w:tc>
          <w:tcPr>
            <w:tcW w:w="100" w:type="dxa"/>
            <w:vAlign w:val="bottom"/>
          </w:tcPr>
          <w:p>
            <w:pPr>
              <w:spacing w:after="0"/>
              <w:rPr>
                <w:sz w:val="20"/>
                <w:szCs w:val="20"/>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207"/>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(29,539)</w:t>
            </w: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(13,088)</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(27,519)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Series A redeemable convertible preferred</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stock, net of issuance costs</w:t>
            </w:r>
          </w:p>
        </w:tc>
        <w:tc>
          <w:tcPr>
            <w:tcW w:w="9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Series B redeemable convertible preferred</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net of issuance costs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issuance costs for initial public offering</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term loan, net of issuance costs of $8</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181,035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153,442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157,366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data:</w:t>
            </w: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assets recognized in exchange for lease liabilities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Conversion of Series A redeemable convertible preferred stock to</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380"/>
              <w:spacing w:after="0"/>
              <w:rPr>
                <w:sz w:val="20"/>
                <w:szCs w:val="20"/>
                <w:color w:val="auto"/>
              </w:rPr>
            </w:pPr>
            <w:r>
              <w:rPr>
                <w:rFonts w:ascii="Arial" w:cs="Arial" w:eastAsia="Arial" w:hAnsi="Arial"/>
                <w:sz w:val="18"/>
                <w:szCs w:val="18"/>
                <w:color w:val="auto"/>
              </w:rPr>
              <w:t>common stock upon initial public offering</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27,813</w:t>
            </w:r>
          </w:p>
        </w:tc>
        <w:tc>
          <w:tcPr>
            <w:tcW w:w="160" w:type="dxa"/>
            <w:vAlign w:val="bottom"/>
          </w:tcPr>
          <w:p>
            <w:pPr>
              <w:spacing w:after="0"/>
              <w:rPr>
                <w:sz w:val="23"/>
                <w:szCs w:val="23"/>
                <w:color w:val="auto"/>
              </w:rPr>
            </w:pP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76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Conversion of Series B redeemable convertible preferred stock to</w:t>
            </w: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upon initial public offering</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87,633</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Fair value of common stock warrant issued in connection with term loan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Exercise of 46,358 shares of common stock related to a cashless exercise</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common stock warrant issued in connection with term loan</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right="8160" w:firstLine="8"/>
        <w:spacing w:after="0" w:line="377" w:lineRule="auto"/>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spacing w:after="0" w:line="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to offer markedly improved disease control and reduce steroid burden for patients suffering from classic congenital adrenal hyperplasia (CAH) and a rare form of polycystic ovary syndrome (PCOS). The Company is located in Daly City, California and was incorporated in the state of Delaware in April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October 2020, the Company filed an amendment to the Company’s amended and restated certificate of incorporation to effect a reverse split of shares of the Company’s common stock on a 1-for-6.541 basis (Reverse Stock Split). Adjustments corresponding to the Reverse Stock Split were made to the ratio at which the Company’s redeemable convertible preferred stock converted into common stock in connection with the closing of the initial public offering (IPO). The par value of the common stock and number of shares authorized were not adjusted as a result of the Reverse Stock Split. All references to common stock, options to purchase common stock, warrants, share data, per share data, and related information contained in the financial statements and related footnotes have been retrospectively adjusted to reflect the effect of the Reverse Stock Split for all periods presented.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In October 2020, the Company consummated its IPO and issued a total of 6,900,000 shares of common stock, which includes 900,000 shares issued pursuant to the exercise of the underwriters’ option to purchase additional shares, at an offering price of $15.00 per share. In aggregate, the Company received net proceeds of $93.4 million, after deducting underwriting discounts and commissions and offering expenses. Upon the closing of the IPO, all outstanding shares of the Company’s redeemable convertible preferred stock automatically converted into 15,492,019 shares of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As of December 31, 2020, the Company had cash and cash equivalents of $157.2 million, which is sufficient to fund its planned operations for a period of at least twelve months following the issuance of the accompanying financial statements.</w:t>
      </w:r>
    </w:p>
    <w:p>
      <w:pPr>
        <w:spacing w:after="0" w:line="170"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The Company has incurred significant losses and negative cash flows from operations. During the year ended December 31, 2020, the Company incurred a net loss of $29.5 million and used $27.5 million of cash in operations. As of December 31, 2020, the Company had an accumulated deficit of $60.8 million and does not expect positive cash flows from operations in the foreseeable future. The Company has funded its operations primarily through the issuance and sale of redeemable convertible preferred stock, debt, and the IPO. In February 2020, the Company issued and sold 36,666,665 shares of Series B redeemable convertible preferred stock (Series B preferred stock) for approximately $43.6 million in net proceeds. In August 2020, the Company issued and sold an additional 36,666,665 shares of Series B preferred stock for approximately $44.0 million in net proceeds.</w:t>
      </w:r>
    </w:p>
    <w:p>
      <w:pPr>
        <w:spacing w:after="0" w:line="16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288" w:lineRule="exact"/>
        <w:rPr>
          <w:sz w:val="20"/>
          <w:szCs w:val="20"/>
          <w:color w:val="auto"/>
        </w:rPr>
      </w:pPr>
    </w:p>
    <w:p>
      <w:pPr>
        <w:ind w:right="7680" w:firstLine="8"/>
        <w:spacing w:after="0" w:line="377" w:lineRule="auto"/>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The financial statements and accompanying notes have been prepared in accordance with generally accepted accounting principles in the United States (U.S. GAAP) and include all adjustments necessary for the fair presentation of the Company’s financial position for the periods presented.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valuation of common stock and stock-based compensation, valuation of warrants and income tax and uncertain tax positions. The Company bases its estimates on its historical experience and on assumptions that it believes are reasonable; however, actual results could significantly differ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520" w:firstLine="589"/>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18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The Company is subject to a number of risks similar to other late-stage biopharmaceutical companies including, but not limited to, dependency on the clinical and commercial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and untested manufacturing capabilities, and dependence on key individuals and sole source suppliers.</w:t>
      </w:r>
    </w:p>
    <w:p>
      <w:pPr>
        <w:spacing w:after="0" w:line="157"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The Company will continue to evaluate the impact that these events could have on its future operations, financial position, and results of operations and cash flows.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The Company operates and manages its business as one operating segment, which is the business of designing and developing novel therapies for rare endocrine disorders.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780" w:firstLine="589"/>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 Cash equivalents consist of amounts invested in money market funds.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December 31, 2020 based on the terms of the lease agreement, which expires in 2025, unless extended.</w:t>
      </w:r>
    </w:p>
    <w:p>
      <w:pPr>
        <w:spacing w:after="0" w:line="16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statements of cash flows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8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44" w:lineRule="exact"/>
        <w:rPr>
          <w:rFonts w:ascii="Arial" w:cs="Arial" w:eastAsia="Arial" w:hAnsi="Arial"/>
          <w:sz w:val="18"/>
          <w:szCs w:val="18"/>
          <w:color w:val="auto"/>
        </w:rPr>
      </w:pPr>
    </w:p>
    <w:p>
      <w:pPr>
        <w:ind w:left="1160" w:right="280" w:hanging="572"/>
        <w:spacing w:after="0" w:line="263"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The Company’s financial instruments primarily consist of cash and cash equivalents, prepaid expenses, accounts payable, term loan,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term loan is based on estimated interest rates currently available to the Company for debt with similar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 The Company has not experienced any losses in such accounts and management believes that the Company is not exposed to significant credit risk due to the financial position of the depository institutions in which those deposits are held.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adopted Accounting Standards Update (ASU), No. 2016-02, Leases (Topic 842) effective January 1, 2020.</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and excludes lease incentives.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lease terms may include options to extend or terminate the lease. Lease expense for minimum lease payments is recognized on a straight-line basis over the non-cancelable lease term. 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The Company also elected the package of practical expedients under the transition guidance that will retain the historical lease classification and initial direct costs for any leases that exist prior to adoption of the new guidance and the practical expedient to not separate lease and non-lease components. Prior period amounts have not been adjusted and continue to be reported in accordance with the Company’s historical accounting under previous lease guidance, Accounting Standards Codification (ASC) 840, Leases (Topic 840). See Note 4 to these financial statements for additional detail.</w:t>
      </w:r>
    </w:p>
    <w:p>
      <w:pPr>
        <w:spacing w:after="0" w:line="179"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During 2019, leases were accounted for under ASC 840, Leases, and classified as operating leases. The Company’s operating lease agreements include scheduled rent escalations over the lease term. During 2019, rent expense was charged ratably on a straight-line basis over the life of the lease from the date the Company obtains the legal right to use and control the leased space.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Company records redeemable convertible preferred stock at fair value on the dates of issuance, net of issuance costs. Upon the occurrence of certain events that are outside the Company’s control, including a deemed liquidation event such as a merger, acquisition and sale of all or substantially all of the Company’s assets, holders of the redeemable convertible preferred stock can cause redemption for cash. Therefore, redeemable convertible preferred stock is classified as temporary equity (mezzanine) on the balance sheet as events triggering the liquidation preferences are not solely within the Company’s control. The carrying values of the redeemable convertible preferred stock are adjusted to their liquidation preferences if and when it becomes probable that such a liquidation event will occur. Upon the consummation of the IPO, all shares of redeemable convertible preferred stock outstanding were automatically converted into 15,492,019 shares of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include, but are not limited to, personnel costs, fees paid to external entities that conduct certain non-clinical and clinical development activities on our behalf, manufacturing costs, outside service and consulting costs, and allocated overhead, including rent. Assets acquired that are utilized in research and development that have no alternative future use are also expensed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Clinical trial costs are charged to research and development expense as incurred. The Company accrues for expenses resulting from contracts with clinical research organizations (CROs),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The Company’s policy is to reflect the appropriate expense in the financial statements by matching the appropriate expenses with the period in which services and efforts are expended.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The CRO contracts generally include pass-through fees including, but not limited to, regulatory expenses, investigator fees, laboratory fees and other miscellaneous costs. The Company determines accrual estimates through reports from and discussion with clinical personnel and outside services providers as to the progress or state of completion of trials, or the services completed. The Company estimates accrued expenses as of each balance sheet date based on the facts and circumstances known at that time. The clinical trial accrual is dependent, in part, upon the receipt of timely and accurate reporting from the CROs and other third-party vendors.</w:t>
      </w:r>
    </w:p>
    <w:p>
      <w:pPr>
        <w:spacing w:after="0" w:line="188"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If the actual timing of the performance of services or the level of effort varies from the original estimates, the Company will adjust the accrual accordingly. Payments associated with licensing agreements to acquire exclusive licenses to develop, use, manufacture and commercialize products that have not reached technological feasibility and do not have alternate commercial use are expensed as incurred. Payments made to third parties under these arrangements in advance of the performance of the related services by the third parties are recorded as prepaid expenses until the services are rendered.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These costs are included in general and administrative expenses and were immaterial for each of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In general, deferred tax assets represent future tax benefits to be received when certain expenses previously recognized in the Company’s statements of operations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64"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the forecast of future taxable income and on-going prudent and feasible tax planning initiatives. Based upon the weight of available evidence, the Company has determined that net deferred tax assets should be fully offset by a valuation allowance. When the Company establishes or reduces the valuation allowance against its net deferred tax assets, its provision for income taxes will increase or decrease, respectively, in the period such determination is made. As of December 31, 2020 and 2019, the Company maintains a full valuation allowance on its net deferred tax assets.</w:t>
      </w:r>
    </w:p>
    <w:p>
      <w:pPr>
        <w:spacing w:after="0" w:line="195"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unrecognized tax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The Company has an equity incentive plan under which various types of equity-based awards including, but not limited to, incentive stock options, non-qualified stock options, and restricted stock awards, may be granted to employees, non-employee directors, and non-employee consultants.</w:t>
      </w:r>
    </w:p>
    <w:p>
      <w:pPr>
        <w:spacing w:after="0" w:line="124"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For equity awards granted to employees and directors, the Company recognizes compensation expense based on the estimated grant-date fair values. The fair value of stock options is determined using the Black-Scholes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pricing model. The Company recognizes compensation expense for stock option awards on a straight-line basis over the requisite service period of the award, generally four years. Forfeitures are recorded as they occur.</w:t>
      </w:r>
    </w:p>
    <w:p>
      <w:pPr>
        <w:spacing w:after="0" w:line="170" w:lineRule="exact"/>
        <w:rPr>
          <w:sz w:val="20"/>
          <w:szCs w:val="20"/>
          <w:color w:val="auto"/>
        </w:rPr>
      </w:pPr>
    </w:p>
    <w:p>
      <w:pPr>
        <w:ind w:right="240" w:firstLine="589"/>
        <w:spacing w:after="0" w:line="286" w:lineRule="auto"/>
        <w:rPr>
          <w:sz w:val="20"/>
          <w:szCs w:val="20"/>
          <w:color w:val="auto"/>
        </w:rPr>
      </w:pPr>
      <w:r>
        <w:rPr>
          <w:rFonts w:ascii="Arial" w:cs="Arial" w:eastAsia="Arial" w:hAnsi="Arial"/>
          <w:sz w:val="17"/>
          <w:szCs w:val="17"/>
          <w:color w:val="auto"/>
        </w:rPr>
        <w:t>Stock-based compensation expense related to stock options granted to nonemployees is recognized based on the fair value of the stock options, determined using the Black-Scholes option pricing model, as they are earned. The awards generally vest over the period the Company expects to receive services from the nonemployee. Non-employee stock-based compensation expense was not material in any period presented.</w:t>
      </w:r>
    </w:p>
    <w:p>
      <w:pPr>
        <w:spacing w:after="0" w:line="165"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The Company’s determination of the fair value of stock options with time-based vesting on the date of grant utilizes the Black-Scholes option-pricing model and is impacted by its common stock price as well as other variables including, but not limited to, expected term that options will remain outstanding, expected common stock price volatility over the term of the option awards, risk-free interest rates and expected dividends. The fair value of a stock-based award is recognized over the period during which an optionee is required to provide services in exchange for the option award, known as the requisite service period (usually the vesting period) on a straight-line basis. Stock-based compensation expense is recognized based on the fair value determined on the date of grant and is reduced for forfeitures as they occur.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60" w:firstLine="589"/>
        <w:spacing w:after="0" w:line="269"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employee stock purchase plan and common stock warrants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holders of all series of redeemable convertible preferred stock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right="300" w:firstLine="589"/>
        <w:spacing w:after="0" w:line="301"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Measurement of Credit Losses on Financial Instruments (Topic 326):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ASU 2016-13 requires companies to measure credit losses utilizing a 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166"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In December 2019, the FASB issued ASU 2019-12, Income Taxes (Topic 740):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The amendments in ASU 2019-12 are intended to simplify various aspects related to accounting for income taxes. ASU 2019-12 removes certain exceptions to the general principles in Topic 740 and also clarifies and amends existing guidance to improve consistent application. ASU 2019-12 is effective for public business entities for fiscal years beginning after December 15, 2020 and the Company will adopt on January 1, 2021. The Company is currently assessing the impact of adopting this standard; however, it does not expect the adoption of this guidance to have a material impact on its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In February 2016, the FASB issued ASU 2016-02, Leases. ASU 2016-02 requires a lessee to recognize right of use asset and lease liability for all leases with lease terms of more than 12 months, along with additional qualitative and quantitative disclosures. ASU 2016-02 is effective for the Company beginning January 1, 2022, with early adoption permitted. The Company elected the modified retrospective approach and adopted ASC 842 on January 1, 2020. The Company also elected the package of practical expedients under the transition guidance that will retain the historical lease classification and initial direct costs for any leases that exist prior to adoption of the new guidance and the practical expedient to not separate lease and non-lease components. As of the date of adoption, the Company did not have any leases subject to capitalization under ASC 842, and as such, there was no impact to the financial statements. Since adoption, the Company entered into a new lease and recorded a $1.9 million right-of-use asset and $1.9 million lease liability upon commencement of the lease in September 2020. See Note 5 for further disclosure.</w:t>
      </w:r>
    </w:p>
    <w:p>
      <w:pPr>
        <w:spacing w:after="0" w:line="178"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In August 2018, the FASB issued ASU No. 2018-13, Fair Value Measurement (Topic 820). This new guidance removes, modifies and adds to certain disclosure requirements on fair value measurements in Topic 820. This new guidance became effective for all entities for fiscal years beginning after December 15, 2019. Accordingly, the Company adopted ASU 2018-13 as of January 1, 2020. The adoption did not have any impact on the Company’s financial statements as of and for the year ended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carrying amounts of cash equivalents approximate their fair value based upon quoted market prices. Certain of the Company’s financial instruments are not measured at fair value on a recurring basis but are recorded at amounts that approximate their fair value due to their liquid or short-term nature, such as cash, prepaid expenses, accounts payable and accrued expenses. The Company did not have any financial assets measured nor liabilities recorded at fair value on a recurring or non-recurring basis as of December 31, 2020 and 2019.</w:t>
      </w:r>
    </w:p>
    <w:p>
      <w:pPr>
        <w:spacing w:after="0" w:line="18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estimated fair value of the term loan was $4.8 million as of December 31, 2020 and was based on estimated interest rates currently available to the Company for debt with similar terms, a Level 3 input.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8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current portion</w:t>
            </w:r>
          </w:p>
        </w:tc>
        <w:tc>
          <w:tcPr>
            <w:tcW w:w="8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2,496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research and development expenses were primarily related to clinical trials, preclinical studies, and manufacturing.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ind w:right="40" w:firstLine="589"/>
        <w:spacing w:after="0" w:line="381" w:lineRule="auto"/>
        <w:rPr>
          <w:sz w:val="20"/>
          <w:szCs w:val="20"/>
          <w:color w:val="auto"/>
        </w:rPr>
      </w:pPr>
      <w:r>
        <w:rPr>
          <w:rFonts w:ascii="Arial" w:cs="Arial" w:eastAsia="Arial" w:hAnsi="Arial"/>
          <w:sz w:val="15"/>
          <w:szCs w:val="15"/>
          <w:color w:val="auto"/>
        </w:rPr>
        <w:t>The Company leases space under non-cancelable operating leases which require the Company to pay base rent, real estate taxes, insurance, general repairs, and maintenance. The Company does not have finance leases. As described in Note 2, the Company adopted ASC Topic 842 as of January 1, 2020.</w:t>
      </w:r>
    </w:p>
    <w:p>
      <w:pPr>
        <w:spacing w:after="0" w:line="100"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or minimum lease payments disclosures below as the Company is not reasonably certain to exercise the option. Lease incentives, which relate to rent abatement, were considered in the calculation of the lease liability and right-of-use asset. Lease expense for the year ended December 31, 2020 was $0.1 million.</w:t>
      </w:r>
    </w:p>
    <w:p>
      <w:pPr>
        <w:spacing w:after="0" w:line="176"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In February 2019, the Company entered into a short-term lease for office space with a commencement date of March 2019. Total gross commitments over the 12-month term were $0.2 million. In February 2020, the Company extended the lease for an additional three months for a total of $42 thousand in additional commitments. The lease was terminated in May 2020.</w:t>
      </w:r>
    </w:p>
    <w:p>
      <w:pPr>
        <w:spacing w:after="0" w:line="184"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Short-term lease expense for the year ended December 31, 2020 was $0.1 million. Rent expense for the year ended December 31, 2019 was $0.1 million and was recognized under prior Topic 840.</w:t>
      </w:r>
    </w:p>
    <w:p>
      <w:pPr>
        <w:spacing w:after="0" w:line="17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Lease right-of-use assets and liabilities are recognized at the commencement date based on the present value of the remaining minimum lease payments over the lease term, with certain adjustments as described in Note 2. As the leases do not provide an implicit rate, the Company uses a collateralized incremental borrowing rate based on the information available at the commencement date to determine the lease liability. As of December 31, 2020, the weighted-average remaining lease term for operating leases was 4.9 years and the weighted-average discount rate was 7.0%. Cash paid for amounts included in the measurement of lease liabilities was $37 thousand for the year ended December 31, 2020.</w:t>
      </w:r>
    </w:p>
    <w:p>
      <w:pPr>
        <w:spacing w:after="0" w:line="17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 Variable lease expense for the year ended December 31, 2020 was minimal.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Future minimum annual lease commitments under the Company’s non-cancelable operating leases as of December 31, 2020 were as follows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FF0FC"/>
          </w:tcPr>
          <w:p>
            <w:pPr>
              <w:spacing w:after="0"/>
              <w:rPr>
                <w:sz w:val="19"/>
                <w:szCs w:val="19"/>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undiscounted future minimum lease payments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w:t>
            </w:r>
          </w:p>
        </w:tc>
      </w:tr>
      <w:tr>
        <w:trPr>
          <w:trHeight w:val="263"/>
        </w:trPr>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discounted future minimum lease payments</w:t>
            </w:r>
          </w:p>
        </w:tc>
        <w:tc>
          <w:tcPr>
            <w:tcW w:w="7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Borders>
              <w:bottom w:val="single" w:sz="8" w:color="CFF0FC"/>
            </w:tcBorders>
          </w:tcPr>
          <w:p>
            <w:pPr>
              <w:spacing w:after="0"/>
              <w:rPr>
                <w:sz w:val="22"/>
                <w:szCs w:val="22"/>
                <w:color w:val="auto"/>
              </w:rPr>
            </w:pPr>
          </w:p>
        </w:tc>
      </w:tr>
      <w:tr>
        <w:trPr>
          <w:trHeight w:val="196"/>
        </w:trPr>
        <w:tc>
          <w:tcPr>
            <w:tcW w:w="47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Lease liability, current portion (included in "accrued</w:t>
            </w: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 and other current liabilities" on the</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condensed balance sheet)</w:t>
            </w:r>
          </w:p>
        </w:tc>
        <w:tc>
          <w:tcPr>
            <w:tcW w:w="9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FF0FC"/>
          </w:tcPr>
          <w:p>
            <w:pPr>
              <w:spacing w:after="0"/>
              <w:rPr>
                <w:sz w:val="20"/>
                <w:szCs w:val="20"/>
                <w:color w:val="auto"/>
              </w:rPr>
            </w:pPr>
          </w:p>
        </w:tc>
      </w:tr>
      <w:tr>
        <w:trPr>
          <w:trHeight w:val="229"/>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liability, net of current portion</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liability</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(defined below), repayment dates of all monthly payments of principal due and the maturity date with respect to the Term Loan by six months. All other terms of the Term Loan remained unchanged. The Deferral Agreement was determined to be a debt modification, resulting in a prospective yield adjustment based on the revised terms.</w:t>
      </w:r>
    </w:p>
    <w:p>
      <w:pPr>
        <w:spacing w:after="0" w:line="188"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Pursuant to the Loan Agreement, the Company had the ability to request up to $4.5 million of borrowings in two tranches of term loans. In September 2019, the Company requested $2.5 million from the first tranche (the First Tranche) in connection with the entry into the Loan Agreement. The Loan Agreement provided the option to request an additional $2.0 million (the Second Tranche), after the Company reached certain borrowing conditions as stipulated in the Loan Agreement. The Company satisfied these conditions and drew the Second Tranche of $2.0 million in December 2019. Pursuant to the Deferral Agreement, principal payments shall commence in January 2021 and the Term Loan will mature in September 2022.</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Outstanding principal balances under the Term Loan bear interest at a floating per annum rate equal to the greatest of: (i) 1% below the prime rate,</w:t>
      </w:r>
    </w:p>
    <w:p>
      <w:pPr>
        <w:spacing w:after="0" w:line="46" w:lineRule="exact"/>
        <w:rPr>
          <w:sz w:val="20"/>
          <w:szCs w:val="20"/>
          <w:color w:val="auto"/>
        </w:rPr>
      </w:pPr>
    </w:p>
    <w:p>
      <w:pPr>
        <w:ind w:right="160" w:firstLine="8"/>
        <w:spacing w:after="0" w:line="267"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4.25%, or (iii) 1% below the prime rate as of September 23, 2019. Under the Term Loan, as amended by the Deferral Agreement, the Company is required to make monthly payments of interest only commencing on the first day of the month following the funding date of each respective tranche and continuing thereafter through December 31, 2020 (the Interest-Only Period). Following the Interest-Only Period, the outstanding Term Loan balance will be payable in (i) 21 consecutive equal monthly payments of principal beginning on the first day of the calendar month after the end of the Interest-Only Period and continuing on the same day of each month thereafter, in amounts that would fully amortize such note balance, as of January 1, 2021, over the repayment period, plus (ii) monthly payments of accrued but unpaid interest. The final payment due on the maturity date shall include all outstanding principal and all accrued unpaid interest and an End of Term Payment totaling 6% of the combined principal amount of the First and Second Tranches, or $0.3 million. The End of Term Payment is being accrued through interest expense using the effective interest method. The Company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 connection with the First and Second Tranches under the Loan Agreement, the Company issued a warrant to purchase up to an aggregate of 49,609 shares of common stock at $1.44 per share. The Company determined the initial fair value of the warrant to be $0.1 million using the Black-Scholes option-pricing model. The fair value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170"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The Company also incurred $8 thousand of debt issuance costs in connection with the Term Loan, which is being amortized using the effective interest method over the life of the Term Loan. The unamortized debt issuance costs and debt discount balance was $24 thousand as of December 31, 2020.</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Term Loan and unamortized discount and debt issuance costs balances as of December 31, 2020 are shown below (in thousands):</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7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Term Loan debt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net</w:t>
            </w: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Term Loan, current portion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(2,554)</w:t>
            </w: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net of current portion</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spacing w:after="0" w:line="16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December 31, 2020, management believes that the Company was in compliance with all financial covenants under the Loan Agreement and there had been no material adverse change.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future principal payments per year under the Term Loan were as follows (in thousands):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3060" w:type="dxa"/>
            <w:vAlign w:val="bottom"/>
            <w:tcBorders>
              <w:top w:val="single" w:sz="8" w:color="CFF0FC"/>
            </w:tcBorders>
            <w:shd w:val="clear" w:color="auto" w:fill="CFF0FC"/>
          </w:tcPr>
          <w:p>
            <w:pPr>
              <w:jc w:val="right"/>
              <w:ind w:right="2610"/>
              <w:spacing w:after="0"/>
              <w:rPr>
                <w:sz w:val="20"/>
                <w:szCs w:val="20"/>
                <w:color w:val="auto"/>
              </w:rPr>
            </w:pPr>
            <w:r>
              <w:rPr>
                <w:rFonts w:ascii="Arial" w:cs="Arial" w:eastAsia="Arial" w:hAnsi="Arial"/>
                <w:sz w:val="18"/>
                <w:szCs w:val="18"/>
                <w:color w:val="auto"/>
                <w:w w:val="84"/>
              </w:rPr>
              <w:t>2021</w:t>
            </w:r>
          </w:p>
        </w:tc>
        <w:tc>
          <w:tcPr>
            <w:tcW w:w="2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060" w:type="dxa"/>
            <w:vAlign w:val="bottom"/>
            <w:tcBorders>
              <w:bottom w:val="single" w:sz="8" w:color="CFF0FC"/>
            </w:tcBorders>
          </w:tcPr>
          <w:p>
            <w:pPr>
              <w:jc w:val="right"/>
              <w:ind w:right="2610"/>
              <w:spacing w:after="0"/>
              <w:rPr>
                <w:sz w:val="20"/>
                <w:szCs w:val="20"/>
                <w:color w:val="auto"/>
              </w:rPr>
            </w:pPr>
            <w:r>
              <w:rPr>
                <w:rFonts w:ascii="Arial" w:cs="Arial" w:eastAsia="Arial" w:hAnsi="Arial"/>
                <w:sz w:val="18"/>
                <w:szCs w:val="18"/>
                <w:color w:val="auto"/>
                <w:w w:val="84"/>
              </w:rPr>
              <w:t>2022</w:t>
            </w:r>
          </w:p>
        </w:tc>
        <w:tc>
          <w:tcPr>
            <w:tcW w:w="2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jc w:val="right"/>
              <w:ind w:right="237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made interest payments on the Term Loan of $0.2 million during the year ended December 31, 2020.</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discussed in Note 14, the Loan Agreement was amended in March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year ended December 31, 2020 and management is not aware of any pending or threatened litigation.</w:t>
      </w:r>
    </w:p>
    <w:p>
      <w:pPr>
        <w:spacing w:after="0" w:line="292" w:lineRule="exact"/>
        <w:rPr>
          <w:sz w:val="20"/>
          <w:szCs w:val="20"/>
          <w:color w:val="auto"/>
        </w:rPr>
      </w:pPr>
    </w:p>
    <w:p>
      <w:pPr>
        <w:ind w:right="9700" w:firstLine="8"/>
        <w:spacing w:after="0" w:line="425" w:lineRule="auto"/>
        <w:tabs>
          <w:tab w:leader="none" w:pos="18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ind w:right="20" w:firstLine="589"/>
        <w:spacing w:after="0" w:line="259" w:lineRule="auto"/>
        <w:rPr>
          <w:sz w:val="20"/>
          <w:szCs w:val="20"/>
          <w:color w:val="auto"/>
        </w:rPr>
      </w:pPr>
      <w:r>
        <w:rPr>
          <w:rFonts w:ascii="Arial" w:cs="Arial" w:eastAsia="Arial" w:hAnsi="Arial"/>
          <w:sz w:val="18"/>
          <w:szCs w:val="18"/>
          <w:color w:val="auto"/>
        </w:rPr>
        <w:t>As of December 31, 2020 and 2019, the Company was authorized to issue 200,000,000 and 41,000,000 shares of $0.0001 par value common stock, respectively. Holders of the Company’s common stock are entitled to dividends if and when declared by the Board of Directors of the Company (Board of Directors) and after any redeemable convertible preferred share dividends are fully paid. The holder of each share of common stock is entitled to one vote. As of December 31, 2020, no dividends were declared.</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4,280,690</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2,278,771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859,322</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available for future issuance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2,637,076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Employee stock purchase plan, available for future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220,640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w:t>
            </w:r>
          </w:p>
        </w:tc>
        <w:tc>
          <w:tcPr>
            <w:tcW w:w="160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49,609</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shares reserved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5,136,487</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5,194,219</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Immediately prior to the closing of the IPO, all outstanding shares of the Company’s redeemable convertible preferred stock converted into 15,492,019 shares of common stock and the related carrying value was reclassified to common stock and additional paid-in capital. There were no shares of redeemable convertible preferred stock outstanding as of December 31, 2020.</w:t>
      </w:r>
    </w:p>
    <w:p>
      <w:pPr>
        <w:spacing w:after="0" w:line="184"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Issued and outstanding redeemable convertible preferred stock as of December 31, 2019, and its principal terms during the year then ended were as follows (in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31, 2019</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1"/>
                <w:szCs w:val="11"/>
                <w:color w:val="auto"/>
              </w:rPr>
            </w:pPr>
          </w:p>
        </w:tc>
        <w:tc>
          <w:tcPr>
            <w:tcW w:w="880" w:type="dxa"/>
            <w:vAlign w:val="bottom"/>
          </w:tcPr>
          <w:p>
            <w:pPr>
              <w:jc w:val="center"/>
              <w:ind w:right="84"/>
              <w:spacing w:after="0" w:line="133" w:lineRule="exact"/>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Aggregate</w:t>
            </w:r>
          </w:p>
        </w:tc>
        <w:tc>
          <w:tcPr>
            <w:tcW w:w="160" w:type="dxa"/>
            <w:vAlign w:val="bottom"/>
          </w:tcPr>
          <w:p>
            <w:pPr>
              <w:spacing w:after="0"/>
              <w:rPr>
                <w:sz w:val="11"/>
                <w:szCs w:val="11"/>
                <w:color w:val="auto"/>
              </w:rPr>
            </w:pPr>
          </w:p>
        </w:tc>
        <w:tc>
          <w:tcPr>
            <w:tcW w:w="88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1220" w:type="dxa"/>
            <w:vAlign w:val="bottom"/>
            <w:gridSpan w:val="2"/>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Issue Price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Authorized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28,000,000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During 2020, the Company authorized and issued 73,333,330 shares of Series B preferred stock at $1.20 per share for aggregate net proceeds of $87.6 million.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holders of redeemable convertible preferred stock had various rights and preferences, including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the holders of redeemable convertible preferred stock were entitled to be paid out of the assets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prior and in preference to any distribution to the holders of common stock, an amount equal to the original issuance price, meaning $1.00 per share for each share of Series A redeemable convertible preferred stock (Series A preferred stock) and $1.20 per share for each share of Series B preferred stock, plus all declared but unpaid dividends, if any.</w:t>
      </w:r>
    </w:p>
    <w:p>
      <w:pPr>
        <w:spacing w:after="0" w:line="184" w:lineRule="exact"/>
        <w:rPr>
          <w:sz w:val="20"/>
          <w:szCs w:val="20"/>
          <w:color w:val="auto"/>
        </w:rPr>
      </w:pPr>
    </w:p>
    <w:p>
      <w:pPr>
        <w:jc w:val="both"/>
        <w:ind w:right="220" w:firstLine="589"/>
        <w:spacing w:after="0" w:line="311" w:lineRule="auto"/>
        <w:rPr>
          <w:sz w:val="20"/>
          <w:szCs w:val="20"/>
          <w:color w:val="auto"/>
        </w:rPr>
      </w:pPr>
      <w:r>
        <w:rPr>
          <w:rFonts w:ascii="Arial" w:cs="Arial" w:eastAsia="Arial" w:hAnsi="Arial"/>
          <w:sz w:val="16"/>
          <w:szCs w:val="16"/>
          <w:color w:val="auto"/>
        </w:rPr>
        <w:t>If the assets available for distribution to stockholders were insufficient to pay the holders of shares of the redeemable convertible preferred stock the full amount to which they are entitled, then the entire assets of the Company legally available for distribution would be distributed ratably among the holders of redeemable convertible preferred stock in proportion to the respective amounts each such holder is otherwise entitled to receive.</w:t>
      </w:r>
    </w:p>
    <w:p>
      <w:pPr>
        <w:spacing w:after="0" w:line="149" w:lineRule="exact"/>
        <w:rPr>
          <w:sz w:val="20"/>
          <w:szCs w:val="20"/>
          <w:color w:val="auto"/>
        </w:rPr>
      </w:pPr>
    </w:p>
    <w:p>
      <w:pPr>
        <w:ind w:right="260" w:firstLine="589"/>
        <w:spacing w:after="0" w:line="293" w:lineRule="auto"/>
        <w:rPr>
          <w:sz w:val="20"/>
          <w:szCs w:val="20"/>
          <w:color w:val="auto"/>
        </w:rPr>
      </w:pPr>
      <w:r>
        <w:rPr>
          <w:rFonts w:ascii="Arial" w:cs="Arial" w:eastAsia="Arial" w:hAnsi="Arial"/>
          <w:sz w:val="16"/>
          <w:szCs w:val="16"/>
          <w:color w:val="auto"/>
        </w:rPr>
        <w:t>After the payment to the holders of redeemable convertible preferred stock of the full preferential amount specified above, any remaining assets would be distributed pro rata to the holders of redeemable convertible preferred stock and common stock based upon the respective shares of common stock held by each holder (assuming conversion of all such redeemable convertible preferred stock into common stock). The redeemable convertible preferred stockholders were entitled to receive the greater of the maximum participation amount, meaning $4.00 per share for each share of Series A preferred stock and $4.80 per share for each share of Series B preferred stock, or the amount they would have received if all shares of redeemable convertible preferred stock were converted into common stock immediately prior to such liquidation, dissolution, or wind up.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right="100" w:firstLine="589"/>
        <w:spacing w:after="0" w:line="286" w:lineRule="auto"/>
        <w:rPr>
          <w:sz w:val="20"/>
          <w:szCs w:val="20"/>
          <w:color w:val="auto"/>
        </w:rPr>
      </w:pPr>
      <w:r>
        <w:rPr>
          <w:rFonts w:ascii="Arial" w:cs="Arial" w:eastAsia="Arial" w:hAnsi="Arial"/>
          <w:sz w:val="16"/>
          <w:szCs w:val="16"/>
          <w:color w:val="auto"/>
        </w:rPr>
        <w:t>The shares of redeemable convertible preferred stock were convertible into such number of shares of common stock as is determined by dividing the original issue price by the applicable conversion price in effect at the time of conversion, at the option of the holder. The conversion price was initially equal to $6.541 per share for each share of Series A preferred stock and $7.849 per share for each share of Series B preferred stock, subject to certain anti-dilution adjustments. Additionally, each share of redeemable convertible preferred stock would be automatically converted into common stock</w:t>
      </w:r>
    </w:p>
    <w:p>
      <w:pPr>
        <w:spacing w:after="0" w:line="1" w:lineRule="exact"/>
        <w:rPr>
          <w:sz w:val="20"/>
          <w:szCs w:val="20"/>
          <w:color w:val="auto"/>
        </w:rPr>
      </w:pPr>
    </w:p>
    <w:p>
      <w:pPr>
        <w:ind w:firstLine="8"/>
        <w:spacing w:after="0" w:line="270" w:lineRule="auto"/>
        <w:tabs>
          <w:tab w:leader="none" w:pos="2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immediately prior to the closing of the Company’s sale of its common stock in a firm commitment underwritten public offering pursuant to a registration statement under the Securities Act of 1933, as amended, in which (a) the gross cash proceeds to the Corporation (before underwriting discounts, commissions and fees) were at least $50.0 million, (b) the price per share in the public offering was at least $15.6984 per share, and (c) the Company’s shares were listed for trading on the New York Stock Exchange, Nasdaq Global Select Market or Nasdaq Global Market, or (ii) upon the affirmative election of the holders of a majority shares of then-outstanding shares of redeemable convertible preferred stock, voting together as a single class on an as-converted basis, which majority must include the approval of certain holders of Series B preferred stock.</w:t>
      </w:r>
    </w:p>
    <w:p>
      <w:pPr>
        <w:spacing w:after="0" w:line="178"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In October 2020, pursuant to the closing of the IPO, the holders of Series A and Series B redeemable convertible preferred stock elected to automatically convert all outstanding shares of Series A and Series B redeemable convertible preferred stock into the Company’s common stock, at the then-effective and applicable conversion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holders of redeemable convertible preferred stock were entitled to one vote for each share of common stock into which such redeemable convertible preferred stock could then be converted; and with respect to such vote, such holders have full voting rights and powers equal to the voting rights and powers of the holders of common stock in addition to certain separate voting requirements in favor of the holders of Series A preferred stock and Series B preferred stock.</w:t>
      </w:r>
    </w:p>
    <w:p>
      <w:pPr>
        <w:spacing w:after="0" w:line="18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The holders of Series A preferred stock, voting as a separate class, were entitled to elect two directors to the Board of Directors. The holders of Series B preferred stock, voting as a separate class, were entitled to elect three directors to the Board of Directors. The holders of common stock, voting as a separate class, were entitled to elect one director to the Board of Directors. All common and redeemable convertible preferred stockholders, voting together as a single class on an as-converted basis, were entitled to elect the balance of the total number of directors to the Board of Directors.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The holders of the Series B preferred stock were entitled to receive non-cumulative dividends at an annual rate of 8% of the original issue price of $1.20 per share of the Series B preferred stock when and if declared by the Board of Directors and in preference to any dividends paid to the holders of any other class or series of redeemable convertible preferred stock or common stock. After payment of such Series B preferred stock dividend, the holders of Series A preferred stock were entitled to receive non-cumulative dividends at an annual rate of 8% of the original issue price of $1.00 per share of Series A preferred stock when and if declared by the Board of Directors and in preference to any dividends paid to the holders of common stock. After payment of such Series A preferred stock dividends and Series B preferred stock dividends, any additional dividends would be distributed among the holders of redeemable convertible preferred stock and common stock on a pro rata basis based upon the respective shares of common stock held by each holder (assuming conversion of all such redeemable convertible preferred stock into common stock). No dividends were declared during the years ended December 31, 2020 and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 and 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Equity Incentive Plan</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A total of 2,647,684 shares of common stock were approved to be initially reserved for issuance under the 2020 Plan.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Following the effectiveness of the 2020 Plan, no further grants will be made under the 2016 Plan; however, shares subject to awards granted under the 2016 Plan will continue to be governed by the 2016 Plan. Any shares subject to outstanding stock options or other stock awards that were granted under the 2016 Plan that terminate or expire prior to exercise or settlement; are settled in cash; are forfeited or repurchased because of the failure to vest; or are reacquired or withheld to satisfy a tax withholding obligation or the purchase or exercise price in accordance with the terms of the 2016 Plan will also be reserved for issuance under the 2020 Plan.</w:t>
      </w:r>
    </w:p>
    <w:p>
      <w:pPr>
        <w:spacing w:after="0" w:line="179"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7" w:lineRule="exact"/>
        <w:rPr>
          <w:sz w:val="20"/>
          <w:szCs w:val="20"/>
          <w:color w:val="auto"/>
        </w:rPr>
      </w:pPr>
    </w:p>
    <w:p>
      <w:pPr>
        <w:jc w:val="both"/>
        <w:ind w:right="140" w:firstLine="589"/>
        <w:spacing w:after="0" w:line="311" w:lineRule="auto"/>
        <w:rPr>
          <w:sz w:val="20"/>
          <w:szCs w:val="20"/>
          <w:color w:val="auto"/>
        </w:rPr>
      </w:pPr>
      <w:r>
        <w:rPr>
          <w:rFonts w:ascii="Arial" w:cs="Arial" w:eastAsia="Arial" w:hAnsi="Arial"/>
          <w:sz w:val="16"/>
          <w:szCs w:val="16"/>
          <w:color w:val="auto"/>
        </w:rPr>
        <w:t>The Board of Directors determines the period over which options vest and become exercisable. Options granted to new employees generally vest over a four-year period: 25% of the shares vest on the first anniversary from the vesting commencement date of the option and an additional 1/48th of the shares vest on each monthly anniversary thereafter, subject to the employee’s continuous service through each vesting date.</w:t>
      </w:r>
    </w:p>
    <w:p>
      <w:pPr>
        <w:spacing w:after="0" w:line="149"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The Board of Directors also determines the term of options, provided the maximum term for ISOs granted to a 10% stockholder must be no longer than five years from date of grant and the maximum term for all other options must be no longer than ten years from date of grant. If an option holder’s service terminates, options generally terminate three months from the date of termination except under certain circumstances, such as death or disability.</w:t>
      </w:r>
    </w:p>
    <w:p>
      <w:pPr>
        <w:spacing w:after="0" w:line="149"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Under the 2020 Plan and the 2016 Plan, individuals can be granted the ability to early exercise their options. There were no shares, related to the early exercise of options, subject to repurchase by the Company as of December 31,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summary of the Company’s stock option activity and related information is as follows (in thousands, except share and per share amounts):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430,354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485,150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Forfeited/Cancelled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(56,182)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859,322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1,775,808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(57,614)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Forfeited/Cancelled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(298,745)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49,059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December 31, 2020</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45,965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2,132,726</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as of December 31,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603,963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Stock options vested and expected to vest differs from total stock options outstanding as it excludes performance-based stock options for which the performance criteria have not been achieved as of December 31, 2020. During 2020, the Company granted options to purchase 127,042 shares of common stock with performance criteria stipulating that no shares will vest unless certain financing and other related milestones are achieved. In January 2021, the Board of Directors determined that the performance-based vesting criteria of such options had been satisfied. Additionally, the Company granted an option to purchase 19,003 shares of common stock with the performance criteria stipulating that no shares will vest unless certain clinical development milestones are achieved. As of December 31, 2020, the option awardee had not yet achieved this performance criteria.</w:t>
      </w:r>
    </w:p>
    <w:p>
      <w:pPr>
        <w:spacing w:after="0" w:line="164"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was $0.3 million for the year ended December 31, 2020. There were no options exercised during the years ended December 31, 2019.</w:t>
      </w:r>
    </w:p>
    <w:p>
      <w:pPr>
        <w:spacing w:after="0" w:line="165" w:lineRule="exact"/>
        <w:rPr>
          <w:sz w:val="20"/>
          <w:szCs w:val="20"/>
          <w:color w:val="auto"/>
        </w:rPr>
      </w:pPr>
    </w:p>
    <w:p>
      <w:pPr>
        <w:ind w:right="200" w:firstLine="589"/>
        <w:spacing w:after="0" w:line="377" w:lineRule="auto"/>
        <w:rPr>
          <w:sz w:val="20"/>
          <w:szCs w:val="20"/>
          <w:color w:val="auto"/>
        </w:rPr>
      </w:pPr>
      <w:r>
        <w:rPr>
          <w:rFonts w:ascii="Arial" w:cs="Arial" w:eastAsia="Arial" w:hAnsi="Arial"/>
          <w:sz w:val="16"/>
          <w:szCs w:val="16"/>
          <w:color w:val="auto"/>
        </w:rPr>
        <w:t>As of December 31, 2020, a total of 2,647,684 shares were authorized to be issued under the 2020 Plan and 2,637,076 shares remained available for issuance, and a total of 2,268,163 shares were authorized to be issued under the 2016 Plan and no shares remained available for issuance.</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2019, a total of 863,920 shares were authorized to be issued and 4,598 shares remained available for issuance under the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Granted to Employees</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Company recognizes compensation expense for stock option awards granted to employees on a straight-line basis over the requisite service period of the award, generally four years. During the years ended December 31, 2020 and 2019, the Company granted options to purchase an aggregate of 1,775,808 and 427,055 shares of common stock to grantees with a weighted-average exercise price of $3.33 and $1.43 per share, respectively. For the years ended December 31, 2020 and 2019, the weighted-average fair value of options granted was $3.56 and $0.98 per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share, respectively, and was estimated using the Black-Scholes option-pricing model, with the following weighted-average assumptions: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980" w:type="dxa"/>
            <w:vAlign w:val="bottom"/>
            <w:gridSpan w:val="2"/>
          </w:tcPr>
          <w:p>
            <w:pPr>
              <w:ind w:left="5680"/>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6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6.0</w:t>
            </w: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80.1%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total fair value of options that vested during the years ended December 31, 2020 and 2019 was $0.6 million and $0.1 million,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1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recognizes compensation expense for stock option awards granted to nonemployees as the stock options are earned over the vesting period of the award. During the year ended December 31, 2019, the Company granted options to purchase an aggregate of 58,095 shares of common stock to nonemployees with a weighted-average exercise price of $1.44 per share. The Company did not grant any stock options to nonemployees during the year ended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Stock Purchase Plan</w:t>
      </w:r>
    </w:p>
    <w:p>
      <w:pPr>
        <w:spacing w:after="0" w:line="12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Company’s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 As of December 31, 2020, 220,640 shares of common stock remained available for issuance under the ESPP.</w:t>
      </w:r>
    </w:p>
    <w:p>
      <w:pPr>
        <w:spacing w:after="0" w:line="181"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Except for the initial offering period, the ESPP provides for 24-month offering periods starting every January 1</w:t>
      </w:r>
      <w:r>
        <w:rPr>
          <w:rFonts w:ascii="Arial" w:cs="Arial" w:eastAsia="Arial" w:hAnsi="Arial"/>
          <w:sz w:val="15"/>
          <w:szCs w:val="15"/>
          <w:color w:val="auto"/>
        </w:rPr>
        <w:t>st</w:t>
      </w:r>
      <w:r>
        <w:rPr>
          <w:rFonts w:ascii="Arial" w:cs="Arial" w:eastAsia="Arial" w:hAnsi="Arial"/>
          <w:sz w:val="18"/>
          <w:szCs w:val="18"/>
          <w:color w:val="auto"/>
        </w:rPr>
        <w:t xml:space="preserve"> and July 1</w:t>
      </w:r>
      <w:r>
        <w:rPr>
          <w:rFonts w:ascii="Arial" w:cs="Arial" w:eastAsia="Arial" w:hAnsi="Arial"/>
          <w:sz w:val="15"/>
          <w:szCs w:val="15"/>
          <w:color w:val="auto"/>
        </w:rPr>
        <w:t>st</w:t>
      </w:r>
      <w:r>
        <w:rPr>
          <w:rFonts w:ascii="Arial" w:cs="Arial" w:eastAsia="Arial" w:hAnsi="Arial"/>
          <w:sz w:val="18"/>
          <w:szCs w:val="18"/>
          <w:color w:val="auto"/>
        </w:rPr>
        <w:t>, each consisting of four six-month purchase periods. The initial offering period runs from October 8, 2020 to December 31, 2022.</w:t>
      </w:r>
    </w:p>
    <w:p>
      <w:pPr>
        <w:spacing w:after="0" w:line="170" w:lineRule="exact"/>
        <w:rPr>
          <w:sz w:val="20"/>
          <w:szCs w:val="20"/>
          <w:color w:val="auto"/>
        </w:rPr>
      </w:pPr>
    </w:p>
    <w:p>
      <w:pPr>
        <w:ind w:right="140" w:firstLine="589"/>
        <w:spacing w:after="0" w:line="286" w:lineRule="auto"/>
        <w:rPr>
          <w:sz w:val="20"/>
          <w:szCs w:val="20"/>
          <w:color w:val="auto"/>
        </w:rPr>
      </w:pPr>
      <w:r>
        <w:rPr>
          <w:rFonts w:ascii="Arial" w:cs="Arial" w:eastAsia="Arial" w:hAnsi="Arial"/>
          <w:sz w:val="17"/>
          <w:szCs w:val="17"/>
          <w:color w:val="auto"/>
        </w:rPr>
        <w:t>The Company recognizes compensation expense for its ESPP awards on a straight-line basis over the requisite service period for the entire award, typically two years. Total compensation expense related to the ESPP for the year ended December 31, 2020 was $32 thousand. The following range of assumptions were used to calculate stock-based compensation for each stock purchase right granted under the ESPP:</w:t>
      </w:r>
    </w:p>
    <w:p>
      <w:pPr>
        <w:spacing w:after="0" w:line="34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0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0.7 - 2.2</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jc w:val="right"/>
              <w:spacing w:after="0"/>
              <w:rPr>
                <w:sz w:val="20"/>
                <w:szCs w:val="20"/>
                <w:color w:val="auto"/>
              </w:rPr>
            </w:pPr>
            <w:r>
              <w:rPr>
                <w:rFonts w:ascii="Arial" w:cs="Arial" w:eastAsia="Arial" w:hAnsi="Arial"/>
                <w:sz w:val="18"/>
                <w:szCs w:val="18"/>
                <w:color w:val="auto"/>
              </w:rPr>
              <w:t>89.2</w:t>
            </w:r>
          </w:p>
        </w:tc>
        <w:tc>
          <w:tcPr>
            <w:tcW w:w="780" w:type="dxa"/>
            <w:vAlign w:val="bottom"/>
          </w:tcPr>
          <w:p>
            <w:pPr>
              <w:ind w:left="40"/>
              <w:spacing w:after="0"/>
              <w:rPr>
                <w:sz w:val="20"/>
                <w:szCs w:val="20"/>
                <w:color w:val="auto"/>
              </w:rPr>
            </w:pPr>
            <w:r>
              <w:rPr>
                <w:rFonts w:ascii="Arial" w:cs="Arial" w:eastAsia="Arial" w:hAnsi="Arial"/>
                <w:sz w:val="18"/>
                <w:szCs w:val="18"/>
                <w:color w:val="auto"/>
              </w:rPr>
              <w:t>- 93.0%</w:t>
            </w:r>
          </w:p>
        </w:tc>
        <w:tc>
          <w:tcPr>
            <w:tcW w:w="200" w:type="dxa"/>
            <w:vAlign w:val="bottom"/>
          </w:tcPr>
          <w:p>
            <w:pPr>
              <w:spacing w:after="0"/>
              <w:rPr>
                <w:sz w:val="19"/>
                <w:szCs w:val="19"/>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- 0.2%</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200" w:type="dxa"/>
            <w:vAlign w:val="bottom"/>
          </w:tcPr>
          <w:p>
            <w:pPr>
              <w:spacing w:after="0"/>
              <w:rPr>
                <w:sz w:val="20"/>
                <w:szCs w:val="20"/>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Equity-Settled Awards</w:t>
      </w:r>
    </w:p>
    <w:p>
      <w:pPr>
        <w:spacing w:after="0" w:line="12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Prior to the IPO, the fair value of the Company’s common stock was determined by the Board of Directors since it was not publicly traded. The Board of Directors determined fair value of the common stock at the time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grant of the option by considering a number of objective and subjective factors including valuation of comparable companies, sales of redeemable convertible preferred stock to third parties, operating and financial performance, the lack of liquidity of capital stock, and general and industry specific economic outlook, amongst other factors. Following the IPO, the fair market value of the Company’s common stock is determined based on the closing price of its common stock on the Nasdaq Global Select Market.</w:t>
      </w:r>
    </w:p>
    <w:p>
      <w:pPr>
        <w:spacing w:after="0" w:line="187"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several complex variables. Changes in the assumptions can materially affect the fair value and ultimately how much stock-based compensation expense is recognized. These inputs are subjective and generally require significant analysis and judgment to develop. These inputs are as follows:</w:t>
      </w:r>
    </w:p>
    <w:p>
      <w:pPr>
        <w:spacing w:after="0" w:line="41" w:lineRule="exact"/>
        <w:rPr>
          <w:sz w:val="20"/>
          <w:szCs w:val="20"/>
          <w:color w:val="auto"/>
        </w:rPr>
      </w:pPr>
    </w:p>
    <w:p>
      <w:pPr>
        <w:ind w:left="1160" w:right="40" w:hanging="572"/>
        <w:spacing w:after="0" w:line="287" w:lineRule="auto"/>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expected term for employees is based on the simplified method, as the Company’s stock options have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(i) granted at-the-money; (ii) exercisability is conditioned upon service through the vesting date; (iii) termination of service prior to vesting results in forfeiture; (iv) limited exercise period following termination of service; and (v) options are non-</w:t>
      </w:r>
    </w:p>
    <w:p>
      <w:pPr>
        <w:spacing w:after="0" w:line="2" w:lineRule="exact"/>
        <w:rPr>
          <w:rFonts w:ascii="Arial" w:cs="Arial" w:eastAsia="Arial" w:hAnsi="Arial"/>
          <w:sz w:val="16"/>
          <w:szCs w:val="16"/>
          <w:color w:val="auto"/>
        </w:rPr>
      </w:pPr>
    </w:p>
    <w:p>
      <w:pPr>
        <w:ind w:left="1160" w:right="520"/>
        <w:spacing w:after="0" w:line="260" w:lineRule="auto"/>
        <w:rPr>
          <w:rFonts w:ascii="Arial" w:cs="Arial" w:eastAsia="Arial" w:hAnsi="Arial"/>
          <w:sz w:val="16"/>
          <w:szCs w:val="16"/>
          <w:color w:val="auto"/>
        </w:rPr>
      </w:pPr>
      <w:r>
        <w:rPr>
          <w:rFonts w:ascii="Arial" w:cs="Arial" w:eastAsia="Arial" w:hAnsi="Arial"/>
          <w:sz w:val="18"/>
          <w:szCs w:val="18"/>
          <w:color w:val="auto"/>
        </w:rPr>
        <w:t>transferable and non-hedgeable, or “plain vanilla” options, and the Company has limited history of exercise data. The expected term for non-employees is based on the remaining contractual term.</w:t>
      </w:r>
    </w:p>
    <w:p>
      <w:pPr>
        <w:spacing w:after="0" w:line="77" w:lineRule="exact"/>
        <w:rPr>
          <w:rFonts w:ascii="Arial" w:cs="Arial" w:eastAsia="Arial" w:hAnsi="Arial"/>
          <w:sz w:val="16"/>
          <w:szCs w:val="16"/>
          <w:color w:val="auto"/>
        </w:rPr>
      </w:pPr>
    </w:p>
    <w:p>
      <w:pPr>
        <w:ind w:left="1160" w:right="40" w:hanging="572"/>
        <w:spacing w:after="0" w:line="259"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estimated based on the historical volatilities for comparable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biopharmaceutical companies. In evaluating similarity, the Company considered factors such as market capitalization, stage of development, area of specialty, and stock-specific attributes. The Company will continue to analyze the historical stock price volatility and expected term assumptions as more historical data for the Company’s common stock becomes available.</w:t>
      </w:r>
    </w:p>
    <w:p>
      <w:pPr>
        <w:spacing w:after="0" w:line="78"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U.S. Treasury constant maturity rates with remaining terms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options.</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never paid any dividends and does not plan to pay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used an expected dividend rate of zero in the valuation model.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Forfeitures</w:t>
      </w:r>
      <w:r>
        <w:rPr>
          <w:rFonts w:ascii="Arial" w:cs="Arial" w:eastAsia="Arial" w:hAnsi="Arial"/>
          <w:sz w:val="18"/>
          <w:szCs w:val="18"/>
          <w:color w:val="auto"/>
        </w:rPr>
        <w:t>.  The Company accounts for forfeitures as they occur.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 of operations during the years ended December 31, 2020 and 2019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Unrecognized stock-based compensation expense as of December 31, 2020 was approximately $5.0 million, which is expected to be recognized over a weighted-average vesting term of 3.5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149"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As partial consideration for the rights granted to the Company under the License Agreement, the Company made a one-time upfront payment to Lilly of $0.8 million during the year ended December 31, 2016, which was recorded as research and development expense as there was no alternative use due to the early stage of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technology. 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License Agreement.</w:t>
      </w:r>
    </w:p>
    <w:p>
      <w:pPr>
        <w:spacing w:after="0" w:line="192"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The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Company has incurred cumulative domestic net operating losses (NOL) since inception and, consequently, has not recorded any income tax expense for the years ended December 31, 2020 and 2019 due to its net operating loss position.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reconciliation of the federal statutory income tax rate to the Company’s effective tax rate is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4"/>
              </w:rPr>
              <w:t>December 31,</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tax rate</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Tax credits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(23.15)%</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Prior year true-up for state net operating losses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89"/>
        <w:spacing w:after="0" w:line="301"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Realization of deferred tax assets is dependent upon future earnings, if any, the timing and amount of which are uncertain. Accordingly, the net deferred tax assets have been fully offset by a valuation allowance. The net valuation allowance increased by approximately $12.2 million and $3.0 million during the years ended December 31, 2020 and 2019, respectively.</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Significant components of the Company’s net deferred tax assets and liabilities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1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16,381</w:t>
            </w:r>
          </w:p>
        </w:tc>
        <w:tc>
          <w:tcPr>
            <w:tcW w:w="14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6,259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Total gross deferred tax assets</w:t>
            </w:r>
          </w:p>
        </w:tc>
        <w:tc>
          <w:tcPr>
            <w:tcW w:w="1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ind w:left="1700"/>
              <w:spacing w:after="0"/>
              <w:rPr>
                <w:sz w:val="20"/>
                <w:szCs w:val="20"/>
                <w:color w:val="auto"/>
              </w:rPr>
            </w:pPr>
            <w:r>
              <w:rPr>
                <w:rFonts w:ascii="Arial" w:cs="Arial" w:eastAsia="Arial" w:hAnsi="Arial"/>
                <w:sz w:val="18"/>
                <w:szCs w:val="18"/>
                <w:color w:val="auto"/>
                <w:w w:val="99"/>
              </w:rPr>
              <w:t>Valuation allowance for deferred tax assets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20" w:type="dxa"/>
            <w:vAlign w:val="bottom"/>
            <w:vMerge w:val="restart"/>
          </w:tcPr>
          <w:p>
            <w:pPr>
              <w:jc w:val="right"/>
              <w:ind w:right="1210"/>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As of December 31, 2020, the Company had federal net operating loss carryforwards of approximately $58.6 million and $58.4 million in state net operating loss carryforwards. If not utilized, the federal net operating loss carryforwards incurred before January 1, 2018 will begin to expire in 2036, and state net operating loss carryforwards will begin to expire in 2036. The federal net operating losses of $51.4 million incurred in 2018 and beyond do not expire.</w:t>
      </w:r>
    </w:p>
    <w:p>
      <w:pPr>
        <w:spacing w:after="0" w:line="187"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Under Sections 382 and 383 of the Internal Revenue Code (IRC) of 1986, as amended (the Code), if a corporation undergoes an “ownership change,” the company’s ability to use its pre-change net operating loss carryforwards and other pre-change attributes, such as research tax credits, to offset its post-change income may be limited. In general, an “ownership change” will occur if there is a cumulative change in ownership by “5% shareholders” that exceeds 50 percentage points over a rolling three-year period. Tax credits are subject to IRC Section 383. In the event of a change in ownership as defined by this code section, the usage of the credits may be limited. Similar rules may apply under state tax laws. As of December 31, 2020, the Company determined that an ownership change occurred on May 2, 2016 and August 7, 2020. As a result of the ownership changes, the Company derecognized an immaterial amount of net operating loss-related deferred tax assets for federal and state purposes as of December 31, 2020. The ability of the Company to use its remaining net operating loss carryforwards is subject to Section 382 limitation and may be further limited if the Company experiences a Section 382 ownership change as a result of future changes in its stock ownership.</w:t>
      </w:r>
    </w:p>
    <w:p>
      <w:pPr>
        <w:spacing w:after="0" w:line="181"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As of December 31, 2020, the Company had federal and state tax credit carryforwards of approximately $3.0 million and $0.6 million, respectively. If not utilized, the federal tax credits will begin to expire in 2036 and the state tax credits do not expire. As a result of the previously mentioned ownership changes, the Company has derecognized approximately $2 thousand of gross federal tax credit-related deferred tax assets due to the Section 383 limitation as of December 31, 2020. The Company has not derecognized any of the state tax credit-related deferred tax assets because the credits do not expire.</w:t>
      </w:r>
    </w:p>
    <w:p>
      <w:pPr>
        <w:spacing w:after="0" w:line="157"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2020 tax provision.</w:t>
      </w:r>
    </w:p>
    <w:p>
      <w:pPr>
        <w:spacing w:after="0" w:line="15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On June 29, 2020, the California Governor signed Assembly Bill 85 (A.B. 85), which became California law, A.B. 85, which includes several tax measures, provided for a three-year suspension of the use of net operating losses for medium and large businesses and a three-year cap on the use of business incentive tax credits to offset no more than $5.0 million of tax per year. Generally, A.B. 85 suspends the use of net operating losses for taxable years 2020, 2021 and 2022 for taxable income of $1.0 million or more. Since the Company is not expected to generate California source taxable income of more than $1.0 million, no material impact is anticipated at this time.</w:t>
      </w:r>
    </w:p>
    <w:p>
      <w:pPr>
        <w:spacing w:after="0" w:line="188"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On December 27, 2020, the “Consolidated Appropriations Act, 2021” (the CAA) was signed into law. The CAA includes provisions meant to clarify and modify certain items put forth in the CARES Act, while providing aid to business affected by the pandemic. The CAA allows deductions for expenses paid for by Paycheck Protection Program (PPP) and Economic Injury Disaster Loan (EIDL) Program, clarifies forgiveness of EIDL advances, and other business provisions. The Company analyzed the provisions of the CAA and determined there was no significant impact to its 2020 tax provision.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Income Tax Positions</w:t>
      </w:r>
    </w:p>
    <w:p>
      <w:pPr>
        <w:spacing w:after="0" w:line="121"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 Company accounts for uncertainty in income taxes in accordance with ASC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be recognized in the financial statements. The tax position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is measured as the largest amount of benefit that is greater than 50% likely of being realized upon ultimate settlement.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does not expect the amount of unrecognized tax benefits to materially change in the next 12 months.</w:t>
      </w:r>
    </w:p>
    <w:p>
      <w:pPr>
        <w:spacing w:after="0" w:line="225"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Company had approximately $1.1 million and $0.4 million of unrecognized tax benefits as of December 31, 2020 and 2019, respectively. As the Company has a full valuation allowance on its deferred tax assets, the unrecognized tax benefits have reduced the net deferred tax assets and the valuation allowance in the same amount.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beginning and ending balance of the unrecognized tax benefits is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3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Increase of unrecognized tax benefits taken in</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Increase of unrecognized tax benefits related to</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FF0FC"/>
          </w:tcPr>
          <w:p>
            <w:pPr>
              <w:spacing w:after="0"/>
              <w:rPr>
                <w:sz w:val="20"/>
                <w:szCs w:val="20"/>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98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Interest and penalty related to unrecognized tax benefits would be included as income tax expense in the Company’s statements of operations. As of December 31, 2020 and 2019, the Company had not recognized any tax-related penalties or interest in its financial statements.</w:t>
      </w:r>
    </w:p>
    <w:p>
      <w:pPr>
        <w:spacing w:after="0" w:line="14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files income tax returns in the U.S. federal jurisdiction and California state jurisdiction. The Company is not currently under audit by the Internal Revenue Service or any other similar state, local, or foreign authority. All tax years remain open to examination by major taxing jurisdictions to which the Company is subject.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401(k) Retirement Savings Plan</w:t>
      </w:r>
    </w:p>
    <w:p>
      <w:pPr>
        <w:spacing w:after="0" w:line="121" w:lineRule="exact"/>
        <w:rPr>
          <w:sz w:val="20"/>
          <w:szCs w:val="20"/>
          <w:color w:val="auto"/>
        </w:rPr>
      </w:pPr>
    </w:p>
    <w:p>
      <w:pPr>
        <w:jc w:val="both"/>
        <w:ind w:right="200" w:firstLine="589"/>
        <w:spacing w:after="0" w:line="286" w:lineRule="auto"/>
        <w:rPr>
          <w:sz w:val="20"/>
          <w:szCs w:val="20"/>
          <w:color w:val="auto"/>
        </w:rPr>
      </w:pPr>
      <w:r>
        <w:rPr>
          <w:rFonts w:ascii="Arial" w:cs="Arial" w:eastAsia="Arial" w:hAnsi="Arial"/>
          <w:sz w:val="17"/>
          <w:szCs w:val="17"/>
          <w:color w:val="auto"/>
        </w:rPr>
        <w:t>In December 2017, the Company adopted a 401(k) plan (the 401(k) Plan) for all employees who have met certain eligibility requirements. Under the agreement, employees may elect to contribute a portion of their eligible compensation, subject to certain limitations. The Company did not make any matching employer contributions to the 401(k) Plan as of and for the years ended December 31, 2020 and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53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(29,539)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(13,088)</w:t>
            </w:r>
          </w:p>
        </w:tc>
      </w:tr>
      <w:tr>
        <w:trPr>
          <w:trHeight w:val="210"/>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69"/>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5,991,213</w:t>
            </w:r>
          </w:p>
        </w:tc>
        <w:tc>
          <w:tcPr>
            <w:tcW w:w="14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80" w:type="dxa"/>
            <w:vAlign w:val="bottom"/>
            <w:tcBorders>
              <w:bottom w:val="single" w:sz="8" w:color="CFF0FC"/>
            </w:tcBorders>
          </w:tcPr>
          <w:p>
            <w:pPr>
              <w:spacing w:after="0"/>
              <w:rPr>
                <w:sz w:val="23"/>
                <w:szCs w:val="23"/>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(on an if-converted basis)</w:t>
            </w:r>
          </w:p>
        </w:tc>
        <w:tc>
          <w:tcPr>
            <w:tcW w:w="160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4,280,690</w:t>
            </w:r>
          </w:p>
        </w:tc>
        <w:tc>
          <w:tcPr>
            <w:tcW w:w="80" w:type="dxa"/>
            <w:vAlign w:val="bottom"/>
            <w:shd w:val="clear" w:color="auto" w:fill="CFF0FC"/>
          </w:tcPr>
          <w:p>
            <w:pPr>
              <w:spacing w:after="0"/>
              <w:rPr>
                <w:sz w:val="20"/>
                <w:szCs w:val="20"/>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Shares subject to outstanding common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2,278,771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859,322</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Estimated shares issuable under the employee stock 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24,118</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Shares subject to common stock warrants</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49,609</w:t>
            </w:r>
          </w:p>
        </w:tc>
        <w:tc>
          <w:tcPr>
            <w:tcW w:w="80" w:type="dxa"/>
            <w:vAlign w:val="bottom"/>
          </w:tcPr>
          <w:p>
            <w:pPr>
              <w:spacing w:after="0"/>
              <w:rPr>
                <w:sz w:val="19"/>
                <w:szCs w:val="19"/>
                <w:color w:val="auto"/>
              </w:rPr>
            </w:pPr>
          </w:p>
        </w:tc>
      </w:tr>
      <w:tr>
        <w:trPr>
          <w:trHeight w:val="223"/>
        </w:trPr>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2,302,889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5,189,621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Grants and Modification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January 2021, the Company granted options to purchase an aggregate of 351,000 shares of common stock to employees pursuant to the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firstLine="864"/>
        <w:spacing w:after="0" w:line="303" w:lineRule="auto"/>
        <w:rPr>
          <w:sz w:val="20"/>
          <w:szCs w:val="20"/>
          <w:color w:val="auto"/>
        </w:rPr>
      </w:pPr>
      <w:r>
        <w:rPr>
          <w:rFonts w:ascii="Arial" w:cs="Arial" w:eastAsia="Arial" w:hAnsi="Arial"/>
          <w:sz w:val="17"/>
          <w:szCs w:val="17"/>
          <w:color w:val="auto"/>
        </w:rPr>
        <w:t>During 2020, the Company granted options to certain executive officers to purchase 127,042 shares of common stock with performance criteria stipulating that no shares will vest unless certain financing and other related milestones are achieved. In January 2021, the Board of Directors determined that the performance-based vesting criteria of such options had been satisfied, which was deemed as a modification.</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First Amendment to Loan and Security Agreement</w:t>
      </w:r>
    </w:p>
    <w:p>
      <w:pPr>
        <w:spacing w:after="0" w:line="333"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In March 2021, the Company and SVB entered into a First Amendment to Loan and Security Agreement (the First Amendment), pursuant to which the Company and SVB amended the Loan Agreement. The First Amendment increases the aggregate principal amount of the Term Loan commitment by SVB to up to $30.0 million dollars. Up to $20.0 million is available under the first tranche of the Term Loan (the First Tranche), $5.0 million of which was advanced immediately to repay the outstanding obligations under the Term Loan prior to the First Amendment with the remainder of the First Tranche commitments available through December 31, 2021, and up to $10.0 million is available under the second tranche (the Second Tranche) subject to the completion of certain clinical and financial milestones which Second Tranche commitment is available through December 31, 2022. Pursuant to the First Amendment, the Term Loan will mature on January 1, 2026.</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92" w:lineRule="exact"/>
        <w:rPr>
          <w:sz w:val="20"/>
          <w:szCs w:val="20"/>
          <w:color w:val="auto"/>
        </w:rPr>
      </w:pPr>
    </w:p>
    <w:p>
      <w:pPr>
        <w:ind w:right="160" w:firstLine="864"/>
        <w:spacing w:after="0" w:line="289" w:lineRule="auto"/>
        <w:rPr>
          <w:sz w:val="20"/>
          <w:szCs w:val="20"/>
          <w:color w:val="auto"/>
        </w:rPr>
      </w:pPr>
      <w:r>
        <w:rPr>
          <w:rFonts w:ascii="Arial" w:cs="Arial" w:eastAsia="Arial" w:hAnsi="Arial"/>
          <w:sz w:val="16"/>
          <w:szCs w:val="16"/>
          <w:color w:val="auto"/>
        </w:rPr>
        <w:t>Following the interest-only period, the outstanding Term Loan balance will be payable in (i) 37 consecutive monthly payments (or 25 if the Company borrows under the Second Tranche) after the end of the Amendment Interest-Only Period and continuing on the same day of each month thereafter, in amounts that would fully amortize such Term Loan balance, as of the first business day of the first month following the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5"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2020.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due to a transition period established by rules of the SEC for newly public companies. Additionally, our independent registered public accounting firm will not be required to opine on our internal control over financial reporting until we are no longer an emerging growth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Other than disclosed below, there were no changes in our internal control over financial reporting (as defined in Rule 13a-15(f) of the Exchange Act) that occurred during the period covered by this Annual Report that has materially affected or is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Our management previously identified a material weakness in our internal control over financial reporting primarily related to a lack of timely review over the financial statement close process in connection with the audit of our financial statements as of and for the year ended December 31, 2019.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management determined that we did not have a sufficient complement of qualified personnel within the accounting function and had a lack of segregation of duties to adequately conduct review and analysis of certain routine transactions. In response to the material weakness identified, management developed and implemented the following remedial actions to address the underlying causes of the material weakness, which were subject to senior management review and Audit Committee oversight:</w:t>
      </w:r>
    </w:p>
    <w:p>
      <w:pPr>
        <w:spacing w:after="0" w:line="84" w:lineRule="exact"/>
        <w:rPr>
          <w:sz w:val="20"/>
          <w:szCs w:val="20"/>
          <w:color w:val="auto"/>
        </w:rPr>
      </w:pPr>
    </w:p>
    <w:p>
      <w:pPr>
        <w:ind w:left="1460" w:right="560" w:hanging="440"/>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Hired a Chief Financial Officer, Corporate Controller and other accounting personnel with appropriate technical accounting and financial reporting experience;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460" w:hanging="440"/>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Segregated incompatible duties and implemented controls where segregation of duties could not be achieved;</w:t>
      </w:r>
    </w:p>
    <w:p>
      <w:pPr>
        <w:spacing w:after="0" w:line="144" w:lineRule="exact"/>
        <w:rPr>
          <w:rFonts w:ascii="Arial" w:cs="Arial" w:eastAsia="Arial" w:hAnsi="Arial"/>
          <w:sz w:val="18"/>
          <w:szCs w:val="18"/>
          <w:color w:val="auto"/>
        </w:rPr>
      </w:pPr>
    </w:p>
    <w:p>
      <w:pPr>
        <w:ind w:left="1460" w:hanging="440"/>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Implemented a formal process for our review procedures during the financial close process; and</w:t>
      </w:r>
    </w:p>
    <w:p>
      <w:pPr>
        <w:spacing w:after="0" w:line="144" w:lineRule="exact"/>
        <w:rPr>
          <w:rFonts w:ascii="Arial" w:cs="Arial" w:eastAsia="Arial" w:hAnsi="Arial"/>
          <w:sz w:val="18"/>
          <w:szCs w:val="18"/>
          <w:color w:val="auto"/>
        </w:rPr>
      </w:pPr>
    </w:p>
    <w:p>
      <w:pPr>
        <w:ind w:left="1460" w:hanging="440"/>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Developed and formally documented policies and procedures relating to our internal control over financial reporting.</w:t>
      </w:r>
    </w:p>
    <w:p>
      <w:pPr>
        <w:spacing w:after="0" w:line="252"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Our management has concluded, based on evidence obtained in validating the design and operating effectiveness of the controls, that the efforts undertaken to enhance the design of our controls would lead to the prevention or detection of a material misstatement of our financial statements. As such, our management concluded that we have remediated this material weakness as of December 31, 2020.</w:t>
      </w:r>
    </w:p>
    <w:p>
      <w:pPr>
        <w:spacing w:after="0" w:line="18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Other than described above, there was no change in our internal control over financial reporting during the quarter ended December 31, 2020,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On March 19, 2021, the Company and SVB entered the First Amendment, pursuant to which the Company and SVB amended the Loan Agreement. The First Amendment increases the aggregate principal amount of the Term Loan commitment by SVB to up to $30.0 million dollars. Up to $20.0 million is available under the First Tranche of the Term Loan, $5.0 million of which was advanced immediately to repay the outstanding obligations under the Term Loan prior to the First Amendment with the remainder of the First Tranche commitments available through December 31, 2021, and up to $10.0 million is available under the Second Tranche subject to the completion of certain clinical and financial milestones which Second Tranche commitment is available through December 31, 2022. Pursuant to the First Amendment, the Term Loan will mature on January 1, 2026.</w:t>
      </w:r>
    </w:p>
    <w:p>
      <w:pPr>
        <w:spacing w:after="0" w:line="16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92"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is set forth in our definitive proxy statement to be filed with respect to the 2021 annual meeting of stockholders (the “Proxy Statement”), all of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3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(a)(1)</w:t>
        <w:tab/>
        <w:t>Financial Statements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financial statements are included in Item 8. “Financial Statements and Supplementary Data.”</w:t>
      </w:r>
    </w:p>
    <w:p>
      <w:pPr>
        <w:spacing w:after="0" w:line="3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 schedules are omitted as information required is inapplicable or the information is presented in the financial statements and the related notes.</w:t>
      </w:r>
    </w:p>
    <w:p>
      <w:pPr>
        <w:spacing w:after="0" w:line="3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(a)(3)</w:t>
        <w:tab/>
        <w:t>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2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20" w:type="dxa"/>
            <w:vAlign w:val="bottom"/>
            <w:gridSpan w:val="1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5"/>
                <w:szCs w:val="15"/>
                <w:color w:val="auto"/>
              </w:rPr>
            </w:pPr>
          </w:p>
        </w:tc>
        <w:tc>
          <w:tcPr>
            <w:tcW w:w="10020" w:type="dxa"/>
            <w:vAlign w:val="bottom"/>
            <w:tcBorders>
              <w:top w:val="single" w:sz="8" w:color="auto"/>
            </w:tcBorders>
            <w:gridSpan w:val="22"/>
          </w:tcPr>
          <w:p>
            <w:pPr>
              <w:spacing w:after="0" w:line="182"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Amended and Restated Certificate of Incorporation (filed as Exhibit 3.1 to the registrant’s Current Report on Form 8-K, filed with the SEC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on October 14, 2020, and incorporated by reference herein).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0020" w:type="dxa"/>
            <w:vAlign w:val="bottom"/>
            <w:gridSpan w:val="22"/>
          </w:tcPr>
          <w:p>
            <w:pPr>
              <w:spacing w:after="0"/>
              <w:rPr>
                <w:rFonts w:ascii="Arial" w:cs="Arial" w:eastAsia="Arial" w:hAnsi="Arial"/>
                <w:sz w:val="18"/>
                <w:szCs w:val="18"/>
                <w:color w:val="0000EE"/>
                <w:w w:val="94"/>
              </w:rPr>
            </w:pPr>
            <w:hyperlink r:id="rId183">
              <w:r>
                <w:rPr>
                  <w:rFonts w:ascii="Arial" w:cs="Arial" w:eastAsia="Arial" w:hAnsi="Arial"/>
                  <w:sz w:val="18"/>
                  <w:szCs w:val="18"/>
                  <w:color w:val="0000EE"/>
                  <w:w w:val="94"/>
                </w:rPr>
                <w:t>Amended and Restated Bylaws (filed as Exhibit 3.2 to the registrant’s Current Report on Form 8-K, filed with the SEC on October 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2020, and incorporated by reference herein)</w:t>
              </w:r>
              <w:r>
                <w:rPr>
                  <w:rFonts w:ascii="Arial" w:cs="Arial" w:eastAsia="Arial" w:hAnsi="Arial"/>
                  <w:sz w:val="18"/>
                  <w:szCs w:val="18"/>
                  <w:color w:val="000000"/>
                </w:rPr>
                <w:t>.</w:t>
              </w:r>
            </w:hyperlink>
          </w:p>
        </w:tc>
        <w:tc>
          <w:tcPr>
            <w:tcW w:w="3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Form of Common Stock Certificate (filed as Exhibit 4.1 to the registrant’s Registration Statement on Form S-1, as amended (File No. 333-</w:t>
              </w:r>
            </w:hyperlink>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20" w:type="dxa"/>
            <w:vAlign w:val="bottom"/>
            <w:gridSpan w:val="22"/>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248924)</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October 5, 2020, and incorporated by reference herein).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0020" w:type="dxa"/>
            <w:vAlign w:val="bottom"/>
            <w:gridSpan w:val="22"/>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Amended and Restated Investors’ Rights Agreement, by and among the registrant and certain of its stockholders, dated February 19,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(filed as Exhibit 4.2 to the registrant’s Registration Statement on Form S-1, as amended (File No. 333-248924), filed with the SEC on</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September 18, 2020, and incorporated by reference herein).</w:t>
              </w:r>
            </w:hyperlink>
          </w:p>
        </w:tc>
        <w:tc>
          <w:tcPr>
            <w:tcW w:w="4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0020" w:type="dxa"/>
            <w:vAlign w:val="bottom"/>
            <w:gridSpan w:val="22"/>
          </w:tcPr>
          <w:p>
            <w:pPr>
              <w:spacing w:after="0"/>
              <w:rPr>
                <w:rFonts w:ascii="Arial" w:cs="Arial" w:eastAsia="Arial" w:hAnsi="Arial"/>
                <w:sz w:val="18"/>
                <w:szCs w:val="18"/>
                <w:color w:val="0000EE"/>
                <w:w w:val="95"/>
              </w:rPr>
            </w:pPr>
            <w:hyperlink r:id="rId186">
              <w:r>
                <w:rPr>
                  <w:rFonts w:ascii="Arial" w:cs="Arial" w:eastAsia="Arial" w:hAnsi="Arial"/>
                  <w:sz w:val="18"/>
                  <w:szCs w:val="18"/>
                  <w:color w:val="0000EE"/>
                  <w:w w:val="95"/>
                </w:rPr>
                <w:t>Warrant to Purchase Common Stock issued to Silicon Valley Bank, dated September 23, 2019 (filed as Exhibit 4.3 to the registrant’s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86">
              <w:r>
                <w:rPr>
                  <w:rFonts w:ascii="Arial" w:cs="Arial" w:eastAsia="Arial" w:hAnsi="Arial"/>
                  <w:sz w:val="18"/>
                  <w:szCs w:val="18"/>
                  <w:color w:val="0000EE"/>
                  <w:w w:val="88"/>
                </w:rPr>
                <w:t>reference herein).</w:t>
              </w:r>
            </w:hyperlink>
          </w:p>
        </w:tc>
        <w:tc>
          <w:tcPr>
            <w:tcW w:w="87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Description of Common Stock of the registrant.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6"/>
                <w:szCs w:val="16"/>
                <w:color w:val="auto"/>
              </w:rPr>
            </w:pPr>
          </w:p>
        </w:tc>
        <w:tc>
          <w:tcPr>
            <w:tcW w:w="9280" w:type="dxa"/>
            <w:vAlign w:val="bottom"/>
            <w:tcBorders>
              <w:bottom w:val="single" w:sz="8" w:color="0000EE"/>
            </w:tcBorders>
            <w:gridSpan w:val="8"/>
          </w:tcPr>
          <w:p>
            <w:pPr>
              <w:spacing w:after="0" w:line="190"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Spruce Biosciences, Inc. Amended and Restated 2016 Equity Incentive Plan (filed as Exhibit 10.1 to the registrant’s Registration</w:t>
              </w:r>
            </w:hyperlink>
          </w:p>
        </w:tc>
        <w:tc>
          <w:tcPr>
            <w:tcW w:w="740" w:type="dxa"/>
            <w:vAlign w:val="bottom"/>
            <w:gridSpan w:val="1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20" w:type="dxa"/>
            <w:vAlign w:val="bottom"/>
            <w:gridSpan w:val="22"/>
          </w:tcPr>
          <w:p>
            <w:pPr>
              <w:spacing w:after="0" w:line="196" w:lineRule="exact"/>
              <w:rPr>
                <w:rFonts w:ascii="Arial" w:cs="Arial" w:eastAsia="Arial" w:hAnsi="Arial"/>
                <w:sz w:val="18"/>
                <w:szCs w:val="18"/>
                <w:color w:val="0000EE"/>
                <w:w w:val="93"/>
              </w:rPr>
            </w:pPr>
            <w:hyperlink r:id="rId187">
              <w:r>
                <w:rPr>
                  <w:rFonts w:ascii="Arial" w:cs="Arial" w:eastAsia="Arial" w:hAnsi="Arial"/>
                  <w:sz w:val="18"/>
                  <w:szCs w:val="18"/>
                  <w:color w:val="0000EE"/>
                  <w:w w:val="93"/>
                </w:rPr>
                <w:t>Statement on Form S-1, as amended (File No. 333-248924), filed with the SEC on September 18, 2020, and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87">
              <w:r>
                <w:rPr>
                  <w:rFonts w:ascii="Arial" w:cs="Arial" w:eastAsia="Arial" w:hAnsi="Arial"/>
                  <w:sz w:val="18"/>
                  <w:szCs w:val="18"/>
                  <w:color w:val="0000EE"/>
                  <w:w w:val="88"/>
                </w:rPr>
                <w:t>herein).</w:t>
              </w:r>
            </w:hyperlink>
          </w:p>
        </w:tc>
        <w:tc>
          <w:tcPr>
            <w:tcW w:w="9100" w:type="dxa"/>
            <w:vAlign w:val="bottom"/>
            <w:tcBorders>
              <w:top w:val="single" w:sz="8" w:color="0000EE"/>
            </w:tcBorders>
            <w:gridSpan w:val="11"/>
          </w:tcPr>
          <w:p>
            <w:pPr>
              <w:spacing w:after="0"/>
              <w:rPr>
                <w:sz w:val="17"/>
                <w:szCs w:val="17"/>
                <w:color w:val="auto"/>
              </w:rPr>
            </w:pPr>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0020" w:type="dxa"/>
            <w:vAlign w:val="bottom"/>
            <w:gridSpan w:val="22"/>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Forms of Grant Notice, Stock Option Agreement and Notice of Exercise under the Spruce Biosciences, Inc. Amended and Restated 2016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Equity Incentive Plan (filed as Exhibit 10.2 to the registrant’s Registration Statement on Form S-1, as amended (File No. 333-248924),</w:t>
              </w:r>
            </w:hyperlink>
          </w:p>
        </w:tc>
        <w:tc>
          <w:tcPr>
            <w:tcW w:w="140" w:type="dxa"/>
            <w:vAlign w:val="bottom"/>
            <w:tcBorders>
              <w:top w:val="single" w:sz="8" w:color="0000EE"/>
            </w:tcBorders>
            <w:gridSpan w:val="3"/>
          </w:tcPr>
          <w:p>
            <w:pPr>
              <w:spacing w:after="0"/>
              <w:rPr>
                <w:sz w:val="17"/>
                <w:szCs w:val="17"/>
                <w:color w:val="auto"/>
              </w:rPr>
            </w:pPr>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filed with the SEC on September 18, 2020, and incorporated by reference herein).</w:t>
              </w:r>
            </w:hyperlink>
          </w:p>
        </w:tc>
        <w:tc>
          <w:tcPr>
            <w:tcW w:w="41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0020" w:type="dxa"/>
            <w:vAlign w:val="bottom"/>
            <w:gridSpan w:val="22"/>
          </w:tcPr>
          <w:p>
            <w:pPr>
              <w:spacing w:after="0"/>
              <w:rPr>
                <w:rFonts w:ascii="Arial" w:cs="Arial" w:eastAsia="Arial" w:hAnsi="Arial"/>
                <w:sz w:val="18"/>
                <w:szCs w:val="18"/>
                <w:color w:val="0000EE"/>
                <w:w w:val="93"/>
              </w:rPr>
            </w:pPr>
            <w:hyperlink r:id="rId189">
              <w:r>
                <w:rPr>
                  <w:rFonts w:ascii="Arial" w:cs="Arial" w:eastAsia="Arial" w:hAnsi="Arial"/>
                  <w:sz w:val="18"/>
                  <w:szCs w:val="18"/>
                  <w:color w:val="0000EE"/>
                  <w:w w:val="93"/>
                </w:rPr>
                <w:t>Spruce Biosciences, Inc. 2020 Equity Incentive Plan (filed as Exhibit 10.3 to the registrant’s Current Report on Form 8-K, filed with the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SEC on October 5, 2020, and incorporated by reference herein).</w:t>
              </w:r>
            </w:hyperlink>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Forms of Grant Notice, Stock Option Agreement and Notice of Exercise under the Spruce Biosciences, Inc. 2020 Equity Incentive Plan</w:t>
              </w:r>
            </w:hyperlink>
          </w:p>
        </w:tc>
        <w:tc>
          <w:tcPr>
            <w:tcW w:w="26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(filed as Exhibit 10.4 to the registrant’s Registration Statement on Form S-1, as amended (File No. 333-248924), filed with the SEC on</w:t>
              </w:r>
            </w:hyperlink>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20" w:type="dxa"/>
            <w:vAlign w:val="bottom"/>
            <w:gridSpan w:val="22"/>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September 18, 2020, and incorporated by reference herein).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9880" w:type="dxa"/>
            <w:vAlign w:val="bottom"/>
            <w:tcBorders>
              <w:bottom w:val="single" w:sz="8" w:color="0000EE"/>
            </w:tcBorders>
            <w:gridSpan w:val="18"/>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Spruce Biosciences, Inc. 2020 Employee Stock Purchase Plan (filed as Exhibit 10.5 to the registrant’s Registration Statement on Form S-</w:t>
              </w:r>
            </w:hyperlink>
          </w:p>
        </w:tc>
        <w:tc>
          <w:tcPr>
            <w:tcW w:w="1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gridSpan w:val="22"/>
          </w:tcPr>
          <w:p>
            <w:pPr>
              <w:spacing w:after="0"/>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1, as amended (File No. 333-248924), filed with the SEC on October 5, 2020, and incorporated by reference herein).</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10020" w:type="dxa"/>
            <w:vAlign w:val="bottom"/>
            <w:gridSpan w:val="22"/>
          </w:tcPr>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Spruce Biosciences, Inc. 2020 Employee Stock Purchase Plan Offering Document.</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6"/>
                <w:szCs w:val="16"/>
                <w:color w:val="auto"/>
              </w:rPr>
            </w:pPr>
          </w:p>
        </w:tc>
        <w:tc>
          <w:tcPr>
            <w:tcW w:w="934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Spruce Biosciences, Inc. 2020 Non-Employee Director Compensation Policy (filed as Exhibit 10.6 to the registrant’s Registration</w:t>
              </w:r>
            </w:hyperlink>
          </w:p>
        </w:tc>
        <w:tc>
          <w:tcPr>
            <w:tcW w:w="68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20" w:type="dxa"/>
            <w:vAlign w:val="bottom"/>
            <w:gridSpan w:val="22"/>
          </w:tcPr>
          <w:p>
            <w:pPr>
              <w:spacing w:after="0"/>
              <w:rPr>
                <w:rFonts w:ascii="Arial" w:cs="Arial" w:eastAsia="Arial" w:hAnsi="Arial"/>
                <w:sz w:val="18"/>
                <w:szCs w:val="18"/>
                <w:u w:val="single" w:color="auto"/>
                <w:color w:val="0000EE"/>
                <w:w w:val="90"/>
              </w:rPr>
            </w:pPr>
            <w:hyperlink r:id="rId192">
              <w:r>
                <w:rPr>
                  <w:rFonts w:ascii="Arial" w:cs="Arial" w:eastAsia="Arial" w:hAnsi="Arial"/>
                  <w:sz w:val="18"/>
                  <w:szCs w:val="18"/>
                  <w:u w:val="single" w:color="auto"/>
                  <w:color w:val="0000EE"/>
                  <w:w w:val="90"/>
                </w:rPr>
                <w:t>Statement on Form S-1, as amended (File No. 333-248924), filed with the SEC on October 5, 2020, and incorporated by reference herein).</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5"/>
          </w:tcPr>
          <w:p>
            <w:pPr>
              <w:ind w:left="4260"/>
              <w:spacing w:after="0"/>
              <w:rPr>
                <w:sz w:val="20"/>
                <w:szCs w:val="20"/>
                <w:color w:val="auto"/>
              </w:rPr>
            </w:pPr>
            <w:r>
              <w:rPr>
                <w:rFonts w:ascii="Arial" w:cs="Arial" w:eastAsia="Arial" w:hAnsi="Arial"/>
                <w:sz w:val="18"/>
                <w:szCs w:val="18"/>
                <w:color w:val="auto"/>
              </w:rPr>
              <w:t>143</w:t>
            </w: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10.8+</w:t>
            </w:r>
          </w:p>
        </w:tc>
        <w:tc>
          <w:tcPr>
            <w:tcW w:w="9640" w:type="dxa"/>
            <w:vAlign w:val="bottom"/>
            <w:tcBorders>
              <w:bottom w:val="single" w:sz="8" w:color="0000EE"/>
            </w:tcBorders>
            <w:gridSpan w:val="12"/>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Indemnification Agreement by and between the registrant and its directors and executive officers (filed as Exhibit 10.7 to the</w:t>
              </w:r>
            </w:hyperlink>
          </w:p>
        </w:tc>
        <w:tc>
          <w:tcPr>
            <w:tcW w:w="400" w:type="dxa"/>
            <w:vAlign w:val="bottom"/>
            <w:gridSpan w:val="10"/>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5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registrant’s Registration Statement on Form S-1, as amended (File No. 333-248924), filed with the SEC on September 18, 2020, and</w:t>
              </w:r>
            </w:hyperlink>
          </w:p>
        </w:tc>
        <w:tc>
          <w:tcPr>
            <w:tcW w:w="500" w:type="dxa"/>
            <w:vAlign w:val="bottom"/>
            <w:gridSpan w:val="14"/>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incorporated by reference herein).</w:t>
              </w:r>
            </w:hyperlink>
          </w:p>
        </w:tc>
        <w:tc>
          <w:tcPr>
            <w:tcW w:w="7580" w:type="dxa"/>
            <w:vAlign w:val="bottom"/>
            <w:gridSpan w:val="17"/>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EE"/>
            </w:tcBorders>
            <w:gridSpan w:val="16"/>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Spruce Biosciences, Inc. Severance and Change in Control Plan (filed as Exhibit 10.9 to the registrant’s Registration Statement on Form</w:t>
              </w:r>
            </w:hyperlink>
          </w:p>
        </w:tc>
        <w:tc>
          <w:tcPr>
            <w:tcW w:w="220" w:type="dxa"/>
            <w:vAlign w:val="bottom"/>
            <w:gridSpan w:val="6"/>
          </w:tcPr>
          <w:p>
            <w:pPr>
              <w:spacing w:after="0"/>
              <w:rPr>
                <w:sz w:val="18"/>
                <w:szCs w:val="18"/>
                <w:color w:val="auto"/>
              </w:rPr>
            </w:pPr>
          </w:p>
        </w:tc>
      </w:tr>
      <w:tr>
        <w:trPr>
          <w:trHeight w:val="236"/>
        </w:trPr>
        <w:tc>
          <w:tcPr>
            <w:tcW w:w="1220" w:type="dxa"/>
            <w:vAlign w:val="bottom"/>
          </w:tcPr>
          <w:p>
            <w:pPr>
              <w:spacing w:after="0"/>
              <w:rPr>
                <w:sz w:val="20"/>
                <w:szCs w:val="20"/>
                <w:color w:val="auto"/>
              </w:rPr>
            </w:pPr>
          </w:p>
        </w:tc>
        <w:tc>
          <w:tcPr>
            <w:tcW w:w="10040" w:type="dxa"/>
            <w:vAlign w:val="bottom"/>
            <w:gridSpan w:val="22"/>
          </w:tcPr>
          <w:p>
            <w:pPr>
              <w:spacing w:after="0"/>
              <w:rPr>
                <w:rFonts w:ascii="Arial" w:cs="Arial" w:eastAsia="Arial" w:hAnsi="Arial"/>
                <w:sz w:val="18"/>
                <w:szCs w:val="18"/>
                <w:u w:val="single" w:color="auto"/>
                <w:color w:val="0000EE"/>
              </w:rPr>
            </w:pPr>
            <w:hyperlink r:id="rId196">
              <w:r>
                <w:rPr>
                  <w:rFonts w:ascii="Arial" w:cs="Arial" w:eastAsia="Arial" w:hAnsi="Arial"/>
                  <w:sz w:val="18"/>
                  <w:szCs w:val="18"/>
                  <w:u w:val="single" w:color="auto"/>
                  <w:color w:val="0000EE"/>
                </w:rPr>
                <w:t>S-1, as amended (File No. 333-248924), filed with the SEC on September 18, 2020, and incorporated by reference herein).</w:t>
              </w:r>
            </w:hyperlink>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994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Employment Agreement, by and between the registrant and Richard King, dated October 1, 2019 (filed as Exhibit 10.11 to the registrant’s</w:t>
              </w:r>
            </w:hyperlink>
          </w:p>
        </w:tc>
        <w:tc>
          <w:tcPr>
            <w:tcW w:w="100" w:type="dxa"/>
            <w:vAlign w:val="bottom"/>
            <w:gridSpan w:val="3"/>
          </w:tcPr>
          <w:p>
            <w:pPr>
              <w:spacing w:after="0"/>
              <w:rPr>
                <w:sz w:val="16"/>
                <w:szCs w:val="16"/>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97">
              <w:r>
                <w:rPr>
                  <w:rFonts w:ascii="Arial" w:cs="Arial" w:eastAsia="Arial" w:hAnsi="Arial"/>
                  <w:sz w:val="18"/>
                  <w:szCs w:val="18"/>
                  <w:color w:val="0000EE"/>
                  <w:w w:val="88"/>
                </w:rPr>
                <w:t>reference herein).</w:t>
              </w:r>
            </w:hyperlink>
          </w:p>
        </w:tc>
        <w:tc>
          <w:tcPr>
            <w:tcW w:w="8760" w:type="dxa"/>
            <w:vAlign w:val="bottom"/>
            <w:gridSpan w:val="19"/>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10.11+¥</w:t>
            </w:r>
          </w:p>
        </w:tc>
        <w:tc>
          <w:tcPr>
            <w:tcW w:w="9760" w:type="dxa"/>
            <w:vAlign w:val="bottom"/>
            <w:tcBorders>
              <w:bottom w:val="single" w:sz="8" w:color="0000EE"/>
            </w:tcBorders>
            <w:gridSpan w:val="14"/>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Offer Letter, by and between the registrant and Samir Gharib, dated April 8, 2020 (filed as Exhibit 10.16 to the registrant’s Registration</w:t>
              </w:r>
            </w:hyperlink>
          </w:p>
        </w:tc>
        <w:tc>
          <w:tcPr>
            <w:tcW w:w="280" w:type="dxa"/>
            <w:vAlign w:val="bottom"/>
            <w:gridSpan w:val="8"/>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3"/>
              </w:rPr>
            </w:pPr>
            <w:hyperlink r:id="rId198">
              <w:r>
                <w:rPr>
                  <w:rFonts w:ascii="Arial" w:cs="Arial" w:eastAsia="Arial" w:hAnsi="Arial"/>
                  <w:sz w:val="18"/>
                  <w:szCs w:val="18"/>
                  <w:color w:val="0000EE"/>
                  <w:w w:val="93"/>
                </w:rPr>
                <w:t>Statement on Form S-1, as amended (File No. 333-248924), filed with the SEC on September 18, 2020, and incorporated by reference</w:t>
              </w:r>
            </w:hyperlink>
          </w:p>
        </w:tc>
      </w:tr>
      <w:tr>
        <w:trPr>
          <w:trHeight w:val="196"/>
        </w:trPr>
        <w:tc>
          <w:tcPr>
            <w:tcW w:w="12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98">
              <w:r>
                <w:rPr>
                  <w:rFonts w:ascii="Arial" w:cs="Arial" w:eastAsia="Arial" w:hAnsi="Arial"/>
                  <w:sz w:val="18"/>
                  <w:szCs w:val="18"/>
                  <w:color w:val="0000EE"/>
                  <w:w w:val="88"/>
                </w:rPr>
                <w:t>herein).</w:t>
              </w:r>
            </w:hyperlink>
          </w:p>
        </w:tc>
        <w:tc>
          <w:tcPr>
            <w:tcW w:w="9100" w:type="dxa"/>
            <w:vAlign w:val="bottom"/>
            <w:tcBorders>
              <w:top w:val="single" w:sz="8" w:color="0000EE"/>
            </w:tcBorders>
            <w:gridSpan w:val="12"/>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10.12+¥</w:t>
            </w:r>
          </w:p>
        </w:tc>
        <w:tc>
          <w:tcPr>
            <w:tcW w:w="10040" w:type="dxa"/>
            <w:vAlign w:val="bottom"/>
            <w:gridSpan w:val="22"/>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Offer Letter, by and between the registrant and Rosh Dias, M.D., M.R.C.P., dated July 28, 2020 (filed as Exhibit 10.17 to the registrant’s</w:t>
              </w:r>
            </w:hyperlink>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reference herein).</w:t>
              </w:r>
            </w:hyperlink>
          </w:p>
        </w:tc>
        <w:tc>
          <w:tcPr>
            <w:tcW w:w="8760" w:type="dxa"/>
            <w:vAlign w:val="bottom"/>
            <w:gridSpan w:val="19"/>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10.13+</w:t>
            </w:r>
          </w:p>
        </w:tc>
        <w:tc>
          <w:tcPr>
            <w:tcW w:w="9440" w:type="dxa"/>
            <w:vAlign w:val="bottom"/>
            <w:tcBorders>
              <w:bottom w:val="single" w:sz="8" w:color="0000EE"/>
            </w:tcBorders>
            <w:gridSpan w:val="7"/>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Letter Agreement, by and between the registrant and Michael Grey, dated March 24, 2017 (filed as Exhibit 10.18 to the registrant’s</w:t>
              </w:r>
            </w:hyperlink>
          </w:p>
        </w:tc>
        <w:tc>
          <w:tcPr>
            <w:tcW w:w="600" w:type="dxa"/>
            <w:vAlign w:val="bottom"/>
            <w:gridSpan w:val="15"/>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reference herein).</w:t>
              </w:r>
            </w:hyperlink>
          </w:p>
        </w:tc>
        <w:tc>
          <w:tcPr>
            <w:tcW w:w="8760" w:type="dxa"/>
            <w:vAlign w:val="bottom"/>
            <w:gridSpan w:val="19"/>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10.14+</w:t>
            </w:r>
          </w:p>
        </w:tc>
        <w:tc>
          <w:tcPr>
            <w:tcW w:w="10000" w:type="dxa"/>
            <w:vAlign w:val="bottom"/>
            <w:tcBorders>
              <w:bottom w:val="single" w:sz="8" w:color="0000EE"/>
            </w:tcBorders>
            <w:gridSpan w:val="21"/>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Letter Agreement, by and between the registrant and Camilla V. Simpson, dated October 11, 2017 (filed as Exhibit 10.19 to the registrant’s</w:t>
              </w:r>
            </w:hyperlink>
          </w:p>
        </w:tc>
        <w:tc>
          <w:tcPr>
            <w:tcW w:w="40" w:type="dxa"/>
            <w:vAlign w:val="bottom"/>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reference herein).</w:t>
              </w:r>
            </w:hyperlink>
          </w:p>
        </w:tc>
        <w:tc>
          <w:tcPr>
            <w:tcW w:w="8760" w:type="dxa"/>
            <w:vAlign w:val="bottom"/>
            <w:gridSpan w:val="19"/>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10.15+</w:t>
            </w:r>
          </w:p>
        </w:tc>
        <w:tc>
          <w:tcPr>
            <w:tcW w:w="9900" w:type="dxa"/>
            <w:vAlign w:val="bottom"/>
            <w:tcBorders>
              <w:bottom w:val="single" w:sz="8" w:color="0000EE"/>
            </w:tcBorders>
            <w:gridSpan w:val="18"/>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Letter Agreement, by and between the registrant and Daniel Spiegelman, dated August 31, 2020 (filed as Exhibit 10.20 to the registrant’s</w:t>
              </w:r>
            </w:hyperlink>
          </w:p>
        </w:tc>
        <w:tc>
          <w:tcPr>
            <w:tcW w:w="140" w:type="dxa"/>
            <w:vAlign w:val="bottom"/>
            <w:gridSpan w:val="4"/>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202">
              <w:r>
                <w:rPr>
                  <w:rFonts w:ascii="Arial" w:cs="Arial" w:eastAsia="Arial" w:hAnsi="Arial"/>
                  <w:sz w:val="18"/>
                  <w:szCs w:val="18"/>
                  <w:color w:val="0000EE"/>
                  <w:w w:val="88"/>
                </w:rPr>
                <w:t>reference herein).</w:t>
              </w:r>
            </w:hyperlink>
          </w:p>
        </w:tc>
        <w:tc>
          <w:tcPr>
            <w:tcW w:w="8760" w:type="dxa"/>
            <w:vAlign w:val="bottom"/>
            <w:gridSpan w:val="19"/>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10.16</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Office Lease Agreement, by and between the registrant and DC Station Owner, LLC, dated February 13, 2020 (filed as Exhibit 10.21 to</w:t>
              </w:r>
            </w:hyperlink>
          </w:p>
        </w:tc>
        <w:tc>
          <w:tcPr>
            <w:tcW w:w="260" w:type="dxa"/>
            <w:vAlign w:val="bottom"/>
            <w:gridSpan w:val="7"/>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the registrant’s Registration Statement on Form S-1, as amended (File No. 333-248924), filed with the SEC on September 18, 2020, and</w:t>
              </w:r>
            </w:hyperlink>
          </w:p>
        </w:tc>
      </w:tr>
      <w:tr>
        <w:trPr>
          <w:trHeight w:val="196"/>
        </w:trPr>
        <w:tc>
          <w:tcPr>
            <w:tcW w:w="1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incorporated by reference herein).</w:t>
              </w:r>
            </w:hyperlink>
          </w:p>
        </w:tc>
        <w:tc>
          <w:tcPr>
            <w:tcW w:w="7360" w:type="dxa"/>
            <w:vAlign w:val="bottom"/>
            <w:tcBorders>
              <w:top w:val="single" w:sz="8" w:color="0000EE"/>
            </w:tcBorders>
            <w:gridSpan w:val="11"/>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10.17#</w:t>
            </w:r>
          </w:p>
        </w:tc>
        <w:tc>
          <w:tcPr>
            <w:tcW w:w="10000" w:type="dxa"/>
            <w:vAlign w:val="bottom"/>
            <w:tcBorders>
              <w:bottom w:val="single" w:sz="8" w:color="0000EE"/>
            </w:tcBorders>
            <w:gridSpan w:val="21"/>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License Agreement, by and between the registrant and Eli Lilly and Company, dated May 2, 2016 (filed as Exhibit 10.22 to the registrant’s</w:t>
              </w:r>
            </w:hyperlink>
          </w:p>
        </w:tc>
        <w:tc>
          <w:tcPr>
            <w:tcW w:w="40" w:type="dxa"/>
            <w:vAlign w:val="bottom"/>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Registration Statement on Form S-1, as amended (File No. 333-248924), filed with the SEC on September 18, 2020, and incorporated by</w:t>
              </w:r>
            </w:hyperlink>
          </w:p>
        </w:tc>
        <w:tc>
          <w:tcPr>
            <w:tcW w:w="160" w:type="dxa"/>
            <w:vAlign w:val="bottom"/>
            <w:gridSpan w:val="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reference herein).</w:t>
              </w:r>
            </w:hyperlink>
          </w:p>
        </w:tc>
        <w:tc>
          <w:tcPr>
            <w:tcW w:w="8760" w:type="dxa"/>
            <w:vAlign w:val="bottom"/>
            <w:gridSpan w:val="19"/>
          </w:tcPr>
          <w:p>
            <w:pPr>
              <w:spacing w:after="0"/>
              <w:rPr>
                <w:sz w:val="17"/>
                <w:szCs w:val="17"/>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10.18</w:t>
            </w:r>
          </w:p>
        </w:tc>
        <w:tc>
          <w:tcPr>
            <w:tcW w:w="99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Loan and Security Agreement, by and between the registrant and Silicon Valley Bank, dated September 23, 2019 (filed as Exhibit 10.23 to</w:t>
              </w:r>
            </w:hyperlink>
          </w:p>
        </w:tc>
        <w:tc>
          <w:tcPr>
            <w:tcW w:w="60" w:type="dxa"/>
            <w:vAlign w:val="bottom"/>
            <w:gridSpan w:val="2"/>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the registrant’s Registration Statement on Form S-1, as amended (File No. 333-248924), filed with the SEC on September 18, 2020, and</w:t>
              </w:r>
            </w:hyperlink>
          </w:p>
        </w:tc>
      </w:tr>
      <w:tr>
        <w:trPr>
          <w:trHeight w:val="196"/>
        </w:trPr>
        <w:tc>
          <w:tcPr>
            <w:tcW w:w="1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incorporated by reference herein).</w:t>
              </w:r>
            </w:hyperlink>
          </w:p>
        </w:tc>
        <w:tc>
          <w:tcPr>
            <w:tcW w:w="7360" w:type="dxa"/>
            <w:vAlign w:val="bottom"/>
            <w:tcBorders>
              <w:top w:val="single" w:sz="8" w:color="0000EE"/>
            </w:tcBorders>
            <w:gridSpan w:val="11"/>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8"/>
                <w:szCs w:val="18"/>
                <w:color w:val="auto"/>
              </w:rPr>
              <w:t>10.19*</w:t>
            </w:r>
          </w:p>
        </w:tc>
        <w:tc>
          <w:tcPr>
            <w:tcW w:w="10040" w:type="dxa"/>
            <w:vAlign w:val="bottom"/>
            <w:gridSpan w:val="22"/>
          </w:tcPr>
          <w:p>
            <w:pPr>
              <w:spacing w:after="0"/>
              <w:rPr>
                <w:rFonts w:ascii="Arial" w:cs="Arial" w:eastAsia="Arial" w:hAnsi="Arial"/>
                <w:sz w:val="18"/>
                <w:szCs w:val="18"/>
                <w:u w:val="single" w:color="auto"/>
                <w:color w:val="0000EE"/>
                <w:w w:val="97"/>
              </w:rPr>
            </w:pPr>
            <w:hyperlink w:anchor="page158">
              <w:r>
                <w:rPr>
                  <w:rFonts w:ascii="Arial" w:cs="Arial" w:eastAsia="Arial" w:hAnsi="Arial"/>
                  <w:sz w:val="18"/>
                  <w:szCs w:val="18"/>
                  <w:u w:val="single" w:color="auto"/>
                  <w:color w:val="0000EE"/>
                  <w:w w:val="97"/>
                </w:rPr>
                <w:t>First Amendment to Loan and Security Agreement, by and between the registrant and Silicon Valley Bank dated March 19, 2021.</w:t>
              </w:r>
            </w:hyperlink>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gridSpan w:val="22"/>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Consent of BDO USA, LLP, independent registered public accounting firm.</w:t>
              </w:r>
            </w:hyperlink>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24.1</w:t>
            </w:r>
          </w:p>
        </w:tc>
        <w:tc>
          <w:tcPr>
            <w:tcW w:w="10040" w:type="dxa"/>
            <w:vAlign w:val="bottom"/>
            <w:gridSpan w:val="22"/>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Power of Attorney (see signature pages).</w:t>
              </w:r>
            </w:hyperlink>
          </w:p>
        </w:tc>
      </w:tr>
      <w:tr>
        <w:trPr>
          <w:trHeight w:val="190"/>
        </w:trPr>
        <w:tc>
          <w:tcPr>
            <w:tcW w:w="122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1"/>
          </w:tcPr>
          <w:p>
            <w:pPr>
              <w:spacing w:after="0" w:line="190" w:lineRule="exact"/>
              <w:rPr>
                <w:rFonts w:ascii="Arial" w:cs="Arial" w:eastAsia="Arial" w:hAnsi="Arial"/>
                <w:sz w:val="18"/>
                <w:szCs w:val="18"/>
                <w:color w:val="0000EE"/>
                <w:w w:val="91"/>
              </w:rPr>
            </w:pPr>
            <w:hyperlink w:anchor="page169">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20" w:type="dxa"/>
            <w:vAlign w:val="bottom"/>
            <w:gridSpan w:val="11"/>
          </w:tcPr>
          <w:p>
            <w:pPr>
              <w:spacing w:after="0"/>
              <w:rPr>
                <w:sz w:val="16"/>
                <w:szCs w:val="16"/>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Adopted Pursuant to Section 302 of the Sarbanes-Oxley Act of 2002.</w:t>
              </w:r>
            </w:hyperlink>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22"/>
          </w:tcPr>
          <w:p>
            <w:pPr>
              <w:spacing w:after="0"/>
              <w:rPr>
                <w:rFonts w:ascii="Arial" w:cs="Arial" w:eastAsia="Arial" w:hAnsi="Arial"/>
                <w:sz w:val="18"/>
                <w:szCs w:val="18"/>
                <w:color w:val="0000EE"/>
                <w:w w:val="95"/>
              </w:rPr>
            </w:pPr>
            <w:hyperlink w:anchor="page170">
              <w:r>
                <w:rPr>
                  <w:rFonts w:ascii="Arial" w:cs="Arial" w:eastAsia="Arial" w:hAnsi="Arial"/>
                  <w:sz w:val="18"/>
                  <w:szCs w:val="18"/>
                  <w:color w:val="0000EE"/>
                  <w:w w:val="95"/>
                </w:rPr>
                <w:t>Certification of Principal Financial Officer Pursuant to Rules 13a-14(a) and 15d-14(a) under the Securities Exchange Act of 1934, as</w:t>
              </w:r>
            </w:hyperlink>
          </w:p>
        </w:tc>
      </w:tr>
      <w:tr>
        <w:trPr>
          <w:trHeight w:val="196"/>
        </w:trPr>
        <w:tc>
          <w:tcPr>
            <w:tcW w:w="122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Adopted Pursuant to Section 302 of the Sarbanes-Oxley Act of 2002.</w:t>
              </w:r>
            </w:hyperlink>
          </w:p>
        </w:tc>
        <w:tc>
          <w:tcPr>
            <w:tcW w:w="480" w:type="dxa"/>
            <w:vAlign w:val="bottom"/>
            <w:gridSpan w:val="1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22"/>
          </w:tcPr>
          <w:p>
            <w:pPr>
              <w:spacing w:after="0"/>
              <w:rPr>
                <w:rFonts w:ascii="Arial" w:cs="Arial" w:eastAsia="Arial" w:hAnsi="Arial"/>
                <w:sz w:val="18"/>
                <w:szCs w:val="18"/>
                <w:color w:val="0000EE"/>
                <w:w w:val="94"/>
              </w:rPr>
            </w:pPr>
            <w:hyperlink w:anchor="page171">
              <w:r>
                <w:rPr>
                  <w:rFonts w:ascii="Arial" w:cs="Arial" w:eastAsia="Arial" w:hAnsi="Arial"/>
                  <w:sz w:val="18"/>
                  <w:szCs w:val="18"/>
                  <w:color w:val="0000EE"/>
                  <w:w w:val="94"/>
                </w:rPr>
                <w:t>Certification of Principal Executive Officer Pursuant to 18 U.S.C. Section 1350, as Adopted Pursuant to Section 906 of the Sarbanes-</w:t>
              </w:r>
            </w:hyperlink>
          </w:p>
        </w:tc>
      </w:tr>
      <w:tr>
        <w:trPr>
          <w:trHeight w:val="196"/>
        </w:trPr>
        <w:tc>
          <w:tcPr>
            <w:tcW w:w="12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71">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6"/>
          </w:tcPr>
          <w:p>
            <w:pPr>
              <w:spacing w:after="0"/>
              <w:rPr>
                <w:sz w:val="17"/>
                <w:szCs w:val="17"/>
                <w:color w:val="auto"/>
              </w:rPr>
            </w:pPr>
          </w:p>
        </w:tc>
        <w:tc>
          <w:tcPr>
            <w:tcW w:w="440" w:type="dxa"/>
            <w:vAlign w:val="bottom"/>
            <w:gridSpan w:val="12"/>
          </w:tcPr>
          <w:p>
            <w:pPr>
              <w:spacing w:after="0"/>
              <w:rPr>
                <w:sz w:val="17"/>
                <w:szCs w:val="17"/>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40" w:type="dxa"/>
            <w:vAlign w:val="bottom"/>
          </w:tcPr>
          <w:p>
            <w:pPr>
              <w:spacing w:after="0"/>
              <w:rPr>
                <w:sz w:val="18"/>
                <w:szCs w:val="18"/>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Act of 2002.</w:t>
              </w:r>
            </w:hyperlink>
          </w:p>
        </w:tc>
      </w:tr>
      <w:tr>
        <w:trPr>
          <w:trHeight w:val="20"/>
        </w:trPr>
        <w:tc>
          <w:tcPr>
            <w:tcW w:w="1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40" w:type="dxa"/>
            <w:vAlign w:val="bottom"/>
            <w:gridSpan w:val="20"/>
          </w:tcPr>
          <w:p>
            <w:pPr>
              <w:spacing w:after="0" w:line="20" w:lineRule="exact"/>
              <w:rPr>
                <w:sz w:val="1"/>
                <w:szCs w:val="1"/>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20" w:type="dxa"/>
            <w:vAlign w:val="bottom"/>
          </w:tcPr>
          <w:p>
            <w:pPr>
              <w:spacing w:after="0"/>
              <w:rPr>
                <w:sz w:val="24"/>
                <w:szCs w:val="24"/>
                <w:color w:val="auto"/>
              </w:rPr>
            </w:pPr>
          </w:p>
        </w:tc>
        <w:tc>
          <w:tcPr>
            <w:tcW w:w="4980" w:type="dxa"/>
            <w:vAlign w:val="bottom"/>
            <w:gridSpan w:val="6"/>
          </w:tcPr>
          <w:p>
            <w:pPr>
              <w:ind w:left="4260"/>
              <w:spacing w:after="0"/>
              <w:rPr>
                <w:sz w:val="20"/>
                <w:szCs w:val="20"/>
                <w:color w:val="auto"/>
              </w:rPr>
            </w:pPr>
            <w:r>
              <w:rPr>
                <w:rFonts w:ascii="Arial" w:cs="Arial" w:eastAsia="Arial" w:hAnsi="Arial"/>
                <w:sz w:val="18"/>
                <w:szCs w:val="18"/>
                <w:color w:val="auto"/>
              </w:rPr>
              <w:t>144</w:t>
            </w: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98"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580" w:hanging="572"/>
        <w:spacing w:after="0" w:line="263"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76" w:lineRule="exact"/>
        <w:rPr>
          <w:sz w:val="20"/>
          <w:szCs w:val="20"/>
          <w:color w:val="auto"/>
        </w:rPr>
      </w:pPr>
    </w:p>
    <w:p>
      <w:pPr>
        <w:ind w:left="580" w:right="80" w:hanging="572"/>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registrant undertakes to furnish supplemental copies of any of the omitted schedules upon request by the SEC.</w:t>
      </w:r>
    </w:p>
    <w:p>
      <w:pPr>
        <w:spacing w:after="0" w:line="62" w:lineRule="exact"/>
        <w:rPr>
          <w:sz w:val="20"/>
          <w:szCs w:val="20"/>
          <w:color w:val="auto"/>
        </w:rPr>
      </w:pPr>
    </w:p>
    <w:p>
      <w:pPr>
        <w:ind w:left="580" w:hanging="572"/>
        <w:spacing w:after="0" w:line="286"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unless the Registrant specifically incorporates the foregoing information into those documents by reference.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SPRUCE BIOSCIENCES, INC.</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March 22, 2021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00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29210</wp:posOffset>
            </wp:positionV>
            <wp:extent cx="32918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5020" w:space="720"/>
            <w:col w:w="1580" w:space="720"/>
            <w:col w:w="3200"/>
          </w:cols>
          <w:pgMar w:left="320" w:top="125" w:right="339" w:bottom="1440" w:gutter="0" w:footer="0" w:header="0"/>
          <w:type w:val="continuous"/>
        </w:sectPr>
      </w:pPr>
    </w:p>
    <w:p>
      <w:pPr>
        <w:jc w:val="center"/>
        <w:ind w:left="6020"/>
        <w:spacing w:after="0"/>
        <w:rPr>
          <w:sz w:val="20"/>
          <w:szCs w:val="20"/>
          <w:color w:val="auto"/>
        </w:rPr>
      </w:pPr>
      <w:r>
        <w:rPr>
          <w:rFonts w:ascii="Arial" w:cs="Arial" w:eastAsia="Arial" w:hAnsi="Arial"/>
          <w:sz w:val="18"/>
          <w:szCs w:val="18"/>
          <w:color w:val="auto"/>
        </w:rPr>
        <w:t>Richard King</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Executive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72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Richard King and Samir Gharib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273"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3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i w:val="1"/>
                <w:iCs w:val="1"/>
                <w:color w:val="auto"/>
                <w:w w:val="92"/>
              </w:rPr>
              <w:t>Richard King</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Richard King</w:t>
            </w:r>
          </w:p>
        </w:tc>
        <w:tc>
          <w:tcPr>
            <w:tcW w:w="1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i w:val="1"/>
                <w:iCs w:val="1"/>
                <w:color w:val="auto"/>
                <w:w w:val="92"/>
              </w:rPr>
              <w:t>Samir Gharib</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Samir Gharib</w:t>
            </w:r>
          </w:p>
        </w:tc>
        <w:tc>
          <w:tcPr>
            <w:tcW w:w="1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i w:val="1"/>
                <w:iCs w:val="1"/>
                <w:color w:val="auto"/>
                <w:w w:val="92"/>
              </w:rPr>
              <w:t>Michael Grey</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Executive Chairman</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Michael Grey</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i w:val="1"/>
                <w:iCs w:val="1"/>
                <w:color w:val="auto"/>
                <w:w w:val="90"/>
              </w:rPr>
              <w:t>Tiba Aynechi,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Tiba Aynechi,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Dina Chaya, Ph.D., C.F.A.</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Dina Chaya, Ph.D., C.F.A.</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 xml:space="preserve">/s/ </w:t>
            </w:r>
            <w:r>
              <w:rPr>
                <w:rFonts w:ascii="Arial" w:cs="Arial" w:eastAsia="Arial" w:hAnsi="Arial"/>
                <w:sz w:val="18"/>
                <w:szCs w:val="18"/>
                <w:i w:val="1"/>
                <w:iCs w:val="1"/>
                <w:color w:val="auto"/>
                <w:w w:val="88"/>
              </w:rPr>
              <w:t>Jonas Hansson, M.Sc.</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7"/>
              </w:rPr>
              <w:t>Jonas Hansson, M.Sc.</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8"/>
                <w:szCs w:val="18"/>
                <w:i w:val="1"/>
                <w:iCs w:val="1"/>
                <w:color w:val="auto"/>
                <w:w w:val="94"/>
              </w:rPr>
              <w:t>Bali Muralidhar, M.D,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5"/>
              </w:rPr>
              <w:t>Bali Muralidhar, M.D,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xml:space="preserve">/s/ </w:t>
            </w:r>
            <w:r>
              <w:rPr>
                <w:rFonts w:ascii="Arial" w:cs="Arial" w:eastAsia="Arial" w:hAnsi="Arial"/>
                <w:sz w:val="18"/>
                <w:szCs w:val="18"/>
                <w:i w:val="1"/>
                <w:iCs w:val="1"/>
                <w:color w:val="auto"/>
                <w:w w:val="95"/>
              </w:rPr>
              <w:t>Niall O’Donnell,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6"/>
              </w:rPr>
              <w:t>Niall O’Donnell,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i w:val="1"/>
                <w:iCs w:val="1"/>
                <w:color w:val="auto"/>
                <w:w w:val="89"/>
              </w:rPr>
              <w:t>Camilla V. Simpson, M.Sc.</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Camilla V. Simpson, M.Sc.</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Daniel Spiegelman</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22, 2021</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Daniel Spiegelman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647"/>
        </w:trPr>
        <w:tc>
          <w:tcPr>
            <w:tcW w:w="3720" w:type="dxa"/>
            <w:vAlign w:val="bottom"/>
          </w:tcPr>
          <w:p>
            <w:pPr>
              <w:spacing w:after="0"/>
              <w:rPr>
                <w:sz w:val="24"/>
                <w:szCs w:val="24"/>
                <w:color w:val="auto"/>
              </w:rPr>
            </w:pPr>
          </w:p>
        </w:tc>
        <w:tc>
          <w:tcPr>
            <w:tcW w:w="5000" w:type="dxa"/>
            <w:vAlign w:val="bottom"/>
            <w:gridSpan w:val="2"/>
          </w:tcPr>
          <w:p>
            <w:pPr>
              <w:jc w:val="right"/>
              <w:ind w:right="287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4.4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following description summarizes the terms of the common stock of Spruce Biosciences, Inc., or we, our or us. Because it is only a summary, it does not contain all the information that may be important to you. For a complete description of the matters set forth in this “Description of Common Stock,” you should refer to our amended and restated certificate of incorporation and amended and restated bylaws, which are included as exhibits to our Annual Report on Form 10-K, and to the applicable provisions of the Delaware General Corporation Law. Our amended and restated certificate of incorporation authorizes us to issue 200,000,000 shares of common stock, par value $0.0001 per share, and 10,000,000 shares of preferred stock, par value $0.0001 per share. Our board of directors is authorized, without stockholder approval except as required by the listing standards of The Nasdaq Stock Market LLC, to issue additional shares of our capital stock. In addition, under our amended and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common stock is entitled to one vote per share on any matter that is submitted to a vote of our stockholders. Our amended and restated certificate of incorporation does not provide for cumulative voting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Rights</w:t>
      </w:r>
    </w:p>
    <w:p>
      <w:pPr>
        <w:spacing w:after="0" w:line="18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Except as otherwise expressly provided in our amended and restated certificate of incorporation or required by applicable law, all shares of common stock have the same rights and privileges and rank equally, share ratably and be identical in all respects for all matters, including those described below.</w:t>
      </w:r>
    </w:p>
    <w:p>
      <w:pPr>
        <w:spacing w:after="0" w:line="8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apply to any shares of preferred stock outstanding at the time, the holders of our common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dividends out of funds legally available if our board of directors, in its discretion, determines to issue dividends and then only at the times and in the amounts that our board of directors may determine.</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On our liquidation, dissolution or winding-up, the holders of our common stock will be entitled to share equally, identically and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shares of our common stock are not entitled to preemptive rights and are not subject to conversion, redemption or sinking fund provisions.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“SPRB.”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 Street,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Anti-Takeover Provisions</w:t>
      </w:r>
    </w:p>
    <w:p>
      <w:pPr>
        <w:spacing w:after="0" w:line="18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provide that stockholders may only take action at a duly called meeting of stockholders. A special meeting of stockholders may be called by a majority of our board of directors, the chair of our board of directors or our chief executive officer. Our amended and restated bylaws establish an advance notice procedure for stockholder proposals to be brought before an annual meeting of our stockholders, including proposed nominations of persons for election to our board of directors. In accordance with our amended and restated certificate of incorporation, our board of directors is divided into three classes with staggered three-year terms.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8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89"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shall be the sole and exclusive forum for the following claims or causes of action under the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amended and restated bylaws; (iv) any claim or cause of action seeking to interpret, apply, enforce or determine the validity of our amended and restated certificate of incorporation or amended and restated bylaws (as each may be amended from time to time); (v) any claim or cause of action as to which the Delaware General Corporation Law confers jurisdiction on the Court of Chancery of the State of Delaware; and</w:t>
      </w:r>
    </w:p>
    <w:p>
      <w:pPr>
        <w:spacing w:after="0" w:line="1" w:lineRule="exact"/>
        <w:rPr>
          <w:sz w:val="20"/>
          <w:szCs w:val="20"/>
          <w:color w:val="auto"/>
        </w:rPr>
      </w:pPr>
    </w:p>
    <w:p>
      <w:pPr>
        <w:ind w:right="120" w:firstLine="8"/>
        <w:spacing w:after="0" w:line="251" w:lineRule="auto"/>
        <w:tabs>
          <w:tab w:leader="none" w:pos="3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governed by the internal affairs doctrine, in all cases to the fullest extent permitted by law and subject to the court having personal jurisdiction over the indispensable parties named as defendants; provided these provisions of our amended and restated certificate of incorporation and amended and restated bylaws will not apply to claims or causes of action brought to enforce a duty or liability created by the Securities Act of 1933, Securities Exchange Act of 1934, as amended, or any other claim for which the federal courts have exclusive jurisdiction. Our amended and restated certificate of incorporation and amended and restated bylaws further provide that, to the fullest extent permitted by law, the federal district courts of the United States of America will be the exclusive forum for resolving any complaint asserting a cause of action arising under the Securities Act of 1933, as amended, unless we consent in writing to the selection of an alternative forum.</w:t>
      </w:r>
    </w:p>
    <w:p>
      <w:pPr>
        <w:sectPr>
          <w:pgSz w:w="11900" w:h="16838" w:orient="portrait"/>
          <w:cols w:equalWidth="0" w:num="1">
            <w:col w:w="11220"/>
          </w:cols>
          <w:pgMar w:left="320" w:top="553" w:right="359" w:bottom="1440" w:gutter="0" w:footer="0" w:header="0"/>
        </w:sectPr>
      </w:pPr>
    </w:p>
    <w:bookmarkStart w:id="150" w:name="page151"/>
    <w:bookmarkEnd w:id="150"/>
    <w:p>
      <w:pPr>
        <w:ind w:left="9120"/>
        <w:spacing w:after="0"/>
        <w:rPr>
          <w:sz w:val="20"/>
          <w:szCs w:val="20"/>
          <w:color w:val="auto"/>
        </w:rPr>
      </w:pPr>
      <w:r>
        <w:rPr>
          <w:rFonts w:ascii="Arial" w:cs="Arial" w:eastAsia="Arial" w:hAnsi="Arial"/>
          <w:sz w:val="22"/>
          <w:szCs w:val="22"/>
          <w:b w:val="1"/>
          <w:bCs w:val="1"/>
          <w:color w:val="auto"/>
        </w:rPr>
        <w:t>Exhibit 10.6</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9"/>
          <w:szCs w:val="19"/>
          <w:b w:val="1"/>
          <w:bCs w:val="1"/>
          <w:color w:val="auto"/>
        </w:rPr>
        <w:t>PRUCE</w:t>
      </w:r>
      <w:r>
        <w:rPr>
          <w:rFonts w:ascii="Arial" w:cs="Arial" w:eastAsia="Arial" w:hAnsi="Arial"/>
          <w:sz w:val="25"/>
          <w:szCs w:val="25"/>
          <w:b w:val="1"/>
          <w:bCs w:val="1"/>
          <w:color w:val="auto"/>
        </w:rPr>
        <w:t xml:space="preserve"> B</w:t>
      </w:r>
      <w:r>
        <w:rPr>
          <w:rFonts w:ascii="Arial" w:cs="Arial" w:eastAsia="Arial" w:hAnsi="Arial"/>
          <w:sz w:val="19"/>
          <w:szCs w:val="19"/>
          <w:b w:val="1"/>
          <w:bCs w:val="1"/>
          <w:color w:val="auto"/>
        </w:rPr>
        <w:t>IOSCIENCES</w:t>
      </w:r>
      <w:r>
        <w:rPr>
          <w:rFonts w:ascii="Arial" w:cs="Arial" w:eastAsia="Arial" w:hAnsi="Arial"/>
          <w:sz w:val="25"/>
          <w:szCs w:val="25"/>
          <w:b w:val="1"/>
          <w:bCs w:val="1"/>
          <w:color w:val="auto"/>
        </w:rPr>
        <w:t>, I</w:t>
      </w:r>
      <w:r>
        <w:rPr>
          <w:rFonts w:ascii="Arial" w:cs="Arial" w:eastAsia="Arial" w:hAnsi="Arial"/>
          <w:sz w:val="19"/>
          <w:szCs w:val="19"/>
          <w:b w:val="1"/>
          <w:bCs w:val="1"/>
          <w:color w:val="auto"/>
        </w:rPr>
        <w:t>NC</w:t>
      </w:r>
      <w:r>
        <w:rPr>
          <w:rFonts w:ascii="Arial" w:cs="Arial" w:eastAsia="Arial" w:hAnsi="Arial"/>
          <w:sz w:val="25"/>
          <w:szCs w:val="25"/>
          <w:b w:val="1"/>
          <w:bCs w:val="1"/>
          <w:color w:val="auto"/>
        </w:rPr>
        <w:t>.</w:t>
      </w:r>
    </w:p>
    <w:p>
      <w:pPr>
        <w:spacing w:after="0" w:line="226" w:lineRule="exact"/>
        <w:rPr>
          <w:sz w:val="20"/>
          <w:szCs w:val="20"/>
          <w:color w:val="auto"/>
        </w:rPr>
      </w:pPr>
    </w:p>
    <w:p>
      <w:pPr>
        <w:ind w:left="2940"/>
        <w:spacing w:after="0"/>
        <w:rPr>
          <w:sz w:val="20"/>
          <w:szCs w:val="20"/>
          <w:color w:val="auto"/>
        </w:rPr>
      </w:pPr>
      <w:r>
        <w:rPr>
          <w:rFonts w:ascii="Arial" w:cs="Arial" w:eastAsia="Arial" w:hAnsi="Arial"/>
          <w:sz w:val="25"/>
          <w:szCs w:val="25"/>
          <w:b w:val="1"/>
          <w:bCs w:val="1"/>
          <w:color w:val="auto"/>
        </w:rPr>
        <w:t>2020 E</w:t>
      </w:r>
      <w:r>
        <w:rPr>
          <w:rFonts w:ascii="Arial" w:cs="Arial" w:eastAsia="Arial" w:hAnsi="Arial"/>
          <w:sz w:val="19"/>
          <w:szCs w:val="19"/>
          <w:b w:val="1"/>
          <w:bCs w:val="1"/>
          <w:color w:val="auto"/>
        </w:rPr>
        <w:t>MPLOYEE</w:t>
      </w:r>
      <w:r>
        <w:rPr>
          <w:rFonts w:ascii="Arial" w:cs="Arial" w:eastAsia="Arial" w:hAnsi="Arial"/>
          <w:sz w:val="25"/>
          <w:szCs w:val="25"/>
          <w:b w:val="1"/>
          <w:bCs w:val="1"/>
          <w:color w:val="auto"/>
        </w:rPr>
        <w:t xml:space="preserve"> S</w:t>
      </w:r>
      <w:r>
        <w:rPr>
          <w:rFonts w:ascii="Arial" w:cs="Arial" w:eastAsia="Arial" w:hAnsi="Arial"/>
          <w:sz w:val="19"/>
          <w:szCs w:val="19"/>
          <w:b w:val="1"/>
          <w:bCs w:val="1"/>
          <w:color w:val="auto"/>
        </w:rPr>
        <w:t>TOCK</w:t>
      </w:r>
      <w:r>
        <w:rPr>
          <w:rFonts w:ascii="Arial" w:cs="Arial" w:eastAsia="Arial" w:hAnsi="Arial"/>
          <w:sz w:val="25"/>
          <w:szCs w:val="25"/>
          <w:b w:val="1"/>
          <w:bCs w:val="1"/>
          <w:color w:val="auto"/>
        </w:rPr>
        <w:t xml:space="preserve"> P</w:t>
      </w:r>
      <w:r>
        <w:rPr>
          <w:rFonts w:ascii="Arial" w:cs="Arial" w:eastAsia="Arial" w:hAnsi="Arial"/>
          <w:sz w:val="19"/>
          <w:szCs w:val="19"/>
          <w:b w:val="1"/>
          <w:bCs w:val="1"/>
          <w:color w:val="auto"/>
        </w:rPr>
        <w:t>URCHASE</w:t>
      </w:r>
      <w:r>
        <w:rPr>
          <w:rFonts w:ascii="Arial" w:cs="Arial" w:eastAsia="Arial" w:hAnsi="Arial"/>
          <w:sz w:val="25"/>
          <w:szCs w:val="25"/>
          <w:b w:val="1"/>
          <w:bCs w:val="1"/>
          <w:color w:val="auto"/>
        </w:rPr>
        <w:t xml:space="preserve"> P</w:t>
      </w:r>
      <w:r>
        <w:rPr>
          <w:rFonts w:ascii="Arial" w:cs="Arial" w:eastAsia="Arial" w:hAnsi="Arial"/>
          <w:sz w:val="19"/>
          <w:szCs w:val="19"/>
          <w:b w:val="1"/>
          <w:bCs w:val="1"/>
          <w:color w:val="auto"/>
        </w:rPr>
        <w:t>LAN</w:t>
      </w:r>
      <w:r>
        <w:rPr>
          <w:rFonts w:ascii="Arial" w:cs="Arial" w:eastAsia="Arial" w:hAnsi="Arial"/>
          <w:sz w:val="25"/>
          <w:szCs w:val="25"/>
          <w:b w:val="1"/>
          <w:bCs w:val="1"/>
          <w:color w:val="auto"/>
        </w:rPr>
        <w:t>O</w:t>
      </w:r>
      <w:r>
        <w:rPr>
          <w:rFonts w:ascii="Arial" w:cs="Arial" w:eastAsia="Arial" w:hAnsi="Arial"/>
          <w:sz w:val="19"/>
          <w:szCs w:val="19"/>
          <w:b w:val="1"/>
          <w:bCs w:val="1"/>
          <w:color w:val="auto"/>
        </w:rPr>
        <w:t>FFERING</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w:t>
      </w:r>
      <w:r>
        <w:rPr>
          <w:rFonts w:ascii="Arial" w:cs="Arial" w:eastAsia="Arial" w:hAnsi="Arial"/>
          <w:sz w:val="19"/>
          <w:szCs w:val="19"/>
          <w:b w:val="1"/>
          <w:bCs w:val="1"/>
          <w:color w:val="auto"/>
        </w:rPr>
        <w:t>OCUMENT</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ADOPTED BY THE BOARD OF DIRECTORS: SEPTEMBER 9, 2020</w:t>
      </w:r>
    </w:p>
    <w:p>
      <w:pPr>
        <w:spacing w:after="0" w:line="250" w:lineRule="exact"/>
        <w:rPr>
          <w:sz w:val="20"/>
          <w:szCs w:val="20"/>
          <w:color w:val="auto"/>
        </w:rPr>
      </w:pPr>
    </w:p>
    <w:p>
      <w:pPr>
        <w:ind w:left="120" w:right="480" w:firstLine="826"/>
        <w:spacing w:after="0" w:line="250" w:lineRule="auto"/>
        <w:rPr>
          <w:sz w:val="20"/>
          <w:szCs w:val="20"/>
          <w:color w:val="auto"/>
        </w:rPr>
      </w:pPr>
      <w:r>
        <w:rPr>
          <w:rFonts w:ascii="Arial" w:cs="Arial" w:eastAsia="Arial" w:hAnsi="Arial"/>
          <w:sz w:val="22"/>
          <w:szCs w:val="22"/>
          <w:color w:val="auto"/>
        </w:rPr>
        <w:t>In this document, capitalized terms not otherwise defined will have the same definitions of such terms as in the Spruce Biosciences, Inc. 2020 Employee Stock Purchase Plan.</w:t>
      </w:r>
    </w:p>
    <w:p>
      <w:pPr>
        <w:spacing w:after="0" w:line="169" w:lineRule="exact"/>
        <w:rPr>
          <w:sz w:val="20"/>
          <w:szCs w:val="20"/>
          <w:color w:val="auto"/>
        </w:rPr>
      </w:pPr>
    </w:p>
    <w:p>
      <w:pPr>
        <w:ind w:left="960" w:hanging="844"/>
        <w:spacing w:after="0"/>
        <w:tabs>
          <w:tab w:leader="none" w:pos="9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7"/>
          <w:szCs w:val="17"/>
          <w:b w:val="1"/>
          <w:bCs w:val="1"/>
          <w:color w:val="auto"/>
        </w:rPr>
        <w:t>RANT</w:t>
      </w:r>
      <w:r>
        <w:rPr>
          <w:rFonts w:ascii="Arial" w:cs="Arial" w:eastAsia="Arial" w:hAnsi="Arial"/>
          <w:sz w:val="22"/>
          <w:szCs w:val="22"/>
          <w:b w:val="1"/>
          <w:bCs w:val="1"/>
          <w:color w:val="auto"/>
        </w:rPr>
        <w:t>; O</w:t>
      </w:r>
      <w:r>
        <w:rPr>
          <w:rFonts w:ascii="Arial" w:cs="Arial" w:eastAsia="Arial" w:hAnsi="Arial"/>
          <w:sz w:val="17"/>
          <w:szCs w:val="17"/>
          <w:b w:val="1"/>
          <w:bCs w:val="1"/>
          <w:color w:val="auto"/>
        </w:rPr>
        <w:t>FFERING</w:t>
      </w:r>
      <w:r>
        <w:rPr>
          <w:rFonts w:ascii="Arial" w:cs="Arial" w:eastAsia="Arial" w:hAnsi="Arial"/>
          <w:sz w:val="22"/>
          <w:szCs w:val="22"/>
          <w:b w:val="1"/>
          <w:bCs w:val="1"/>
          <w:color w:val="auto"/>
        </w:rPr>
        <w:t xml:space="preserve"> D</w:t>
      </w:r>
      <w:r>
        <w:rPr>
          <w:rFonts w:ascii="Arial" w:cs="Arial" w:eastAsia="Arial" w:hAnsi="Arial"/>
          <w:sz w:val="17"/>
          <w:szCs w:val="17"/>
          <w:b w:val="1"/>
          <w:bCs w:val="1"/>
          <w:color w:val="auto"/>
        </w:rPr>
        <w:t>ATE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840" w:hanging="891"/>
        <w:spacing w:after="0"/>
        <w:tabs>
          <w:tab w:leader="none" w:pos="1840" w:val="left"/>
        </w:tabs>
        <w:numPr>
          <w:ilvl w:val="2"/>
          <w:numId w:val="65"/>
        </w:numPr>
        <w:rPr>
          <w:rFonts w:ascii="Arial" w:cs="Arial" w:eastAsia="Arial" w:hAnsi="Arial"/>
          <w:sz w:val="21"/>
          <w:szCs w:val="21"/>
          <w:b w:val="1"/>
          <w:bCs w:val="1"/>
          <w:color w:val="auto"/>
        </w:rPr>
      </w:pPr>
      <w:r>
        <w:rPr>
          <w:rFonts w:ascii="Arial" w:cs="Arial" w:eastAsia="Arial" w:hAnsi="Arial"/>
          <w:sz w:val="21"/>
          <w:szCs w:val="21"/>
          <w:color w:val="auto"/>
        </w:rPr>
        <w:t>The Board hereby authorizes a series of Offerings pursuant to the terms of this Offering Document.</w:t>
      </w:r>
    </w:p>
    <w:p>
      <w:pPr>
        <w:spacing w:after="0" w:line="217" w:lineRule="exact"/>
        <w:rPr>
          <w:rFonts w:ascii="Arial" w:cs="Arial" w:eastAsia="Arial" w:hAnsi="Arial"/>
          <w:sz w:val="21"/>
          <w:szCs w:val="21"/>
          <w:b w:val="1"/>
          <w:bCs w:val="1"/>
          <w:color w:val="auto"/>
        </w:rPr>
      </w:pPr>
    </w:p>
    <w:p>
      <w:pPr>
        <w:jc w:val="both"/>
        <w:ind w:left="120" w:firstLine="830"/>
        <w:spacing w:after="0" w:line="287" w:lineRule="auto"/>
        <w:tabs>
          <w:tab w:leader="none" w:pos="1858" w:val="left"/>
        </w:tabs>
        <w:numPr>
          <w:ilvl w:val="2"/>
          <w:numId w:val="65"/>
        </w:numPr>
        <w:rPr>
          <w:rFonts w:ascii="Arial" w:cs="Arial" w:eastAsia="Arial" w:hAnsi="Arial"/>
          <w:sz w:val="19"/>
          <w:szCs w:val="19"/>
          <w:b w:val="1"/>
          <w:bCs w:val="1"/>
          <w:color w:val="auto"/>
        </w:rPr>
      </w:pPr>
      <w:r>
        <w:rPr>
          <w:rFonts w:ascii="Arial" w:cs="Arial" w:eastAsia="Arial" w:hAnsi="Arial"/>
          <w:sz w:val="19"/>
          <w:szCs w:val="19"/>
          <w:color w:val="auto"/>
        </w:rPr>
        <w:t>The first Offering hereunder (the “</w:t>
      </w:r>
      <w:r>
        <w:rPr>
          <w:rFonts w:ascii="Arial" w:cs="Arial" w:eastAsia="Arial" w:hAnsi="Arial"/>
          <w:sz w:val="19"/>
          <w:szCs w:val="19"/>
          <w:b w:val="1"/>
          <w:bCs w:val="1"/>
          <w:i w:val="1"/>
          <w:iCs w:val="1"/>
          <w:color w:val="auto"/>
        </w:rPr>
        <w:t>Initial Offering</w:t>
      </w:r>
      <w:r>
        <w:rPr>
          <w:rFonts w:ascii="Arial" w:cs="Arial" w:eastAsia="Arial" w:hAnsi="Arial"/>
          <w:sz w:val="19"/>
          <w:szCs w:val="19"/>
          <w:color w:val="auto"/>
        </w:rPr>
        <w:t>”) will begin on the IPO Date and will end on December 31, 2022, unless terminated earlier as provided below. The Initial Offering will consist of four Purchase Periods with the first Purchase Period ending on June 30, 2021, the second Purchase Period ending on December 31, 2021, the third Purchase Period ending on June 30, 2022 and the fourth Purchase Period (and the Initial Offering) ending on December 31, 2022.</w:t>
      </w:r>
    </w:p>
    <w:p>
      <w:pPr>
        <w:spacing w:after="0" w:line="142" w:lineRule="exact"/>
        <w:rPr>
          <w:rFonts w:ascii="Arial" w:cs="Arial" w:eastAsia="Arial" w:hAnsi="Arial"/>
          <w:sz w:val="19"/>
          <w:szCs w:val="19"/>
          <w:b w:val="1"/>
          <w:bCs w:val="1"/>
          <w:color w:val="auto"/>
        </w:rPr>
      </w:pPr>
    </w:p>
    <w:p>
      <w:pPr>
        <w:jc w:val="both"/>
        <w:ind w:left="120" w:firstLine="830"/>
        <w:spacing w:after="0" w:line="273" w:lineRule="auto"/>
        <w:tabs>
          <w:tab w:leader="none" w:pos="1833" w:val="left"/>
        </w:tabs>
        <w:numPr>
          <w:ilvl w:val="2"/>
          <w:numId w:val="65"/>
        </w:numPr>
        <w:rPr>
          <w:rFonts w:ascii="Arial" w:cs="Arial" w:eastAsia="Arial" w:hAnsi="Arial"/>
          <w:sz w:val="19"/>
          <w:szCs w:val="19"/>
          <w:b w:val="1"/>
          <w:bCs w:val="1"/>
          <w:color w:val="auto"/>
        </w:rPr>
      </w:pPr>
      <w:r>
        <w:rPr>
          <w:rFonts w:ascii="Arial" w:cs="Arial" w:eastAsia="Arial" w:hAnsi="Arial"/>
          <w:sz w:val="19"/>
          <w:szCs w:val="19"/>
          <w:color w:val="auto"/>
        </w:rPr>
        <w:t>After the Initial Offering commences, a new Offering will thereafter automatically begin on July 1, 2021, and every six (6) months thereafter over the term of the Plan. Each Offering will be approximately twenty-four (24) months in duration, and Offerings will be concurrent. Each Offering will consist of four (4) Purchase Periods of approximately six</w:t>
      </w:r>
    </w:p>
    <w:p>
      <w:pPr>
        <w:spacing w:after="0" w:line="1" w:lineRule="exact"/>
        <w:rPr>
          <w:rFonts w:ascii="Arial" w:cs="Arial" w:eastAsia="Arial" w:hAnsi="Arial"/>
          <w:sz w:val="19"/>
          <w:szCs w:val="19"/>
          <w:b w:val="1"/>
          <w:bCs w:val="1"/>
          <w:color w:val="auto"/>
        </w:rPr>
      </w:pPr>
    </w:p>
    <w:p>
      <w:pPr>
        <w:ind w:left="120" w:right="20" w:firstLine="5"/>
        <w:spacing w:after="0" w:line="236" w:lineRule="auto"/>
        <w:tabs>
          <w:tab w:leader="none" w:pos="1020" w:val="left"/>
        </w:tabs>
        <w:numPr>
          <w:ilvl w:val="1"/>
          <w:numId w:val="65"/>
        </w:numPr>
        <w:rPr>
          <w:rFonts w:ascii="Arial" w:cs="Arial" w:eastAsia="Arial" w:hAnsi="Arial"/>
          <w:sz w:val="22"/>
          <w:szCs w:val="22"/>
          <w:color w:val="auto"/>
        </w:rPr>
      </w:pPr>
      <w:r>
        <w:rPr>
          <w:rFonts w:ascii="Arial" w:cs="Arial" w:eastAsia="Arial" w:hAnsi="Arial"/>
          <w:sz w:val="22"/>
          <w:szCs w:val="22"/>
          <w:color w:val="auto"/>
        </w:rPr>
        <w:t>months in duration ending on June 30 and December 31 each year. Except as provided below, a Purchase Date is the last day of a Purchase Period or of an Offering, as the case may be.</w:t>
      </w:r>
    </w:p>
    <w:p>
      <w:pPr>
        <w:spacing w:after="0" w:line="186" w:lineRule="exact"/>
        <w:rPr>
          <w:rFonts w:ascii="Arial" w:cs="Arial" w:eastAsia="Arial" w:hAnsi="Arial"/>
          <w:sz w:val="22"/>
          <w:szCs w:val="22"/>
          <w:color w:val="auto"/>
        </w:rPr>
      </w:pPr>
    </w:p>
    <w:p>
      <w:pPr>
        <w:ind w:left="120" w:right="20" w:firstLine="829"/>
        <w:spacing w:after="0" w:line="239" w:lineRule="auto"/>
        <w:tabs>
          <w:tab w:leader="none" w:pos="1856" w:val="left"/>
        </w:tabs>
        <w:numPr>
          <w:ilvl w:val="2"/>
          <w:numId w:val="66"/>
        </w:numPr>
        <w:rPr>
          <w:rFonts w:ascii="Arial" w:cs="Arial" w:eastAsia="Arial" w:hAnsi="Arial"/>
          <w:sz w:val="22"/>
          <w:szCs w:val="22"/>
          <w:b w:val="1"/>
          <w:bCs w:val="1"/>
          <w:color w:val="auto"/>
        </w:rPr>
      </w:pPr>
      <w:r>
        <w:rPr>
          <w:rFonts w:ascii="Arial" w:cs="Arial" w:eastAsia="Arial" w:hAnsi="Arial"/>
          <w:sz w:val="22"/>
          <w:szCs w:val="22"/>
          <w:color w:val="auto"/>
        </w:rPr>
        <w:t>Notwithstanding the foregoing: (i) if any Offering Date falls on a day that is not a Trading Day, then such Offering Date will instead fall on the next subsequent Trading Day, and</w:t>
      </w:r>
    </w:p>
    <w:p>
      <w:pPr>
        <w:jc w:val="both"/>
        <w:ind w:left="12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(ii) if the last day of either a Purchase Period or an Offering (and therefore any Purchase Date) falls on a day that is not a Trading Day, then such last day of the Purchase Period or Offering (and therefore the Purchase Date) will instead fall on the immediately preceding Trading Day.</w:t>
      </w:r>
    </w:p>
    <w:p>
      <w:pPr>
        <w:spacing w:after="0" w:line="187" w:lineRule="exact"/>
        <w:rPr>
          <w:rFonts w:ascii="Arial" w:cs="Arial" w:eastAsia="Arial" w:hAnsi="Arial"/>
          <w:sz w:val="22"/>
          <w:szCs w:val="22"/>
          <w:b w:val="1"/>
          <w:bCs w:val="1"/>
          <w:color w:val="auto"/>
        </w:rPr>
      </w:pPr>
    </w:p>
    <w:p>
      <w:pPr>
        <w:jc w:val="both"/>
        <w:ind w:left="120" w:firstLine="830"/>
        <w:spacing w:after="0" w:line="236" w:lineRule="auto"/>
        <w:tabs>
          <w:tab w:leader="none" w:pos="1833" w:val="left"/>
        </w:tabs>
        <w:numPr>
          <w:ilvl w:val="2"/>
          <w:numId w:val="66"/>
        </w:numPr>
        <w:rPr>
          <w:rFonts w:ascii="Arial" w:cs="Arial" w:eastAsia="Arial" w:hAnsi="Arial"/>
          <w:sz w:val="22"/>
          <w:szCs w:val="22"/>
          <w:b w:val="1"/>
          <w:bCs w:val="1"/>
          <w:color w:val="auto"/>
        </w:rPr>
      </w:pPr>
      <w:r>
        <w:rPr>
          <w:rFonts w:ascii="Arial" w:cs="Arial" w:eastAsia="Arial" w:hAnsi="Arial"/>
          <w:sz w:val="22"/>
          <w:szCs w:val="22"/>
          <w:color w:val="auto"/>
        </w:rPr>
        <w:t>Prior to the commencement of any Offering, the Board or Committee may change any or all terms of such Offering and any subsequent Offerings. The granting of Purchase Rights pursuant to each Offering hereunder will occur on each respective Offering Date unless (i) prior to such date the Board or Committee determines that such Offering will not occur, or (ii) no shares of Common Stock remain or will be available for issuance under the Plan in connection with such Offering.</w:t>
      </w:r>
    </w:p>
    <w:p>
      <w:pPr>
        <w:spacing w:after="0" w:line="187" w:lineRule="exact"/>
        <w:rPr>
          <w:rFonts w:ascii="Arial" w:cs="Arial" w:eastAsia="Arial" w:hAnsi="Arial"/>
          <w:sz w:val="22"/>
          <w:szCs w:val="22"/>
          <w:b w:val="1"/>
          <w:bCs w:val="1"/>
          <w:color w:val="auto"/>
        </w:rPr>
      </w:pPr>
    </w:p>
    <w:p>
      <w:pPr>
        <w:jc w:val="both"/>
        <w:ind w:left="120" w:firstLine="830"/>
        <w:spacing w:after="0"/>
        <w:tabs>
          <w:tab w:leader="none" w:pos="1810" w:val="left"/>
        </w:tabs>
        <w:numPr>
          <w:ilvl w:val="2"/>
          <w:numId w:val="66"/>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this Section 1 to the contrary, if the Fair Market Value of a share of Common Stock on any Offering Date of a subsequent Offering (the “</w:t>
      </w:r>
      <w:r>
        <w:rPr>
          <w:rFonts w:ascii="Arial" w:cs="Arial" w:eastAsia="Arial" w:hAnsi="Arial"/>
          <w:sz w:val="22"/>
          <w:szCs w:val="22"/>
          <w:b w:val="1"/>
          <w:bCs w:val="1"/>
          <w:i w:val="1"/>
          <w:iCs w:val="1"/>
          <w:color w:val="auto"/>
        </w:rPr>
        <w:t>New Offering</w:t>
      </w:r>
      <w:r>
        <w:rPr>
          <w:rFonts w:ascii="Arial" w:cs="Arial" w:eastAsia="Arial" w:hAnsi="Arial"/>
          <w:sz w:val="22"/>
          <w:szCs w:val="22"/>
          <w:color w:val="auto"/>
        </w:rPr>
        <w:t>”) is less than or equal to the Fair Market Value of a share of Common Stock on the</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233098103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151" w:name="page152"/>
    <w:bookmarkEnd w:id="151"/>
    <w:p>
      <w:pPr>
        <w:jc w:val="both"/>
        <w:ind w:left="120"/>
        <w:spacing w:after="0" w:line="279" w:lineRule="auto"/>
        <w:rPr>
          <w:sz w:val="20"/>
          <w:szCs w:val="20"/>
          <w:color w:val="auto"/>
        </w:rPr>
      </w:pPr>
      <w:r>
        <w:rPr>
          <w:rFonts w:ascii="Arial" w:cs="Arial" w:eastAsia="Arial" w:hAnsi="Arial"/>
          <w:sz w:val="19"/>
          <w:szCs w:val="19"/>
          <w:color w:val="auto"/>
        </w:rPr>
        <w:t>Offering Date for an ongoing Offering (the “</w:t>
      </w:r>
      <w:r>
        <w:rPr>
          <w:rFonts w:ascii="Arial" w:cs="Arial" w:eastAsia="Arial" w:hAnsi="Arial"/>
          <w:sz w:val="19"/>
          <w:szCs w:val="19"/>
          <w:b w:val="1"/>
          <w:bCs w:val="1"/>
          <w:i w:val="1"/>
          <w:iCs w:val="1"/>
          <w:color w:val="auto"/>
        </w:rPr>
        <w:t>Ongoing Offering</w:t>
      </w:r>
      <w:r>
        <w:rPr>
          <w:rFonts w:ascii="Arial" w:cs="Arial" w:eastAsia="Arial" w:hAnsi="Arial"/>
          <w:sz w:val="19"/>
          <w:szCs w:val="19"/>
          <w:color w:val="auto"/>
        </w:rPr>
        <w:t>”), then such Ongoing Offering shall terminate immediately following the purchase of shares of Common Stock on the Purchase Date of such Ongoing Offering, and Participants in the terminated Ongoing Offering automatically shall be enrolled in the New Offering. Thereafter, notwithstanding the provisions of Section 1(c) above, instead of a new Offering commencing pursuant to Section 1(c), a new Offering shall begin on the date that is six (6) months after the New Offering that commences pursuant to this Section 1(f) and every six (6) months thereafter, and each such Offering shall end on the date that is twenty-four (24) months after its Offering Date.</w:t>
      </w:r>
    </w:p>
    <w:p>
      <w:pPr>
        <w:spacing w:after="0" w:line="144" w:lineRule="exact"/>
        <w:rPr>
          <w:sz w:val="20"/>
          <w:szCs w:val="20"/>
          <w:color w:val="auto"/>
        </w:rPr>
      </w:pPr>
    </w:p>
    <w:p>
      <w:pPr>
        <w:ind w:left="960" w:hanging="844"/>
        <w:spacing w:after="0"/>
        <w:tabs>
          <w:tab w:leader="none" w:pos="9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LIGIBLE</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MPLOYEES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left="120" w:firstLine="830"/>
        <w:spacing w:after="0" w:line="248" w:lineRule="auto"/>
        <w:tabs>
          <w:tab w:leader="none" w:pos="1846" w:val="left"/>
        </w:tabs>
        <w:numPr>
          <w:ilvl w:val="1"/>
          <w:numId w:val="6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Eligible Employee</w:t>
      </w:r>
      <w:r>
        <w:rPr>
          <w:rFonts w:ascii="Arial" w:cs="Arial" w:eastAsia="Arial" w:hAnsi="Arial"/>
          <w:sz w:val="21"/>
          <w:szCs w:val="21"/>
          <w:color w:val="auto"/>
        </w:rPr>
        <w:t>” means an Employee as of the applicable enrollment deadline who is either: (i) an Employee of the Company; or (ii) an Employee of a Related Corporation incorporated in the United States; or (iii) an Employee of a Related Corporation that is not incorporated in the United States but whose employees the Board or Committee has designated as eligible to participate in the Offering. Each Eligible Employee as of an Offering Date who has completed the necessary enrollment paperwork (including any enrollment form) by the applicable deadline, will be granted a Purchase Right on the Offering Date of such Offering.</w:t>
      </w:r>
    </w:p>
    <w:p>
      <w:pPr>
        <w:spacing w:after="0" w:line="176" w:lineRule="exact"/>
        <w:rPr>
          <w:rFonts w:ascii="Arial" w:cs="Arial" w:eastAsia="Arial" w:hAnsi="Arial"/>
          <w:sz w:val="21"/>
          <w:szCs w:val="21"/>
          <w:b w:val="1"/>
          <w:bCs w:val="1"/>
          <w:color w:val="auto"/>
        </w:rPr>
      </w:pPr>
    </w:p>
    <w:p>
      <w:pPr>
        <w:jc w:val="both"/>
        <w:ind w:left="120" w:firstLine="830"/>
        <w:spacing w:after="0" w:line="248" w:lineRule="auto"/>
        <w:tabs>
          <w:tab w:leader="none" w:pos="1858" w:val="left"/>
        </w:tabs>
        <w:numPr>
          <w:ilvl w:val="1"/>
          <w:numId w:val="67"/>
        </w:numPr>
        <w:rPr>
          <w:rFonts w:ascii="Arial" w:cs="Arial" w:eastAsia="Arial" w:hAnsi="Arial"/>
          <w:sz w:val="21"/>
          <w:szCs w:val="21"/>
          <w:b w:val="1"/>
          <w:bCs w:val="1"/>
          <w:color w:val="auto"/>
        </w:rPr>
      </w:pPr>
      <w:r>
        <w:rPr>
          <w:rFonts w:ascii="Arial" w:cs="Arial" w:eastAsia="Arial" w:hAnsi="Arial"/>
          <w:sz w:val="21"/>
          <w:szCs w:val="21"/>
          <w:color w:val="auto"/>
        </w:rPr>
        <w:t xml:space="preserve">Each person who first becomes an Eligible Employee during an Offering shall not be granted a Purchase Right under such ongoing Offering, but shall be eligible to participate in the next subsequent Offering and shall be granted a Purchase Right under such subsequent Offering;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as a condition to the grant of a Purchase Right under such subsequent Offering, the Eligible Employee must submit the necessary enrollment paperwork (including any enrollment form) required by the Company at least seven (7) business days (or such other period of time as determined by the Company and communicated to Participants) before the start of such Offering.</w:t>
      </w:r>
    </w:p>
    <w:p>
      <w:pPr>
        <w:spacing w:after="0" w:line="176" w:lineRule="exact"/>
        <w:rPr>
          <w:rFonts w:ascii="Arial" w:cs="Arial" w:eastAsia="Arial" w:hAnsi="Arial"/>
          <w:sz w:val="21"/>
          <w:szCs w:val="21"/>
          <w:b w:val="1"/>
          <w:bCs w:val="1"/>
          <w:color w:val="auto"/>
        </w:rPr>
      </w:pPr>
    </w:p>
    <w:p>
      <w:pPr>
        <w:ind w:left="120" w:firstLine="830"/>
        <w:spacing w:after="0" w:line="250" w:lineRule="auto"/>
        <w:tabs>
          <w:tab w:leader="none" w:pos="1833" w:val="left"/>
        </w:tabs>
        <w:numPr>
          <w:ilvl w:val="1"/>
          <w:numId w:val="67"/>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the foregoing, the following Employees will </w:t>
      </w:r>
      <w:r>
        <w:rPr>
          <w:rFonts w:ascii="Arial" w:cs="Arial" w:eastAsia="Arial" w:hAnsi="Arial"/>
          <w:sz w:val="22"/>
          <w:szCs w:val="22"/>
          <w:b w:val="1"/>
          <w:bCs w:val="1"/>
          <w:i w:val="1"/>
          <w:iCs w:val="1"/>
          <w:color w:val="auto"/>
        </w:rPr>
        <w:t>not</w:t>
      </w:r>
      <w:r>
        <w:rPr>
          <w:rFonts w:ascii="Arial" w:cs="Arial" w:eastAsia="Arial" w:hAnsi="Arial"/>
          <w:sz w:val="22"/>
          <w:szCs w:val="22"/>
          <w:color w:val="auto"/>
        </w:rPr>
        <w:t xml:space="preserve"> be Eligible Employees or be granted Purchase Rights under an Offering:</w:t>
      </w:r>
    </w:p>
    <w:p>
      <w:pPr>
        <w:spacing w:after="0" w:line="174" w:lineRule="exact"/>
        <w:rPr>
          <w:rFonts w:ascii="Arial" w:cs="Arial" w:eastAsia="Arial" w:hAnsi="Arial"/>
          <w:sz w:val="22"/>
          <w:szCs w:val="22"/>
          <w:b w:val="1"/>
          <w:bCs w:val="1"/>
          <w:color w:val="auto"/>
        </w:rPr>
      </w:pPr>
    </w:p>
    <w:p>
      <w:pPr>
        <w:ind w:left="120" w:firstLine="1656"/>
        <w:spacing w:after="0" w:line="250" w:lineRule="auto"/>
        <w:tabs>
          <w:tab w:leader="none" w:pos="2624" w:val="left"/>
        </w:tabs>
        <w:numPr>
          <w:ilvl w:val="2"/>
          <w:numId w:val="67"/>
        </w:numPr>
        <w:rPr>
          <w:rFonts w:ascii="Arial" w:cs="Arial" w:eastAsia="Arial" w:hAnsi="Arial"/>
          <w:sz w:val="22"/>
          <w:szCs w:val="22"/>
          <w:b w:val="1"/>
          <w:bCs w:val="1"/>
          <w:color w:val="auto"/>
        </w:rPr>
      </w:pPr>
      <w:r>
        <w:rPr>
          <w:rFonts w:ascii="Arial" w:cs="Arial" w:eastAsia="Arial" w:hAnsi="Arial"/>
          <w:sz w:val="22"/>
          <w:szCs w:val="22"/>
          <w:color w:val="auto"/>
        </w:rPr>
        <w:t>five percent stockholders (including ownership through unexercised and/or unvested stock options) as described in Section 5(c) of the Plan; or</w:t>
      </w:r>
    </w:p>
    <w:p>
      <w:pPr>
        <w:spacing w:after="0" w:line="174" w:lineRule="exact"/>
        <w:rPr>
          <w:rFonts w:ascii="Arial" w:cs="Arial" w:eastAsia="Arial" w:hAnsi="Arial"/>
          <w:sz w:val="22"/>
          <w:szCs w:val="22"/>
          <w:b w:val="1"/>
          <w:bCs w:val="1"/>
          <w:color w:val="auto"/>
        </w:rPr>
      </w:pPr>
    </w:p>
    <w:p>
      <w:pPr>
        <w:jc w:val="both"/>
        <w:ind w:left="120" w:firstLine="1656"/>
        <w:spacing w:after="0" w:line="238" w:lineRule="auto"/>
        <w:tabs>
          <w:tab w:leader="none" w:pos="2684" w:val="left"/>
        </w:tabs>
        <w:numPr>
          <w:ilvl w:val="2"/>
          <w:numId w:val="67"/>
        </w:numPr>
        <w:rPr>
          <w:rFonts w:ascii="Arial" w:cs="Arial" w:eastAsia="Arial" w:hAnsi="Arial"/>
          <w:sz w:val="22"/>
          <w:szCs w:val="22"/>
          <w:b w:val="1"/>
          <w:bCs w:val="1"/>
          <w:color w:val="auto"/>
        </w:rPr>
      </w:pPr>
      <w:r>
        <w:rPr>
          <w:rFonts w:ascii="Arial" w:cs="Arial" w:eastAsia="Arial" w:hAnsi="Arial"/>
          <w:sz w:val="22"/>
          <w:szCs w:val="22"/>
          <w:color w:val="auto"/>
        </w:rPr>
        <w:t>Employees in jurisdictions outside of the United States if, as of the Offering Date of the Offering, the grant of such Purchase Rights under this Offering Document would not be in compliance with the applicable laws, regulations or requirements of any jurisdiction in which the Employee resides or is employed, as determined in the sole discretion of the Board or Committee.</w:t>
      </w:r>
    </w:p>
    <w:p>
      <w:pPr>
        <w:spacing w:after="0" w:line="178" w:lineRule="exact"/>
        <w:rPr>
          <w:rFonts w:ascii="Arial" w:cs="Arial" w:eastAsia="Arial" w:hAnsi="Arial"/>
          <w:sz w:val="22"/>
          <w:szCs w:val="22"/>
          <w:b w:val="1"/>
          <w:bCs w:val="1"/>
          <w:color w:val="auto"/>
        </w:rPr>
      </w:pPr>
    </w:p>
    <w:p>
      <w:pPr>
        <w:ind w:left="960" w:hanging="844"/>
        <w:spacing w:after="0"/>
        <w:tabs>
          <w:tab w:leader="none" w:pos="9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URCHASE</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IGHTS</w:t>
      </w:r>
      <w:r>
        <w:rPr>
          <w:rFonts w:ascii="Arial" w:cs="Arial" w:eastAsia="Arial" w:hAnsi="Arial"/>
          <w:sz w:val="22"/>
          <w:szCs w:val="22"/>
          <w:b w:val="1"/>
          <w:bCs w:val="1"/>
          <w:color w:val="auto"/>
        </w:rPr>
        <w:t>; P</w:t>
      </w:r>
      <w:r>
        <w:rPr>
          <w:rFonts w:ascii="Arial" w:cs="Arial" w:eastAsia="Arial" w:hAnsi="Arial"/>
          <w:sz w:val="17"/>
          <w:szCs w:val="17"/>
          <w:b w:val="1"/>
          <w:bCs w:val="1"/>
          <w:color w:val="auto"/>
        </w:rPr>
        <w:t>URCHASE</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IMITS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left="120" w:firstLine="830"/>
        <w:spacing w:after="0" w:line="287" w:lineRule="auto"/>
        <w:tabs>
          <w:tab w:leader="none" w:pos="1846"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limitations herein and in the Plan, a Participant’s Purchase Right will permit the purchase of the number of shares of Common Stock purchasable with up to 15% of such Participant’s Earnings paid during the Offering, beginning as of the date such Participant first commences participation in that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Participant may have more than 15% of such Participant’s Earnings applied to purchase shares of Common Stock</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233098103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7" w:right="459" w:bottom="1440" w:gutter="0" w:footer="0" w:header="0"/>
        </w:sectPr>
      </w:pPr>
    </w:p>
    <w:bookmarkStart w:id="152" w:name="page153"/>
    <w:bookmarkEnd w:id="152"/>
    <w:p>
      <w:pPr>
        <w:jc w:val="both"/>
        <w:ind w:left="120"/>
        <w:spacing w:after="0" w:line="279" w:lineRule="auto"/>
        <w:rPr>
          <w:sz w:val="20"/>
          <w:szCs w:val="20"/>
          <w:color w:val="auto"/>
        </w:rPr>
      </w:pPr>
      <w:r>
        <w:rPr>
          <w:rFonts w:ascii="Arial" w:cs="Arial" w:eastAsia="Arial" w:hAnsi="Arial"/>
          <w:sz w:val="19"/>
          <w:szCs w:val="19"/>
          <w:color w:val="auto"/>
        </w:rPr>
        <w:t>under all ongoing Offerings under the Plan and all other plans of the Company and Related Corporations that are intended to qualify as employee stock purchase plans under Section 423 of the Code. In the case of a payroll date that falls after the Purchase Date of one Purchase Period but prior to the first Trading Day of the immediately following Purchase Period, if applicable, Earnings from such payroll will be included in the new Purchase Period. In the case of a payroll date that falls after the last Purchase Date of an Offering but prior to the Offering Date of the next new Offering, Earnings from such payroll will be included in the new Offering (provided the Eligible Employee continues to participate in the new Offering).</w:t>
      </w:r>
    </w:p>
    <w:p>
      <w:pPr>
        <w:spacing w:after="0" w:line="150" w:lineRule="exact"/>
        <w:rPr>
          <w:sz w:val="20"/>
          <w:szCs w:val="20"/>
          <w:color w:val="auto"/>
        </w:rPr>
      </w:pPr>
    </w:p>
    <w:p>
      <w:pPr>
        <w:jc w:val="both"/>
        <w:ind w:left="120" w:firstLine="830"/>
        <w:spacing w:after="0" w:line="273" w:lineRule="auto"/>
        <w:tabs>
          <w:tab w:leader="none" w:pos="1858"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For Offerings hereunder, “</w:t>
      </w:r>
      <w:r>
        <w:rPr>
          <w:rFonts w:ascii="Arial" w:cs="Arial" w:eastAsia="Arial" w:hAnsi="Arial"/>
          <w:sz w:val="19"/>
          <w:szCs w:val="19"/>
          <w:b w:val="1"/>
          <w:bCs w:val="1"/>
          <w:i w:val="1"/>
          <w:iCs w:val="1"/>
          <w:color w:val="auto"/>
        </w:rPr>
        <w:t>Earnings</w:t>
      </w:r>
      <w:r>
        <w:rPr>
          <w:rFonts w:ascii="Arial" w:cs="Arial" w:eastAsia="Arial" w:hAnsi="Arial"/>
          <w:sz w:val="19"/>
          <w:szCs w:val="19"/>
          <w:color w:val="auto"/>
        </w:rPr>
        <w:t xml:space="preserve">” means the cash compensation paid to a Participant, consisting of the Participant’s base salary or base wage rate, including the value of amounts elected to be deferred by such Participant under any 401(k) plan or other deferred compensation program or arrangement established by the Company or a Related Corporation, but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all of the following: bonuses, commissions and overtime pay, if applicable, and all other cash remuneration paid directly to the Participant, including, without limitation, profit sharing contributions, the cost of employee benefits paid for by the Company or a Related Corporation, education or tuition reimbursements, imputed income (whether or not arising under any Company or Related Corporation group insurance or benefit program), traveling expenses, business expense reimbursements, moving expense reimbursements, housing and living allowances, income received, reported or otherwise recognized in connection with stock options and other equity awards, contributions made by the Company or a Related Corporation under any employee benefit plan, and other similar items of compensation.</w:t>
      </w:r>
    </w:p>
    <w:p>
      <w:pPr>
        <w:spacing w:after="0" w:line="160" w:lineRule="exact"/>
        <w:rPr>
          <w:rFonts w:ascii="Arial" w:cs="Arial" w:eastAsia="Arial" w:hAnsi="Arial"/>
          <w:sz w:val="19"/>
          <w:szCs w:val="19"/>
          <w:b w:val="1"/>
          <w:bCs w:val="1"/>
          <w:color w:val="auto"/>
        </w:rPr>
      </w:pPr>
    </w:p>
    <w:p>
      <w:pPr>
        <w:jc w:val="both"/>
        <w:ind w:left="120" w:firstLine="830"/>
        <w:spacing w:after="0" w:line="270" w:lineRule="auto"/>
        <w:tabs>
          <w:tab w:leader="none" w:pos="1833" w:val="left"/>
        </w:tabs>
        <w:numPr>
          <w:ilvl w:val="0"/>
          <w:numId w:val="68"/>
        </w:numPr>
        <w:rPr>
          <w:rFonts w:ascii="Arial" w:cs="Arial" w:eastAsia="Arial" w:hAnsi="Arial"/>
          <w:sz w:val="19"/>
          <w:szCs w:val="19"/>
          <w:b w:val="1"/>
          <w:bCs w:val="1"/>
          <w:color w:val="auto"/>
        </w:rPr>
      </w:pPr>
      <w:r>
        <w:rPr>
          <w:rFonts w:ascii="Arial" w:cs="Arial" w:eastAsia="Arial" w:hAnsi="Arial"/>
          <w:sz w:val="19"/>
          <w:szCs w:val="19"/>
          <w:color w:val="auto"/>
        </w:rPr>
        <w:t>However, the maximum number of shares of Common Stock that a Participant may purchase on any Purchase Date in an Offering will be such number of shares as has a Fair Market Value (determined as of the Offering Date for such Offering) equal to (1) US $25,000 multiplied by the number of calendar years in which the Purchase Right under such Offering has been outstanding at any time, minus (2) the Fair Market Value of any other shares of Common Stock (determined as of the relevant Offering Date with respect to such shares) that, for purposes of the limitation of Section 423(b)(8) of the</w:t>
      </w:r>
    </w:p>
    <w:p>
      <w:pPr>
        <w:spacing w:after="0" w:line="4" w:lineRule="exact"/>
        <w:rPr>
          <w:sz w:val="20"/>
          <w:szCs w:val="20"/>
          <w:color w:val="auto"/>
        </w:rPr>
      </w:pPr>
    </w:p>
    <w:p>
      <w:pPr>
        <w:jc w:val="both"/>
        <w:ind w:left="120"/>
        <w:spacing w:after="0" w:line="266" w:lineRule="auto"/>
        <w:rPr>
          <w:sz w:val="20"/>
          <w:szCs w:val="20"/>
          <w:color w:val="auto"/>
        </w:rPr>
      </w:pPr>
      <w:r>
        <w:rPr>
          <w:rFonts w:ascii="Arial" w:cs="Arial" w:eastAsia="Arial" w:hAnsi="Arial"/>
          <w:sz w:val="19"/>
          <w:szCs w:val="19"/>
          <w:color w:val="auto"/>
        </w:rPr>
        <w:t>Code, are attributed to any of such calendar years in which the Purchase Right has been outstanding. In all cases, this US $25,000 limit will be determined in accordance with regulations applicable under Section 423(b)(8) of the Code. In particular, the amount in clause (2) will be determined based on (i) the number of shares previously purchased with respect to such calendar years pursuant to such Offering or any other Offering under the Plan, and pursuant to any other Company or Related Corporation plans intended to qualify as an employee stock purchase plan under Section 423 of the Code, and</w:t>
      </w:r>
    </w:p>
    <w:p>
      <w:pPr>
        <w:spacing w:after="0" w:line="4" w:lineRule="exact"/>
        <w:rPr>
          <w:sz w:val="20"/>
          <w:szCs w:val="20"/>
          <w:color w:val="auto"/>
        </w:rPr>
      </w:pPr>
    </w:p>
    <w:p>
      <w:pPr>
        <w:ind w:left="120" w:right="20" w:firstLine="5"/>
        <w:spacing w:after="0" w:line="308" w:lineRule="auto"/>
        <w:tabs>
          <w:tab w:leader="none" w:pos="44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number of shares subject to other Purchase Rights outstanding on the Offering Date for such Offering pursuant to the Plan and any other such Company or Related Corporation plan intended to qualify as an Employee Stock Purchase Plan.</w:t>
      </w:r>
    </w:p>
    <w:p>
      <w:pPr>
        <w:spacing w:after="0" w:line="123" w:lineRule="exact"/>
        <w:rPr>
          <w:rFonts w:ascii="Arial" w:cs="Arial" w:eastAsia="Arial" w:hAnsi="Arial"/>
          <w:sz w:val="19"/>
          <w:szCs w:val="19"/>
          <w:color w:val="auto"/>
        </w:rPr>
      </w:pPr>
    </w:p>
    <w:p>
      <w:pPr>
        <w:ind w:left="120" w:firstLine="830"/>
        <w:spacing w:after="0" w:line="250" w:lineRule="auto"/>
        <w:tabs>
          <w:tab w:leader="none" w:pos="1858"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In addition, the maximum number of shares of Common Stock that may be purchased on any single Purchase Date by any one Participant is 20,000 shares.</w:t>
      </w:r>
    </w:p>
    <w:p>
      <w:pPr>
        <w:spacing w:after="0" w:line="174" w:lineRule="exact"/>
        <w:rPr>
          <w:rFonts w:ascii="Arial" w:cs="Arial" w:eastAsia="Arial" w:hAnsi="Arial"/>
          <w:sz w:val="22"/>
          <w:szCs w:val="22"/>
          <w:b w:val="1"/>
          <w:bCs w:val="1"/>
          <w:color w:val="auto"/>
        </w:rPr>
      </w:pPr>
    </w:p>
    <w:p>
      <w:pPr>
        <w:jc w:val="both"/>
        <w:ind w:left="120" w:firstLine="830"/>
        <w:spacing w:after="0"/>
        <w:tabs>
          <w:tab w:leader="none" w:pos="1833"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Notwithstanding the foregoing, in all cases, the maximum aggregate number of shares of Common Stock available to be purchased by all Participants under an Offering will be the number of shares of Common Stock remaining available under the Plan on the Offering Date,</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233098103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8" w:right="459" w:bottom="1440" w:gutter="0" w:footer="0" w:header="0"/>
        </w:sectPr>
      </w:pPr>
    </w:p>
    <w:bookmarkStart w:id="153" w:name="page154"/>
    <w:bookmarkEnd w:id="153"/>
    <w:p>
      <w:pPr>
        <w:jc w:val="both"/>
        <w:ind w:left="120"/>
        <w:spacing w:after="0" w:line="235" w:lineRule="auto"/>
        <w:rPr>
          <w:sz w:val="20"/>
          <w:szCs w:val="20"/>
          <w:color w:val="auto"/>
        </w:rPr>
      </w:pPr>
      <w:r>
        <w:rPr>
          <w:rFonts w:ascii="Arial" w:cs="Arial" w:eastAsia="Arial" w:hAnsi="Arial"/>
          <w:sz w:val="22"/>
          <w:szCs w:val="22"/>
          <w:color w:val="auto"/>
        </w:rPr>
        <w:t>rounded down to the nearest whole share, taking into account the Purchase Rights granted or to be granted under all other contemporaneous Offerings under the Plan. If the aggregate number of shares of Common Stock to be purchased upon the exercise of all outstanding Purchase Rights on a single Purchase Date under all on-going Offerings would exceed the foregoing limit, the Board or Committee will make a pro rata allocation (based on each Participant’s accumulated Contributions) on the applicable Purchase Date of the shares available (as of the Offering Date) in a uniform and equitable manner.</w:t>
      </w:r>
    </w:p>
    <w:p>
      <w:pPr>
        <w:spacing w:after="0" w:line="188" w:lineRule="exact"/>
        <w:rPr>
          <w:sz w:val="20"/>
          <w:szCs w:val="20"/>
          <w:color w:val="auto"/>
        </w:rPr>
      </w:pPr>
    </w:p>
    <w:p>
      <w:pPr>
        <w:jc w:val="both"/>
        <w:ind w:left="120" w:firstLine="830"/>
        <w:spacing w:after="0"/>
        <w:tabs>
          <w:tab w:leader="none" w:pos="1810" w:val="left"/>
        </w:tabs>
        <w:numPr>
          <w:ilvl w:val="1"/>
          <w:numId w:val="70"/>
        </w:numPr>
        <w:rPr>
          <w:rFonts w:ascii="Arial" w:cs="Arial" w:eastAsia="Arial" w:hAnsi="Arial"/>
          <w:sz w:val="22"/>
          <w:szCs w:val="22"/>
          <w:color w:val="auto"/>
        </w:rPr>
      </w:pPr>
      <w:r>
        <w:rPr>
          <w:rFonts w:ascii="Arial" w:cs="Arial" w:eastAsia="Arial" w:hAnsi="Arial"/>
          <w:sz w:val="22"/>
          <w:szCs w:val="22"/>
          <w:color w:val="auto"/>
        </w:rPr>
        <w:t xml:space="preserve">Any Contributions not applied to the purchase of shares of Common Stock as a result of the application of the limits set forth in this Section </w:t>
      </w:r>
      <w:hyperlink w:anchor="page152">
        <w:r>
          <w:rPr>
            <w:rFonts w:ascii="Arial" w:cs="Arial" w:eastAsia="Arial" w:hAnsi="Arial"/>
            <w:sz w:val="22"/>
            <w:szCs w:val="22"/>
            <w:u w:val="single" w:color="auto"/>
            <w:color w:val="0000EE"/>
          </w:rPr>
          <w:t>3</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will be refunded to the Participants at the end of the Offering without interest (unless otherwise required by applicable laws or regulations).</w:t>
      </w:r>
    </w:p>
    <w:p>
      <w:pPr>
        <w:spacing w:after="0" w:line="180" w:lineRule="exact"/>
        <w:rPr>
          <w:rFonts w:ascii="Arial" w:cs="Arial" w:eastAsia="Arial" w:hAnsi="Arial"/>
          <w:sz w:val="22"/>
          <w:szCs w:val="22"/>
          <w:color w:val="auto"/>
        </w:rPr>
      </w:pPr>
    </w:p>
    <w:p>
      <w:pPr>
        <w:ind w:left="960" w:hanging="844"/>
        <w:spacing w:after="0"/>
        <w:tabs>
          <w:tab w:leader="none" w:pos="9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URCHASE</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RICE</w:t>
      </w:r>
      <w:r>
        <w:rPr>
          <w:rFonts w:ascii="Arial" w:cs="Arial" w:eastAsia="Arial" w:hAnsi="Arial"/>
          <w:sz w:val="22"/>
          <w:szCs w:val="22"/>
          <w:b w:val="1"/>
          <w:bCs w:val="1"/>
          <w:color w:val="auto"/>
        </w:rPr>
        <w:t>.</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The purchase price of shares of Common Stock under an Offering will be the lesser of:</w:t>
      </w:r>
    </w:p>
    <w:p>
      <w:pPr>
        <w:ind w:left="980" w:hanging="856"/>
        <w:spacing w:after="0" w:line="238" w:lineRule="auto"/>
        <w:tabs>
          <w:tab w:leader="none" w:pos="9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85% of the Fair Market Value of such shares of Common Stock on the Offering Date, and</w:t>
      </w:r>
    </w:p>
    <w:p>
      <w:pPr>
        <w:jc w:val="both"/>
        <w:ind w:left="120" w:firstLine="5"/>
        <w:spacing w:after="0" w:line="233" w:lineRule="auto"/>
        <w:tabs>
          <w:tab w:leader="none" w:pos="1032" w:val="left"/>
        </w:tabs>
        <w:numPr>
          <w:ilvl w:val="1"/>
          <w:numId w:val="72"/>
        </w:numPr>
        <w:rPr>
          <w:rFonts w:ascii="Arial" w:cs="Arial" w:eastAsia="Arial" w:hAnsi="Arial"/>
          <w:sz w:val="22"/>
          <w:szCs w:val="22"/>
          <w:color w:val="auto"/>
        </w:rPr>
      </w:pPr>
      <w:r>
        <w:rPr>
          <w:rFonts w:ascii="Arial" w:cs="Arial" w:eastAsia="Arial" w:hAnsi="Arial"/>
          <w:sz w:val="22"/>
          <w:szCs w:val="22"/>
          <w:color w:val="auto"/>
        </w:rPr>
        <w:t>85% of the Fair Market Value of such shares of Common Stock on the applicable Purchase Date, in each case rounded up to the nearest whole cent per share. For the Initial Offering,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1" w:lineRule="exact"/>
        <w:rPr>
          <w:rFonts w:ascii="Arial" w:cs="Arial" w:eastAsia="Arial" w:hAnsi="Arial"/>
          <w:sz w:val="22"/>
          <w:szCs w:val="22"/>
          <w:color w:val="auto"/>
        </w:rPr>
      </w:pPr>
    </w:p>
    <w:p>
      <w:pPr>
        <w:ind w:left="960" w:hanging="844"/>
        <w:spacing w:after="0"/>
        <w:tabs>
          <w:tab w:leader="none" w:pos="9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ARTICIPATION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left="120" w:firstLine="830"/>
        <w:spacing w:after="0"/>
        <w:tabs>
          <w:tab w:leader="none" w:pos="1846" w:val="left"/>
        </w:tabs>
        <w:numPr>
          <w:ilvl w:val="2"/>
          <w:numId w:val="73"/>
        </w:numPr>
        <w:rPr>
          <w:rFonts w:ascii="Arial" w:cs="Arial" w:eastAsia="Arial" w:hAnsi="Arial"/>
          <w:sz w:val="22"/>
          <w:szCs w:val="22"/>
          <w:b w:val="1"/>
          <w:bCs w:val="1"/>
          <w:color w:val="auto"/>
        </w:rPr>
      </w:pPr>
      <w:r>
        <w:rPr>
          <w:rFonts w:ascii="Arial" w:cs="Arial" w:eastAsia="Arial" w:hAnsi="Arial"/>
          <w:sz w:val="22"/>
          <w:szCs w:val="22"/>
          <w:color w:val="auto"/>
        </w:rPr>
        <w:t>Contributions may be made through payroll deductions only, unless payroll deductions are prohibited by applicable laws or regulations or unless the Company or a Participant’s employer determines that another means of contributing is required or advisable for legal or administrative reasons.</w:t>
      </w:r>
    </w:p>
    <w:p>
      <w:pPr>
        <w:spacing w:after="0" w:line="186" w:lineRule="exact"/>
        <w:rPr>
          <w:rFonts w:ascii="Arial" w:cs="Arial" w:eastAsia="Arial" w:hAnsi="Arial"/>
          <w:sz w:val="22"/>
          <w:szCs w:val="22"/>
          <w:b w:val="1"/>
          <w:bCs w:val="1"/>
          <w:color w:val="auto"/>
        </w:rPr>
      </w:pPr>
    </w:p>
    <w:p>
      <w:pPr>
        <w:jc w:val="both"/>
        <w:ind w:left="120" w:firstLine="830"/>
        <w:spacing w:after="0" w:line="279" w:lineRule="auto"/>
        <w:tabs>
          <w:tab w:leader="none" w:pos="1858" w:val="left"/>
        </w:tabs>
        <w:numPr>
          <w:ilvl w:val="2"/>
          <w:numId w:val="73"/>
        </w:numPr>
        <w:rPr>
          <w:rFonts w:ascii="Arial" w:cs="Arial" w:eastAsia="Arial" w:hAnsi="Arial"/>
          <w:sz w:val="19"/>
          <w:szCs w:val="19"/>
          <w:b w:val="1"/>
          <w:bCs w:val="1"/>
          <w:color w:val="auto"/>
        </w:rPr>
      </w:pPr>
      <w:r>
        <w:rPr>
          <w:rFonts w:ascii="Arial" w:cs="Arial" w:eastAsia="Arial" w:hAnsi="Arial"/>
          <w:sz w:val="19"/>
          <w:szCs w:val="19"/>
          <w:color w:val="auto"/>
        </w:rPr>
        <w:t>An Eligible Employee’s election to participate in an Offering is effective on the Offering Date. An Eligible Employee must elect his or her Contribution rate on the enrollment form provided by the Company (the “</w:t>
      </w:r>
      <w:r>
        <w:rPr>
          <w:rFonts w:ascii="Arial" w:cs="Arial" w:eastAsia="Arial" w:hAnsi="Arial"/>
          <w:sz w:val="19"/>
          <w:szCs w:val="19"/>
          <w:b w:val="1"/>
          <w:bCs w:val="1"/>
          <w:i w:val="1"/>
          <w:iCs w:val="1"/>
          <w:color w:val="auto"/>
        </w:rPr>
        <w:t>Enrollment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Change Request Form</w:t>
      </w:r>
      <w:r>
        <w:rPr>
          <w:rFonts w:ascii="Arial" w:cs="Arial" w:eastAsia="Arial" w:hAnsi="Arial"/>
          <w:sz w:val="19"/>
          <w:szCs w:val="19"/>
          <w:color w:val="auto"/>
        </w:rPr>
        <w:t>”). The completed Enrollment and Change Request Form must be delivered to the Company at least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seven (7) business days prior to the Offering Date, unless a different time is set by the Company for all Eligible Employees with respect to a given Offering. Contribution rates must be expressed in whole percentages of Earnings, with a minimum percentage of 1% (except as otherwise provided herein) and a maximum percentage of 15%.</w:t>
      </w:r>
    </w:p>
    <w:p>
      <w:pPr>
        <w:spacing w:after="0" w:line="150" w:lineRule="exact"/>
        <w:rPr>
          <w:rFonts w:ascii="Arial" w:cs="Arial" w:eastAsia="Arial" w:hAnsi="Arial"/>
          <w:sz w:val="19"/>
          <w:szCs w:val="19"/>
          <w:b w:val="1"/>
          <w:bCs w:val="1"/>
          <w:color w:val="auto"/>
        </w:rPr>
      </w:pPr>
    </w:p>
    <w:p>
      <w:pPr>
        <w:jc w:val="both"/>
        <w:ind w:left="120" w:firstLine="830"/>
        <w:spacing w:after="0" w:line="235" w:lineRule="auto"/>
        <w:tabs>
          <w:tab w:leader="none" w:pos="1833" w:val="left"/>
        </w:tabs>
        <w:numPr>
          <w:ilvl w:val="2"/>
          <w:numId w:val="73"/>
        </w:numPr>
        <w:rPr>
          <w:rFonts w:ascii="Arial" w:cs="Arial" w:eastAsia="Arial" w:hAnsi="Arial"/>
          <w:sz w:val="22"/>
          <w:szCs w:val="22"/>
          <w:b w:val="1"/>
          <w:bCs w:val="1"/>
          <w:color w:val="auto"/>
        </w:rPr>
      </w:pPr>
      <w:r>
        <w:rPr>
          <w:rFonts w:ascii="Arial" w:cs="Arial" w:eastAsia="Arial" w:hAnsi="Arial"/>
          <w:sz w:val="22"/>
          <w:szCs w:val="22"/>
          <w:color w:val="auto"/>
        </w:rPr>
        <w:t>A Participant may increase or decrease his or her Contribution level, with such change effective as of the next Purchase Period or Offering, by delivering the required Enrollment and Change Request Form at least seven (7) business days (or such other period of time as determined by the Company and communicated to Participants) prior to the start of the Purchase Period or Offering, as applicable, for which it is to be effective. However, the Company may determine in its sole discretion at any time, including at any time following the commencement of an Offering, that it will no longer accept Participant requests to increase or</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233098103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8" w:right="459" w:bottom="1440" w:gutter="0" w:footer="0" w:header="0"/>
        </w:sectPr>
      </w:pPr>
    </w:p>
    <w:bookmarkStart w:id="154" w:name="page155"/>
    <w:bookmarkEnd w:id="154"/>
    <w:p>
      <w:pPr>
        <w:ind w:left="120"/>
        <w:spacing w:after="0"/>
        <w:rPr>
          <w:sz w:val="20"/>
          <w:szCs w:val="20"/>
          <w:color w:val="auto"/>
        </w:rPr>
      </w:pPr>
      <w:r>
        <w:rPr>
          <w:rFonts w:ascii="Arial" w:cs="Arial" w:eastAsia="Arial" w:hAnsi="Arial"/>
          <w:sz w:val="22"/>
          <w:szCs w:val="22"/>
          <w:color w:val="auto"/>
        </w:rPr>
        <w:t>decrease Contribution levels.</w:t>
      </w:r>
    </w:p>
    <w:p>
      <w:pPr>
        <w:spacing w:after="0" w:line="206" w:lineRule="exact"/>
        <w:rPr>
          <w:sz w:val="20"/>
          <w:szCs w:val="20"/>
          <w:color w:val="auto"/>
        </w:rPr>
      </w:pPr>
    </w:p>
    <w:p>
      <w:pPr>
        <w:jc w:val="both"/>
        <w:ind w:left="120" w:firstLine="830"/>
        <w:spacing w:after="0" w:line="269" w:lineRule="auto"/>
        <w:tabs>
          <w:tab w:leader="none" w:pos="1858" w:val="left"/>
        </w:tabs>
        <w:numPr>
          <w:ilvl w:val="1"/>
          <w:numId w:val="74"/>
        </w:numPr>
        <w:rPr>
          <w:rFonts w:ascii="Arial" w:cs="Arial" w:eastAsia="Arial" w:hAnsi="Arial"/>
          <w:sz w:val="19"/>
          <w:szCs w:val="19"/>
          <w:b w:val="1"/>
          <w:bCs w:val="1"/>
          <w:color w:val="auto"/>
        </w:rPr>
      </w:pPr>
      <w:r>
        <w:rPr>
          <w:rFonts w:ascii="Arial" w:cs="Arial" w:eastAsia="Arial" w:hAnsi="Arial"/>
          <w:sz w:val="19"/>
          <w:szCs w:val="19"/>
          <w:color w:val="auto"/>
        </w:rPr>
        <w:t>Unless otherwise determined by the Company and communicated to Participants with respect to the Purchase Period or Offering, a Participant may not increase his or her Contribution level as to Contributions to be made during a Purchase Period. A Participant may decrease (including a decrease to 0%) his or her Contribution level no more than one time per Purchase Period, with such change effective as to Contributions to be made during such ongoing Purchase Period. The Participant must deliver an Enrollment and Change Request Form stating the new decreased Contribution level at least seven (7) business days (or such other period of time as determined by the Company and communicated to Participants) prior to the payroll date for which it is to be effective. Any Participant who has not increased his or her Contribution level as to Contributions to be made for the next Offering from 0% to at least 1% at least seven</w:t>
      </w:r>
    </w:p>
    <w:p>
      <w:pPr>
        <w:spacing w:after="0" w:line="2" w:lineRule="exact"/>
        <w:rPr>
          <w:rFonts w:ascii="Arial" w:cs="Arial" w:eastAsia="Arial" w:hAnsi="Arial"/>
          <w:sz w:val="19"/>
          <w:szCs w:val="19"/>
          <w:b w:val="1"/>
          <w:bCs w:val="1"/>
          <w:color w:val="auto"/>
        </w:rPr>
      </w:pPr>
    </w:p>
    <w:p>
      <w:pPr>
        <w:ind w:left="120" w:right="20" w:firstLine="5"/>
        <w:spacing w:after="0" w:line="308" w:lineRule="auto"/>
        <w:tabs>
          <w:tab w:leader="none" w:pos="10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business days (or such other period of time as determined by the Company and communicated to Participants) prior to the start of a new Offering will be withdrawn from the Plan effective as of the first day of that new Offering.</w:t>
      </w:r>
    </w:p>
    <w:p>
      <w:pPr>
        <w:spacing w:after="0" w:line="123" w:lineRule="exact"/>
        <w:rPr>
          <w:rFonts w:ascii="Arial" w:cs="Arial" w:eastAsia="Arial" w:hAnsi="Arial"/>
          <w:sz w:val="19"/>
          <w:szCs w:val="19"/>
          <w:color w:val="auto"/>
        </w:rPr>
      </w:pPr>
    </w:p>
    <w:p>
      <w:pPr>
        <w:jc w:val="both"/>
        <w:ind w:left="120" w:right="20" w:firstLine="829"/>
        <w:spacing w:after="0" w:line="279" w:lineRule="auto"/>
        <w:tabs>
          <w:tab w:leader="none" w:pos="1832" w:val="left"/>
        </w:tabs>
        <w:numPr>
          <w:ilvl w:val="1"/>
          <w:numId w:val="75"/>
        </w:numPr>
        <w:rPr>
          <w:rFonts w:ascii="Arial" w:cs="Arial" w:eastAsia="Arial" w:hAnsi="Arial"/>
          <w:sz w:val="19"/>
          <w:szCs w:val="19"/>
          <w:b w:val="1"/>
          <w:bCs w:val="1"/>
          <w:color w:val="auto"/>
        </w:rPr>
      </w:pPr>
      <w:r>
        <w:rPr>
          <w:rFonts w:ascii="Arial" w:cs="Arial" w:eastAsia="Arial" w:hAnsi="Arial"/>
          <w:sz w:val="19"/>
          <w:szCs w:val="19"/>
          <w:color w:val="auto"/>
        </w:rPr>
        <w:t>A Participant may withdraw from an Offering and receive a refund of his or her Contributions (reduced to the extent, if any, such Contributions have been used to acquire shares of Common Stock for the Participant on any prior Purchase Date) without interest, at any time prior to the end of the Offering, but excluding the seven (7) business day period immediately preceding a Purchase Date (or such other period of time determined by the Company and communicated to Participants), by delivering the required Enrollment and Change Form. A Participant who has withdrawn from an Offering may not again participate in that Offering, but may participate in subsequent Offerings.</w:t>
      </w:r>
    </w:p>
    <w:p>
      <w:pPr>
        <w:spacing w:after="0" w:line="150" w:lineRule="exact"/>
        <w:rPr>
          <w:rFonts w:ascii="Arial" w:cs="Arial" w:eastAsia="Arial" w:hAnsi="Arial"/>
          <w:sz w:val="19"/>
          <w:szCs w:val="19"/>
          <w:b w:val="1"/>
          <w:bCs w:val="1"/>
          <w:color w:val="auto"/>
        </w:rPr>
      </w:pPr>
    </w:p>
    <w:p>
      <w:pPr>
        <w:jc w:val="both"/>
        <w:ind w:left="120" w:right="20" w:firstLine="829"/>
        <w:spacing w:after="0" w:line="238" w:lineRule="auto"/>
        <w:tabs>
          <w:tab w:leader="none" w:pos="1808" w:val="left"/>
        </w:tabs>
        <w:numPr>
          <w:ilvl w:val="1"/>
          <w:numId w:val="75"/>
        </w:numPr>
        <w:rPr>
          <w:rFonts w:ascii="Arial" w:cs="Arial" w:eastAsia="Arial" w:hAnsi="Arial"/>
          <w:sz w:val="22"/>
          <w:szCs w:val="22"/>
          <w:b w:val="1"/>
          <w:bCs w:val="1"/>
          <w:color w:val="auto"/>
        </w:rPr>
      </w:pPr>
      <w:r>
        <w:rPr>
          <w:rFonts w:ascii="Arial" w:cs="Arial" w:eastAsia="Arial" w:hAnsi="Arial"/>
          <w:sz w:val="22"/>
          <w:szCs w:val="22"/>
          <w:color w:val="auto"/>
        </w:rPr>
        <w:t>Eligible Employees may not make an investment decision regarding participation in an Offering, including electing a Contribution level, until a registration statement covering the shares reserved under the Plan for that Offering has been filed by the Company and has become effective. The Company may establish procedures to enable the purposes of the Plan to be satisfied while complying with applicable securities laws.</w:t>
      </w:r>
    </w:p>
    <w:p>
      <w:pPr>
        <w:spacing w:after="0" w:line="184" w:lineRule="exact"/>
        <w:rPr>
          <w:rFonts w:ascii="Arial" w:cs="Arial" w:eastAsia="Arial" w:hAnsi="Arial"/>
          <w:sz w:val="22"/>
          <w:szCs w:val="22"/>
          <w:b w:val="1"/>
          <w:bCs w:val="1"/>
          <w:color w:val="auto"/>
        </w:rPr>
      </w:pPr>
    </w:p>
    <w:p>
      <w:pPr>
        <w:jc w:val="both"/>
        <w:ind w:left="120" w:firstLine="830"/>
        <w:spacing w:after="0" w:line="244" w:lineRule="auto"/>
        <w:tabs>
          <w:tab w:leader="none" w:pos="1846" w:val="left"/>
        </w:tabs>
        <w:numPr>
          <w:ilvl w:val="1"/>
          <w:numId w:val="75"/>
        </w:numPr>
        <w:rPr>
          <w:rFonts w:ascii="Arial" w:cs="Arial" w:eastAsia="Arial" w:hAnsi="Arial"/>
          <w:sz w:val="21"/>
          <w:szCs w:val="21"/>
          <w:b w:val="1"/>
          <w:bCs w:val="1"/>
          <w:color w:val="auto"/>
        </w:rPr>
      </w:pPr>
      <w:r>
        <w:rPr>
          <w:rFonts w:ascii="Arial" w:cs="Arial" w:eastAsia="Arial" w:hAnsi="Arial"/>
          <w:sz w:val="21"/>
          <w:szCs w:val="21"/>
          <w:color w:val="auto"/>
        </w:rPr>
        <w:t>For the Initial Offering only, each Eligible Employee who is employed on the Offering Date for the Initial Offering automatically will be enrolled in the Initial Offering, with a Purchase Right to purchase up to the number of shares of Common Stock that are purchasable with 15% of the Eligible Employee’s Earnings attributable to the Initial Offering, subject to the limitations set forth in Section 3 above. Immediately following the filing of an effective registration statement pursuant to a Form S-8, Eligible Employees will have a period of approximately two (2) weeks, unless a different period is selected by the Company (with the last such day of that period referred to as the “</w:t>
      </w:r>
      <w:r>
        <w:rPr>
          <w:rFonts w:ascii="Arial" w:cs="Arial" w:eastAsia="Arial" w:hAnsi="Arial"/>
          <w:sz w:val="21"/>
          <w:szCs w:val="21"/>
          <w:b w:val="1"/>
          <w:bCs w:val="1"/>
          <w:i w:val="1"/>
          <w:iCs w:val="1"/>
          <w:color w:val="auto"/>
        </w:rPr>
        <w:t>Election Date</w:t>
      </w:r>
      <w:r>
        <w:rPr>
          <w:rFonts w:ascii="Arial" w:cs="Arial" w:eastAsia="Arial" w:hAnsi="Arial"/>
          <w:sz w:val="21"/>
          <w:szCs w:val="21"/>
          <w:color w:val="auto"/>
        </w:rPr>
        <w:t>”) within which to (i) withdraw from the Plan or (ii) authorize Contributions through payroll deductions for the purchase of shares during the Initial Offering (which may be for a percentage that is less than 15% of the Eligible Employee’s Earnings, including 0%). Authorized payroll deductions will begin on the first regularly scheduled payroll paydate that occurs at least seven (7) business days following the Election Date (unless an earlier paydate is selected by the Company). If an Eligible Employee fails to authorize payroll deductions at a Contribution level of at least 1% by the Election Date, the Eligible Employee will be deemed to have elected a 0% Contribution Rate for the first</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233098103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8" w:right="459" w:bottom="1440" w:gutter="0" w:footer="0" w:header="0"/>
        </w:sectPr>
      </w:pPr>
    </w:p>
    <w:bookmarkStart w:id="155" w:name="page156"/>
    <w:bookmarkEnd w:id="155"/>
    <w:p>
      <w:pPr>
        <w:jc w:val="both"/>
        <w:ind w:left="120"/>
        <w:spacing w:after="0" w:line="234" w:lineRule="auto"/>
        <w:rPr>
          <w:sz w:val="20"/>
          <w:szCs w:val="20"/>
          <w:color w:val="auto"/>
        </w:rPr>
      </w:pPr>
      <w:r>
        <w:rPr>
          <w:rFonts w:ascii="Arial" w:cs="Arial" w:eastAsia="Arial" w:hAnsi="Arial"/>
          <w:sz w:val="22"/>
          <w:szCs w:val="22"/>
          <w:color w:val="auto"/>
        </w:rPr>
        <w:t>Purchase Period of the Initial Offering and no shares will be purchased for the Eligible Employee on the first Purchase Date of the Initial Offering. However, the Eligible Employee’s Purchase Right will remain outstanding and he or she may still authorize payroll deductions for the second Purchase Period of the Initial Offering. If the Eligible Employee has not timely elected payroll deductions at the rate of at least 1% before the start of the second Purchase Period of the Initial Offering, his or her Purchase Right for the Initial Offering will be immediately terminated, he or she will be automatically withdrawn from the Plan, and he or she must affirmatively enroll and authorize payroll deductions in accordance with Section 5(a) above to participate in future Offerings.</w:t>
      </w:r>
    </w:p>
    <w:p>
      <w:pPr>
        <w:spacing w:after="0" w:line="191" w:lineRule="exact"/>
        <w:rPr>
          <w:sz w:val="20"/>
          <w:szCs w:val="20"/>
          <w:color w:val="auto"/>
        </w:rPr>
      </w:pPr>
    </w:p>
    <w:p>
      <w:pPr>
        <w:jc w:val="both"/>
        <w:ind w:left="120" w:firstLine="830"/>
        <w:spacing w:after="0" w:line="235" w:lineRule="auto"/>
        <w:tabs>
          <w:tab w:leader="none" w:pos="1858"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Once an Eligible Employee affirmatively enrolls in an Offering and authorizes Contributions (including in connection with the Initial Offering), the Eligible Employee automatically will be enrolled for all subsequent Offerings that begin after the end of the Offering in which the Eligible Employee is a Participant until he or she elects to withdraw from an Offering pursuant to Section </w:t>
      </w:r>
      <w:hyperlink w:anchor="page155">
        <w:r>
          <w:rPr>
            <w:rFonts w:ascii="Arial" w:cs="Arial" w:eastAsia="Arial" w:hAnsi="Arial"/>
            <w:sz w:val="22"/>
            <w:szCs w:val="22"/>
            <w:u w:val="single" w:color="auto"/>
            <w:color w:val="0000EE"/>
          </w:rPr>
          <w:t>5(e)</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above, is deemed to have withdrawn pursuant to Section </w:t>
      </w:r>
      <w:hyperlink w:anchor="page155">
        <w:r>
          <w:rPr>
            <w:rFonts w:ascii="Arial" w:cs="Arial" w:eastAsia="Arial" w:hAnsi="Arial"/>
            <w:sz w:val="22"/>
            <w:szCs w:val="22"/>
            <w:u w:val="single" w:color="auto"/>
            <w:color w:val="0000EE"/>
          </w:rPr>
          <w:t>5(d)</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above, or otherwise terminates his or her participation in the Plan (including through termination of employment with the Company or a Related Corporation).</w:t>
      </w:r>
    </w:p>
    <w:p>
      <w:pPr>
        <w:spacing w:after="0" w:line="181" w:lineRule="exact"/>
        <w:rPr>
          <w:rFonts w:ascii="Arial" w:cs="Arial" w:eastAsia="Arial" w:hAnsi="Arial"/>
          <w:sz w:val="22"/>
          <w:szCs w:val="22"/>
          <w:color w:val="auto"/>
        </w:rPr>
      </w:pPr>
    </w:p>
    <w:p>
      <w:pPr>
        <w:ind w:left="960" w:hanging="844"/>
        <w:spacing w:after="0"/>
        <w:tabs>
          <w:tab w:leader="none" w:pos="9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URCHASES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left="120" w:firstLine="826"/>
        <w:spacing w:after="0" w:line="275" w:lineRule="auto"/>
        <w:rPr>
          <w:sz w:val="20"/>
          <w:szCs w:val="20"/>
          <w:color w:val="auto"/>
        </w:rPr>
      </w:pPr>
      <w:r>
        <w:rPr>
          <w:rFonts w:ascii="Arial" w:cs="Arial" w:eastAsia="Arial" w:hAnsi="Arial"/>
          <w:sz w:val="19"/>
          <w:szCs w:val="19"/>
          <w:color w:val="auto"/>
        </w:rPr>
        <w:t>Subject to the limitations contained herein, on each Purchase Date, each Participant’s Contributions (without any increase for interest) will be applied to the purchase of whole shares of Common Stock, up to the maximum number of shares permitted under the Plan and the Offering. On a Purchase Date, each Participant’s purchases shall first be made under the Offering for which purchases are being made on such Purchase Date that results in stock being purchased for such Participant at the lowest price under all Offerings in which such Participant has been granted Purchase Rights and under which stock is then being purchased on such Purchase Date.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51" w:lineRule="exact"/>
        <w:rPr>
          <w:rFonts w:ascii="Arial" w:cs="Arial" w:eastAsia="Arial" w:hAnsi="Arial"/>
          <w:sz w:val="22"/>
          <w:szCs w:val="22"/>
          <w:b w:val="1"/>
          <w:bCs w:val="1"/>
          <w:color w:val="auto"/>
        </w:rPr>
      </w:pPr>
    </w:p>
    <w:p>
      <w:pPr>
        <w:ind w:left="960" w:hanging="844"/>
        <w:spacing w:after="0"/>
        <w:tabs>
          <w:tab w:leader="none" w:pos="9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7"/>
          <w:szCs w:val="17"/>
          <w:b w:val="1"/>
          <w:bCs w:val="1"/>
          <w:color w:val="auto"/>
        </w:rPr>
        <w:t>OTICES</w:t>
      </w:r>
      <w:r>
        <w:rPr>
          <w:rFonts w:ascii="Arial" w:cs="Arial" w:eastAsia="Arial" w:hAnsi="Arial"/>
          <w:sz w:val="22"/>
          <w:szCs w:val="22"/>
          <w:b w:val="1"/>
          <w:bCs w:val="1"/>
          <w:color w:val="auto"/>
        </w:rPr>
        <w:t>, F</w:t>
      </w:r>
      <w:r>
        <w:rPr>
          <w:rFonts w:ascii="Arial" w:cs="Arial" w:eastAsia="Arial" w:hAnsi="Arial"/>
          <w:sz w:val="17"/>
          <w:szCs w:val="17"/>
          <w:b w:val="1"/>
          <w:bCs w:val="1"/>
          <w:color w:val="auto"/>
        </w:rPr>
        <w:t>ORMS AND</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left="120" w:firstLine="826"/>
        <w:spacing w:after="0" w:line="238" w:lineRule="auto"/>
        <w:rPr>
          <w:sz w:val="20"/>
          <w:szCs w:val="20"/>
          <w:color w:val="auto"/>
        </w:rPr>
      </w:pPr>
      <w:r>
        <w:rPr>
          <w:rFonts w:ascii="Arial" w:cs="Arial" w:eastAsia="Arial" w:hAnsi="Arial"/>
          <w:sz w:val="22"/>
          <w:szCs w:val="22"/>
          <w:color w:val="auto"/>
        </w:rPr>
        <w:t>Any notices, forms or agreements provided for in an Offering or the Plan will be given in writing, in a form provided by the Company (including documents delivered in electronic form, if authorized by the Committee). Unless specifically provided for in the Plan or this Offering document, notices, forms and agreements will be deemed effectively given upon receipt (including documents delivered in electronic form).</w:t>
      </w:r>
    </w:p>
    <w:p>
      <w:pPr>
        <w:spacing w:after="0" w:line="179" w:lineRule="exact"/>
        <w:rPr>
          <w:rFonts w:ascii="Arial" w:cs="Arial" w:eastAsia="Arial" w:hAnsi="Arial"/>
          <w:sz w:val="22"/>
          <w:szCs w:val="22"/>
          <w:b w:val="1"/>
          <w:bCs w:val="1"/>
          <w:color w:val="auto"/>
        </w:rPr>
      </w:pPr>
    </w:p>
    <w:p>
      <w:pPr>
        <w:ind w:left="960" w:hanging="844"/>
        <w:spacing w:after="0"/>
        <w:tabs>
          <w:tab w:leader="none" w:pos="9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XERCISE</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ONTINGENT ON</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TOCKHOLDER</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PPROVAL</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20" w:firstLine="826"/>
        <w:spacing w:after="0" w:line="250" w:lineRule="auto"/>
        <w:rPr>
          <w:sz w:val="20"/>
          <w:szCs w:val="20"/>
          <w:color w:val="auto"/>
        </w:rPr>
      </w:pPr>
      <w:r>
        <w:rPr>
          <w:rFonts w:ascii="Arial" w:cs="Arial" w:eastAsia="Arial" w:hAnsi="Arial"/>
          <w:sz w:val="22"/>
          <w:szCs w:val="22"/>
          <w:color w:val="auto"/>
        </w:rPr>
        <w:t>The Purchase Rights granted under an Offering are subject to the approval of the Plan by the stockholders of the Company as required for the Plan to obtain treatment as an Employee Stock Purchase Plan.</w:t>
      </w:r>
    </w:p>
    <w:p>
      <w:pPr>
        <w:spacing w:after="0" w:line="169" w:lineRule="exact"/>
        <w:rPr>
          <w:rFonts w:ascii="Arial" w:cs="Arial" w:eastAsia="Arial" w:hAnsi="Arial"/>
          <w:sz w:val="22"/>
          <w:szCs w:val="22"/>
          <w:b w:val="1"/>
          <w:bCs w:val="1"/>
          <w:color w:val="auto"/>
        </w:rPr>
      </w:pPr>
    </w:p>
    <w:p>
      <w:pPr>
        <w:ind w:left="960" w:hanging="844"/>
        <w:spacing w:after="0"/>
        <w:tabs>
          <w:tab w:leader="none" w:pos="9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7"/>
          <w:szCs w:val="17"/>
          <w:b w:val="1"/>
          <w:bCs w:val="1"/>
          <w:color w:val="auto"/>
        </w:rPr>
        <w:t>FFERING</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UBJECT TO</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LAN</w:t>
      </w:r>
      <w:r>
        <w:rPr>
          <w:rFonts w:ascii="Arial" w:cs="Arial" w:eastAsia="Arial" w:hAnsi="Arial"/>
          <w:sz w:val="22"/>
          <w:szCs w:val="22"/>
          <w:b w:val="1"/>
          <w:bCs w:val="1"/>
          <w:color w:val="auto"/>
        </w:rPr>
        <w:t>.</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71" w:lineRule="exact"/>
        <w:rPr>
          <w:rFonts w:ascii="Arial" w:cs="Arial" w:eastAsia="Arial" w:hAnsi="Arial"/>
          <w:sz w:val="22"/>
          <w:szCs w:val="22"/>
          <w:b w:val="1"/>
          <w:bCs w:val="1"/>
          <w:color w:val="auto"/>
        </w:rPr>
      </w:pPr>
    </w:p>
    <w:p>
      <w:pPr>
        <w:jc w:val="center"/>
        <w:ind w:right="-119"/>
        <w:spacing w:after="0"/>
        <w:rPr>
          <w:sz w:val="20"/>
          <w:szCs w:val="20"/>
          <w:color w:val="auto"/>
        </w:rPr>
      </w:pPr>
      <w:r>
        <w:rPr>
          <w:rFonts w:ascii="Arial" w:cs="Arial" w:eastAsia="Arial" w:hAnsi="Arial"/>
          <w:sz w:val="22"/>
          <w:szCs w:val="22"/>
          <w:color w:val="auto"/>
        </w:rPr>
        <w:t>6.</w:t>
      </w:r>
    </w:p>
    <w:p>
      <w:pPr>
        <w:spacing w:after="0" w:line="5" w:lineRule="exact"/>
        <w:rPr>
          <w:rFonts w:ascii="Arial" w:cs="Arial" w:eastAsia="Arial" w:hAnsi="Arial"/>
          <w:sz w:val="22"/>
          <w:szCs w:val="22"/>
          <w:b w:val="1"/>
          <w:bCs w:val="1"/>
          <w:color w:val="auto"/>
        </w:rPr>
      </w:pPr>
    </w:p>
    <w:p>
      <w:pPr>
        <w:spacing w:after="0"/>
        <w:rPr>
          <w:sz w:val="20"/>
          <w:szCs w:val="20"/>
          <w:color w:val="auto"/>
        </w:rPr>
      </w:pPr>
      <w:r>
        <w:rPr>
          <w:rFonts w:ascii="Arial" w:cs="Arial" w:eastAsia="Arial" w:hAnsi="Arial"/>
          <w:sz w:val="14"/>
          <w:szCs w:val="14"/>
          <w:color w:val="auto"/>
        </w:rPr>
        <w:t>233098103 v5</w:t>
      </w:r>
    </w:p>
    <w:p>
      <w:pPr>
        <w:spacing w:after="0" w:line="20" w:lineRule="exact"/>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48" w:right="459" w:bottom="1440" w:gutter="0" w:footer="0" w:header="0"/>
        </w:sectPr>
      </w:pPr>
    </w:p>
    <w:bookmarkStart w:id="156" w:name="page157"/>
    <w:bookmarkEnd w:id="156"/>
    <w:p>
      <w:pPr>
        <w:jc w:val="both"/>
        <w:ind w:left="120" w:firstLine="826"/>
        <w:spacing w:after="0" w:line="249" w:lineRule="auto"/>
        <w:rPr>
          <w:sz w:val="20"/>
          <w:szCs w:val="20"/>
          <w:color w:val="auto"/>
        </w:rPr>
      </w:pPr>
      <w:r>
        <w:rPr>
          <w:rFonts w:ascii="Arial" w:cs="Arial" w:eastAsia="Arial" w:hAnsi="Arial"/>
          <w:sz w:val="21"/>
          <w:szCs w:val="21"/>
          <w:color w:val="auto"/>
        </w:rPr>
        <w:t>Each Offering is subject to all the provisions of the Plan, and the provisions of the Plan are hereby made a part of the Offering. The Offering is further subject to all interpretations, amendments, rules and regulations which may from time to time be promulgated and adopted pursuant to the Plan. In the event of any conflict between the provisions of an Offering and those of the Plan (including interpretations, amendments, rules and regulations which may from time to time be promulgated and adopted pursuant to the Plan), the provisions of the Plan will control.</w:t>
      </w:r>
    </w:p>
    <w:p>
      <w:pPr>
        <w:spacing w:after="0" w:line="186" w:lineRule="exact"/>
        <w:rPr>
          <w:sz w:val="20"/>
          <w:szCs w:val="20"/>
          <w:color w:val="auto"/>
        </w:rPr>
      </w:pPr>
    </w:p>
    <w:p>
      <w:pPr>
        <w:ind w:left="960" w:hanging="844"/>
        <w:spacing w:after="0"/>
        <w:tabs>
          <w:tab w:leader="none" w:pos="9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7"/>
          <w:szCs w:val="17"/>
          <w:b w:val="1"/>
          <w:bCs w:val="1"/>
          <w:color w:val="auto"/>
        </w:rPr>
        <w:t>HANGES TO</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NGOING</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FFERINGS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left="120" w:firstLine="826"/>
        <w:spacing w:after="0" w:line="233" w:lineRule="auto"/>
        <w:rPr>
          <w:sz w:val="20"/>
          <w:szCs w:val="20"/>
          <w:color w:val="auto"/>
        </w:rPr>
      </w:pPr>
      <w:r>
        <w:rPr>
          <w:rFonts w:ascii="Arial" w:cs="Arial" w:eastAsia="Arial" w:hAnsi="Arial"/>
          <w:sz w:val="22"/>
          <w:szCs w:val="22"/>
          <w:color w:val="auto"/>
        </w:rPr>
        <w:t>Notwithstanding anything in this Offering Document to the contrary, the Board and/or the Committee are entitled to: (i) establish the exchange ratio applicable to Contributions in a currency other than U.S. dollars, if applicable; (ii) permit Contributions in excess of the amount designated by a Participant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that Participant’s Contributions;</w:t>
      </w:r>
    </w:p>
    <w:p>
      <w:pPr>
        <w:spacing w:after="0" w:line="2" w:lineRule="exact"/>
        <w:rPr>
          <w:sz w:val="20"/>
          <w:szCs w:val="20"/>
          <w:color w:val="auto"/>
        </w:rPr>
      </w:pPr>
    </w:p>
    <w:p>
      <w:pPr>
        <w:jc w:val="both"/>
        <w:ind w:left="120" w:firstLine="5"/>
        <w:spacing w:after="0" w:line="232" w:lineRule="auto"/>
        <w:tabs>
          <w:tab w:leader="none" w:pos="52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amend any outstanding Purchase Rights or clarify any ambiguities regarding the terms of any Offering to enable the Purchase Rights to qualify under and/or comply with Section 423 of the Code; and (v) establish other limitations or procedures as the Board and/or the Committee determines in its sole discretion advisable that are consistent with the Plan. The actions of the Board or Committee pursuant to this paragraph will not be considered to alter or impair the Purchase Rights granted under this Offering Document as they are part of the initial terms of each Purchase Period and the Purchase Rights granted under this Offering Document.</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233098103 v5</w:t>
      </w:r>
    </w:p>
    <w:p>
      <w:pPr>
        <w:sectPr>
          <w:pgSz w:w="11900" w:h="16838" w:orient="portrait"/>
          <w:cols w:equalWidth="0" w:num="1">
            <w:col w:w="11120"/>
          </w:cols>
          <w:pgMar w:left="320" w:top="348" w:right="45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10.19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First Amendment to Loan and Security Agreement (this “Amendment”) is entered into as of March 19, 2021, by and between Silicon Valley Bank (“Bank”) and Spruce Biosciences, Inc., a Delaware corporation (“Borrower”), whose address is 2001 Junipero Serra Blvd., Suite 640, Daly City, CA 94014.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ind w:firstLine="872"/>
        <w:spacing w:after="0" w:line="328" w:lineRule="auto"/>
        <w:tabs>
          <w:tab w:leader="none" w:pos="1721"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Bank and Borrower have entered into that certain Loan and Security Agreement dated as of September 23, 2019 (as the same may from time to time be amended, modified, supplemented or restated, the “Loan Agreement”).</w:t>
      </w:r>
    </w:p>
    <w:p>
      <w:pPr>
        <w:spacing w:after="0" w:line="104" w:lineRule="exact"/>
        <w:rPr>
          <w:rFonts w:ascii="Arial" w:cs="Arial" w:eastAsia="Arial" w:hAnsi="Arial"/>
          <w:sz w:val="19"/>
          <w:szCs w:val="19"/>
          <w:b w:val="1"/>
          <w:bCs w:val="1"/>
          <w:color w:val="auto"/>
        </w:rPr>
      </w:pPr>
    </w:p>
    <w:p>
      <w:pPr>
        <w:ind w:left="1720" w:hanging="848"/>
        <w:spacing w:after="0"/>
        <w:tabs>
          <w:tab w:leader="none" w:pos="1720" w:val="left"/>
        </w:tabs>
        <w:numPr>
          <w:ilvl w:val="0"/>
          <w:numId w:val="83"/>
        </w:numPr>
        <w:rPr>
          <w:rFonts w:ascii="Arial" w:cs="Arial" w:eastAsia="Arial" w:hAnsi="Arial"/>
          <w:sz w:val="22"/>
          <w:szCs w:val="22"/>
          <w:b w:val="1"/>
          <w:bCs w:val="1"/>
          <w:color w:val="auto"/>
        </w:rPr>
      </w:pPr>
      <w:r>
        <w:rPr>
          <w:rFonts w:ascii="Arial" w:cs="Arial" w:eastAsia="Arial" w:hAnsi="Arial"/>
          <w:sz w:val="22"/>
          <w:szCs w:val="22"/>
          <w:color w:val="auto"/>
        </w:rPr>
        <w:t>Bank has extended credit to Borrower for the purposes permitted in the Loan Agreement.</w:t>
      </w:r>
    </w:p>
    <w:p>
      <w:pPr>
        <w:spacing w:after="0" w:line="206" w:lineRule="exact"/>
        <w:rPr>
          <w:rFonts w:ascii="Arial" w:cs="Arial" w:eastAsia="Arial" w:hAnsi="Arial"/>
          <w:sz w:val="22"/>
          <w:szCs w:val="22"/>
          <w:b w:val="1"/>
          <w:bCs w:val="1"/>
          <w:color w:val="auto"/>
        </w:rPr>
      </w:pPr>
    </w:p>
    <w:p>
      <w:pPr>
        <w:ind w:right="20" w:firstLine="872"/>
        <w:spacing w:after="0" w:line="274" w:lineRule="auto"/>
        <w:tabs>
          <w:tab w:leader="none" w:pos="1721" w:val="left"/>
        </w:tabs>
        <w:numPr>
          <w:ilvl w:val="0"/>
          <w:numId w:val="83"/>
        </w:numPr>
        <w:rPr>
          <w:rFonts w:ascii="Arial" w:cs="Arial" w:eastAsia="Arial" w:hAnsi="Arial"/>
          <w:sz w:val="21"/>
          <w:szCs w:val="21"/>
          <w:b w:val="1"/>
          <w:bCs w:val="1"/>
          <w:color w:val="auto"/>
        </w:rPr>
      </w:pPr>
      <w:r>
        <w:rPr>
          <w:rFonts w:ascii="Arial" w:cs="Arial" w:eastAsia="Arial" w:hAnsi="Arial"/>
          <w:sz w:val="21"/>
          <w:szCs w:val="21"/>
          <w:color w:val="auto"/>
        </w:rPr>
        <w:t>Borrower has requested that Bank amend the Loan Agreement to (i) make available to Borrower an additional term loan facility and (ii) make certain other revisions to the Loan Agreement as more fully set forth herein.</w:t>
      </w:r>
    </w:p>
    <w:p>
      <w:pPr>
        <w:spacing w:after="0" w:line="150" w:lineRule="exact"/>
        <w:rPr>
          <w:rFonts w:ascii="Arial" w:cs="Arial" w:eastAsia="Arial" w:hAnsi="Arial"/>
          <w:sz w:val="21"/>
          <w:szCs w:val="21"/>
          <w:b w:val="1"/>
          <w:bCs w:val="1"/>
          <w:color w:val="auto"/>
        </w:rPr>
      </w:pPr>
    </w:p>
    <w:p>
      <w:pPr>
        <w:ind w:firstLine="872"/>
        <w:spacing w:after="0" w:line="328" w:lineRule="auto"/>
        <w:tabs>
          <w:tab w:leader="none" w:pos="1721" w:val="left"/>
        </w:tabs>
        <w:numPr>
          <w:ilvl w:val="0"/>
          <w:numId w:val="83"/>
        </w:numPr>
        <w:rPr>
          <w:rFonts w:ascii="Arial" w:cs="Arial" w:eastAsia="Arial" w:hAnsi="Arial"/>
          <w:sz w:val="19"/>
          <w:szCs w:val="19"/>
          <w:b w:val="1"/>
          <w:bCs w:val="1"/>
          <w:color w:val="auto"/>
        </w:rPr>
      </w:pPr>
      <w:r>
        <w:rPr>
          <w:rFonts w:ascii="Arial" w:cs="Arial" w:eastAsia="Arial" w:hAnsi="Arial"/>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16" w:lineRule="exact"/>
        <w:rPr>
          <w:sz w:val="20"/>
          <w:szCs w:val="20"/>
          <w:color w:val="auto"/>
        </w:rPr>
      </w:pPr>
    </w:p>
    <w:p>
      <w:pPr>
        <w:ind w:right="20" w:firstLine="872"/>
        <w:spacing w:after="0" w:line="256" w:lineRule="auto"/>
        <w:tabs>
          <w:tab w:leader="none" w:pos="1674"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Loan Agreement.</w:t>
      </w:r>
    </w:p>
    <w:p>
      <w:pPr>
        <w:spacing w:after="0" w:line="162" w:lineRule="exact"/>
        <w:rPr>
          <w:rFonts w:ascii="Arial" w:cs="Arial" w:eastAsia="Arial" w:hAnsi="Arial"/>
          <w:sz w:val="22"/>
          <w:szCs w:val="22"/>
          <w:b w:val="1"/>
          <w:bCs w:val="1"/>
          <w:color w:val="auto"/>
        </w:rPr>
      </w:pPr>
    </w:p>
    <w:p>
      <w:pPr>
        <w:ind w:left="1680" w:hanging="808"/>
        <w:spacing w:after="0"/>
        <w:tabs>
          <w:tab w:leader="none" w:pos="16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 xml:space="preserve">Section 2.1.1 </w:t>
      </w:r>
      <w:r>
        <w:rPr>
          <w:rFonts w:ascii="Arial" w:cs="Arial" w:eastAsia="Arial" w:hAnsi="Arial"/>
          <w:sz w:val="19"/>
          <w:szCs w:val="19"/>
          <w:color w:val="auto"/>
        </w:rPr>
        <w:t>(</w:t>
      </w:r>
      <w:r>
        <w:rPr>
          <w:rFonts w:ascii="Arial" w:cs="Arial" w:eastAsia="Arial" w:hAnsi="Arial"/>
          <w:sz w:val="19"/>
          <w:szCs w:val="19"/>
          <w:b w:val="1"/>
          <w:bCs w:val="1"/>
          <w:color w:val="auto"/>
        </w:rPr>
        <w:t>Term Loans</w:t>
      </w:r>
      <w:r>
        <w:rPr>
          <w:rFonts w:ascii="Arial" w:cs="Arial" w:eastAsia="Arial" w:hAnsi="Arial"/>
          <w:sz w:val="19"/>
          <w:szCs w:val="19"/>
          <w:color w:val="auto"/>
        </w:rPr>
        <w:t>). Sections 2.1.1(b) and (c) are amended in their entirety and replaced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with the following:</w:t>
      </w:r>
    </w:p>
    <w:p>
      <w:pPr>
        <w:spacing w:after="0" w:line="188" w:lineRule="exact"/>
        <w:rPr>
          <w:sz w:val="20"/>
          <w:szCs w:val="20"/>
          <w:color w:val="auto"/>
        </w:rPr>
      </w:pPr>
    </w:p>
    <w:p>
      <w:pPr>
        <w:ind w:left="3360" w:hanging="894"/>
        <w:spacing w:after="0"/>
        <w:tabs>
          <w:tab w:leader="none" w:pos="336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Repayment</w:t>
      </w:r>
      <w:r>
        <w:rPr>
          <w:rFonts w:ascii="Arial" w:cs="Arial" w:eastAsia="Arial" w:hAnsi="Arial"/>
          <w:sz w:val="19"/>
          <w:szCs w:val="19"/>
          <w:color w:val="auto"/>
        </w:rPr>
        <w:t>. All Term Loans shall be repaid in accordance with Section 2.1.2(a)(i) below.</w:t>
      </w:r>
    </w:p>
    <w:p>
      <w:pPr>
        <w:spacing w:after="0" w:line="240" w:lineRule="exact"/>
        <w:rPr>
          <w:rFonts w:ascii="Arial" w:cs="Arial" w:eastAsia="Arial" w:hAnsi="Arial"/>
          <w:sz w:val="19"/>
          <w:szCs w:val="19"/>
          <w:color w:val="auto"/>
        </w:rPr>
      </w:pPr>
    </w:p>
    <w:p>
      <w:pPr>
        <w:ind w:left="3360" w:hanging="894"/>
        <w:spacing w:after="0"/>
        <w:tabs>
          <w:tab w:leader="none" w:pos="336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Final Payment</w:t>
      </w:r>
      <w:r>
        <w:rPr>
          <w:rFonts w:ascii="Arial" w:cs="Arial" w:eastAsia="Arial" w:hAnsi="Arial"/>
          <w:sz w:val="19"/>
          <w:szCs w:val="19"/>
          <w:color w:val="auto"/>
        </w:rPr>
        <w:t>. Borrower shall pay the Final Payment in accordance with Section 2.1.2(a)</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 below.</w:t>
      </w:r>
    </w:p>
    <w:p>
      <w:pPr>
        <w:spacing w:after="0" w:line="18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 xml:space="preserve">Section 2.1.2 </w:t>
      </w:r>
      <w:r>
        <w:rPr>
          <w:rFonts w:ascii="Arial" w:cs="Arial" w:eastAsia="Arial" w:hAnsi="Arial"/>
          <w:sz w:val="19"/>
          <w:szCs w:val="19"/>
          <w:color w:val="auto"/>
        </w:rPr>
        <w:t>(</w:t>
      </w:r>
      <w:r>
        <w:rPr>
          <w:rFonts w:ascii="Arial" w:cs="Arial" w:eastAsia="Arial" w:hAnsi="Arial"/>
          <w:sz w:val="19"/>
          <w:szCs w:val="19"/>
          <w:b w:val="1"/>
          <w:bCs w:val="1"/>
          <w:color w:val="auto"/>
        </w:rPr>
        <w:t>Supplemental Term Loans</w:t>
      </w:r>
      <w:r>
        <w:rPr>
          <w:rFonts w:ascii="Arial" w:cs="Arial" w:eastAsia="Arial" w:hAnsi="Arial"/>
          <w:sz w:val="19"/>
          <w:szCs w:val="19"/>
          <w:color w:val="auto"/>
        </w:rPr>
        <w:t>). A new Section 2.1.2 is added to the Loan Agreement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ind w:left="540"/>
        <w:spacing w:after="0"/>
        <w:tabs>
          <w:tab w:leader="none" w:pos="160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Supplemental Term Loans.</w:t>
      </w:r>
    </w:p>
    <w:p>
      <w:pPr>
        <w:spacing w:after="0" w:line="212" w:lineRule="exact"/>
        <w:rPr>
          <w:sz w:val="20"/>
          <w:szCs w:val="20"/>
          <w:color w:val="auto"/>
        </w:rPr>
      </w:pPr>
    </w:p>
    <w:p>
      <w:pPr>
        <w:jc w:val="both"/>
        <w:ind w:left="-240" w:firstLine="1586"/>
        <w:spacing w:after="0" w:line="235" w:lineRule="auto"/>
        <w:tabs>
          <w:tab w:leader="none" w:pos="224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Availability</w:t>
      </w:r>
      <w:r>
        <w:rPr>
          <w:rFonts w:ascii="Arial" w:cs="Arial" w:eastAsia="Arial" w:hAnsi="Arial"/>
          <w:sz w:val="22"/>
          <w:szCs w:val="22"/>
          <w:color w:val="auto"/>
        </w:rPr>
        <w:t>. Subject to the terms and conditions of this Agreement, Bank agrees to make advances to Borrower (each a “</w:t>
      </w:r>
      <w:r>
        <w:rPr>
          <w:rFonts w:ascii="Arial" w:cs="Arial" w:eastAsia="Arial" w:hAnsi="Arial"/>
          <w:sz w:val="22"/>
          <w:szCs w:val="22"/>
          <w:b w:val="1"/>
          <w:bCs w:val="1"/>
          <w:color w:val="auto"/>
        </w:rPr>
        <w:t>Supplemental Term Loan</w:t>
      </w:r>
      <w:r>
        <w:rPr>
          <w:rFonts w:ascii="Arial" w:cs="Arial" w:eastAsia="Arial" w:hAnsi="Arial"/>
          <w:sz w:val="22"/>
          <w:szCs w:val="22"/>
          <w:color w:val="auto"/>
        </w:rPr>
        <w:t>” and collectively the “</w:t>
      </w:r>
      <w:r>
        <w:rPr>
          <w:rFonts w:ascii="Arial" w:cs="Arial" w:eastAsia="Arial" w:hAnsi="Arial"/>
          <w:sz w:val="22"/>
          <w:szCs w:val="22"/>
          <w:b w:val="1"/>
          <w:bCs w:val="1"/>
          <w:color w:val="auto"/>
        </w:rPr>
        <w:t>Supplemental Term Loans</w:t>
      </w:r>
      <w:r>
        <w:rPr>
          <w:rFonts w:ascii="Arial" w:cs="Arial" w:eastAsia="Arial" w:hAnsi="Arial"/>
          <w:sz w:val="22"/>
          <w:szCs w:val="22"/>
          <w:color w:val="auto"/>
        </w:rPr>
        <w:t>”), from time to time, prior to the Supplemental Term Loan Commitment Termination Date (Supplemental Second Tranche), in an aggregate amount not to exceed the Supplemental Term Loan Commitment. Each Supplemental Term Loan must be in an amount of not less than Five Million Dollars ($5,000,000). After repayment, no Supplemental Term Loan may be reborrowed.</w:t>
      </w:r>
    </w:p>
    <w:p>
      <w:pPr>
        <w:spacing w:after="0" w:line="187" w:lineRule="exact"/>
        <w:rPr>
          <w:rFonts w:ascii="Arial" w:cs="Arial" w:eastAsia="Arial" w:hAnsi="Arial"/>
          <w:sz w:val="22"/>
          <w:szCs w:val="22"/>
          <w:color w:val="auto"/>
        </w:rPr>
      </w:pPr>
    </w:p>
    <w:p>
      <w:pPr>
        <w:jc w:val="both"/>
        <w:ind w:left="-240" w:firstLine="2384"/>
        <w:spacing w:after="0" w:line="279" w:lineRule="auto"/>
        <w:tabs>
          <w:tab w:leader="none" w:pos="3005" w:val="left"/>
        </w:tabs>
        <w:numPr>
          <w:ilvl w:val="1"/>
          <w:numId w:val="86"/>
        </w:numPr>
        <w:rPr>
          <w:rFonts w:ascii="Arial" w:cs="Arial" w:eastAsia="Arial" w:hAnsi="Arial"/>
          <w:sz w:val="19"/>
          <w:szCs w:val="19"/>
          <w:color w:val="auto"/>
        </w:rPr>
      </w:pPr>
      <w:r>
        <w:rPr>
          <w:rFonts w:ascii="Arial" w:cs="Arial" w:eastAsia="Arial" w:hAnsi="Arial"/>
          <w:sz w:val="19"/>
          <w:szCs w:val="19"/>
          <w:color w:val="auto"/>
        </w:rPr>
        <w:t>Up to Twenty Million Dollars ($20,000,000) of the Supplemental Term Loan Commitment (the “</w:t>
      </w:r>
      <w:r>
        <w:rPr>
          <w:rFonts w:ascii="Arial" w:cs="Arial" w:eastAsia="Arial" w:hAnsi="Arial"/>
          <w:sz w:val="19"/>
          <w:szCs w:val="19"/>
          <w:b w:val="1"/>
          <w:bCs w:val="1"/>
          <w:color w:val="auto"/>
        </w:rPr>
        <w:t>Supplemental First Tranche</w:t>
      </w:r>
      <w:r>
        <w:rPr>
          <w:rFonts w:ascii="Arial" w:cs="Arial" w:eastAsia="Arial" w:hAnsi="Arial"/>
          <w:sz w:val="19"/>
          <w:szCs w:val="19"/>
          <w:color w:val="auto"/>
        </w:rPr>
        <w:t>”) shall be available through the Supplemental Term Loan Commitment Termination Date (Supplemental First Tranche). Subject to the terms and conditions hereof, on or about the First Amendment Date Bank shall advance to Borrower a Supplemental Term Loan under the Supplemental First Tranche in an amount equal to Five Million Dollars ($5,000,000), the proceeds of which shall immediately be used to repay all Obligations (including the Final Payment) owing with respect to the Term Loans.</w:t>
      </w:r>
    </w:p>
    <w:p>
      <w:pPr>
        <w:spacing w:after="0" w:line="150" w:lineRule="exact"/>
        <w:rPr>
          <w:rFonts w:ascii="Arial" w:cs="Arial" w:eastAsia="Arial" w:hAnsi="Arial"/>
          <w:sz w:val="19"/>
          <w:szCs w:val="19"/>
          <w:color w:val="auto"/>
        </w:rPr>
      </w:pPr>
    </w:p>
    <w:p>
      <w:pPr>
        <w:jc w:val="both"/>
        <w:ind w:left="-240" w:firstLine="2384"/>
        <w:spacing w:after="0" w:line="282" w:lineRule="auto"/>
        <w:tabs>
          <w:tab w:leader="none" w:pos="3065"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remaining Ten Million Dollars ($10,000,000) of the Supplemental Term Loan Commitment (the “</w:t>
      </w:r>
      <w:r>
        <w:rPr>
          <w:rFonts w:ascii="Arial" w:cs="Arial" w:eastAsia="Arial" w:hAnsi="Arial"/>
          <w:sz w:val="19"/>
          <w:szCs w:val="19"/>
          <w:b w:val="1"/>
          <w:bCs w:val="1"/>
          <w:color w:val="auto"/>
        </w:rPr>
        <w:t>Supplemental Second Tranche</w:t>
      </w:r>
      <w:r>
        <w:rPr>
          <w:rFonts w:ascii="Arial" w:cs="Arial" w:eastAsia="Arial" w:hAnsi="Arial"/>
          <w:sz w:val="19"/>
          <w:szCs w:val="19"/>
          <w:color w:val="auto"/>
        </w:rPr>
        <w:t>”) shall be available through the Supplemental Term Loan Commitment Termination Date (Supplemental Second Tranche), provided Borrower achieves the Supplemental Second Tranche Milestone. Funds will be available under the Supplemental Second Tranche as soon as Borrower delivers to Bank evidence satisfactory to Bank that Borrower has achieved the Supplemental Second Tranche Milestone.</w:t>
      </w:r>
    </w:p>
    <w:p>
      <w:pPr>
        <w:spacing w:after="0" w:line="147" w:lineRule="exact"/>
        <w:rPr>
          <w:rFonts w:ascii="Arial" w:cs="Arial" w:eastAsia="Arial" w:hAnsi="Arial"/>
          <w:sz w:val="19"/>
          <w:szCs w:val="19"/>
          <w:color w:val="auto"/>
        </w:rPr>
      </w:pPr>
    </w:p>
    <w:p>
      <w:pPr>
        <w:ind w:left="2240" w:hanging="894"/>
        <w:spacing w:after="0"/>
        <w:tabs>
          <w:tab w:leader="none" w:pos="224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Repayment of Supplemental Term Loans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40" w:firstLine="2384"/>
        <w:spacing w:after="0" w:line="287" w:lineRule="auto"/>
        <w:tabs>
          <w:tab w:leader="none" w:pos="3005"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Interest-Only Payments</w:t>
      </w:r>
      <w:r>
        <w:rPr>
          <w:rFonts w:ascii="Arial" w:cs="Arial" w:eastAsia="Arial" w:hAnsi="Arial"/>
          <w:sz w:val="19"/>
          <w:szCs w:val="19"/>
          <w:color w:val="auto"/>
        </w:rPr>
        <w:t>. For each Supplemental Term Loan, Borrower shall make monthly payments of interest-only commencing on the first (1</w:t>
      </w:r>
      <w:r>
        <w:rPr>
          <w:rFonts w:ascii="Arial" w:cs="Arial" w:eastAsia="Arial" w:hAnsi="Arial"/>
          <w:sz w:val="16"/>
          <w:szCs w:val="16"/>
          <w:color w:val="auto"/>
        </w:rPr>
        <w:t>st</w:t>
      </w:r>
      <w:r>
        <w:rPr>
          <w:rFonts w:ascii="Arial" w:cs="Arial" w:eastAsia="Arial" w:hAnsi="Arial"/>
          <w:sz w:val="19"/>
          <w:szCs w:val="19"/>
          <w:color w:val="auto"/>
        </w:rPr>
        <w:t>) Business Day of the first (1</w:t>
      </w:r>
      <w:r>
        <w:rPr>
          <w:rFonts w:ascii="Arial" w:cs="Arial" w:eastAsia="Arial" w:hAnsi="Arial"/>
          <w:sz w:val="16"/>
          <w:szCs w:val="16"/>
          <w:color w:val="auto"/>
        </w:rPr>
        <w:t>st</w:t>
      </w:r>
      <w:r>
        <w:rPr>
          <w:rFonts w:ascii="Arial" w:cs="Arial" w:eastAsia="Arial" w:hAnsi="Arial"/>
          <w:sz w:val="19"/>
          <w:szCs w:val="19"/>
          <w:color w:val="auto"/>
        </w:rPr>
        <w:t>) month following the month in which the Funding Date occurs with respect to such Supplemental Term Loan and continuing thereafter during the Supplemental Interest-Only Period, on the first (1</w:t>
      </w:r>
      <w:r>
        <w:rPr>
          <w:rFonts w:ascii="Arial" w:cs="Arial" w:eastAsia="Arial" w:hAnsi="Arial"/>
          <w:sz w:val="16"/>
          <w:szCs w:val="16"/>
          <w:color w:val="auto"/>
        </w:rPr>
        <w:t>st</w:t>
      </w:r>
      <w:r>
        <w:rPr>
          <w:rFonts w:ascii="Arial" w:cs="Arial" w:eastAsia="Arial" w:hAnsi="Arial"/>
          <w:sz w:val="19"/>
          <w:szCs w:val="19"/>
          <w:color w:val="auto"/>
        </w:rPr>
        <w:t>) Business Day of each successive month.</w:t>
      </w:r>
    </w:p>
    <w:p>
      <w:pPr>
        <w:spacing w:after="0" w:line="142" w:lineRule="exact"/>
        <w:rPr>
          <w:rFonts w:ascii="Arial" w:cs="Arial" w:eastAsia="Arial" w:hAnsi="Arial"/>
          <w:sz w:val="19"/>
          <w:szCs w:val="19"/>
          <w:color w:val="auto"/>
        </w:rPr>
      </w:pPr>
    </w:p>
    <w:p>
      <w:pPr>
        <w:jc w:val="both"/>
        <w:ind w:left="-240" w:firstLine="2384"/>
        <w:spacing w:after="0" w:line="275" w:lineRule="auto"/>
        <w:tabs>
          <w:tab w:leader="none" w:pos="3065"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Principal and Interest Payments</w:t>
      </w:r>
      <w:r>
        <w:rPr>
          <w:rFonts w:ascii="Arial" w:cs="Arial" w:eastAsia="Arial" w:hAnsi="Arial"/>
          <w:sz w:val="19"/>
          <w:szCs w:val="19"/>
          <w:color w:val="auto"/>
        </w:rPr>
        <w:t>. For each Supplemental Term Loan outstanding as of the last day of the Supplemental Interest-Only Period, Borrower shall make (i) thirty-seven (37) (or twenty-five (25), if a Supplemental Term Loan has been made under the Supplemental Second Tranche) consecutive equal monthly payments of principal commencing on the first (1st) Business Day of the first (1st) month after the Supplemental Interest-Only Period (the “</w:t>
      </w:r>
      <w:r>
        <w:rPr>
          <w:rFonts w:ascii="Arial" w:cs="Arial" w:eastAsia="Arial" w:hAnsi="Arial"/>
          <w:sz w:val="19"/>
          <w:szCs w:val="19"/>
          <w:b w:val="1"/>
          <w:bCs w:val="1"/>
          <w:color w:val="auto"/>
        </w:rPr>
        <w:t>Supplemental Conversion Date</w:t>
      </w:r>
      <w:r>
        <w:rPr>
          <w:rFonts w:ascii="Arial" w:cs="Arial" w:eastAsia="Arial" w:hAnsi="Arial"/>
          <w:sz w:val="19"/>
          <w:szCs w:val="19"/>
          <w:color w:val="auto"/>
        </w:rPr>
        <w:t>”) and continuing on the first (1st) Business Day of each month thereafter, in amounts that would fully amortize the applicable Supplemental Term Loan, as of the Supplemental Conversion Date, over the Supplemental Repayment Period plus (ii) monthly payments of accrued but unpaid interest. The Supplemental Final Payment and all unpaid principal and accrued and</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59" w:name="page160"/>
    <w:bookmarkEnd w:id="159"/>
    <w:p>
      <w:pPr>
        <w:ind w:left="880"/>
        <w:spacing w:after="0" w:line="250" w:lineRule="auto"/>
        <w:rPr>
          <w:sz w:val="20"/>
          <w:szCs w:val="20"/>
          <w:color w:val="auto"/>
        </w:rPr>
      </w:pPr>
      <w:r>
        <w:rPr>
          <w:rFonts w:ascii="Arial" w:cs="Arial" w:eastAsia="Arial" w:hAnsi="Arial"/>
          <w:sz w:val="22"/>
          <w:szCs w:val="22"/>
          <w:color w:val="auto"/>
        </w:rPr>
        <w:t>unpaid interest on each Supplemental Term Loan is due and payable in full on the Supplemental Term Loan Maturity Date.</w:t>
      </w:r>
    </w:p>
    <w:p>
      <w:pPr>
        <w:spacing w:after="0" w:line="175" w:lineRule="exact"/>
        <w:rPr>
          <w:sz w:val="20"/>
          <w:szCs w:val="20"/>
          <w:color w:val="auto"/>
        </w:rPr>
      </w:pPr>
    </w:p>
    <w:p>
      <w:pPr>
        <w:jc w:val="both"/>
        <w:ind w:left="880" w:firstLine="1586"/>
        <w:spacing w:after="0" w:line="273" w:lineRule="auto"/>
        <w:tabs>
          <w:tab w:leader="none" w:pos="3362"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Voluntary Prepayment</w:t>
      </w:r>
      <w:r>
        <w:rPr>
          <w:rFonts w:ascii="Arial" w:cs="Arial" w:eastAsia="Arial" w:hAnsi="Arial"/>
          <w:sz w:val="19"/>
          <w:szCs w:val="19"/>
          <w:color w:val="auto"/>
        </w:rPr>
        <w:t>. Borrower shall have the option to prepay all Supplemental Term Loans in full, provided Borrower (i) shall provide written notice to Bank of its election to prepay the Supplemental Term Loans at least five (5) Business Days prior to such prepayment and (ii) pays, on the date of such prepayment,</w:t>
      </w:r>
    </w:p>
    <w:p>
      <w:pPr>
        <w:spacing w:after="0" w:line="1" w:lineRule="exact"/>
        <w:rPr>
          <w:rFonts w:ascii="Arial" w:cs="Arial" w:eastAsia="Arial" w:hAnsi="Arial"/>
          <w:sz w:val="19"/>
          <w:szCs w:val="19"/>
          <w:color w:val="auto"/>
        </w:rPr>
      </w:pPr>
    </w:p>
    <w:p>
      <w:pPr>
        <w:jc w:val="both"/>
        <w:ind w:left="880" w:hanging="8"/>
        <w:spacing w:after="0" w:line="234" w:lineRule="auto"/>
        <w:tabs>
          <w:tab w:leader="none" w:pos="1246" w:val="left"/>
        </w:tabs>
        <w:numPr>
          <w:ilvl w:val="0"/>
          <w:numId w:val="88"/>
        </w:numPr>
        <w:rPr>
          <w:rFonts w:ascii="Arial" w:cs="Arial" w:eastAsia="Arial" w:hAnsi="Arial"/>
          <w:sz w:val="22"/>
          <w:szCs w:val="22"/>
          <w:color w:val="auto"/>
        </w:rPr>
      </w:pPr>
      <w:r>
        <w:rPr>
          <w:rFonts w:ascii="Arial" w:cs="Arial" w:eastAsia="Arial" w:hAnsi="Arial"/>
          <w:sz w:val="22"/>
          <w:szCs w:val="22"/>
          <w:color w:val="auto"/>
        </w:rPr>
        <w:t>all outstanding principal and accrued but unpaid interest, plus (B) the Supplemental Prepayment Fee, plus (C) the Supplemental Final Payment, plus (D) all other sums, including Bank Expenses, if any, that shall have become due and payable.</w:t>
      </w:r>
    </w:p>
    <w:p>
      <w:pPr>
        <w:spacing w:after="0" w:line="187" w:lineRule="exact"/>
        <w:rPr>
          <w:rFonts w:ascii="Arial" w:cs="Arial" w:eastAsia="Arial" w:hAnsi="Arial"/>
          <w:sz w:val="22"/>
          <w:szCs w:val="22"/>
          <w:color w:val="auto"/>
        </w:rPr>
      </w:pPr>
    </w:p>
    <w:p>
      <w:pPr>
        <w:jc w:val="both"/>
        <w:ind w:left="880" w:firstLine="1586"/>
        <w:spacing w:after="0" w:line="236" w:lineRule="auto"/>
        <w:tabs>
          <w:tab w:leader="none" w:pos="3374"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Mandatory Prepayment Upon an Acceleration</w:t>
      </w:r>
      <w:r>
        <w:rPr>
          <w:rFonts w:ascii="Arial" w:cs="Arial" w:eastAsia="Arial" w:hAnsi="Arial"/>
          <w:sz w:val="22"/>
          <w:szCs w:val="22"/>
          <w:color w:val="auto"/>
        </w:rPr>
        <w:t>. If the Supplemental Term Loans are accelerated following the occurrence of an Event of Default, Borrower shall immediately pay to Bank an amount equal to the sum of (i) all outstanding principal and accrued but unpaid interest, plus (ii) the Supplemental Prepayment Fee, plus (iii) the Supplemental Final Payment, plus (iv) all other sums, including Bank Expenses, if any, that shall have become due and payable.</w:t>
      </w:r>
    </w:p>
    <w:p>
      <w:pPr>
        <w:spacing w:after="0" w:line="181"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 xml:space="preserve">2.3 Section 2.3 </w:t>
      </w:r>
      <w:r>
        <w:rPr>
          <w:rFonts w:ascii="Arial" w:cs="Arial" w:eastAsia="Arial" w:hAnsi="Arial"/>
          <w:sz w:val="22"/>
          <w:szCs w:val="22"/>
          <w:color w:val="auto"/>
        </w:rPr>
        <w:t>(</w:t>
      </w:r>
      <w:r>
        <w:rPr>
          <w:rFonts w:ascii="Arial" w:cs="Arial" w:eastAsia="Arial" w:hAnsi="Arial"/>
          <w:sz w:val="22"/>
          <w:szCs w:val="22"/>
          <w:b w:val="1"/>
          <w:bCs w:val="1"/>
          <w:color w:val="auto"/>
        </w:rPr>
        <w:t>Payment of Interest on the Credit Extensions</w:t>
      </w:r>
      <w:r>
        <w:rPr>
          <w:rFonts w:ascii="Arial" w:cs="Arial" w:eastAsia="Arial" w:hAnsi="Arial"/>
          <w:sz w:val="22"/>
          <w:szCs w:val="22"/>
          <w:color w:val="auto"/>
        </w:rPr>
        <w:t>). Section 2.3(a) is amended by</w:t>
      </w:r>
      <w:r>
        <w:rPr>
          <w:rFonts w:ascii="Arial" w:cs="Arial" w:eastAsia="Arial" w:hAnsi="Arial"/>
          <w:sz w:val="22"/>
          <w:szCs w:val="22"/>
          <w:b w:val="1"/>
          <w:bCs w:val="1"/>
          <w:color w:val="auto"/>
        </w:rPr>
        <w:t xml:space="preserve"> </w:t>
      </w:r>
      <w:r>
        <w:rPr>
          <w:rFonts w:ascii="Arial" w:cs="Arial" w:eastAsia="Arial" w:hAnsi="Arial"/>
          <w:sz w:val="22"/>
          <w:szCs w:val="22"/>
          <w:color w:val="auto"/>
        </w:rPr>
        <w:t>adding a new clause (ii) to the end thereof as follows:</w:t>
      </w:r>
    </w:p>
    <w:p>
      <w:pPr>
        <w:spacing w:after="0" w:line="168" w:lineRule="exact"/>
        <w:rPr>
          <w:sz w:val="20"/>
          <w:szCs w:val="20"/>
          <w:color w:val="auto"/>
        </w:rPr>
      </w:pPr>
    </w:p>
    <w:p>
      <w:pPr>
        <w:jc w:val="both"/>
        <w:ind w:left="880" w:firstLine="2384"/>
        <w:spacing w:after="0" w:line="234" w:lineRule="auto"/>
        <w:tabs>
          <w:tab w:leader="none" w:pos="4185"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Supplemental Term Loans</w:t>
      </w:r>
      <w:r>
        <w:rPr>
          <w:rFonts w:ascii="Arial" w:cs="Arial" w:eastAsia="Arial" w:hAnsi="Arial"/>
          <w:sz w:val="22"/>
          <w:szCs w:val="22"/>
          <w:color w:val="auto"/>
        </w:rPr>
        <w:t>. Subject to Section 2.3(b), the principal amount outstanding for each Supplemental Term Loan shall accrue interest at a floating per annum rate equal to (A) if no Supplemental Term Loan has been made under the Supplemental Second Tranche, the greater of (x) one percentage point (1.00%) above the Prime Rate or (y) four and one-quarter percent (4.25%), or (B) if a Supplemental Term Loan has been made under the Supplemental Second Tranche, the greater of (x) three percentage points (3.00%) above the Prime Rate or (y) six and one-quarter percent (6.25%), in each case, which shall be payable monthly in accordance with Section 2.3(d) hereof.</w:t>
      </w:r>
    </w:p>
    <w:p>
      <w:pPr>
        <w:spacing w:after="0" w:line="185"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 xml:space="preserve">Section 2.4 </w:t>
      </w:r>
      <w:r>
        <w:rPr>
          <w:rFonts w:ascii="Arial" w:cs="Arial" w:eastAsia="Arial" w:hAnsi="Arial"/>
          <w:sz w:val="19"/>
          <w:szCs w:val="19"/>
          <w:color w:val="auto"/>
        </w:rPr>
        <w:t>(</w:t>
      </w:r>
      <w:r>
        <w:rPr>
          <w:rFonts w:ascii="Arial" w:cs="Arial" w:eastAsia="Arial" w:hAnsi="Arial"/>
          <w:sz w:val="19"/>
          <w:szCs w:val="19"/>
          <w:b w:val="1"/>
          <w:bCs w:val="1"/>
          <w:color w:val="auto"/>
        </w:rPr>
        <w:t>Fees</w:t>
      </w:r>
      <w:r>
        <w:rPr>
          <w:rFonts w:ascii="Arial" w:cs="Arial" w:eastAsia="Arial" w:hAnsi="Arial"/>
          <w:sz w:val="19"/>
          <w:szCs w:val="19"/>
          <w:color w:val="auto"/>
        </w:rPr>
        <w:t>).  Sections 2.4(a) and (b) are amended in their entirety and replaced with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following:</w:t>
      </w:r>
    </w:p>
    <w:p>
      <w:pPr>
        <w:spacing w:after="0" w:line="188" w:lineRule="exact"/>
        <w:rPr>
          <w:sz w:val="20"/>
          <w:szCs w:val="20"/>
          <w:color w:val="auto"/>
        </w:rPr>
      </w:pPr>
    </w:p>
    <w:p>
      <w:pPr>
        <w:ind w:left="3360" w:hanging="894"/>
        <w:spacing w:after="0"/>
        <w:tabs>
          <w:tab w:leader="none" w:pos="336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Supplemental Final Payment</w:t>
      </w:r>
      <w:r>
        <w:rPr>
          <w:rFonts w:ascii="Arial" w:cs="Arial" w:eastAsia="Arial" w:hAnsi="Arial"/>
          <w:sz w:val="19"/>
          <w:szCs w:val="19"/>
          <w:color w:val="auto"/>
        </w:rPr>
        <w:t>. The Supplemental Final Payment when due hereunder;</w:t>
      </w:r>
    </w:p>
    <w:p>
      <w:pPr>
        <w:spacing w:after="0" w:line="240" w:lineRule="exact"/>
        <w:rPr>
          <w:rFonts w:ascii="Arial" w:cs="Arial" w:eastAsia="Arial" w:hAnsi="Arial"/>
          <w:sz w:val="19"/>
          <w:szCs w:val="19"/>
          <w:color w:val="auto"/>
        </w:rPr>
      </w:pPr>
    </w:p>
    <w:p>
      <w:pPr>
        <w:ind w:left="3360" w:hanging="894"/>
        <w:spacing w:after="0"/>
        <w:tabs>
          <w:tab w:leader="none" w:pos="336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Supplemental Prepayment Fee</w:t>
      </w:r>
      <w:r>
        <w:rPr>
          <w:rFonts w:ascii="Arial" w:cs="Arial" w:eastAsia="Arial" w:hAnsi="Arial"/>
          <w:sz w:val="19"/>
          <w:szCs w:val="19"/>
          <w:color w:val="auto"/>
        </w:rPr>
        <w:t>.  The Supplemental Prepayment Fee, if and when due</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hereunder; and</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2.5 Section 3.5 </w:t>
      </w:r>
      <w:r>
        <w:rPr>
          <w:rFonts w:ascii="Arial" w:cs="Arial" w:eastAsia="Arial" w:hAnsi="Arial"/>
          <w:sz w:val="22"/>
          <w:szCs w:val="22"/>
          <w:color w:val="auto"/>
        </w:rPr>
        <w:t>(</w:t>
      </w:r>
      <w:r>
        <w:rPr>
          <w:rFonts w:ascii="Arial" w:cs="Arial" w:eastAsia="Arial" w:hAnsi="Arial"/>
          <w:sz w:val="22"/>
          <w:szCs w:val="22"/>
          <w:b w:val="1"/>
          <w:bCs w:val="1"/>
          <w:color w:val="auto"/>
        </w:rPr>
        <w:t>Procedures for Borrowing</w:t>
      </w:r>
      <w:r>
        <w:rPr>
          <w:rFonts w:ascii="Arial" w:cs="Arial" w:eastAsia="Arial" w:hAnsi="Arial"/>
          <w:sz w:val="22"/>
          <w:szCs w:val="22"/>
          <w:color w:val="auto"/>
        </w:rPr>
        <w:t>). Section 3.5(a) is amended by deleting each reference to</w:t>
      </w:r>
      <w:r>
        <w:rPr>
          <w:rFonts w:ascii="Arial" w:cs="Arial" w:eastAsia="Arial" w:hAnsi="Arial"/>
          <w:sz w:val="22"/>
          <w:szCs w:val="22"/>
          <w:b w:val="1"/>
          <w:bCs w:val="1"/>
          <w:color w:val="auto"/>
        </w:rPr>
        <w:t xml:space="preserve"> </w:t>
      </w:r>
      <w:r>
        <w:rPr>
          <w:rFonts w:ascii="Arial" w:cs="Arial" w:eastAsia="Arial" w:hAnsi="Arial"/>
          <w:sz w:val="22"/>
          <w:szCs w:val="22"/>
          <w:color w:val="auto"/>
        </w:rPr>
        <w:t>“Term Loan” and “Term Loans” and substituting in lieu thereof the terms “Credit Extension” and “Credit Extensions”, respectively.</w:t>
      </w:r>
    </w:p>
    <w:p>
      <w:pPr>
        <w:spacing w:after="0" w:line="177"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2.6 Section 6.2 </w:t>
      </w:r>
      <w:r>
        <w:rPr>
          <w:rFonts w:ascii="Arial" w:cs="Arial" w:eastAsia="Arial" w:hAnsi="Arial"/>
          <w:sz w:val="22"/>
          <w:szCs w:val="22"/>
          <w:color w:val="auto"/>
        </w:rPr>
        <w:t>(</w:t>
      </w:r>
      <w:r>
        <w:rPr>
          <w:rFonts w:ascii="Arial" w:cs="Arial" w:eastAsia="Arial" w:hAnsi="Arial"/>
          <w:sz w:val="22"/>
          <w:szCs w:val="22"/>
          <w:b w:val="1"/>
          <w:bCs w:val="1"/>
          <w:color w:val="auto"/>
        </w:rPr>
        <w:t>Financial Statements, Reports</w:t>
      </w:r>
      <w:r>
        <w:rPr>
          <w:rFonts w:ascii="Arial" w:cs="Arial" w:eastAsia="Arial" w:hAnsi="Arial"/>
          <w:sz w:val="22"/>
          <w:szCs w:val="22"/>
          <w:color w:val="auto"/>
        </w:rPr>
        <w:t>). Sections 6.2(a), (b), (e), (f) and (h) are amended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their entirety and replaced with the following:</w:t>
      </w:r>
    </w:p>
    <w:p>
      <w:pPr>
        <w:spacing w:after="0" w:line="168" w:lineRule="exact"/>
        <w:rPr>
          <w:sz w:val="20"/>
          <w:szCs w:val="20"/>
          <w:color w:val="auto"/>
        </w:rPr>
      </w:pPr>
    </w:p>
    <w:p>
      <w:pPr>
        <w:ind w:left="880" w:right="20" w:firstLine="1586"/>
        <w:spacing w:after="0" w:line="250" w:lineRule="auto"/>
        <w:tabs>
          <w:tab w:leader="none" w:pos="336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Quarterly Financial Statements</w:t>
      </w:r>
      <w:r>
        <w:rPr>
          <w:rFonts w:ascii="Arial" w:cs="Arial" w:eastAsia="Arial" w:hAnsi="Arial"/>
          <w:sz w:val="22"/>
          <w:szCs w:val="22"/>
          <w:color w:val="auto"/>
        </w:rPr>
        <w:t>. No later than forty-five (45) days after the last day of each fiscal quarter (other than the last fiscal quarter of each fiscal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0" w:name="page161"/>
    <w:bookmarkEnd w:id="160"/>
    <w:p>
      <w:pPr>
        <w:jc w:val="both"/>
        <w:ind w:left="880"/>
        <w:spacing w:after="0" w:line="238" w:lineRule="auto"/>
        <w:rPr>
          <w:sz w:val="20"/>
          <w:szCs w:val="20"/>
          <w:color w:val="auto"/>
        </w:rPr>
      </w:pPr>
      <w:r>
        <w:rPr>
          <w:rFonts w:ascii="Arial" w:cs="Arial" w:eastAsia="Arial" w:hAnsi="Arial"/>
          <w:sz w:val="22"/>
          <w:szCs w:val="22"/>
          <w:color w:val="auto"/>
        </w:rPr>
        <w:t>Borrower’s 10-Q filing for such quarter including a consolidated balance sheet, statement of cash flows and income statement covering Borrower’s consolidated operations for such quarter prepared in accordance with GAAP (other than for the absence of footnotes and subject to year-end audit adjustments) as filed by Borrower with the SEC (the “</w:t>
      </w:r>
      <w:r>
        <w:rPr>
          <w:rFonts w:ascii="Arial" w:cs="Arial" w:eastAsia="Arial" w:hAnsi="Arial"/>
          <w:sz w:val="22"/>
          <w:szCs w:val="22"/>
          <w:b w:val="1"/>
          <w:bCs w:val="1"/>
          <w:color w:val="auto"/>
        </w:rPr>
        <w:t>Quarterly Financial Statements</w:t>
      </w:r>
      <w:r>
        <w:rPr>
          <w:rFonts w:ascii="Arial" w:cs="Arial" w:eastAsia="Arial" w:hAnsi="Arial"/>
          <w:sz w:val="22"/>
          <w:szCs w:val="22"/>
          <w:color w:val="auto"/>
        </w:rPr>
        <w:t>”);</w:t>
      </w:r>
    </w:p>
    <w:p>
      <w:pPr>
        <w:spacing w:after="0" w:line="185" w:lineRule="exact"/>
        <w:rPr>
          <w:sz w:val="20"/>
          <w:szCs w:val="20"/>
          <w:color w:val="auto"/>
        </w:rPr>
      </w:pPr>
    </w:p>
    <w:p>
      <w:pPr>
        <w:jc w:val="both"/>
        <w:ind w:left="880" w:firstLine="1586"/>
        <w:spacing w:after="0" w:line="236" w:lineRule="auto"/>
        <w:tabs>
          <w:tab w:leader="none" w:pos="337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Quarterly Compliance Statement</w:t>
      </w:r>
      <w:r>
        <w:rPr>
          <w:rFonts w:ascii="Arial" w:cs="Arial" w:eastAsia="Arial" w:hAnsi="Arial"/>
          <w:sz w:val="22"/>
          <w:szCs w:val="22"/>
          <w:color w:val="auto"/>
        </w:rPr>
        <w:t>. Within forty-five (45) days after the last day of each fiscal quarter (other than the last fiscal quarter of each fiscal year) and together with the Quarterly Financial Statements, a duly completed Compliance Statement, confirming that as of the end of such quarter, Borrower was in full compliance with all of the terms and conditions of this Agreement, and setting forth such other information as Bank may reasonably request;</w:t>
      </w:r>
    </w:p>
    <w:p>
      <w:pPr>
        <w:spacing w:after="0" w:line="187" w:lineRule="exact"/>
        <w:rPr>
          <w:sz w:val="20"/>
          <w:szCs w:val="20"/>
          <w:color w:val="auto"/>
        </w:rPr>
      </w:pPr>
    </w:p>
    <w:p>
      <w:pPr>
        <w:jc w:val="both"/>
        <w:ind w:left="880" w:firstLine="1586"/>
        <w:spacing w:after="0" w:line="235" w:lineRule="auto"/>
        <w:tabs>
          <w:tab w:leader="none" w:pos="3362"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Annual Financial Statements</w:t>
      </w:r>
      <w:r>
        <w:rPr>
          <w:rFonts w:ascii="Arial" w:cs="Arial" w:eastAsia="Arial" w:hAnsi="Arial"/>
          <w:sz w:val="22"/>
          <w:szCs w:val="22"/>
          <w:color w:val="auto"/>
        </w:rPr>
        <w:t>. No later than ninety (90) days after the last day of Borrower’s fiscal year end, Borrower’s 10-K filing for such fiscal year including audited and certified consolidated financial statements prepared under GAAP, consistently applied, as filed by Borrower with the SEC, together with an unqualified opinion (other than a qualification as to going concern typical for venture backed companies similar to Borrower) on the financial statements from an independent certified public accounting firm reasonably acceptable to Bank (the “</w:t>
      </w:r>
      <w:r>
        <w:rPr>
          <w:rFonts w:ascii="Arial" w:cs="Arial" w:eastAsia="Arial" w:hAnsi="Arial"/>
          <w:sz w:val="22"/>
          <w:szCs w:val="22"/>
          <w:b w:val="1"/>
          <w:bCs w:val="1"/>
          <w:color w:val="auto"/>
        </w:rPr>
        <w:t>Annual Financial Statements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880" w:firstLine="1586"/>
        <w:spacing w:after="0" w:line="287" w:lineRule="auto"/>
        <w:tabs>
          <w:tab w:leader="none" w:pos="333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Annual Compliance Statement</w:t>
      </w:r>
      <w:r>
        <w:rPr>
          <w:rFonts w:ascii="Arial" w:cs="Arial" w:eastAsia="Arial" w:hAnsi="Arial"/>
          <w:sz w:val="19"/>
          <w:szCs w:val="19"/>
          <w:color w:val="auto"/>
        </w:rPr>
        <w:t>. Within ninety (90) days after the last day of Borrower’s fiscal year end and together with the Annual Financial Statements, a duly completed Compliance Statement, confirming that as of the end of such fiscal year, Borrower was in full compliance with all of the terms and conditions of this Agreement, and setting forth such other information as Bank may reasonably request;</w:t>
      </w:r>
    </w:p>
    <w:p>
      <w:pPr>
        <w:spacing w:after="0" w:line="143" w:lineRule="exact"/>
        <w:rPr>
          <w:sz w:val="20"/>
          <w:szCs w:val="20"/>
          <w:color w:val="auto"/>
        </w:rPr>
      </w:pPr>
    </w:p>
    <w:p>
      <w:pPr>
        <w:jc w:val="both"/>
        <w:ind w:left="880" w:firstLine="1586"/>
        <w:spacing w:after="0" w:line="275" w:lineRule="auto"/>
        <w:tabs>
          <w:tab w:leader="none" w:pos="337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SEC Filings</w:t>
      </w:r>
      <w:r>
        <w:rPr>
          <w:rFonts w:ascii="Arial" w:cs="Arial" w:eastAsia="Arial" w:hAnsi="Arial"/>
          <w:sz w:val="19"/>
          <w:szCs w:val="19"/>
          <w:color w:val="auto"/>
        </w:rPr>
        <w: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of this Section 6.2 (to the extent any such documents are included in materials otherwise filed with the SEC) may be delivered electronically and if so delivered, shall be deemed to have been delivered on the date on which Borrower notifies SVB in writing (which may be by electronic mail) that Borrower has (i) posted such documents, or provided a link thereto, on Borrower’s website on the Internet at Borrower’s website address or (ii) made such documents available in the SEC’s EDGAR filing system.</w:t>
      </w:r>
    </w:p>
    <w:p>
      <w:pPr>
        <w:spacing w:after="0" w:line="151"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 xml:space="preserve">Section 6.6 </w:t>
      </w:r>
      <w:r>
        <w:rPr>
          <w:rFonts w:ascii="Arial" w:cs="Arial" w:eastAsia="Arial" w:hAnsi="Arial"/>
          <w:sz w:val="19"/>
          <w:szCs w:val="19"/>
          <w:color w:val="auto"/>
        </w:rPr>
        <w:t>(</w:t>
      </w:r>
      <w:r>
        <w:rPr>
          <w:rFonts w:ascii="Arial" w:cs="Arial" w:eastAsia="Arial" w:hAnsi="Arial"/>
          <w:sz w:val="19"/>
          <w:szCs w:val="19"/>
          <w:b w:val="1"/>
          <w:bCs w:val="1"/>
          <w:color w:val="auto"/>
        </w:rPr>
        <w:t>Operating Accounts</w:t>
      </w:r>
      <w:r>
        <w:rPr>
          <w:rFonts w:ascii="Arial" w:cs="Arial" w:eastAsia="Arial" w:hAnsi="Arial"/>
          <w:sz w:val="19"/>
          <w:szCs w:val="19"/>
          <w:color w:val="auto"/>
        </w:rPr>
        <w:t>). Section 6.6(a) is amended in its entirety and replaced with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following:</w:t>
      </w:r>
    </w:p>
    <w:p>
      <w:pPr>
        <w:spacing w:after="0" w:line="188" w:lineRule="exact"/>
        <w:rPr>
          <w:sz w:val="20"/>
          <w:szCs w:val="20"/>
          <w:color w:val="auto"/>
        </w:rPr>
      </w:pPr>
    </w:p>
    <w:p>
      <w:pPr>
        <w:jc w:val="both"/>
        <w:ind w:left="880" w:firstLine="789"/>
        <w:spacing w:after="0"/>
        <w:tabs>
          <w:tab w:leader="none" w:pos="2565" w:val="left"/>
        </w:tabs>
        <w:numPr>
          <w:ilvl w:val="0"/>
          <w:numId w:val="95"/>
        </w:numPr>
        <w:rPr>
          <w:rFonts w:ascii="Arial" w:cs="Arial" w:eastAsia="Arial" w:hAnsi="Arial"/>
          <w:sz w:val="22"/>
          <w:szCs w:val="22"/>
          <w:color w:val="auto"/>
        </w:rPr>
      </w:pPr>
      <w:r>
        <w:rPr>
          <w:rFonts w:ascii="Arial" w:cs="Arial" w:eastAsia="Arial" w:hAnsi="Arial"/>
          <w:sz w:val="22"/>
          <w:szCs w:val="22"/>
          <w:color w:val="auto"/>
        </w:rPr>
        <w:t>(i) Borrower shall maintain at least eighty percent (80%) of its operating account balances and excess cash with Bank or Bank’s Affiliates and (ii) Borrower shall obtain any business credit cards exclusively from Bank.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2.8 Section 8.1 </w:t>
      </w:r>
      <w:r>
        <w:rPr>
          <w:rFonts w:ascii="Arial" w:cs="Arial" w:eastAsia="Arial" w:hAnsi="Arial"/>
          <w:sz w:val="22"/>
          <w:szCs w:val="22"/>
          <w:color w:val="auto"/>
        </w:rPr>
        <w:t>(</w:t>
      </w:r>
      <w:r>
        <w:rPr>
          <w:rFonts w:ascii="Arial" w:cs="Arial" w:eastAsia="Arial" w:hAnsi="Arial"/>
          <w:sz w:val="22"/>
          <w:szCs w:val="22"/>
          <w:b w:val="1"/>
          <w:bCs w:val="1"/>
          <w:color w:val="auto"/>
        </w:rPr>
        <w:t>Payment Default</w:t>
      </w:r>
      <w:r>
        <w:rPr>
          <w:rFonts w:ascii="Arial" w:cs="Arial" w:eastAsia="Arial" w:hAnsi="Arial"/>
          <w:sz w:val="22"/>
          <w:szCs w:val="22"/>
          <w:color w:val="auto"/>
        </w:rPr>
        <w:t>). Section 8.1 is amended by deleting the reference to “Term Loan</w:t>
      </w:r>
      <w:r>
        <w:rPr>
          <w:rFonts w:ascii="Arial" w:cs="Arial" w:eastAsia="Arial" w:hAnsi="Arial"/>
          <w:sz w:val="22"/>
          <w:szCs w:val="22"/>
          <w:b w:val="1"/>
          <w:bCs w:val="1"/>
          <w:color w:val="auto"/>
        </w:rPr>
        <w:t xml:space="preserve"> </w:t>
      </w:r>
      <w:r>
        <w:rPr>
          <w:rFonts w:ascii="Arial" w:cs="Arial" w:eastAsia="Arial" w:hAnsi="Arial"/>
          <w:sz w:val="22"/>
          <w:szCs w:val="22"/>
          <w:color w:val="auto"/>
        </w:rPr>
        <w:t>Maturity Date” and substituting in lieu thereof “Supplemental Term Loan Maturity Date”.</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2.9 Section 12.1 </w:t>
      </w:r>
      <w:r>
        <w:rPr>
          <w:rFonts w:ascii="Arial" w:cs="Arial" w:eastAsia="Arial" w:hAnsi="Arial"/>
          <w:sz w:val="22"/>
          <w:szCs w:val="22"/>
          <w:color w:val="auto"/>
        </w:rPr>
        <w:t>(</w:t>
      </w:r>
      <w:r>
        <w:rPr>
          <w:rFonts w:ascii="Arial" w:cs="Arial" w:eastAsia="Arial" w:hAnsi="Arial"/>
          <w:sz w:val="22"/>
          <w:szCs w:val="22"/>
          <w:b w:val="1"/>
          <w:bCs w:val="1"/>
          <w:color w:val="auto"/>
        </w:rPr>
        <w:t>Termination Prior to Term Loan Maturity Date; Survival</w:t>
      </w:r>
      <w:r>
        <w:rPr>
          <w:rFonts w:ascii="Arial" w:cs="Arial" w:eastAsia="Arial" w:hAnsi="Arial"/>
          <w:sz w:val="22"/>
          <w:szCs w:val="22"/>
          <w:color w:val="auto"/>
        </w:rPr>
        <w:t>). Section 12.1 is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by (a) renaming the section as “Termination Prior to Maturity Date; Survival” and (b) deleting the phase to “prior to the Term Loan Maturity Date by Borrower, effective three (3) Business Days after written notice of termination is given to Bank” and substituting in lieu thereof the phrase “prior to the Supplemental Term Loan Maturity Date in accordance with Section 2.1.2(c)”.</w:t>
      </w:r>
    </w:p>
    <w:p>
      <w:pPr>
        <w:spacing w:after="0" w:line="182"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2.10 Section 13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 The following term and its definition set forth in Section 13.1 are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in their entirety and replaced with the following:</w:t>
      </w:r>
    </w:p>
    <w:p>
      <w:pPr>
        <w:spacing w:after="0" w:line="162" w:lineRule="exact"/>
        <w:rPr>
          <w:sz w:val="20"/>
          <w:szCs w:val="20"/>
          <w:color w:val="auto"/>
        </w:rPr>
      </w:pPr>
    </w:p>
    <w:p>
      <w:pPr>
        <w:jc w:val="both"/>
        <w:ind w:left="880" w:firstLine="7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 Extension</w:t>
      </w:r>
      <w:r>
        <w:rPr>
          <w:rFonts w:ascii="Arial" w:cs="Arial" w:eastAsia="Arial" w:hAnsi="Arial"/>
          <w:sz w:val="22"/>
          <w:szCs w:val="22"/>
          <w:color w:val="auto"/>
        </w:rPr>
        <w:t>” is any Term Loan, Supplemental Term Loan or any other extension of credit by Bank for Borrower’s benefit under this Agreement.</w:t>
      </w:r>
    </w:p>
    <w:p>
      <w:pPr>
        <w:spacing w:after="0" w:line="162" w:lineRule="exact"/>
        <w:rPr>
          <w:sz w:val="20"/>
          <w:szCs w:val="20"/>
          <w:color w:val="auto"/>
        </w:rPr>
      </w:pPr>
    </w:p>
    <w:p>
      <w:pPr>
        <w:ind w:left="1740"/>
        <w:spacing w:after="0"/>
        <w:tabs>
          <w:tab w:leader="none" w:pos="2720" w:val="left"/>
          <w:tab w:leader="none" w:pos="520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22"/>
          <w:szCs w:val="22"/>
          <w:b w:val="1"/>
          <w:bCs w:val="1"/>
          <w:color w:val="auto"/>
        </w:rPr>
        <w:t xml:space="preserve">Section 13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following terms and their respective definitions are added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Section 13.1 in appropriate alphabetical order:</w:t>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Financial Statements</w:t>
      </w:r>
      <w:r>
        <w:rPr>
          <w:rFonts w:ascii="Arial" w:cs="Arial" w:eastAsia="Arial" w:hAnsi="Arial"/>
          <w:sz w:val="22"/>
          <w:szCs w:val="22"/>
          <w:color w:val="auto"/>
        </w:rPr>
        <w:t>” is defined in Section 6.2(e).</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Amendment Date</w:t>
      </w:r>
      <w:r>
        <w:rPr>
          <w:rFonts w:ascii="Arial" w:cs="Arial" w:eastAsia="Arial" w:hAnsi="Arial"/>
          <w:sz w:val="22"/>
          <w:szCs w:val="22"/>
          <w:color w:val="auto"/>
        </w:rPr>
        <w:t>” is March 19, 2021.</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Quarterly Financial Statements</w:t>
      </w:r>
      <w:r>
        <w:rPr>
          <w:rFonts w:ascii="Arial" w:cs="Arial" w:eastAsia="Arial" w:hAnsi="Arial"/>
          <w:sz w:val="22"/>
          <w:szCs w:val="22"/>
          <w:color w:val="auto"/>
        </w:rPr>
        <w:t>” is defined in Section 6.2(a).</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Conversion Date</w:t>
      </w:r>
      <w:r>
        <w:rPr>
          <w:rFonts w:ascii="Arial" w:cs="Arial" w:eastAsia="Arial" w:hAnsi="Arial"/>
          <w:sz w:val="22"/>
          <w:szCs w:val="22"/>
          <w:color w:val="auto"/>
        </w:rPr>
        <w:t>” is defined in Section 2.1.2(b)(ii).</w:t>
      </w:r>
    </w:p>
    <w:p>
      <w:pPr>
        <w:spacing w:after="0" w:line="206" w:lineRule="exact"/>
        <w:rPr>
          <w:sz w:val="20"/>
          <w:szCs w:val="20"/>
          <w:color w:val="auto"/>
        </w:rPr>
      </w:pPr>
    </w:p>
    <w:p>
      <w:pPr>
        <w:jc w:val="both"/>
        <w:ind w:left="880" w:firstLine="797"/>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Supplemental Final Payment</w:t>
      </w:r>
      <w:r>
        <w:rPr>
          <w:rFonts w:ascii="Arial" w:cs="Arial" w:eastAsia="Arial" w:hAnsi="Arial"/>
          <w:sz w:val="19"/>
          <w:szCs w:val="19"/>
          <w:color w:val="auto"/>
        </w:rPr>
        <w:t>” is a payment (in addition to and not a substitution for the regular monthly payments of principal plus accrued interest) due in accordance with Section 2.1.2 above, equal to the original principal amount of the Supplemental Term Loans multiplied by the Supplemental Final Payment Percentage.</w:t>
      </w:r>
    </w:p>
    <w:p>
      <w:pPr>
        <w:spacing w:after="0" w:line="126" w:lineRule="exact"/>
        <w:rPr>
          <w:sz w:val="20"/>
          <w:szCs w:val="20"/>
          <w:color w:val="auto"/>
        </w:rPr>
      </w:pPr>
    </w:p>
    <w:p>
      <w:pPr>
        <w:jc w:val="both"/>
        <w:ind w:left="880" w:firstLine="79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Final Payment Percentage</w:t>
      </w:r>
      <w:r>
        <w:rPr>
          <w:rFonts w:ascii="Arial" w:cs="Arial" w:eastAsia="Arial" w:hAnsi="Arial"/>
          <w:sz w:val="22"/>
          <w:szCs w:val="22"/>
          <w:color w:val="auto"/>
        </w:rPr>
        <w:t>” is (a) if no Supplemental Term Loan has been made under the Supplemental Second Tranche, six percent (6.00%), or (b) if a Supplemental Term Loan has been made under the Supplemental Second Tranche, nine and one-half percent (9.50%).</w:t>
      </w:r>
    </w:p>
    <w:p>
      <w:pPr>
        <w:spacing w:after="0" w:line="177"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First Tranche</w:t>
      </w:r>
      <w:r>
        <w:rPr>
          <w:rFonts w:ascii="Arial" w:cs="Arial" w:eastAsia="Arial" w:hAnsi="Arial"/>
          <w:sz w:val="22"/>
          <w:szCs w:val="22"/>
          <w:color w:val="auto"/>
        </w:rPr>
        <w:t>” is defined in Section 2.1.2(a)(i).</w:t>
      </w:r>
    </w:p>
    <w:p>
      <w:pPr>
        <w:spacing w:after="0" w:line="206" w:lineRule="exact"/>
        <w:rPr>
          <w:sz w:val="20"/>
          <w:szCs w:val="20"/>
          <w:color w:val="auto"/>
        </w:rPr>
      </w:pPr>
    </w:p>
    <w:p>
      <w:pPr>
        <w:jc w:val="both"/>
        <w:ind w:left="880" w:firstLine="797"/>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Supplemental Interest-Only Period</w:t>
      </w:r>
      <w:r>
        <w:rPr>
          <w:rFonts w:ascii="Arial" w:cs="Arial" w:eastAsia="Arial" w:hAnsi="Arial"/>
          <w:sz w:val="21"/>
          <w:szCs w:val="21"/>
          <w:color w:val="auto"/>
        </w:rPr>
        <w:t>” means, with respect to each Supplemental Term Loan, the period commencing on the Funding Date of such Supplemental Term Loan and continuing through (a) if no Supplemental Term Loan has been made under the Supplemental Second Tranche, December 31, 2022, or (b) if a Supplemental Term Loan has been made under the Supplemental Second Tranche, December 31, 2023.</w:t>
      </w:r>
    </w:p>
    <w:p>
      <w:pPr>
        <w:spacing w:after="0" w:line="166" w:lineRule="exact"/>
        <w:rPr>
          <w:sz w:val="20"/>
          <w:szCs w:val="20"/>
          <w:color w:val="auto"/>
        </w:rPr>
      </w:pPr>
    </w:p>
    <w:p>
      <w:pPr>
        <w:jc w:val="both"/>
        <w:ind w:left="880" w:firstLine="7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Prepayment Fee</w:t>
      </w:r>
      <w:r>
        <w:rPr>
          <w:rFonts w:ascii="Arial" w:cs="Arial" w:eastAsia="Arial" w:hAnsi="Arial"/>
          <w:sz w:val="22"/>
          <w:szCs w:val="22"/>
          <w:color w:val="auto"/>
        </w:rPr>
        <w:t>” shall be, with respect to the prepayment of the Supplemental Term Loans, an amount equal to (i) three percent (3.0%) of the Supplemental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2" w:name="page163"/>
    <w:bookmarkEnd w:id="162"/>
    <w:p>
      <w:pPr>
        <w:jc w:val="both"/>
        <w:ind w:left="880"/>
        <w:spacing w:after="0" w:line="273" w:lineRule="auto"/>
        <w:rPr>
          <w:sz w:val="20"/>
          <w:szCs w:val="20"/>
          <w:color w:val="auto"/>
        </w:rPr>
      </w:pPr>
      <w:r>
        <w:rPr>
          <w:rFonts w:ascii="Arial" w:cs="Arial" w:eastAsia="Arial" w:hAnsi="Arial"/>
          <w:sz w:val="19"/>
          <w:szCs w:val="19"/>
          <w:color w:val="auto"/>
        </w:rPr>
        <w:t>Term Loan Commitment if such prepayment occurs prior to the first (1</w:t>
      </w:r>
      <w:r>
        <w:rPr>
          <w:rFonts w:ascii="Arial" w:cs="Arial" w:eastAsia="Arial" w:hAnsi="Arial"/>
          <w:sz w:val="16"/>
          <w:szCs w:val="16"/>
          <w:color w:val="auto"/>
        </w:rPr>
        <w:t>st</w:t>
      </w:r>
      <w:r>
        <w:rPr>
          <w:rFonts w:ascii="Arial" w:cs="Arial" w:eastAsia="Arial" w:hAnsi="Arial"/>
          <w:sz w:val="19"/>
          <w:szCs w:val="19"/>
          <w:color w:val="auto"/>
        </w:rPr>
        <w:t>) anniversary of the First Amendment Date, (ii) two percent (2.0%) of the Supplemental Term Loan Commitment if such prepayment occurs on or after the first (1</w:t>
      </w:r>
      <w:r>
        <w:rPr>
          <w:rFonts w:ascii="Arial" w:cs="Arial" w:eastAsia="Arial" w:hAnsi="Arial"/>
          <w:sz w:val="16"/>
          <w:szCs w:val="16"/>
          <w:color w:val="auto"/>
        </w:rPr>
        <w:t>st</w:t>
      </w:r>
      <w:r>
        <w:rPr>
          <w:rFonts w:ascii="Arial" w:cs="Arial" w:eastAsia="Arial" w:hAnsi="Arial"/>
          <w:sz w:val="19"/>
          <w:szCs w:val="19"/>
          <w:color w:val="auto"/>
        </w:rPr>
        <w:t>) anniversary of the First Amendment Date but prior to the second (2</w:t>
      </w:r>
      <w:r>
        <w:rPr>
          <w:rFonts w:ascii="Arial" w:cs="Arial" w:eastAsia="Arial" w:hAnsi="Arial"/>
          <w:sz w:val="16"/>
          <w:szCs w:val="16"/>
          <w:color w:val="auto"/>
        </w:rPr>
        <w:t>nd</w:t>
      </w:r>
      <w:r>
        <w:rPr>
          <w:rFonts w:ascii="Arial" w:cs="Arial" w:eastAsia="Arial" w:hAnsi="Arial"/>
          <w:sz w:val="19"/>
          <w:szCs w:val="19"/>
          <w:color w:val="auto"/>
        </w:rPr>
        <w:t>) anniversary of the First Amendment Date, or</w:t>
      </w:r>
    </w:p>
    <w:p>
      <w:pPr>
        <w:spacing w:after="0" w:line="1" w:lineRule="exact"/>
        <w:rPr>
          <w:sz w:val="20"/>
          <w:szCs w:val="20"/>
          <w:color w:val="auto"/>
        </w:rPr>
      </w:pPr>
    </w:p>
    <w:p>
      <w:pPr>
        <w:ind w:left="880" w:hanging="8"/>
        <w:spacing w:after="0" w:line="236" w:lineRule="auto"/>
        <w:tabs>
          <w:tab w:leader="none" w:pos="1263" w:val="left"/>
        </w:tabs>
        <w:numPr>
          <w:ilvl w:val="0"/>
          <w:numId w:val="96"/>
        </w:numPr>
        <w:rPr>
          <w:rFonts w:ascii="Arial" w:cs="Arial" w:eastAsia="Arial" w:hAnsi="Arial"/>
          <w:sz w:val="22"/>
          <w:szCs w:val="22"/>
          <w:color w:val="auto"/>
        </w:rPr>
      </w:pPr>
      <w:r>
        <w:rPr>
          <w:rFonts w:ascii="Arial" w:cs="Arial" w:eastAsia="Arial" w:hAnsi="Arial"/>
          <w:sz w:val="22"/>
          <w:szCs w:val="22"/>
          <w:color w:val="auto"/>
        </w:rPr>
        <w:t>one percent (1.0%) of the Supplemental Term Loan Commitment if such prepayment occurs on or after the second (2</w:t>
      </w:r>
      <w:r>
        <w:rPr>
          <w:rFonts w:ascii="Arial" w:cs="Arial" w:eastAsia="Arial" w:hAnsi="Arial"/>
          <w:sz w:val="18"/>
          <w:szCs w:val="18"/>
          <w:color w:val="auto"/>
        </w:rPr>
        <w:t>nd</w:t>
      </w:r>
      <w:r>
        <w:rPr>
          <w:rFonts w:ascii="Arial" w:cs="Arial" w:eastAsia="Arial" w:hAnsi="Arial"/>
          <w:sz w:val="22"/>
          <w:szCs w:val="22"/>
          <w:color w:val="auto"/>
        </w:rPr>
        <w:t>) anniversary of the First Amendment Date.</w:t>
      </w:r>
    </w:p>
    <w:p>
      <w:pPr>
        <w:spacing w:after="0" w:line="181" w:lineRule="exact"/>
        <w:rPr>
          <w:sz w:val="20"/>
          <w:szCs w:val="20"/>
          <w:color w:val="auto"/>
        </w:rPr>
      </w:pPr>
    </w:p>
    <w:p>
      <w:pPr>
        <w:jc w:val="both"/>
        <w:ind w:left="880" w:firstLine="7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Repayment Period</w:t>
      </w:r>
      <w:r>
        <w:rPr>
          <w:rFonts w:ascii="Arial" w:cs="Arial" w:eastAsia="Arial" w:hAnsi="Arial"/>
          <w:sz w:val="22"/>
          <w:szCs w:val="22"/>
          <w:color w:val="auto"/>
        </w:rPr>
        <w:t>” is the period of time commencing on the Supplemental Conversion Date and continuing through the Supplemental Term Loan Maturity Date.</w:t>
      </w:r>
    </w:p>
    <w:p>
      <w:pPr>
        <w:spacing w:after="0" w:line="16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Second Tranche</w:t>
      </w:r>
      <w:r>
        <w:rPr>
          <w:rFonts w:ascii="Arial" w:cs="Arial" w:eastAsia="Arial" w:hAnsi="Arial"/>
          <w:sz w:val="22"/>
          <w:szCs w:val="22"/>
          <w:color w:val="auto"/>
        </w:rPr>
        <w:t>” is defined in Section 2.1.2(a)(ii).</w:t>
      </w:r>
    </w:p>
    <w:p>
      <w:pPr>
        <w:spacing w:after="0" w:line="206" w:lineRule="exact"/>
        <w:rPr>
          <w:sz w:val="20"/>
          <w:szCs w:val="20"/>
          <w:color w:val="auto"/>
        </w:rPr>
      </w:pPr>
    </w:p>
    <w:p>
      <w:pPr>
        <w:jc w:val="both"/>
        <w:ind w:left="880" w:firstLine="797"/>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Second Tranche Milestone</w:t>
      </w:r>
      <w:r>
        <w:rPr>
          <w:rFonts w:ascii="Arial" w:cs="Arial" w:eastAsia="Arial" w:hAnsi="Arial"/>
          <w:sz w:val="22"/>
          <w:szCs w:val="22"/>
          <w:color w:val="auto"/>
        </w:rPr>
        <w:t>” means Bank’s receipt of evidence satisfactory to Bank that Borrower has either (a) received positive data in pivotal Phase 2b studies sufficient to submit a New Drug Application for tildacerfont in congenital adrenal hyperplasia or (b) received gross cash proceeds of at least Seventy-Five Million Dollars ($ 75,000,000) from the sale and issuance of Borrower’s equity interests in a public offering to investors, and on terms and conditions, satisfactory to Bank.</w:t>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Term Loan</w:t>
      </w:r>
      <w:r>
        <w:rPr>
          <w:rFonts w:ascii="Arial" w:cs="Arial" w:eastAsia="Arial" w:hAnsi="Arial"/>
          <w:sz w:val="22"/>
          <w:szCs w:val="22"/>
          <w:color w:val="auto"/>
        </w:rPr>
        <w:t>” is defined in Section 2.1.2(a).</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Term Loan Commitment</w:t>
      </w:r>
      <w:r>
        <w:rPr>
          <w:rFonts w:ascii="Arial" w:cs="Arial" w:eastAsia="Arial" w:hAnsi="Arial"/>
          <w:sz w:val="22"/>
          <w:szCs w:val="22"/>
          <w:color w:val="auto"/>
        </w:rPr>
        <w:t>” is Thirty Million Dollars ($30,000,000).</w:t>
      </w:r>
    </w:p>
    <w:p>
      <w:pPr>
        <w:spacing w:after="0" w:line="206" w:lineRule="exact"/>
        <w:rPr>
          <w:sz w:val="20"/>
          <w:szCs w:val="20"/>
          <w:color w:val="auto"/>
        </w:rPr>
      </w:pPr>
    </w:p>
    <w:p>
      <w:pPr>
        <w:jc w:val="both"/>
        <w:ind w:left="880" w:firstLine="7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Term Loan Commitment Termination Date (Supplemental First Tranche)</w:t>
      </w:r>
      <w:r>
        <w:rPr>
          <w:rFonts w:ascii="Arial" w:cs="Arial" w:eastAsia="Arial" w:hAnsi="Arial"/>
          <w:sz w:val="22"/>
          <w:szCs w:val="22"/>
          <w:color w:val="auto"/>
        </w:rPr>
        <w:t>” is December 31, 2021.</w:t>
      </w:r>
    </w:p>
    <w:p>
      <w:pPr>
        <w:spacing w:after="0" w:line="162" w:lineRule="exact"/>
        <w:rPr>
          <w:sz w:val="20"/>
          <w:szCs w:val="20"/>
          <w:color w:val="auto"/>
        </w:rPr>
      </w:pPr>
    </w:p>
    <w:p>
      <w:pPr>
        <w:jc w:val="both"/>
        <w:ind w:left="880" w:right="20" w:firstLine="7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Term Loan Commitment Termination Date (Supplemental Second Tranche)</w:t>
      </w:r>
      <w:r>
        <w:rPr>
          <w:rFonts w:ascii="Arial" w:cs="Arial" w:eastAsia="Arial" w:hAnsi="Arial"/>
          <w:sz w:val="22"/>
          <w:szCs w:val="22"/>
          <w:color w:val="auto"/>
        </w:rPr>
        <w:t>” is December 31, 2022.</w:t>
      </w:r>
    </w:p>
    <w:p>
      <w:pPr>
        <w:spacing w:after="0" w:line="16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Supplemental Term Loan Maturity Date</w:t>
      </w:r>
      <w:r>
        <w:rPr>
          <w:rFonts w:ascii="Arial" w:cs="Arial" w:eastAsia="Arial" w:hAnsi="Arial"/>
          <w:sz w:val="22"/>
          <w:szCs w:val="22"/>
          <w:color w:val="auto"/>
        </w:rPr>
        <w:t>” is January 1, 2026.</w:t>
      </w:r>
    </w:p>
    <w:p>
      <w:pPr>
        <w:spacing w:after="0" w:line="206" w:lineRule="exact"/>
        <w:rPr>
          <w:sz w:val="20"/>
          <w:szCs w:val="20"/>
          <w:color w:val="auto"/>
        </w:rPr>
      </w:pPr>
    </w:p>
    <w:p>
      <w:pPr>
        <w:ind w:left="1740"/>
        <w:spacing w:after="0"/>
        <w:tabs>
          <w:tab w:leader="none" w:pos="27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 xml:space="preserve">Section 13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 The following term and its definition are deleted from Section 13.1 in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their entirety:</w:t>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Monthly Financial Statements</w:t>
      </w:r>
      <w:r>
        <w:rPr>
          <w:rFonts w:ascii="Arial" w:cs="Arial" w:eastAsia="Arial" w:hAnsi="Arial"/>
          <w:sz w:val="22"/>
          <w:szCs w:val="22"/>
          <w:color w:val="auto"/>
        </w:rPr>
        <w:t>”</w:t>
      </w:r>
    </w:p>
    <w:p>
      <w:pPr>
        <w:spacing w:after="0" w:line="206"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 xml:space="preserve">2.13 Exhibit D </w:t>
      </w:r>
      <w:r>
        <w:rPr>
          <w:rFonts w:ascii="Arial" w:cs="Arial" w:eastAsia="Arial" w:hAnsi="Arial"/>
          <w:sz w:val="22"/>
          <w:szCs w:val="22"/>
          <w:color w:val="auto"/>
        </w:rPr>
        <w:t>(</w:t>
      </w:r>
      <w:r>
        <w:rPr>
          <w:rFonts w:ascii="Arial" w:cs="Arial" w:eastAsia="Arial" w:hAnsi="Arial"/>
          <w:sz w:val="22"/>
          <w:szCs w:val="22"/>
          <w:b w:val="1"/>
          <w:bCs w:val="1"/>
          <w:color w:val="auto"/>
        </w:rPr>
        <w:t>Compliance Statement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Loan Agreement is amended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replaced with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w:t>
      </w:r>
    </w:p>
    <w:p>
      <w:pPr>
        <w:spacing w:after="0" w:line="162" w:lineRule="exact"/>
        <w:rPr>
          <w:sz w:val="20"/>
          <w:szCs w:val="20"/>
          <w:color w:val="auto"/>
        </w:rPr>
      </w:pPr>
    </w:p>
    <w:p>
      <w:pPr>
        <w:ind w:left="1680" w:hanging="808"/>
        <w:spacing w:after="0"/>
        <w:tabs>
          <w:tab w:leader="none" w:pos="168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3" w:name="page164"/>
    <w:bookmarkEnd w:id="163"/>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terms, conditions, representations, warranties, covenants and agreements set forth in the Loan Documents, except as herein amended, are hereby ratified and confirmed and shall remain in full force and effect.</w:t>
      </w:r>
    </w:p>
    <w:p>
      <w:pPr>
        <w:spacing w:after="0" w:line="177" w:lineRule="exact"/>
        <w:rPr>
          <w:sz w:val="20"/>
          <w:szCs w:val="20"/>
          <w:color w:val="auto"/>
        </w:rPr>
      </w:pPr>
    </w:p>
    <w:p>
      <w:pPr>
        <w:ind w:right="20" w:firstLine="872"/>
        <w:spacing w:after="0" w:line="256" w:lineRule="auto"/>
        <w:tabs>
          <w:tab w:leader="none" w:pos="1674"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Bank as follows:</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w:t>
      </w:r>
    </w:p>
    <w:p>
      <w:pPr>
        <w:spacing w:after="0" w:line="162" w:lineRule="exact"/>
        <w:rPr>
          <w:sz w:val="20"/>
          <w:szCs w:val="20"/>
          <w:color w:val="auto"/>
        </w:rPr>
      </w:pPr>
    </w:p>
    <w:p>
      <w:pPr>
        <w:jc w:val="both"/>
        <w:ind w:firstLine="1727"/>
        <w:spacing w:after="0" w:line="280"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color w:val="auto"/>
        </w:rPr>
        <w:t>The organizational documents of Borrower most recently delivered to Bank remain true, accurate</w:t>
      </w:r>
      <w:r>
        <w:rPr>
          <w:rFonts w:ascii="Arial" w:cs="Arial" w:eastAsia="Arial" w:hAnsi="Arial"/>
          <w:sz w:val="21"/>
          <w:szCs w:val="21"/>
          <w:b w:val="1"/>
          <w:bCs w:val="1"/>
          <w:color w:val="auto"/>
        </w:rPr>
        <w:t xml:space="preserve"> </w:t>
      </w:r>
      <w:r>
        <w:rPr>
          <w:rFonts w:ascii="Arial" w:cs="Arial" w:eastAsia="Arial" w:hAnsi="Arial"/>
          <w:sz w:val="21"/>
          <w:szCs w:val="21"/>
          <w:color w:val="auto"/>
        </w:rPr>
        <w:t>and complete and have not been amended, supplemented or restated and are and continue to be in full force and effect;</w:t>
      </w:r>
    </w:p>
    <w:p>
      <w:pPr>
        <w:spacing w:after="0" w:line="139"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have been duly authorized;</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2"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 performance by Borrower of</w:t>
      </w:r>
      <w:r>
        <w:rPr>
          <w:rFonts w:ascii="Arial" w:cs="Arial" w:eastAsia="Arial" w:hAnsi="Arial"/>
          <w:sz w:val="21"/>
          <w:szCs w:val="21"/>
          <w:b w:val="1"/>
          <w:bCs w:val="1"/>
          <w:color w:val="auto"/>
        </w:rPr>
        <w:t xml:space="preserve"> </w:t>
      </w:r>
      <w:r>
        <w:rPr>
          <w:rFonts w:ascii="Arial" w:cs="Arial" w:eastAsia="Arial" w:hAnsi="Arial"/>
          <w:sz w:val="21"/>
          <w:szCs w:val="21"/>
          <w:color w:val="auto"/>
        </w:rPr>
        <w:t>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ind w:right="20" w:firstLine="872"/>
        <w:spacing w:after="0" w:line="256" w:lineRule="auto"/>
        <w:tabs>
          <w:tab w:leader="none" w:pos="1674"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4" w:name="page165"/>
    <w:bookmarkEnd w:id="164"/>
    <w:p>
      <w:pPr>
        <w:spacing w:after="0" w:line="250" w:lineRule="auto"/>
        <w:rPr>
          <w:sz w:val="20"/>
          <w:szCs w:val="20"/>
          <w:color w:val="auto"/>
        </w:rPr>
      </w:pPr>
      <w:r>
        <w:rPr>
          <w:rFonts w:ascii="Arial" w:cs="Arial" w:eastAsia="Arial" w:hAnsi="Arial"/>
          <w:sz w:val="22"/>
          <w:szCs w:val="22"/>
          <w:color w:val="auto"/>
        </w:rPr>
        <w:t>agreements, understandings, representations, warranties, and negotiations between the parties about the subject matter of this Amendment and the Loan Documents merge into this Amendment and the Loan Documents.</w:t>
      </w:r>
    </w:p>
    <w:p>
      <w:pPr>
        <w:spacing w:after="0" w:line="169" w:lineRule="exact"/>
        <w:rPr>
          <w:sz w:val="20"/>
          <w:szCs w:val="20"/>
          <w:color w:val="auto"/>
        </w:rPr>
      </w:pPr>
    </w:p>
    <w:p>
      <w:pPr>
        <w:ind w:firstLine="872"/>
        <w:spacing w:after="0" w:line="256" w:lineRule="auto"/>
        <w:tabs>
          <w:tab w:leader="none" w:pos="1674"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62" w:lineRule="exact"/>
        <w:rPr>
          <w:rFonts w:ascii="Arial" w:cs="Arial" w:eastAsia="Arial" w:hAnsi="Arial"/>
          <w:sz w:val="22"/>
          <w:szCs w:val="22"/>
          <w:b w:val="1"/>
          <w:bCs w:val="1"/>
          <w:color w:val="auto"/>
        </w:rPr>
      </w:pPr>
    </w:p>
    <w:p>
      <w:pPr>
        <w:jc w:val="both"/>
        <w:ind w:firstLine="872"/>
        <w:spacing w:after="0" w:line="243" w:lineRule="auto"/>
        <w:tabs>
          <w:tab w:leader="none" w:pos="1674"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Execution of Documents</w:t>
      </w:r>
      <w:r>
        <w:rPr>
          <w:rFonts w:ascii="Arial" w:cs="Arial" w:eastAsia="Arial" w:hAnsi="Arial"/>
          <w:sz w:val="22"/>
          <w:szCs w:val="22"/>
          <w:color w:val="auto"/>
        </w:rPr>
        <w:t>. Each party hereto may execute this Amendment by electronic means</w:t>
      </w:r>
      <w:r>
        <w:rPr>
          <w:rFonts w:ascii="Arial" w:cs="Arial" w:eastAsia="Arial" w:hAnsi="Arial"/>
          <w:sz w:val="22"/>
          <w:szCs w:val="22"/>
          <w:b w:val="1"/>
          <w:bCs w:val="1"/>
          <w:color w:val="auto"/>
        </w:rPr>
        <w:t xml:space="preserve"> </w:t>
      </w:r>
      <w:r>
        <w:rPr>
          <w:rFonts w:ascii="Arial" w:cs="Arial" w:eastAsia="Arial" w:hAnsi="Arial"/>
          <w:sz w:val="22"/>
          <w:szCs w:val="22"/>
          <w:color w:val="auto"/>
        </w:rPr>
        <w:t>and recognizes and accepts the use of electronic signatures and records by any other party hereto in connection with the execution and storage hereof.</w:t>
      </w:r>
    </w:p>
    <w:p>
      <w:pPr>
        <w:spacing w:after="0" w:line="176" w:lineRule="exact"/>
        <w:rPr>
          <w:rFonts w:ascii="Arial" w:cs="Arial" w:eastAsia="Arial" w:hAnsi="Arial"/>
          <w:sz w:val="22"/>
          <w:szCs w:val="22"/>
          <w:b w:val="1"/>
          <w:bCs w:val="1"/>
          <w:color w:val="auto"/>
        </w:rPr>
      </w:pPr>
    </w:p>
    <w:p>
      <w:pPr>
        <w:jc w:val="both"/>
        <w:ind w:firstLine="872"/>
        <w:spacing w:after="0" w:line="237" w:lineRule="auto"/>
        <w:tabs>
          <w:tab w:leader="none" w:pos="1674"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upon (a) the due execution and delivery to Bank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by each party hereto, and (b) payment of Bank’s legal fees and expenses in connection with the negotiation and preparation of this Amendment (Bank acknowledges receipt of a good faith deposit in the amount of Twenty-Five Thousand Dollars ($25,000), which will be applied to Bank Expenses on the First Amendment Date with any remainder to be refunded to Borrower).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5" w:name="page166"/>
    <w:bookmarkEnd w:id="165"/>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40" w:type="dxa"/>
            <w:vAlign w:val="bottom"/>
          </w:tcPr>
          <w:p>
            <w:pPr>
              <w:spacing w:after="0"/>
              <w:rPr>
                <w:sz w:val="20"/>
                <w:szCs w:val="20"/>
                <w:color w:val="auto"/>
              </w:rPr>
            </w:pPr>
            <w:r>
              <w:rPr>
                <w:rFonts w:ascii="Arial" w:cs="Arial" w:eastAsia="Arial" w:hAnsi="Arial"/>
                <w:sz w:val="22"/>
                <w:szCs w:val="22"/>
                <w:b w:val="1"/>
                <w:bCs w:val="1"/>
                <w:color w:val="auto"/>
                <w:w w:val="97"/>
              </w:rPr>
              <w:t>BANK</w:t>
            </w:r>
          </w:p>
        </w:tc>
        <w:tc>
          <w:tcPr>
            <w:tcW w:w="3520" w:type="dxa"/>
            <w:vAlign w:val="bottom"/>
          </w:tcPr>
          <w:p>
            <w:pPr>
              <w:spacing w:after="0"/>
              <w:rPr>
                <w:sz w:val="24"/>
                <w:szCs w:val="24"/>
                <w:color w:val="auto"/>
              </w:rPr>
            </w:pPr>
          </w:p>
        </w:tc>
        <w:tc>
          <w:tcPr>
            <w:tcW w:w="4560" w:type="dxa"/>
            <w:vAlign w:val="bottom"/>
          </w:tcPr>
          <w:p>
            <w:pPr>
              <w:ind w:left="1860"/>
              <w:spacing w:after="0"/>
              <w:rPr>
                <w:sz w:val="20"/>
                <w:szCs w:val="20"/>
                <w:color w:val="auto"/>
              </w:rPr>
            </w:pPr>
            <w:r>
              <w:rPr>
                <w:rFonts w:ascii="Arial" w:cs="Arial" w:eastAsia="Arial" w:hAnsi="Arial"/>
                <w:sz w:val="22"/>
                <w:szCs w:val="22"/>
                <w:b w:val="1"/>
                <w:bCs w:val="1"/>
                <w:color w:val="auto"/>
              </w:rPr>
              <w:t>BORROWER</w:t>
            </w:r>
          </w:p>
        </w:tc>
      </w:tr>
      <w:tr>
        <w:trPr>
          <w:trHeight w:val="459"/>
        </w:trPr>
        <w:tc>
          <w:tcPr>
            <w:tcW w:w="4160" w:type="dxa"/>
            <w:vAlign w:val="bottom"/>
            <w:gridSpan w:val="2"/>
          </w:tcPr>
          <w:p>
            <w:pPr>
              <w:spacing w:after="0"/>
              <w:rPr>
                <w:sz w:val="20"/>
                <w:szCs w:val="20"/>
                <w:color w:val="auto"/>
              </w:rPr>
            </w:pPr>
            <w:r>
              <w:rPr>
                <w:rFonts w:ascii="Arial" w:cs="Arial" w:eastAsia="Arial" w:hAnsi="Arial"/>
                <w:sz w:val="22"/>
                <w:szCs w:val="22"/>
                <w:color w:val="auto"/>
              </w:rPr>
              <w:t>Silicon Valley Bank</w:t>
            </w:r>
          </w:p>
        </w:tc>
        <w:tc>
          <w:tcPr>
            <w:tcW w:w="4560" w:type="dxa"/>
            <w:vAlign w:val="bottom"/>
          </w:tcPr>
          <w:p>
            <w:pPr>
              <w:ind w:left="1860"/>
              <w:spacing w:after="0"/>
              <w:rPr>
                <w:sz w:val="20"/>
                <w:szCs w:val="20"/>
                <w:color w:val="auto"/>
              </w:rPr>
            </w:pPr>
            <w:r>
              <w:rPr>
                <w:rFonts w:ascii="Arial" w:cs="Arial" w:eastAsia="Arial" w:hAnsi="Arial"/>
                <w:sz w:val="22"/>
                <w:szCs w:val="22"/>
                <w:color w:val="auto"/>
              </w:rPr>
              <w:t>Spruce Biosciences, Inc.</w:t>
            </w:r>
          </w:p>
        </w:tc>
      </w:tr>
      <w:tr>
        <w:trPr>
          <w:trHeight w:val="78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tcPr>
          <w:p>
            <w:pPr>
              <w:spacing w:after="0"/>
              <w:rPr>
                <w:sz w:val="20"/>
                <w:szCs w:val="20"/>
                <w:color w:val="auto"/>
              </w:rPr>
            </w:pPr>
            <w:r>
              <w:rPr>
                <w:rFonts w:ascii="Arial" w:cs="Arial" w:eastAsia="Arial" w:hAnsi="Arial"/>
                <w:sz w:val="22"/>
                <w:szCs w:val="22"/>
                <w:color w:val="auto"/>
              </w:rPr>
              <w:t>/s/ Shawn Perry</w:t>
            </w:r>
          </w:p>
        </w:tc>
        <w:tc>
          <w:tcPr>
            <w:tcW w:w="4560" w:type="dxa"/>
            <w:vAlign w:val="bottom"/>
          </w:tcPr>
          <w:p>
            <w:pPr>
              <w:ind w:left="1860"/>
              <w:spacing w:after="0"/>
              <w:rPr>
                <w:sz w:val="20"/>
                <w:szCs w:val="20"/>
                <w:color w:val="auto"/>
              </w:rPr>
            </w:pPr>
            <w:r>
              <w:rPr>
                <w:rFonts w:ascii="Arial" w:cs="Arial" w:eastAsia="Arial" w:hAnsi="Arial"/>
                <w:sz w:val="22"/>
                <w:szCs w:val="22"/>
                <w:color w:val="auto"/>
              </w:rPr>
              <w:t>By: /s/ Samir Gharib</w:t>
            </w:r>
          </w:p>
        </w:tc>
      </w:tr>
      <w:tr>
        <w:trPr>
          <w:trHeight w:val="351"/>
        </w:trPr>
        <w:tc>
          <w:tcPr>
            <w:tcW w:w="4160" w:type="dxa"/>
            <w:vAlign w:val="bottom"/>
            <w:gridSpan w:val="2"/>
          </w:tcPr>
          <w:p>
            <w:pPr>
              <w:spacing w:after="0"/>
              <w:rPr>
                <w:sz w:val="20"/>
                <w:szCs w:val="20"/>
                <w:color w:val="auto"/>
              </w:rPr>
            </w:pPr>
            <w:r>
              <w:rPr>
                <w:rFonts w:ascii="Arial" w:cs="Arial" w:eastAsia="Arial" w:hAnsi="Arial"/>
                <w:sz w:val="22"/>
                <w:szCs w:val="22"/>
                <w:color w:val="auto"/>
              </w:rPr>
              <w:t>Name: Shawn Perry</w:t>
            </w:r>
          </w:p>
        </w:tc>
        <w:tc>
          <w:tcPr>
            <w:tcW w:w="4560" w:type="dxa"/>
            <w:vAlign w:val="bottom"/>
          </w:tcPr>
          <w:p>
            <w:pPr>
              <w:ind w:left="1860"/>
              <w:spacing w:after="0"/>
              <w:rPr>
                <w:sz w:val="20"/>
                <w:szCs w:val="20"/>
                <w:color w:val="auto"/>
              </w:rPr>
            </w:pPr>
            <w:r>
              <w:rPr>
                <w:rFonts w:ascii="Arial" w:cs="Arial" w:eastAsia="Arial" w:hAnsi="Arial"/>
                <w:sz w:val="22"/>
                <w:szCs w:val="22"/>
                <w:color w:val="auto"/>
              </w:rPr>
              <w:t>Name: Samir Gharib</w:t>
            </w:r>
          </w:p>
        </w:tc>
      </w:tr>
      <w:tr>
        <w:trPr>
          <w:trHeight w:val="351"/>
        </w:trPr>
        <w:tc>
          <w:tcPr>
            <w:tcW w:w="640" w:type="dxa"/>
            <w:vAlign w:val="bottom"/>
          </w:tcPr>
          <w:p>
            <w:pPr>
              <w:spacing w:after="0"/>
              <w:rPr>
                <w:sz w:val="20"/>
                <w:szCs w:val="20"/>
                <w:color w:val="auto"/>
              </w:rPr>
            </w:pPr>
            <w:r>
              <w:rPr>
                <w:rFonts w:ascii="Arial" w:cs="Arial" w:eastAsia="Arial" w:hAnsi="Arial"/>
                <w:sz w:val="22"/>
                <w:szCs w:val="22"/>
                <w:color w:val="auto"/>
              </w:rPr>
              <w:t>Title:</w:t>
            </w:r>
          </w:p>
        </w:tc>
        <w:tc>
          <w:tcPr>
            <w:tcW w:w="3520" w:type="dxa"/>
            <w:vAlign w:val="bottom"/>
          </w:tcPr>
          <w:p>
            <w:pPr>
              <w:spacing w:after="0"/>
              <w:rPr>
                <w:sz w:val="20"/>
                <w:szCs w:val="20"/>
                <w:color w:val="auto"/>
              </w:rPr>
            </w:pPr>
            <w:r>
              <w:rPr>
                <w:rFonts w:ascii="Arial" w:cs="Arial" w:eastAsia="Arial" w:hAnsi="Arial"/>
                <w:sz w:val="22"/>
                <w:szCs w:val="22"/>
                <w:color w:val="auto"/>
              </w:rPr>
              <w:t>Managing Director</w:t>
            </w:r>
          </w:p>
        </w:tc>
        <w:tc>
          <w:tcPr>
            <w:tcW w:w="4560" w:type="dxa"/>
            <w:vAlign w:val="bottom"/>
          </w:tcPr>
          <w:p>
            <w:pPr>
              <w:ind w:left="1860"/>
              <w:spacing w:after="0"/>
              <w:rPr>
                <w:sz w:val="20"/>
                <w:szCs w:val="20"/>
                <w:color w:val="auto"/>
              </w:rPr>
            </w:pPr>
            <w:r>
              <w:rPr>
                <w:rFonts w:ascii="Arial" w:cs="Arial" w:eastAsia="Arial" w:hAnsi="Arial"/>
                <w:sz w:val="22"/>
                <w:szCs w:val="22"/>
                <w:color w:val="auto"/>
                <w:w w:val="96"/>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D</w:t>
            </w:r>
          </w:p>
        </w:tc>
        <w:tc>
          <w:tcPr>
            <w:tcW w:w="2060" w:type="dxa"/>
            <w:vAlign w:val="bottom"/>
            <w:gridSpan w:val="2"/>
          </w:tcPr>
          <w:p>
            <w:pPr>
              <w:spacing w:after="0"/>
              <w:rPr>
                <w:sz w:val="17"/>
                <w:szCs w:val="17"/>
                <w:color w:val="auto"/>
              </w:rPr>
            </w:pPr>
          </w:p>
        </w:tc>
      </w:tr>
      <w:tr>
        <w:trPr>
          <w:trHeight w:val="412"/>
        </w:trPr>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00" w:type="dxa"/>
            <w:vAlign w:val="bottom"/>
            <w:gridSpan w:val="4"/>
          </w:tcPr>
          <w:p>
            <w:pPr>
              <w:jc w:val="center"/>
              <w:ind w:right="1190"/>
              <w:spacing w:after="0"/>
              <w:rPr>
                <w:sz w:val="20"/>
                <w:szCs w:val="20"/>
                <w:color w:val="auto"/>
              </w:rPr>
            </w:pPr>
            <w:r>
              <w:rPr>
                <w:rFonts w:ascii="Arial" w:cs="Arial" w:eastAsia="Arial" w:hAnsi="Arial"/>
                <w:sz w:val="18"/>
                <w:szCs w:val="18"/>
                <w:b w:val="1"/>
                <w:bCs w:val="1"/>
                <w:color w:val="auto"/>
              </w:rPr>
              <w:t>COMPLIANCE CERTIFICATE</w:t>
            </w:r>
          </w:p>
        </w:tc>
      </w:tr>
      <w:tr>
        <w:trPr>
          <w:trHeight w:val="668"/>
        </w:trPr>
        <w:tc>
          <w:tcPr>
            <w:tcW w:w="740" w:type="dxa"/>
            <w:vAlign w:val="bottom"/>
          </w:tcPr>
          <w:p>
            <w:pPr>
              <w:spacing w:after="0"/>
              <w:rPr>
                <w:sz w:val="20"/>
                <w:szCs w:val="20"/>
                <w:color w:val="auto"/>
              </w:rPr>
            </w:pPr>
            <w:r>
              <w:rPr>
                <w:rFonts w:ascii="Arial" w:cs="Arial" w:eastAsia="Arial" w:hAnsi="Arial"/>
                <w:sz w:val="18"/>
                <w:szCs w:val="18"/>
                <w:color w:val="auto"/>
              </w:rPr>
              <w:t>TO:</w:t>
            </w:r>
          </w:p>
        </w:tc>
        <w:tc>
          <w:tcPr>
            <w:tcW w:w="3620" w:type="dxa"/>
            <w:vAlign w:val="bottom"/>
          </w:tcPr>
          <w:p>
            <w:pPr>
              <w:ind w:left="180"/>
              <w:spacing w:after="0"/>
              <w:rPr>
                <w:sz w:val="20"/>
                <w:szCs w:val="20"/>
                <w:color w:val="auto"/>
              </w:rPr>
            </w:pPr>
            <w:r>
              <w:rPr>
                <w:rFonts w:ascii="Arial" w:cs="Arial" w:eastAsia="Arial" w:hAnsi="Arial"/>
                <w:sz w:val="18"/>
                <w:szCs w:val="18"/>
                <w:color w:val="auto"/>
              </w:rPr>
              <w:t>SILICON VALLEY BANK</w:t>
            </w:r>
          </w:p>
        </w:tc>
        <w:tc>
          <w:tcPr>
            <w:tcW w:w="8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80" w:type="dxa"/>
            <w:vAlign w:val="bottom"/>
          </w:tcPr>
          <w:p>
            <w:pPr>
              <w:ind w:left="900"/>
              <w:spacing w:after="0"/>
              <w:rPr>
                <w:sz w:val="20"/>
                <w:szCs w:val="20"/>
                <w:color w:val="auto"/>
              </w:rPr>
            </w:pPr>
            <w:r>
              <w:rPr>
                <w:rFonts w:ascii="Arial" w:cs="Arial" w:eastAsia="Arial" w:hAnsi="Arial"/>
                <w:sz w:val="18"/>
                <w:szCs w:val="18"/>
                <w:color w:val="auto"/>
                <w:w w:val="83"/>
              </w:rPr>
              <w:t>Date: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FROM:</w:t>
            </w:r>
          </w:p>
        </w:tc>
        <w:tc>
          <w:tcPr>
            <w:tcW w:w="3620" w:type="dxa"/>
            <w:vAlign w:val="bottom"/>
          </w:tcPr>
          <w:p>
            <w:pPr>
              <w:ind w:left="180"/>
              <w:spacing w:after="0"/>
              <w:rPr>
                <w:sz w:val="20"/>
                <w:szCs w:val="20"/>
                <w:color w:val="auto"/>
              </w:rPr>
            </w:pPr>
            <w:r>
              <w:rPr>
                <w:rFonts w:ascii="Arial" w:cs="Arial" w:eastAsia="Arial" w:hAnsi="Arial"/>
                <w:sz w:val="18"/>
                <w:szCs w:val="18"/>
                <w:color w:val="auto"/>
              </w:rPr>
              <w:t>SPRUCE BIOSCIENCES, INC.</w:t>
            </w: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-145415</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2"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Borrower and Bank dated as of the Effective Date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w:t>
      </w:r>
      <w:r>
        <w:rPr>
          <w:rFonts w:ascii="Arial" w:cs="Arial" w:eastAsia="Arial" w:hAnsi="Arial"/>
          <w:sz w:val="16"/>
          <w:szCs w:val="16"/>
          <w:b w:val="1"/>
          <w:bCs w:val="1"/>
          <w:color w:val="auto"/>
        </w:rPr>
        <w:t>.</w:t>
      </w:r>
      <w:r>
        <w:rPr>
          <w:rFonts w:ascii="Arial" w:cs="Arial" w:eastAsia="Arial" w:hAnsi="Arial"/>
          <w:sz w:val="16"/>
          <w:szCs w:val="16"/>
          <w:color w:val="auto"/>
        </w:rPr>
        <w:t xml:space="preserve"> Attached</w:t>
      </w:r>
    </w:p>
    <w:p>
      <w:pPr>
        <w:spacing w:after="0" w:line="260" w:lineRule="auto"/>
        <w:rPr>
          <w:sz w:val="20"/>
          <w:szCs w:val="20"/>
          <w:color w:val="auto"/>
        </w:rPr>
      </w:pPr>
      <w:r>
        <w:rPr>
          <w:rFonts w:ascii="Arial" w:cs="Arial" w:eastAsia="Arial" w:hAnsi="Arial"/>
          <w:sz w:val="18"/>
          <w:szCs w:val="18"/>
          <w:color w:val="auto"/>
        </w:rPr>
        <w:t>are the required documents evidencing such compliance, except as explained in an accompanying letter or footnotes. Capitalized terms used but not otherwise defined herein shall have the meanings given them in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53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Reporting Covenants</w:t>
            </w:r>
          </w:p>
        </w:tc>
        <w:tc>
          <w:tcPr>
            <w:tcW w:w="4120" w:type="dxa"/>
            <w:vAlign w:val="bottom"/>
            <w:tcBorders>
              <w:top w:val="single" w:sz="8" w:color="auto"/>
              <w:right w:val="single" w:sz="8" w:color="auto"/>
            </w:tcBorders>
            <w:gridSpan w:val="3"/>
          </w:tcPr>
          <w:p>
            <w:pPr>
              <w:ind w:left="1720"/>
              <w:spacing w:after="0" w:line="189" w:lineRule="exact"/>
              <w:rPr>
                <w:sz w:val="20"/>
                <w:szCs w:val="20"/>
                <w:color w:val="auto"/>
              </w:rPr>
            </w:pPr>
            <w:r>
              <w:rPr>
                <w:rFonts w:ascii="Arial" w:cs="Arial" w:eastAsia="Arial" w:hAnsi="Arial"/>
                <w:sz w:val="18"/>
                <w:szCs w:val="18"/>
                <w:b w:val="1"/>
                <w:bCs w:val="1"/>
                <w:color w:val="auto"/>
              </w:rPr>
              <w:t>Required</w:t>
            </w:r>
          </w:p>
        </w:tc>
        <w:tc>
          <w:tcPr>
            <w:tcW w:w="1660" w:type="dxa"/>
            <w:vAlign w:val="bottom"/>
            <w:tcBorders>
              <w:top w:val="single" w:sz="8" w:color="auto"/>
              <w:right w:val="single" w:sz="8" w:color="auto"/>
            </w:tcBorders>
            <w:gridSpan w:val="4"/>
          </w:tcPr>
          <w:p>
            <w:pPr>
              <w:ind w:left="500"/>
              <w:spacing w:after="0" w:line="189" w:lineRule="exact"/>
              <w:rPr>
                <w:sz w:val="20"/>
                <w:szCs w:val="20"/>
                <w:color w:val="auto"/>
              </w:rPr>
            </w:pPr>
            <w:r>
              <w:rPr>
                <w:rFonts w:ascii="Arial" w:cs="Arial" w:eastAsia="Arial" w:hAnsi="Arial"/>
                <w:sz w:val="18"/>
                <w:szCs w:val="18"/>
                <w:b w:val="1"/>
                <w:bCs w:val="1"/>
                <w:color w:val="auto"/>
              </w:rPr>
              <w:t>Complies</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53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5"/>
              </w:rPr>
              <w:t>Quarterly 10-Q with financial statements (consolidated balance sheet,</w:t>
            </w:r>
          </w:p>
        </w:tc>
        <w:tc>
          <w:tcPr>
            <w:tcW w:w="412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Within 45 days of quarter end</w:t>
            </w:r>
          </w:p>
        </w:tc>
        <w:tc>
          <w:tcPr>
            <w:tcW w:w="50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7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16"/>
        </w:trPr>
        <w:tc>
          <w:tcPr>
            <w:tcW w:w="12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statement of cash flows, and income statement) with Compliance</w:t>
            </w:r>
          </w:p>
        </w:tc>
        <w:tc>
          <w:tcPr>
            <w:tcW w:w="4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(except for the last quarter of each FY)</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5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Statement</w:t>
            </w:r>
          </w:p>
        </w:tc>
        <w:tc>
          <w:tcPr>
            <w:tcW w:w="1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Annual 10-K with financial statement (CPA Audited) + CS</w:t>
            </w:r>
          </w:p>
        </w:tc>
        <w:tc>
          <w:tcPr>
            <w:tcW w:w="41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Within 90 days of FYE</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7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Annual Projections</w:t>
            </w:r>
          </w:p>
        </w:tc>
        <w:tc>
          <w:tcPr>
            <w:tcW w:w="41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FYE within 30 days; and more frequently as updated</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7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8-K and other filings with SEC</w:t>
            </w:r>
          </w:p>
        </w:tc>
        <w:tc>
          <w:tcPr>
            <w:tcW w:w="41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Within 5 days after filing with SEC</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7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ectPr>
          <w:pgSz w:w="11900" w:h="16838" w:orient="portrait"/>
          <w:cols w:equalWidth="0" w:num="1">
            <w:col w:w="11240"/>
          </w:cols>
          <w:pgMar w:left="320" w:top="567" w:right="339" w:bottom="1440" w:gutter="0" w:footer="0" w:header="0"/>
        </w:sectPr>
      </w:pPr>
    </w:p>
    <w:p>
      <w:pPr>
        <w:spacing w:after="0" w:line="229" w:lineRule="exact"/>
        <w:rPr>
          <w:sz w:val="20"/>
          <w:szCs w:val="20"/>
          <w:color w:val="auto"/>
        </w:rPr>
      </w:pPr>
    </w:p>
    <w:p>
      <w:pPr>
        <w:jc w:val="both"/>
        <w:ind w:left="100"/>
        <w:spacing w:after="0" w:line="342" w:lineRule="auto"/>
        <w:rPr>
          <w:sz w:val="20"/>
          <w:szCs w:val="20"/>
          <w:color w:val="auto"/>
        </w:rPr>
      </w:pPr>
      <w:r>
        <w:rPr>
          <w:rFonts w:ascii="Arial" w:cs="Arial" w:eastAsia="Arial" w:hAnsi="Arial"/>
          <w:sz w:val="16"/>
          <w:szCs w:val="16"/>
          <w:color w:val="auto"/>
        </w:rPr>
        <w:t>Have there been any amendments of or other changes to the Operating Documents of Borrower or any of its Subsidiaries? If yes, provide copies of any such amendments or changes with this Compliance Statement.</w:t>
      </w:r>
    </w:p>
    <w:p>
      <w:pPr>
        <w:spacing w:after="0" w:line="124" w:lineRule="exact"/>
        <w:rPr>
          <w:sz w:val="20"/>
          <w:szCs w:val="20"/>
          <w:color w:val="auto"/>
        </w:rPr>
      </w:pPr>
    </w:p>
    <w:p>
      <w:pPr>
        <w:jc w:val="both"/>
        <w:ind w:left="100"/>
        <w:spacing w:after="0" w:line="311" w:lineRule="auto"/>
        <w:rPr>
          <w:sz w:val="20"/>
          <w:szCs w:val="20"/>
          <w:color w:val="auto"/>
        </w:rPr>
      </w:pPr>
      <w:r>
        <w:rPr>
          <w:rFonts w:ascii="Arial" w:cs="Arial" w:eastAsia="Arial" w:hAnsi="Arial"/>
          <w:sz w:val="16"/>
          <w:szCs w:val="16"/>
          <w:color w:val="auto"/>
        </w:rPr>
        <w:t>Have there been any material amendments of or other material changes to the capitalization table of Borrower or any of its Subsidiaries (excluding, for the avoidance of doubt, changes relating to stock options and issuances)? If yes, provide copies of any such amendments or changes with this Compliance Statement.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361"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452" w:lineRule="exact"/>
        <w:rPr>
          <w:sz w:val="20"/>
          <w:szCs w:val="20"/>
          <w:color w:val="auto"/>
        </w:rPr>
      </w:pPr>
    </w:p>
    <w:p>
      <w:pPr>
        <w:sectPr>
          <w:pgSz w:w="11900" w:h="16838" w:orient="portrait"/>
          <w:cols w:equalWidth="0" w:num="2">
            <w:col w:w="8240" w:space="720"/>
            <w:col w:w="2280"/>
          </w:cols>
          <w:pgMar w:left="320" w:top="567" w:right="33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The following are the exceptions with respect to the statements above: (If no exceptions exist, state “No exceptions to note.”)</w:t>
      </w:r>
    </w:p>
    <w:p>
      <w:pPr>
        <w:spacing w:after="0" w:line="241"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1240"/>
          </w:cols>
          <w:pgMar w:left="320" w:top="567" w:right="339"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7"/>
          <w:szCs w:val="17"/>
          <w:b w:val="1"/>
          <w:bCs w:val="1"/>
          <w:color w:val="auto"/>
        </w:rPr>
        <w:t>Exhibit 23.1</w:t>
      </w:r>
    </w:p>
    <w:p>
      <w:pPr>
        <w:sectPr>
          <w:pgSz w:w="11900" w:h="16838" w:orient="portrait"/>
          <w:cols w:equalWidth="0" w:num="1">
            <w:col w:w="11240"/>
          </w:cols>
          <w:pgMar w:left="320" w:top="112" w:right="339" w:bottom="1440" w:gutter="0" w:footer="0" w:header="0"/>
        </w:sectPr>
      </w:pP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3"/>
          <w:szCs w:val="13"/>
          <w:color w:val="404040"/>
        </w:rPr>
        <w:t>Tel:  408-278-0220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882650" cy="3346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882650" cy="33464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3"/>
          <w:szCs w:val="13"/>
          <w:color w:val="404040"/>
        </w:rPr>
        <w:t>Fax:  408-278-0230</w:t>
      </w:r>
    </w:p>
    <w:p>
      <w:pPr>
        <w:ind w:left="4980"/>
        <w:spacing w:after="0"/>
        <w:rPr>
          <w:sz w:val="20"/>
          <w:szCs w:val="20"/>
          <w:color w:val="auto"/>
        </w:rPr>
      </w:pPr>
      <w:r>
        <w:rPr>
          <w:rFonts w:ascii="Arial" w:cs="Arial" w:eastAsia="Arial" w:hAnsi="Arial"/>
          <w:sz w:val="14"/>
          <w:szCs w:val="14"/>
          <w:b w:val="1"/>
          <w:bCs w:val="1"/>
          <w:color w:val="404040"/>
        </w:rPr>
        <w:t>www.bdo.com</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404040"/>
        </w:rPr>
        <w:t>300 Park Avenue, Suite 900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404040"/>
        </w:rPr>
        <w:t>San Jose, CA 95110</w:t>
      </w:r>
    </w:p>
    <w:p>
      <w:pPr>
        <w:spacing w:after="0" w:line="348" w:lineRule="exact"/>
        <w:rPr>
          <w:sz w:val="20"/>
          <w:szCs w:val="20"/>
          <w:color w:val="auto"/>
        </w:rPr>
      </w:pPr>
    </w:p>
    <w:p>
      <w:pPr>
        <w:sectPr>
          <w:pgSz w:w="11900" w:h="16838" w:orient="portrait"/>
          <w:cols w:equalWidth="0" w:num="2">
            <w:col w:w="7340" w:space="720"/>
            <w:col w:w="318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Spruce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Daly City, California</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We hereby consent to the incorporation by reference in the Registration Statement on Form S-8 (No. 333-249431) of Spruce Biosciences, Inc. of our report dated March 22, 2021, relating to the financial statements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March 22, 2021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color w:val="404040"/>
        </w:rPr>
        <w:t>BDO USA, LLP, a Delaware limited liability partnership, is the U.S. member of BDO International Limited, a UK company limited by guarantee, and forms part of the international BDO network of independent member firms.</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404040"/>
        </w:rPr>
        <w:t>BDO is the brand name for the BDO network and for each of the BDO Member Firms.</w:t>
      </w:r>
    </w:p>
    <w:p>
      <w:pPr>
        <w:sectPr>
          <w:pgSz w:w="11900" w:h="16838" w:orient="portrait"/>
          <w:cols w:equalWidth="0" w:num="1">
            <w:col w:w="11240"/>
          </w:cols>
          <w:pgMar w:left="320" w:top="112" w:right="33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King, certify that:</w:t>
      </w:r>
    </w:p>
    <w:p>
      <w:pPr>
        <w:spacing w:after="0" w:line="225" w:lineRule="exact"/>
        <w:rPr>
          <w:sz w:val="20"/>
          <w:szCs w:val="20"/>
          <w:color w:val="auto"/>
        </w:rPr>
      </w:pPr>
    </w:p>
    <w:p>
      <w:pPr>
        <w:ind w:left="620" w:hanging="612"/>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Spruce Biosciences,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8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Richard King</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620" w:hanging="612"/>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Spruce Biosciences,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8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Samir Gharib</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Annual Report of Spruce Biosciences,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00" w:val="left"/>
          <w:tab w:leader="none" w:pos="798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Richard King</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Annual Report of Spruce Biosciences,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00" w:val="left"/>
          <w:tab w:leader="none" w:pos="798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Samir Gharib</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lowerRoman"/>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decimal"/>
      <w:start w:val="19"/>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19"/>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1)"/>
      <w:numFmt w:val="lowerRoman"/>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lvl w:ilvl="1">
      <w:lvlJc w:val="left"/>
      <w:lvlText w:val="o"/>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2"/>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lowerRoman"/>
      <w:start w:val="2"/>
    </w:lvl>
  </w:abstractNum>
  <w:abstractNum w:abstractNumId="53">
    <w:nsid w:val="1A32234B"/>
    <w:multiLevelType w:val="hybridMultilevel"/>
    <w:lvl w:ilvl="0">
      <w:lvlJc w:val="left"/>
      <w:lvlText w:val="%1."/>
      <w:numFmt w:val="decimal"/>
      <w:start w:val="8"/>
    </w:lvl>
  </w:abstractNum>
  <w:abstractNum w:abstractNumId="54">
    <w:nsid w:val="3B0FD379"/>
    <w:multiLevelType w:val="hybridMultilevel"/>
    <w:lvl w:ilvl="0">
      <w:lvlJc w:val="left"/>
      <w:lvlText w:val="(%1)"/>
      <w:numFmt w:val="lowerRoman"/>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1)"/>
      <w:numFmt w:val="lowerRoman"/>
      <w:start w:val="6"/>
    </w:lvl>
  </w:abstractNum>
  <w:abstractNum w:abstractNumId="64">
    <w:nsid w:val="7FB7E0A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65">
    <w:nsid w:val="6EB5B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6">
    <w:nsid w:val="6F6DD9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lowerLetter"/>
      <w:start w:val="35"/>
    </w:lvl>
    <w:lvl w:ilvl="1">
      <w:lvlJc w:val="left"/>
      <w:lvlText w:val="(%2)"/>
      <w:numFmt w:val="lowerLetter"/>
      <w:start w:val="4"/>
    </w:lvl>
  </w:abstractNum>
  <w:abstractNum w:abstractNumId="69">
    <w:nsid w:val="76272110"/>
    <w:multiLevelType w:val="hybridMultilevel"/>
    <w:lvl w:ilvl="0">
      <w:lvlJc w:val="left"/>
      <w:lvlText w:val="%1"/>
      <w:numFmt w:val="decimal"/>
      <w:start w:val="1"/>
    </w:lvl>
    <w:lvl w:ilvl="1">
      <w:lvlJc w:val="left"/>
      <w:lvlText w:val="(%2)"/>
      <w:numFmt w:val="lowerLetter"/>
      <w:start w:val="6"/>
    </w:lvl>
  </w:abstractNum>
  <w:abstractNum w:abstractNumId="70">
    <w:nsid w:val="4C04A8AF"/>
    <w:multiLevelType w:val="hybridMultilevel"/>
    <w:lvl w:ilvl="0">
      <w:lvlJc w:val="left"/>
      <w:lvlText w:val="%1."/>
      <w:numFmt w:val="decimal"/>
      <w:start w:val="4"/>
    </w:lvl>
    <w:lvl w:ilvl="1">
      <w:lvlJc w:val="left"/>
      <w:lvlText w:val="%2"/>
      <w:numFmt w:val="lowerLetter"/>
      <w:start w:val="1"/>
    </w:lvl>
  </w:abstractNum>
  <w:abstractNum w:abstractNumId="71">
    <w:nsid w:val="1716703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2">
    <w:nsid w:val="14E17E33"/>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73">
    <w:nsid w:val="3222E7CD"/>
    <w:multiLevelType w:val="hybridMultilevel"/>
    <w:lvl w:ilvl="0">
      <w:lvlJc w:val="left"/>
      <w:lvlText w:val="%1"/>
      <w:numFmt w:val="decimal"/>
      <w:start w:val="1"/>
    </w:lvl>
    <w:lvl w:ilvl="1">
      <w:lvlJc w:val="left"/>
      <w:lvlText w:val="(%2)"/>
      <w:numFmt w:val="lowerLetter"/>
      <w:start w:val="4"/>
    </w:lvl>
  </w:abstractNum>
  <w:abstractNum w:abstractNumId="74">
    <w:nsid w:val="74DE0EE3"/>
    <w:multiLevelType w:val="hybridMultilevel"/>
    <w:lvl w:ilvl="0">
      <w:lvlJc w:val="left"/>
      <w:lvlText w:val="(%1)"/>
      <w:numFmt w:val="decimal"/>
      <w:start w:val="7"/>
    </w:lvl>
    <w:lvl w:ilvl="1">
      <w:lvlJc w:val="left"/>
      <w:lvlText w:val="(%2)"/>
      <w:numFmt w:val="lowerLetter"/>
      <w:start w:val="5"/>
    </w:lvl>
  </w:abstractNum>
  <w:abstractNum w:abstractNumId="75">
    <w:nsid w:val="68EBC550"/>
    <w:multiLevelType w:val="hybridMultilevel"/>
    <w:lvl w:ilvl="0">
      <w:lvlJc w:val="left"/>
      <w:lvlText w:val="%1"/>
      <w:numFmt w:val="decimal"/>
      <w:start w:val="1"/>
    </w:lvl>
    <w:lvl w:ilvl="1">
      <w:lvlJc w:val="left"/>
      <w:lvlText w:val="(%2)"/>
      <w:numFmt w:val="lowerLetter"/>
      <w:start w:val="8"/>
    </w:lvl>
  </w:abstractNum>
  <w:abstractNum w:abstractNumId="76">
    <w:nsid w:val="2DF6D648"/>
    <w:multiLevelType w:val="hybridMultilevel"/>
    <w:lvl w:ilvl="0">
      <w:lvlJc w:val="left"/>
      <w:lvlText w:val="%1."/>
      <w:numFmt w:val="decimal"/>
      <w:start w:val="6"/>
    </w:lvl>
    <w:lvl w:ilvl="1">
      <w:lvlJc w:val="left"/>
      <w:lvlText w:val="%2"/>
      <w:numFmt w:val="lowerLetter"/>
      <w:start w:val="1"/>
    </w:lvl>
  </w:abstractNum>
  <w:abstractNum w:abstractNumId="77">
    <w:nsid w:val="46B7D447"/>
    <w:multiLevelType w:val="hybridMultilevel"/>
    <w:lvl w:ilvl="0">
      <w:lvlJc w:val="left"/>
      <w:lvlText w:val="%1."/>
      <w:numFmt w:val="decimal"/>
      <w:start w:val="7"/>
    </w:lvl>
  </w:abstractNum>
  <w:abstractNum w:abstractNumId="78">
    <w:nsid w:val="4A2AC315"/>
    <w:multiLevelType w:val="hybridMultilevel"/>
    <w:lvl w:ilvl="0">
      <w:lvlJc w:val="left"/>
      <w:lvlText w:val="%1."/>
      <w:numFmt w:val="decimal"/>
      <w:start w:val="8"/>
    </w:lvl>
  </w:abstractNum>
  <w:abstractNum w:abstractNumId="79">
    <w:nsid w:val="39EE015C"/>
    <w:multiLevelType w:val="hybridMultilevel"/>
    <w:lvl w:ilvl="0">
      <w:lvlJc w:val="left"/>
      <w:lvlText w:val="%1."/>
      <w:numFmt w:val="decimal"/>
      <w:start w:val="9"/>
    </w:lvl>
  </w:abstractNum>
  <w:abstractNum w:abstractNumId="80">
    <w:nsid w:val="57FC4FBB"/>
    <w:multiLevelType w:val="hybridMultilevel"/>
    <w:lvl w:ilvl="0">
      <w:lvlJc w:val="left"/>
      <w:lvlText w:val="%1."/>
      <w:numFmt w:val="decimal"/>
      <w:start w:val="10"/>
    </w:lvl>
  </w:abstractNum>
  <w:abstractNum w:abstractNumId="81">
    <w:nsid w:val="CC1016F"/>
    <w:multiLevelType w:val="hybridMultilevel"/>
    <w:lvl w:ilvl="0">
      <w:lvlJc w:val="left"/>
      <w:lvlText w:val="(%1)"/>
      <w:numFmt w:val="lowerRoman"/>
      <w:start w:val="4"/>
    </w:lvl>
  </w:abstractNum>
  <w:abstractNum w:abstractNumId="82">
    <w:nsid w:val="43F18422"/>
    <w:multiLevelType w:val="hybridMultilevel"/>
    <w:lvl w:ilvl="0">
      <w:lvlJc w:val="left"/>
      <w:lvlText w:val="%1."/>
      <w:numFmt w:val="upperLetter"/>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lowerLetter"/>
      <w:start w:val="2"/>
    </w:lvl>
  </w:abstractNum>
  <w:abstractNum w:abstractNumId="85">
    <w:nsid w:val="7F01579B"/>
    <w:multiLevelType w:val="hybridMultilevel"/>
    <w:lvl w:ilvl="0">
      <w:lvlJc w:val="left"/>
      <w:lvlText w:val="(%1)"/>
      <w:numFmt w:val="lowerLetter"/>
      <w:start w:val="1"/>
    </w:lvl>
    <w:lvl w:ilvl="1">
      <w:lvlJc w:val="left"/>
      <w:lvlText w:val="(%2)"/>
      <w:numFmt w:val="lowerRoman"/>
      <w:start w:val="1"/>
    </w:lvl>
  </w:abstractNum>
  <w:abstractNum w:abstractNumId="86">
    <w:nsid w:val="49DA307D"/>
    <w:multiLevelType w:val="hybridMultilevel"/>
    <w:lvl w:ilvl="0">
      <w:lvlJc w:val="left"/>
      <w:lvlText w:val="%1"/>
      <w:numFmt w:val="upperLetter"/>
      <w:start w:val="1"/>
    </w:lvl>
    <w:lvl w:ilvl="1">
      <w:lvlJc w:val="left"/>
      <w:lvlText w:val="(%2)"/>
      <w:numFmt w:val="lowerLetter"/>
      <w:start w:val="3"/>
    </w:lvl>
  </w:abstractNum>
  <w:abstractNum w:abstractNumId="87">
    <w:nsid w:val="7055A5F5"/>
    <w:multiLevelType w:val="hybridMultilevel"/>
    <w:lvl w:ilvl="0">
      <w:lvlJc w:val="left"/>
      <w:lvlText w:val="(%1)"/>
      <w:numFmt w:val="upperLetter"/>
      <w:start w:val="1"/>
    </w:lvl>
    <w:lvl w:ilvl="1">
      <w:lvlJc w:val="left"/>
      <w:lvlText w:val="(%2)"/>
      <w:numFmt w:val="lowerLetter"/>
      <w:start w:val="4"/>
    </w:lvl>
  </w:abstractNum>
  <w:abstractNum w:abstractNumId="88">
    <w:nsid w:val="5FB8370B"/>
    <w:multiLevelType w:val="hybridMultilevel"/>
    <w:lvl w:ilvl="0">
      <w:lvlJc w:val="left"/>
      <w:lvlText w:val="(%1)"/>
      <w:numFmt w:val="lowerRoman"/>
      <w:start w:val="2"/>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2"/>
    </w:lvl>
  </w:abstractNum>
  <w:abstractNum w:abstractNumId="92">
    <w:nsid w:val="6AA78F7F"/>
    <w:multiLevelType w:val="hybridMultilevel"/>
    <w:lvl w:ilvl="0">
      <w:lvlJc w:val="left"/>
      <w:lvlText w:val="(%1)"/>
      <w:numFmt w:val="lowerLetter"/>
      <w:start w:val="5"/>
    </w:lvl>
  </w:abstractNum>
  <w:abstractNum w:abstractNumId="93">
    <w:nsid w:val="7672BD23"/>
    <w:multiLevelType w:val="hybridMultilevel"/>
    <w:lvl w:ilvl="0">
      <w:lvlJc w:val="left"/>
      <w:lvlText w:val="(%1)"/>
      <w:numFmt w:val="lowerLetter"/>
      <w:start w:val="8"/>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Roman"/>
      <w:start w:val="3"/>
    </w:lvl>
  </w:abstractNum>
  <w:abstractNum w:abstractNumId="96">
    <w:nsid w:val="7D5E18F8"/>
    <w:multiLevelType w:val="hybridMultilevel"/>
    <w:lvl w:ilvl="0">
      <w:lvlJc w:val="left"/>
      <w:lvlText w:val="%1."/>
      <w:numFmt w:val="decimal"/>
      <w:start w:val="3"/>
    </w:lvl>
  </w:abstractNum>
  <w:abstractNum w:abstractNumId="97">
    <w:nsid w:val="5F3534A4"/>
    <w:multiLevelType w:val="hybridMultilevel"/>
    <w:lvl w:ilvl="0">
      <w:lvlJc w:val="left"/>
      <w:lvlText w:val="%1."/>
      <w:numFmt w:val="decimal"/>
      <w:start w:val="4"/>
    </w:lvl>
  </w:abstractNum>
  <w:abstractNum w:abstractNumId="98">
    <w:nsid w:val="73A1821B"/>
    <w:multiLevelType w:val="hybridMultilevel"/>
    <w:lvl w:ilvl="0">
      <w:lvlJc w:val="left"/>
      <w:lvlText w:val="%1."/>
      <w:numFmt w:val="decimal"/>
      <w:start w:val="5"/>
    </w:lvl>
  </w:abstractNum>
  <w:abstractNum w:abstractNumId="99">
    <w:nsid w:val="7DE67713"/>
    <w:multiLevelType w:val="hybridMultilevel"/>
    <w:lvl w:ilvl="0">
      <w:lvlJc w:val="left"/>
      <w:lvlText w:val="%1."/>
      <w:numFmt w:val="decimal"/>
      <w:start w:val="6"/>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jpe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182" Type="http://schemas.openxmlformats.org/officeDocument/2006/relationships/hyperlink" Target="http://www.sec.gov/Archives/edgar/data/0001683553/000119312520269344/d12372dex31.htm" TargetMode="External"/><Relationship Id="rId183" Type="http://schemas.openxmlformats.org/officeDocument/2006/relationships/hyperlink" Target="http://www.sec.gov/Archives/edgar/data/0001683553/000119312520269344/d12372dex32.htm" TargetMode="External"/><Relationship Id="rId184" Type="http://schemas.openxmlformats.org/officeDocument/2006/relationships/hyperlink" Target="http://www.sec.gov/Archives/edgar/data/0001683553/000119312520263195/d902020dex41.htm" TargetMode="External"/><Relationship Id="rId185" Type="http://schemas.openxmlformats.org/officeDocument/2006/relationships/hyperlink" Target="http://www.sec.gov/Archives/edgar/data/0001683553/000119312520249221/d902020dex42.htm" TargetMode="External"/><Relationship Id="rId186" Type="http://schemas.openxmlformats.org/officeDocument/2006/relationships/hyperlink" Target="http://www.sec.gov/Archives/edgar/data/0001683553/000119312520249221/d902020dex43.htm" TargetMode="External"/><Relationship Id="rId187" Type="http://schemas.openxmlformats.org/officeDocument/2006/relationships/hyperlink" Target="http://www.sec.gov/Archives/edgar/data/0001683553/000119312520249221/d902020dex101.htm" TargetMode="External"/><Relationship Id="rId188" Type="http://schemas.openxmlformats.org/officeDocument/2006/relationships/hyperlink" Target="http://www.sec.gov/Archives/edgar/data/0001683553/000119312520249221/d902020dex102.htm" TargetMode="External"/><Relationship Id="rId189" Type="http://schemas.openxmlformats.org/officeDocument/2006/relationships/hyperlink" Target="http://www.sec.gov/Archives/edgar/data/0001683553/000119312520249221/d902020dex103.htm" TargetMode="External"/><Relationship Id="rId190" Type="http://schemas.openxmlformats.org/officeDocument/2006/relationships/hyperlink" Target="http://www.sec.gov/Archives/edgar/data/0001683553/000119312520249221/d902020dex104.htm" TargetMode="External"/><Relationship Id="rId191" Type="http://schemas.openxmlformats.org/officeDocument/2006/relationships/hyperlink" Target="http://www.sec.gov/Archives/edgar/data/0001683553/000119312520263195/d902020dex105.htm" TargetMode="External"/><Relationship Id="rId192" Type="http://schemas.openxmlformats.org/officeDocument/2006/relationships/hyperlink" Target="http://www.sec.gov/Archives/edgar/data/0001683553/000119312520263195/d902020dex106.htm" TargetMode="External"/><Relationship Id="rId195" Type="http://schemas.openxmlformats.org/officeDocument/2006/relationships/hyperlink" Target="http://www.sec.gov/Archives/edgar/data/0001683553/000119312520249221/d902020dex107.htm" TargetMode="External"/><Relationship Id="rId196" Type="http://schemas.openxmlformats.org/officeDocument/2006/relationships/hyperlink" Target="http://www.sec.gov/Archives/edgar/data/0001683553/000119312520249221/d902020dex109.htm" TargetMode="External"/><Relationship Id="rId197" Type="http://schemas.openxmlformats.org/officeDocument/2006/relationships/hyperlink" Target="http://www.sec.gov/Archives/edgar/data/0001683553/000119312520249221/d902020dex1011.htm" TargetMode="External"/><Relationship Id="rId198" Type="http://schemas.openxmlformats.org/officeDocument/2006/relationships/hyperlink" Target="http://www.sec.gov/Archives/edgar/data/0001683553/000119312520249221/d902020dex1016.htm" TargetMode="External"/><Relationship Id="rId199" Type="http://schemas.openxmlformats.org/officeDocument/2006/relationships/hyperlink" Target="http://www.sec.gov/Archives/edgar/data/0001683553/000119312520249221/d902020dex1017.htm" TargetMode="External"/><Relationship Id="rId200" Type="http://schemas.openxmlformats.org/officeDocument/2006/relationships/hyperlink" Target="http://www.sec.gov/Archives/edgar/data/0001683553/000119312520249221/d902020dex1018.htm" TargetMode="External"/><Relationship Id="rId201" Type="http://schemas.openxmlformats.org/officeDocument/2006/relationships/hyperlink" Target="http://www.sec.gov/Archives/edgar/data/0001683553/000119312520249221/d902020dex1019.htm" TargetMode="External"/><Relationship Id="rId202" Type="http://schemas.openxmlformats.org/officeDocument/2006/relationships/hyperlink" Target="http://www.sec.gov/Archives/edgar/data/0001683553/000119312520249221/d902020dex1020.htm" TargetMode="External"/><Relationship Id="rId203" Type="http://schemas.openxmlformats.org/officeDocument/2006/relationships/hyperlink" Target="http://www.sec.gov/Archives/edgar/data/0001683553/000119312520249221/d902020dex1021.htm" TargetMode="External"/><Relationship Id="rId204" Type="http://schemas.openxmlformats.org/officeDocument/2006/relationships/hyperlink" Target="http://www.sec.gov/Archives/edgar/data/0001683553/000119312520249221/d902020dex1022.htm" TargetMode="External"/><Relationship Id="rId205" Type="http://schemas.openxmlformats.org/officeDocument/2006/relationships/hyperlink" Target="http://www.sec.gov/Archives/edgar/data/0001683553/000119312520249221/d902020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2021-03-22T15:39:59Z</dcterms:created>
  <dcterms:modified xsi:type="dcterms:W3CDTF">2021-03-22T15:39:59Z</dcterms:modified>
</cp:coreProperties>
</file>