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92026_080746.xml.htm"/>
      <w:bookmarkStart w:id="1" w:name="ksform407292026_0807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Quartel Adrian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SPRUCE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BOULEVARD, SUITE 740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SPRUCE BIOSCIENCES, INC.</w:t>
              </w:r>
            </w:hyperlink>
            <w:r>
              <w:rPr/>
              <w:t xml:space="preserve"> [ </w:t>
            </w:r>
            <w:r>
              <w:rPr>
                <w:rFonts w:ascii="Times;serif" w:hAnsi="Times;serif"/>
                <w:color w:val="0000FF"/>
                <w:sz w:val="24"/>
                <w:shd w:fill="FFFFFF" w:val="clear"/>
              </w:rPr>
              <w:t>SPRB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total number of restricted stock units ("RSUs") will vest on June 15, 2027. 25% of the total number of RSUs will vest on each of June 15, 2028, June 15, 2029 and June 15, 2030, subject to the Reporting Person's Continuous Service (as defined in the Issuer's 2020 Equity Incentive Plan) as of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Samir Gharib,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0132" TargetMode="External"/><Relationship Id="rId5" Type="http://schemas.openxmlformats.org/officeDocument/2006/relationships/hyperlink" Target="http://www.sec.gov/cgi-bin/browse-edgar?action=getcompany&amp;CIK=00016835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3517</Characters>
  <CharactersWithSpaces>4100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