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50930.htm"/>
        <w:bookmarkStart w:id="1" w:name="kssprb202509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655-4168</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November 7, 2025, the registrant had 1,070,370</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sufficient working capital to fund our planned operations for the next twelve months and substantial doubt exists as to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our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candidates, tralesinidase alfa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the safety and efficacy of our product candidates,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tildacerfont, SPR202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tildacerfont and SPR202 are, and our other current and future product candidates will be, subject to extensive regulation and compliance obligations, which are costly and time-consuming, and such regulation may cause unanticipated delays or prevent the receipt of the required approvals to commercialize TA-ERT, tildacerfont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TA-ERT, tildacerfont, SPR202 and our other current and future product candidates are smaller than we believe they are, our future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TA-ERT, tildacerfont, SPR202 and our other current and future product candidates, we may not be able to generate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may be limited or unavailable in certain market segments for TA-ERT, tildacerfont, SPR202 and our other current and future product candidates, which could make it difficult for us to sell TA-ERT, tildacerfont and our other current and future product candidates profitably.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commercialize additional product candidates, we may be unable to grow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depend on intellectual property licensed from others, the termination of which could result in the loss of significant rights, which would harm our business.</w:t>
      </w:r>
      <w:r>
        <w:rPr>
          <w:color w:val="FF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TA-ERT, tildacerfont, SPR202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preclinical and clinical drug supplies and we intend to rely on third parties to produce commercial supplies of TA-ERT, tildacerfont, SPR202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TA-ERT, tildacerfont, SPR202,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tildacerfont, and SPR202, if approved, any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04"/>
        <w:gridCol w:w="146"/>
        <w:gridCol w:w="227"/>
        <w:gridCol w:w="910"/>
        <w:gridCol w:w="166"/>
        <w:gridCol w:w="146"/>
        <w:gridCol w:w="218"/>
        <w:gridCol w:w="875"/>
        <w:gridCol w:w="613"/>
      </w:tblGrid>
      <w:tr>
        <w:trPr/>
        <w:tc>
          <w:tcPr>
            <w:tcW w:w="6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and </w:t>
              <w:br/>
              <w:t>   no shares issued or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as of </w:t>
              <w:br/>
              <w:t xml:space="preserve">   September 30, 2025 and December 31, 2024; 563,491 and 563,042 shares issued </w:t>
              <w:br/>
              <w:t>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27"/>
        <w:gridCol w:w="146"/>
        <w:gridCol w:w="238"/>
        <w:gridCol w:w="884"/>
        <w:gridCol w:w="187"/>
        <w:gridCol w:w="164"/>
        <w:gridCol w:w="238"/>
        <w:gridCol w:w="884"/>
        <w:gridCol w:w="166"/>
        <w:gridCol w:w="146"/>
        <w:gridCol w:w="232"/>
        <w:gridCol w:w="860"/>
        <w:gridCol w:w="182"/>
        <w:gridCol w:w="160"/>
        <w:gridCol w:w="232"/>
        <w:gridCol w:w="860"/>
        <w:gridCol w:w="599"/>
      </w:tblGrid>
      <w:tr>
        <w:trPr/>
        <w:tc>
          <w:tcPr>
            <w:tcW w:w="4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24,961</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36,291</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563,066</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589,520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549,116</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32"/>
        <w:gridCol w:w="146"/>
        <w:gridCol w:w="146"/>
        <w:gridCol w:w="781"/>
        <w:gridCol w:w="146"/>
        <w:gridCol w:w="146"/>
        <w:gridCol w:w="261"/>
        <w:gridCol w:w="430"/>
        <w:gridCol w:w="146"/>
        <w:gridCol w:w="146"/>
        <w:gridCol w:w="211"/>
        <w:gridCol w:w="781"/>
        <w:gridCol w:w="146"/>
        <w:gridCol w:w="146"/>
        <w:gridCol w:w="211"/>
        <w:gridCol w:w="841"/>
        <w:gridCol w:w="166"/>
        <w:gridCol w:w="146"/>
        <w:gridCol w:w="257"/>
        <w:gridCol w:w="828"/>
        <w:gridCol w:w="392"/>
      </w:tblGrid>
      <w:tr>
        <w:trPr/>
        <w:tc>
          <w:tcPr>
            <w:tcW w:w="3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employee </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32"/>
        <w:gridCol w:w="146"/>
        <w:gridCol w:w="146"/>
        <w:gridCol w:w="781"/>
        <w:gridCol w:w="146"/>
        <w:gridCol w:w="146"/>
        <w:gridCol w:w="261"/>
        <w:gridCol w:w="430"/>
        <w:gridCol w:w="146"/>
        <w:gridCol w:w="146"/>
        <w:gridCol w:w="211"/>
        <w:gridCol w:w="781"/>
        <w:gridCol w:w="146"/>
        <w:gridCol w:w="146"/>
        <w:gridCol w:w="211"/>
        <w:gridCol w:w="841"/>
        <w:gridCol w:w="166"/>
        <w:gridCol w:w="146"/>
        <w:gridCol w:w="240"/>
        <w:gridCol w:w="844"/>
        <w:gridCol w:w="393"/>
      </w:tblGrid>
      <w:tr>
        <w:trPr/>
        <w:tc>
          <w:tcPr>
            <w:tcW w:w="3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employee </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438" w:type="dxa"/>
        <w:jc w:val="left"/>
        <w:tblInd w:w="0" w:type="dxa"/>
        <w:tblLayout w:type="fixed"/>
        <w:tblCellMar>
          <w:top w:w="28" w:type="dxa"/>
          <w:left w:w="28" w:type="dxa"/>
          <w:bottom w:w="28" w:type="dxa"/>
          <w:right w:w="28" w:type="dxa"/>
        </w:tblCellMar>
      </w:tblPr>
      <w:tblGrid>
        <w:gridCol w:w="2956"/>
        <w:gridCol w:w="146"/>
        <w:gridCol w:w="146"/>
        <w:gridCol w:w="781"/>
        <w:gridCol w:w="146"/>
        <w:gridCol w:w="146"/>
        <w:gridCol w:w="261"/>
        <w:gridCol w:w="430"/>
        <w:gridCol w:w="146"/>
        <w:gridCol w:w="146"/>
        <w:gridCol w:w="211"/>
        <w:gridCol w:w="781"/>
        <w:gridCol w:w="146"/>
        <w:gridCol w:w="146"/>
        <w:gridCol w:w="211"/>
        <w:gridCol w:w="841"/>
        <w:gridCol w:w="166"/>
        <w:gridCol w:w="146"/>
        <w:gridCol w:w="260"/>
        <w:gridCol w:w="835"/>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93"/>
        <w:gridCol w:w="146"/>
        <w:gridCol w:w="146"/>
        <w:gridCol w:w="781"/>
        <w:gridCol w:w="146"/>
        <w:gridCol w:w="146"/>
        <w:gridCol w:w="261"/>
        <w:gridCol w:w="430"/>
        <w:gridCol w:w="146"/>
        <w:gridCol w:w="146"/>
        <w:gridCol w:w="211"/>
        <w:gridCol w:w="781"/>
        <w:gridCol w:w="166"/>
        <w:gridCol w:w="146"/>
        <w:gridCol w:w="211"/>
        <w:gridCol w:w="841"/>
        <w:gridCol w:w="166"/>
        <w:gridCol w:w="146"/>
        <w:gridCol w:w="240"/>
        <w:gridCol w:w="844"/>
        <w:gridCol w:w="412"/>
      </w:tblGrid>
      <w:tr>
        <w:trPr/>
        <w:tc>
          <w:tcPr>
            <w:tcW w:w="3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employee </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vesting of </w:t>
              <w:br/>
              <w:t>   restricted stock units,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087" w:type="dxa"/>
        <w:jc w:val="left"/>
        <w:tblInd w:w="0" w:type="dxa"/>
        <w:tblLayout w:type="fixed"/>
        <w:tblCellMar>
          <w:top w:w="28" w:type="dxa"/>
          <w:left w:w="28" w:type="dxa"/>
          <w:bottom w:w="28" w:type="dxa"/>
          <w:right w:w="28" w:type="dxa"/>
        </w:tblCellMar>
      </w:tblPr>
      <w:tblGrid>
        <w:gridCol w:w="6936"/>
        <w:gridCol w:w="146"/>
        <w:gridCol w:w="248"/>
        <w:gridCol w:w="866"/>
        <w:gridCol w:w="195"/>
        <w:gridCol w:w="171"/>
        <w:gridCol w:w="248"/>
        <w:gridCol w:w="866"/>
        <w:gridCol w:w="411"/>
      </w:tblGrid>
      <w:tr>
        <w:trPr/>
        <w:tc>
          <w:tcPr>
            <w:tcW w:w="6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(26,871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(28,084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38,788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10,704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10,704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Spruce Biosciences, Inc. (the “Company”) is a late-stage biopharmaceutical company focused on developing and commercializing novel therapies for neurological disorders with significant unmet medical need. The Company is located in South San Francisco, California and was incorporated in the state of Delaware in April 2016.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Effective April 29, 2025, the Company’s common stock was delisted from Nasdaq as a result of the Company’s ongoing failure to comply with the minimum bid price requirement under Nasdaq. As a result, the Company’s common stock began trading publicly on the over-the-counter market on April 29, 2025 under its symbol “SPRB”. </w:t>
      </w:r>
    </w:p>
    <w:p>
      <w:pPr>
        <w:pStyle w:val="TextBody"/>
        <w:bidi w:val="0"/>
        <w:spacing w:before="0" w:after="120"/>
        <w:jc w:val="left"/>
        <w:rPr>
          <w:rFonts w:ascii="Times New Roman" w:hAnsi="Times New Roman"/>
          <w:sz w:val="20"/>
        </w:rPr>
      </w:pPr>
      <w:r>
        <w:rPr>
          <w:rFonts w:ascii="Times New Roman" w:hAnsi="Times New Roman"/>
          <w:color w:val="000000"/>
          <w:sz w:val="20"/>
        </w:rPr>
        <w:t>Subsequently, the Company effected a one-for-seventy-five (1:75) reverse stock split of its outstanding common stock (the “Reverse Stock Split”). The Company's</w:t>
      </w:r>
      <w:r>
        <w:rPr>
          <w:rFonts w:ascii="Times New Roman" w:hAnsi="Times New Roman"/>
          <w:color w:val="231F20"/>
          <w:sz w:val="20"/>
        </w:rPr>
        <w:t xml:space="preserve"> common stock began trading on the OTCQB on a split-adjusted basis on August 7, 2025 (the “Effective Date”) under the ticker symbol “SPRBD”. The Company’s common stock resumed trading on the Nasdaq Capital Market on September 15, 2025 under the ticker symbol </w:t>
      </w:r>
      <w:r>
        <w:rPr>
          <w:rFonts w:ascii="Times New Roman" w:hAnsi="Times New Roman"/>
          <w:color w:val="000000"/>
          <w:sz w:val="20"/>
        </w:rPr>
        <w:t>“SPRB”.</w:t>
      </w:r>
      <w:r>
        <w:rPr>
          <w:rFonts w:ascii="Times New Roman" w:hAnsi="Times New Roman"/>
          <w:color w:val="231F2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the Effective Date, every 75 shares of the Company’s issued and outstanding common stock were automatically converted into one issued and outstanding share of common stock, without any change in authorized common stock or par value per share. The Reverse Stock Split affected all shares of the Company’s common stock outstanding immediately prior to the effective time of the Reverse Stock Split, as well as the number of shares of common stock available for issuance under the Company’s equity incentive plans and employee stock purchase plan. In addition, the Reverse Stock Split effected a reduction in the number of shares of common stock issuable upon the exercise of warrants, stock options and restricted stock units outstanding immediately prior to the effectiveness of the Reverse Stock Split with a corresponding increase in the exercise price per share applicable to such warrants and stock options. No fractional shares were issued because of the Reverse Stock Split. Stockholders who would otherwise be entitled to receive a fractional share will receive a cash payment in lieu thereof. </w:t>
      </w:r>
    </w:p>
    <w:p>
      <w:pPr>
        <w:pStyle w:val="TextBody"/>
        <w:bidi w:val="0"/>
        <w:jc w:val="left"/>
        <w:rPr>
          <w:rFonts w:ascii="Times New Roman" w:hAnsi="Times New Roman"/>
          <w:color w:val="000000"/>
          <w:sz w:val="20"/>
        </w:rPr>
      </w:pPr>
      <w:r>
        <w:rPr>
          <w:rFonts w:ascii="Times New Roman" w:hAnsi="Times New Roman"/>
          <w:color w:val="000000"/>
          <w:sz w:val="20"/>
        </w:rPr>
        <w:t>All of the outstanding common stock share numbers (including shares of common stock subject to the Company’s options), share prices, exercise prices and per share amounts contained in the financial statements have been retroactively adjusted in the financial statements to reflect this Reverse Stock Split for all periods presented.</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Reduction in Force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21, 2025, the Company effected a workforce reduction of 55% to prioritize development and potential accelerated approval of tralesinidase alfa enzyme replacement therapy for the treatment of Sanfilippo Syndrome Type B. The workforce reduction was effective immediately, with a termination date of May 2, 2025 for affected individuals. During the six months ended June 30, 2025, the Company incurred total operating expenses of $0.9 million in connection with the workforce reduction, consisting of expenses related to severance payments and healthcare coverage assistance and related costs. The workforce reduction was completed as of June 30, 2025.</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During the nine months ended September 30, 2025, the Company incurred a net loss of $24.3 million and used $26.9 million of cash in operations. As of September 30, 2025, the Company had an accumulated deficit of $274.6 million and does not expect positive cash flows from operations in the foreseeable future. The Company has funded its operations primarily through the issuance and sale of equity securities, debt and collaboration revenue. In October 2025, the Company received gross proceeds of approximately $50.0 million from a private placement financing (see Note 12).</w:t>
      </w:r>
    </w:p>
    <w:p>
      <w:pPr>
        <w:pStyle w:val="TextBody"/>
        <w:bidi w:val="0"/>
        <w:jc w:val="left"/>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which assumes the realization of assets and satisfaction of liabilities and commitments in the normal course of business. Without alternative financing or proceeds from other strategic alternatives, the Company believes that based on its current operating plan, its cash and cash equivalents of $10.7 million as of September 30, 2025 and proceeds from the October 2025 private placement financing will be insufficient to fund its planned operations and debt obligations for at least 12 months following the issuance date of these financial statements. The Company’s ability to continue as a going concern will require the Company to raise additional capital to fund the Company's operations and there can be no assurance that additional financing will be available to the Company or that such financing, if available, will be available on terms acceptable to the Company. Accordingly, there is substantial doubt about the Company’s ability to continue as a going concern for at least 12 months following the issuance date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meet these additional cash requirements, the Company may seek to out-license rights to develop and commercialize its investigational product candidates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September 30, 2025, the condensed statements of operations and comprehensive loss for the three and nine months ended September 30, 2025 and 2024, the condensed statement of stockholders’ equity for the three and nine months ended September 30, 2025 and 2024, and the condensed statements of cash flows for the nine months ended September 30, 2025 and 2024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2024 is derived from the Company’s audited financial statements. The results of operations for the three and nine months ended September 30, 2025 are not necessarily indicative of the results to be expected for the year ending December 31, 2025,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2024 filed with the SEC on April 15, 2025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which is the business of developing and commercializing novel therapies for serious neurological and disorders with significant unmet medical need. The Company’s chief executive officer, who is the chief operating decision maker (“CODM”), reviews financial information on an aggregate basis for allocating and evaluating financial performance. All long-lived assets are maintained in the United States of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segment revenue was derived from a collaboration and license agreement with Kaken Pharmaceutical Co, Ltd. (see Note 7 “License and Purchase Agreements — Kaken Pharmaceutical Co, Ltd.”). The CODM assesses performance and decides how to allocate resources based on net loss. Net loss is used to monitor budget versus actual results. The measure of segment revenue, segment net loss and segment expenses is reported on the condensed statements of operations and comprehensive loss. The measure of segment assets is reported on the condensed balance sheets as total assets.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nine months ended September 30, 2025,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 The Company may take advantage of these exemptions until December 31, 2025, or until the Company is no longer an emerging growth company, whichever is earlier.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(“ASU 2023-09”) requiring enhancements and further transparency to certain income tax disclosures, most notably the tax rate reconciliation and income taxes paid. ASU 2023-09 does not impact the Company's results of operations, financial condition or cash flows. ASU 2023-09 is effective for fiscal years beginning after December 15, 2024 on a prospective basis and retrospective application is permitted. The Company will adopt ASU 2023-09 for the fiscal year ending December 31, 2025. Other than the presentation of additional disaggregated data in the income tax footnote disclosures for annual periods, the Company does not expect the adoption of ASU 2023-09 to have a material impact on its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as Level 1 instruments as the Company uses quoted prices in active markets for identical assets to determine the fair value. The Company classified its warrant liability as a Level 3 instrument as it is v</w:t>
      </w:r>
      <w:r>
        <w:rPr>
          <w:rFonts w:ascii="Times New Roman" w:hAnsi="Times New Roman"/>
          <w:color w:val="231F20"/>
          <w:sz w:val="20"/>
        </w:rPr>
        <w:t>alued using the Black-Scholes option pricing model</w:t>
      </w:r>
      <w:r>
        <w:rPr>
          <w:rFonts w:ascii="Times New Roman" w:hAnsi="Times New Roman"/>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and liabilities measured at fair value on a recurring basis by level within the fair value hierarchy (in thousands): </w:t>
      </w:r>
    </w:p>
    <w:tbl>
      <w:tblPr>
        <w:tblW w:w="6450"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11"/>
        <w:gridCol w:w="42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39"/>
        <w:gridCol w:w="39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as of December 31,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Company issued pre-funded warrants that in total will be equal to 4.99% of the Company's issued and outstanding common stock as of the date of exercise of such pre-funded warrants. See Note 7 “License and Purchase Agreements — HBM Alpha Therapeutics, Inc.” for further discussion regarding such pre-funded warrants. In June 2025, the Company amended the pre-funded warrants to extend the exercise period to December 2025.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These pre-funded warrants were accounted for as liabilities under ASC 815-40, </w:t>
      </w:r>
      <w:r>
        <w:rPr>
          <w:rFonts w:ascii="Times New Roman" w:hAnsi="Times New Roman"/>
          <w:i/>
          <w:color w:val="000000"/>
          <w:sz w:val="20"/>
        </w:rPr>
        <w:t>Derivatives and Hedging, Contracts in Entity’s Own Equity</w:t>
      </w:r>
      <w:r>
        <w:rPr>
          <w:rFonts w:ascii="Times New Roman" w:hAnsi="Times New Roman"/>
          <w:color w:val="000000"/>
          <w:sz w:val="20"/>
        </w:rPr>
        <w:t xml:space="preserve"> (“ASC 815-40”), as these pre-funded warrants provide for a settlement provision that do not meet the requirements of the indexation guidance under ASC 815-40. These pre-funded warrants are recorded at fair value as a liability and are included in accrued expenses and other current liabilities on the condensed balance sheets. The change in fair value of the warrant liability is included in interest and other income, net on the condensed statements of operations and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pre-funded warrants were measured using a Black-Scholes option pricing model with the following inputs as of issuance and September 30, 2025:</w:t>
      </w:r>
    </w:p>
    <w:tbl>
      <w:tblPr>
        <w:tblW w:w="6325" w:type="dxa"/>
        <w:jc w:val="left"/>
        <w:tblInd w:w="0" w:type="dxa"/>
        <w:tblLayout w:type="fixed"/>
        <w:tblCellMar>
          <w:top w:w="28" w:type="dxa"/>
          <w:left w:w="28" w:type="dxa"/>
          <w:bottom w:w="28" w:type="dxa"/>
          <w:right w:w="28" w:type="dxa"/>
        </w:tblCellMar>
      </w:tblPr>
      <w:tblGrid>
        <w:gridCol w:w="2626"/>
        <w:gridCol w:w="146"/>
        <w:gridCol w:w="327"/>
        <w:gridCol w:w="723"/>
        <w:gridCol w:w="271"/>
        <w:gridCol w:w="146"/>
        <w:gridCol w:w="477"/>
        <w:gridCol w:w="1293"/>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roll forward of the aggregate fair value of the Company’s warrant liability (in thousands):</w:t>
      </w:r>
    </w:p>
    <w:tbl>
      <w:tblPr>
        <w:tblW w:w="5023" w:type="dxa"/>
        <w:jc w:val="left"/>
        <w:tblInd w:w="0" w:type="dxa"/>
        <w:tblLayout w:type="fixed"/>
        <w:tblCellMar>
          <w:top w:w="28" w:type="dxa"/>
          <w:left w:w="28" w:type="dxa"/>
          <w:bottom w:w="28" w:type="dxa"/>
          <w:right w:w="28" w:type="dxa"/>
        </w:tblCellMar>
      </w:tblPr>
      <w:tblGrid>
        <w:gridCol w:w="3016"/>
        <w:gridCol w:w="146"/>
        <w:gridCol w:w="503"/>
        <w:gridCol w:w="1147"/>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term loan was $0.8 million and $2.0 million as of September 30, 2025 and December 31, 2024, respectively, and was based on market observable interest rates, a Level 2 input.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525" w:type="dxa"/>
        <w:jc w:val="left"/>
        <w:tblInd w:w="0" w:type="dxa"/>
        <w:tblLayout w:type="fixed"/>
        <w:tblCellMar>
          <w:top w:w="28" w:type="dxa"/>
          <w:left w:w="28" w:type="dxa"/>
          <w:bottom w:w="28" w:type="dxa"/>
          <w:right w:w="28" w:type="dxa"/>
        </w:tblCellMar>
      </w:tblPr>
      <w:tblGrid>
        <w:gridCol w:w="4461"/>
        <w:gridCol w:w="146"/>
        <w:gridCol w:w="307"/>
        <w:gridCol w:w="833"/>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final payment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research and development expenses were primarily related to clinical trials and manufacturing of clinical drug supply as well as accruals related to the Allievex asset purchase. See Note 7 “License and Purchase Agreements — Allievex Corporation” for further information regarding such asset purchase.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240" w:after="283"/>
        <w:jc w:val="left"/>
        <w:rPr>
          <w:rFonts w:ascii="Times New Roman" w:hAnsi="Times New Roman"/>
          <w:sz w:val="20"/>
        </w:rPr>
      </w:pPr>
      <w:r>
        <w:rPr>
          <w:rFonts w:ascii="Times New Roman" w:hAnsi="Times New Roman"/>
          <w:b/>
          <w:color w:val="000000"/>
          <w:sz w:val="20"/>
        </w:rPr>
        <w:t>6.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 Loan and Security Agreement, as subsequently amended in March 2021 and May 2022 (the “Loan Agreement”) with Silicon Valley Bank (“SVB”) providing for a term loan (the “Term Loan”) for an aggregate principal amount of $5.0 million.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carrying value of the Term Loan was $0.5 million, consisting of the outstanding principal of $0.5 million, less unamortized debt discount and issuance costs of $1 thousand, which are being amortized using the effective interest method over the life of the Term Loan. The Term Loan is subject to a floating per annum interest rate equal to the greater of (a) 0.50% above the Prime Rate (as defined in the Loan Agreement) or (b) 3.75%. As of September 30, 2025 and December 31, 2024, the stated interest rate of the Term Loan was 7.75% and 8.0%, respectively. The final payment is due on the Maturity Date and includes all outstanding principal plus accrued unpaid interest and an end of term payment totaling $0.3 million, which is 6.0% of the principal amount (the “Supplemental Final Payment”).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 As of September 30, 2025, the Company was in compliance with all covenants under the Loan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2025, future payments of principal and interest are as follows (in thousands):</w:t>
      </w:r>
    </w:p>
    <w:tbl>
      <w:tblPr>
        <w:tblW w:w="4385" w:type="dxa"/>
        <w:jc w:val="left"/>
        <w:tblInd w:w="0" w:type="dxa"/>
        <w:tblLayout w:type="fixed"/>
        <w:tblCellMar>
          <w:top w:w="28" w:type="dxa"/>
          <w:left w:w="28" w:type="dxa"/>
          <w:bottom w:w="28" w:type="dxa"/>
          <w:right w:w="28" w:type="dxa"/>
        </w:tblCellMar>
      </w:tblPr>
      <w:tblGrid>
        <w:gridCol w:w="3196"/>
        <w:gridCol w:w="146"/>
        <w:gridCol w:w="211"/>
        <w:gridCol w:w="42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3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License and Purchase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Eli Lilly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Kaken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congenital adrenal hyperplasia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was recognized as revenue using the cost-based input method over the estimated period of its non-contingent research and development obligations, which was approximately two years. During the three and nine months ended September 30, 2024, the Company recognized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of $0.6 million and $4.2 million, respectively. As of December 31, 2024, the full transaction price has been recognized.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HMNC Holding GmbH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license, development and option agreement (the “HMNC Agreement”) with HMNC Holding GmbH (“HMNC”). Under the terms of the HMNC Agreement, HMNC will fund and conduct a Phase 2 proof-of-concept study of tildacerfont in major depressive disorder (“MDD”) patients, who will be screened using Cortibon Genetic Selection Tool (“Cortibon”), HMNC’s proprietary genetic selection tool.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option to in-license exclusive worldwide rights to Cortibon after completion of the study, if results are positive. If the Company exercises its option, it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amounts were paid to the Company during any of the periods presented, nor were any due as of such dates pursuant to the HMNC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Allievex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2024, the Company entered into an Asset Purchase Agreement (the “Allievex Purchase Agreement”) with AVX (ABC), LLC, a Delaware limited liability company, in its sole and limited capacity as the assignee for the benefit of creditors of Allievex Corporation (“Allievex”). Pursuant to the Allievex Purchase Agreement, the Company acquired all intellectual property and inventory relating to Allievex's product candidates and that certain Exclusive License Agreement, by and between BioMarin Pharmaceutical Inc. (“BioMarin”) and Allievex, dated October 22, 2019 (the “BioMarin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paid $5.0 million to Allievex in November 2024. The Company has also recorded certain liabilities of Allievex of $8.4 million, of which $7.2 million was paid as of September 30, 2025 and the remaining $1.2 million is included in accrued expenses and other current liabilities on the balance sheet as of September 30, 2025. The amount accrued includes certain contingent liabilities that are deemed both probable and estimable. The Company has also recorded an estimated receivable of $2.6 million in other current assets on the balance sheet as of September 30, 2025 as contingent consideration expected to be returned related to the recorded liabilities. The receivable is contingent upon the completion of the Allievex bankruptcy proceedings and has been recorded as the Company deems the amount to be both probable and estimable. The Company also incurred transaction costs of $0.3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assets purchased in conjunction with the Allievex Purchase Agreement represent an asset acquisition whereby the underlying assets comprise in-process research and development assets with no alternative future use. The Company recognized aggregate net acquisition cost of $15.1 million, which was reported as a component of research and development expense for the year ended December 31, 2024. During the nine months ended September 30, 2025, changes in estimates to recorded liabilities associated with the Allievex Purchase Agreement reduced the aggregate net acquisition cost to $11.1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assumed the obligations of Allievex to pay BioMarin up to an aggregate of $88.0 million upon the achievement of certain development and regulatory milestones (up to $25.5 million for the first MPS IIIB product) and up to an aggregate of $100.0 million per licensed product upon the achievement of certain sales milestones. In addition, the Company is required to pay to BioMarin certain (i) high-single digit to low-double digit tiered royalties on aggregate annual net sales of licensed MPS IIIB products and (i) mid-to-high single digit tiered royalties on aggregate annual net sales of licensed products other than MPS IIIB products, in each case during the applicable royalty term, subject to certain customary reductions and floors. No amounts were paid by the Company to BioMarin nor were any due as of September 30, 2025 pursuant to the Allievex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terminate the BioMarin License Agreement at any time for convenience upon prior written notice provided within a specified period of time. BioMarin may terminate the BioMarin License Agreement upon written notice if we (i) challenge the validity, enforceability or scope of any of the patents licensed by us under the BioMarin License Agreement, subject to certain conditions, or (ii) cease all material research and development activity for any licensed product for a specified period of time, subject to certain exceptions. Either the Company or BioMarin may also terminate the BioMarin License Agreement (i) in the event the other party shall have materially breached its obligations thereunder and such default shall have continued for a specified period after written notice thereof or (ii) upon the bankruptcy or insolvency of the other party.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HBM Alpha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15, 2025, the Company entered into a collaboration and license agreement (the “HBM License Agreement”) with HBM Alpha Therapeutics, Inc. (“HBM”). Under the terms of the HBM License Agreement, HBM granted the Company a limited exclusivity, royalty bearing, and sublicensable license to certain technology, patent rights, manufacturing rights, know-how, and proprietary materials relating to certain compounds developed by HBM.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made a one-time upfront payment to HBM of $5.0 million in February 2025. Additionally, in January 2025, the Company issued pre-funded warrants to HBM and its affiliates that in total will be equal to 4.99% of the Company's outstanding common stock as of the date of exercise of such pre-funded warrants. In June 2025, the Company amended the pre-funded warrants to extend the exercise period to December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rights acquired under the HBM License Agreement have no alternative future use. Therefore, the consideration paid of $5.0 million, along with the initial fair value of the pre-funded warrants issued of $0.7 million (see Note 3 “Fair Value Measurements — Warrant Liability”), was recognized as acquired in-process research and development expense, which is reported as a component of research and development expense for the nine months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also obligated to pay HBM up to an aggregate of $390.0 million upon the achievement of certain development, regulatory, and sales milestones. In addition, the Company is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terminate the HBM License Agreement on a licensed product-by-licensed product basis or in its entirety at any time for convenience upon prior written notice provided within a specified period of time. Either the Company or HBM may also terminate the HBM License Agreement (i) in the event the other party shall have materially breached its obligations thereunder and such default shall have continued for a specified period after written notice thereof or (ii) upon the bankruptcy or insolvency of the other party. HBM may terminate the HBM License Agreement upon prior written notice if the Company (i) ceases all development or commercialization activities for a specified period of time, subject to certain exceptions, or (ii) challenges the validity, enforceability or scope of any of the patents licensed by the Company to HBM under the HBM License Agreement, subject to certain conditions.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Company was authorized to issue 200,000,000 shares of common stock at $0.0001 par value per share. Holders of common stock are entitled to dividends if and when declared by the Company’s Board. The holder of each share of common stock is entitled to one vote. As of September 30, 2025, no dividends were declared.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7100" w:type="dxa"/>
        <w:jc w:val="left"/>
        <w:tblInd w:w="0" w:type="dxa"/>
        <w:tblLayout w:type="fixed"/>
        <w:tblCellMar>
          <w:top w:w="28" w:type="dxa"/>
          <w:left w:w="28" w:type="dxa"/>
          <w:bottom w:w="28" w:type="dxa"/>
          <w:right w:w="28" w:type="dxa"/>
        </w:tblCellMar>
      </w:tblPr>
      <w:tblGrid>
        <w:gridCol w:w="4036"/>
        <w:gridCol w:w="146"/>
        <w:gridCol w:w="179"/>
        <w:gridCol w:w="961"/>
        <w:gridCol w:w="146"/>
        <w:gridCol w:w="146"/>
        <w:gridCol w:w="172"/>
        <w:gridCol w:w="923"/>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available for future issuance under </w:t>
              <w:br/>
              <w:t>   2020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available for future issuance under </w:t>
              <w:br/>
              <w:t>   2020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28, 2025, the Company entered into a Purchase Agreement with Michael Grey, the Executive Chairman of the Company’s Board, pursuant to which the Company issued and sold one share of the Company’s newly designated Series A Preferred Stock, par value $0.0001 per share (the “Series A Preferred”), to Mr. Grey for a purchase price of $100.00. On July 22, 2025, immediately following stockholder approval of the Reverse Stock Split (as defined in Note 1), the outstanding share of Series A Preferred was redeemed for a redemption price of $100.00. </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(in thousands): </w:t>
      </w:r>
    </w:p>
    <w:tbl>
      <w:tblPr>
        <w:tblW w:w="9756" w:type="dxa"/>
        <w:jc w:val="left"/>
        <w:tblInd w:w="0" w:type="dxa"/>
        <w:tblLayout w:type="fixed"/>
        <w:tblCellMar>
          <w:top w:w="28" w:type="dxa"/>
          <w:left w:w="28" w:type="dxa"/>
          <w:bottom w:w="28" w:type="dxa"/>
          <w:right w:w="28" w:type="dxa"/>
        </w:tblCellMar>
      </w:tblPr>
      <w:tblGrid>
        <w:gridCol w:w="3651"/>
        <w:gridCol w:w="146"/>
        <w:gridCol w:w="332"/>
        <w:gridCol w:w="662"/>
        <w:gridCol w:w="229"/>
        <w:gridCol w:w="229"/>
        <w:gridCol w:w="332"/>
        <w:gridCol w:w="899"/>
        <w:gridCol w:w="146"/>
        <w:gridCol w:w="146"/>
        <w:gridCol w:w="291"/>
        <w:gridCol w:w="790"/>
        <w:gridCol w:w="229"/>
        <w:gridCol w:w="202"/>
        <w:gridCol w:w="291"/>
        <w:gridCol w:w="790"/>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Performance-Based Restricted Stock Units (</w:t>
      </w:r>
      <w:r>
        <w:rPr>
          <w:rFonts w:ascii="Times New Roman" w:hAnsi="Times New Roman"/>
          <w:color w:val="000000"/>
          <w:sz w:val="20"/>
        </w:rPr>
        <w:t>“</w:t>
      </w:r>
      <w:r>
        <w:rPr>
          <w:rFonts w:ascii="Times New Roman" w:hAnsi="Times New Roman"/>
          <w:b/>
          <w:color w:val="000000"/>
          <w:sz w:val="20"/>
        </w:rPr>
        <w:t>RSUs</w:t>
      </w:r>
      <w:r>
        <w:rPr>
          <w:rFonts w:ascii="Times New Roman" w:hAnsi="Times New Roman"/>
          <w:color w:val="000000"/>
          <w:sz w:val="20"/>
        </w:rPr>
        <w:t>”</w:t>
      </w:r>
      <w:r>
        <w:rPr>
          <w:rFonts w:ascii="Times New Roman" w:hAnsi="Times New Roman"/>
          <w:b/>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2025, the Company had 6,837 RSUs outstanding subject to performance-based vesting conditions, of which none are considered probable of achievement. Subsequently in October 2025, these performance RSU's were considered achieved.</w:t>
      </w:r>
    </w:p>
    <w:p>
      <w:pPr>
        <w:pStyle w:val="TextBody"/>
        <w:bidi w:val="0"/>
        <w:spacing w:before="12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214"/>
        <w:gridCol w:w="146"/>
        <w:gridCol w:w="239"/>
        <w:gridCol w:w="886"/>
        <w:gridCol w:w="188"/>
        <w:gridCol w:w="165"/>
        <w:gridCol w:w="239"/>
        <w:gridCol w:w="886"/>
        <w:gridCol w:w="166"/>
        <w:gridCol w:w="146"/>
        <w:gridCol w:w="232"/>
        <w:gridCol w:w="862"/>
        <w:gridCol w:w="182"/>
        <w:gridCol w:w="161"/>
        <w:gridCol w:w="232"/>
        <w:gridCol w:w="862"/>
        <w:gridCol w:w="399"/>
      </w:tblGrid>
      <w:tr>
        <w:trPr/>
        <w:tc>
          <w:tcPr>
            <w:tcW w:w="4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563,066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589,520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549,116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8684" w:type="dxa"/>
        <w:jc w:val="left"/>
        <w:tblInd w:w="0" w:type="dxa"/>
        <w:tblLayout w:type="fixed"/>
        <w:tblCellMar>
          <w:top w:w="28" w:type="dxa"/>
          <w:left w:w="28" w:type="dxa"/>
          <w:bottom w:w="28" w:type="dxa"/>
          <w:right w:w="28" w:type="dxa"/>
        </w:tblCellMar>
      </w:tblPr>
      <w:tblGrid>
        <w:gridCol w:w="6001"/>
        <w:gridCol w:w="146"/>
        <w:gridCol w:w="146"/>
        <w:gridCol w:w="781"/>
        <w:gridCol w:w="146"/>
        <w:gridCol w:w="146"/>
        <w:gridCol w:w="146"/>
        <w:gridCol w:w="781"/>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December 20, 2024, Kirk Ways, M.D., a member of the Board, began serving as the Company’s interim Chief Medical Officer pursuant to a consulting agreement. During the nine months ended September 30, 2025 the Company recognized compensation expense of $0.3 million, which is included in research and development expenses on the statement of operations and comprehensive loss.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 Financing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October 7, 2025, the Company entered into a Securities Purchase Agreement with certain institutional investors to sell and issue (i) 502,181 shares of Common Stock and (ii) pre-funded warrants to purchase up to 233,144 shares of Common Stock in a private placement transaction. The purchase price per share of Common Stock was $68.00 per share and the purchase price for the Pre-Funded Warrants was $67.99. The private placement transaction closed on October 9, 2025. The total gross proceeds to the Company were approximately $50.0 million, before deducting placement agent fees and other expenses.</w:t>
      </w:r>
    </w:p>
    <w:p>
      <w:pPr>
        <w:pStyle w:val="TextBody"/>
        <w:bidi w:val="0"/>
        <w:jc w:val="left"/>
        <w:rPr>
          <w:rFonts w:ascii="Times New Roman" w:hAnsi="Times New Roman"/>
          <w:b/>
          <w:i/>
          <w:color w:val="000000"/>
          <w:sz w:val="20"/>
        </w:rPr>
      </w:pPr>
      <w:r>
        <w:rPr>
          <w:rFonts w:ascii="Times New Roman" w:hAnsi="Times New Roman"/>
          <w:b/>
          <w:i/>
          <w:color w:val="000000"/>
          <w:sz w:val="20"/>
        </w:rPr>
        <w:t>Termination of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2025, the Company gave notice, effective as of November 7, 2025, of the termination of the Term Loan with SVB. On November 3, 2025, the Company voluntarily prepaid in full the outstanding principal balance of the Term Loan, which was $0.4 million, and all accrued and unpaid interest and fees under the Term Loan including the Supplemental Final Payment of $0.3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(the “Quarterly Report”)and our audited financial statements and notes thereto and the related Management’s Discussion and Analysis of Financial Condition and Results of Operations included in our Annual Report on Form 10-K for the year ended December 31, 2024 filed with the Securities and Exchange Commission (“SEC”) on April 15, 2025 (the “Annual Report”). Unless otherwise indicated, all references in this Quarterly Report on Form 10-Q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While tildacerfont remains in development, since November 2024 we have shifted our focus to the development of tralesinidase alfa (“TA-ERT”), an investigational treatment for mucopolysaccharidoses type IIIB (“MPS IIIB”), or Sanfillipo Syndrome Type B. In October 2025, TA-ERT received breakthrough therapy designation from the U.S. Food and Drug Administration (“FDA”) for the treatment of Sanfilippo Syndrome Type B. We anticipate submitting a biologics license application of TA-ERT for the treatment of Sanfilippo Syndrome Type B in the first quarter of 2026. Currently, there is no U.S. FDA-approved therapy for the treatment of MPS IIIB, and disease management consists of limited palliative care.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During the nine months ended September 30, 2025 and 2024, we incurred net losses of $24.3 million and $29.5 million, respectively, and used $26.9 million and $35.3 million of cash in operations, respectively. As of September 30, 2025, we had an accumulated deficit of $274.6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inception through September 30, 2025, we have raised aggregate gross proceeds of $293.1 million, including $103.5 million from our initial public offering (“IPO”) in October 2020, $116.0 million from the sale of our redeemable convertible preferred stock, $5.0 million from the issuance of debt, $53.6 million from a private placement financing in February 2023, and the $15.0 million upfront payment from Kaken received in April 2023. As of September 30, 2025, we had cash and cash equivalents of $10.7 million. In October 2025, the Company received gross proceeds of approximately $50.0 million from the sale of equity securities.</w:t>
      </w:r>
    </w:p>
    <w:p>
      <w:pPr>
        <w:pStyle w:val="TextBody"/>
        <w:bidi w:val="0"/>
        <w:jc w:val="left"/>
        <w:rPr>
          <w:rFonts w:ascii="Times New Roman" w:hAnsi="Times New Roman"/>
          <w:color w:val="000000"/>
          <w:sz w:val="20"/>
        </w:rPr>
      </w:pPr>
      <w:r>
        <w:rPr>
          <w:rFonts w:ascii="Times New Roman" w:hAnsi="Times New Roman"/>
          <w:color w:val="000000"/>
          <w:sz w:val="20"/>
        </w:rPr>
        <w:t xml:space="preserve">Without alternative financing or proceeds from other strategic alternatives, we believe, based on our current operating plan, that our cash and cash equivalents as of September 30, 2025 will be insufficient to fund our operations and debt obligations for at least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months following the issuance date of our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TA-ERT in patients with MPS 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TA-ERT,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TA-ERT through a planned confirmatory study in patients with MPSIIB and expanded access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manufacturing capacity to accommodate anticipated global demand of TA-ERT, if approved, for the treatment of MPS 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development of tildacerfont in major depressive disorder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and clinical development of SPR202 in congenital adrenal hyperplasia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160"/>
        <w:jc w:val="left"/>
        <w:rPr>
          <w:rFonts w:ascii="Times New Roman" w:hAnsi="Times New Roman"/>
          <w:color w:val="231F20"/>
          <w:sz w:val="20"/>
        </w:rPr>
      </w:pPr>
      <w:r>
        <w:rPr>
          <w:rFonts w:ascii="Times New Roman" w:hAnsi="Times New Roman"/>
          <w:color w:val="231F20"/>
          <w:sz w:val="20"/>
        </w:rPr>
        <w:t xml:space="preserve">Global economic and business activities continue to face widespread macroeconomic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w:t>
      </w:r>
    </w:p>
    <w:p>
      <w:pPr>
        <w:pStyle w:val="TextBody"/>
        <w:bidi w:val="0"/>
        <w:jc w:val="left"/>
        <w:rPr>
          <w:rFonts w:ascii="Times New Roman" w:hAnsi="Times New Roman"/>
          <w:color w:val="231F20"/>
          <w:sz w:val="20"/>
        </w:rPr>
      </w:pPr>
      <w:r>
        <w:rPr>
          <w:rFonts w:ascii="Times New Roman" w:hAnsi="Times New Roman"/>
          <w:color w:val="231F2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Reverse Stock Split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effected a one-for-seventy-five (1:75) reverse stock split of our outstanding common stock (the “Reverse Stock Split”) on August 4, 2025.</w:t>
      </w:r>
    </w:p>
    <w:p>
      <w:pPr>
        <w:pStyle w:val="TextBody"/>
        <w:bidi w:val="0"/>
        <w:jc w:val="left"/>
        <w:rPr>
          <w:rFonts w:ascii="Times New Roman" w:hAnsi="Times New Roman"/>
          <w:color w:val="000000"/>
          <w:sz w:val="20"/>
        </w:rPr>
      </w:pPr>
      <w:r>
        <w:rPr>
          <w:rFonts w:ascii="Times New Roman" w:hAnsi="Times New Roman"/>
          <w:color w:val="000000"/>
          <w:sz w:val="20"/>
        </w:rPr>
        <w:t>All of the outstanding common stock share numbers (including shares of common stock subject to our options), share prices, exercise prices and per share amounts contained in the financial statements have been retroactively adjusted in the financial statements to reflect this Reverse Stock Split for all periods presented.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Silicon Valley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we entered into a Loan and Security Agreement, as subsequently amended in March 2021 and May 2022 (the “Loan Agreement”), with Silicon Valley Bank (“SVB”) providing for a term loan (the “Term Loan”) for an aggregate principal amount of $5.0 million.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and December 31, 2024, the outstanding principal was $0.5 million and $1.8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 is subject to a floating per annum interest rate equal to the greater of (a) 0.50% above the Prime Rate (as defined in the Loan Agreement) or (b) 3.75%. The final payment is due on the Maturity Date and includes all outstanding principal plus accrued unpaid interest and an end of term payment totaling $0.3 million, which is 6.0% of the principal amount (the “Supplemental Final Payment”).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all of our revenue has been derived from the Kaken License Agreement, pursuant to which we granted Kaken the exclusive right to develop and commercialize tildacerfont for CAH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recognize royalty and milestone revenues under the Kaken License Agreement if and when appropriate under the relevant accounting rules (see Note 7 to our unaudited condensed financial statements “License and Purchase Agreements” presented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elsewhere in this Quarterly Report). We have not generated any revenues from the commercial sale of approved products and we do not expect to generate revenues from the commercial sale of our product candidates for at least the foreseeable future, if ever.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in-process research and development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primarily to advance tildacerfont and acquire and develop TA-ERT. These expenses will primarily consist of personnel costs, expenses for the conduct of clinical trials, manufacturing costs for clinical drug supply, and in-process research and development. We expect that significant additional spending will be required to progress TA-ERT through clinical development and potential regulatory approval and advancing our other investigational product candidates through clinical and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LLC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TA-ERT through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the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and cash equivalents and the change in the fair value of the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Three and Nine Months Ended September 30, 2025 and 2024</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10205" w:type="dxa"/>
        <w:jc w:val="left"/>
        <w:tblInd w:w="0" w:type="dxa"/>
        <w:tblLayout w:type="fixed"/>
        <w:tblCellMar>
          <w:top w:w="28" w:type="dxa"/>
          <w:left w:w="28" w:type="dxa"/>
          <w:bottom w:w="28" w:type="dxa"/>
          <w:right w:w="28" w:type="dxa"/>
        </w:tblCellMar>
      </w:tblPr>
      <w:tblGrid>
        <w:gridCol w:w="2027"/>
        <w:gridCol w:w="146"/>
        <w:gridCol w:w="239"/>
        <w:gridCol w:w="717"/>
        <w:gridCol w:w="188"/>
        <w:gridCol w:w="166"/>
        <w:gridCol w:w="239"/>
        <w:gridCol w:w="768"/>
        <w:gridCol w:w="166"/>
        <w:gridCol w:w="146"/>
        <w:gridCol w:w="211"/>
        <w:gridCol w:w="631"/>
        <w:gridCol w:w="166"/>
        <w:gridCol w:w="146"/>
        <w:gridCol w:w="227"/>
        <w:gridCol w:w="792"/>
        <w:gridCol w:w="178"/>
        <w:gridCol w:w="156"/>
        <w:gridCol w:w="227"/>
        <w:gridCol w:w="792"/>
        <w:gridCol w:w="166"/>
        <w:gridCol w:w="146"/>
        <w:gridCol w:w="211"/>
        <w:gridCol w:w="736"/>
        <w:gridCol w:w="618"/>
      </w:tblGrid>
      <w:tr>
        <w:trP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jc w:val="left"/>
        <w:rPr>
          <w:rFonts w:ascii="Times New Roman" w:hAnsi="Times New Roman"/>
          <w:color w:val="000000"/>
          <w:sz w:val="20"/>
        </w:rPr>
      </w:pPr>
      <w:r>
        <w:rPr>
          <w:rFonts w:ascii="Times New Roman" w:hAnsi="Times New Roman"/>
          <w:color w:val="000000"/>
          <w:sz w:val="20"/>
        </w:rPr>
        <w:t>During the three and nine months ended September 30, 2024, we recognized collaboration revenue of $0.6 million and $4.2 million, respectively. We did not recognize any collaboration revenue for the three and nine months ended September 30, 2025.</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10205" w:type="dxa"/>
        <w:jc w:val="left"/>
        <w:tblInd w:w="0" w:type="dxa"/>
        <w:tblLayout w:type="fixed"/>
        <w:tblCellMar>
          <w:top w:w="28" w:type="dxa"/>
          <w:left w:w="28" w:type="dxa"/>
          <w:bottom w:w="28" w:type="dxa"/>
          <w:right w:w="28" w:type="dxa"/>
        </w:tblCellMar>
      </w:tblPr>
      <w:tblGrid>
        <w:gridCol w:w="2481"/>
        <w:gridCol w:w="146"/>
        <w:gridCol w:w="256"/>
        <w:gridCol w:w="694"/>
        <w:gridCol w:w="177"/>
        <w:gridCol w:w="177"/>
        <w:gridCol w:w="256"/>
        <w:gridCol w:w="694"/>
        <w:gridCol w:w="146"/>
        <w:gridCol w:w="146"/>
        <w:gridCol w:w="211"/>
        <w:gridCol w:w="631"/>
        <w:gridCol w:w="166"/>
        <w:gridCol w:w="146"/>
        <w:gridCol w:w="235"/>
        <w:gridCol w:w="755"/>
        <w:gridCol w:w="185"/>
        <w:gridCol w:w="162"/>
        <w:gridCol w:w="235"/>
        <w:gridCol w:w="755"/>
        <w:gridCol w:w="146"/>
        <w:gridCol w:w="146"/>
        <w:gridCol w:w="211"/>
        <w:gridCol w:w="631"/>
        <w:gridCol w:w="417"/>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Research and development expenses decreased by $1.5 million during the three months ended September 30, 2025, compared to the three months ended September 30, 2024. The decrease in clinical development expenses of $2.2 million was primarily related to decreased clinical development activities related to the discontinuation of the tildacerfont CAH development program of $3.4 million, offset by expenses for TA-ERT of $1.1 million. The increase in manufacturing expenses of $2.3 million was primarily related to expenses for TA-ERT of $2.6 million. There was also a decrease in personnel-related expenses of $1.5 million due to a decrease in headcount.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decreased by $9.5 million during the nine months ended September 30, 2025, compared to the nine months ended September 30, 2024. The decrease in clinical development expenses of $6.4 million was primarily related to decreased clinical development activities related to the discontinuation of the tildacerfont CAH development program of $11.0 million as well as a reduction in recorded liabilities of $3.3 million and an increase in receivables of $0.1 million associated with the Allievex Purchase Agreement, based on progressing Allievex bankruptcy proceedings, offset by the acquisition of SPR202 for $5.7 million and expenses for TA-ERT of $2.6 million. The increase in manufacturing expenses of $1.4 million was primarily related to manufacturing expenditures of $3.0 million related to TA-ERT, offset by an increase in receivables of $0.6 million associated with the Allievex Purchase Agreement and decreased manufacturing activities related to the discontinuation of the tildacerfont CAH development program of $0.9 million. There was also a decrease in personnel-related expenses of $4.3 million due to a decrease in headcount.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anticipate that research and development expenses will increase into the foreseeable future as we advance TA-ERT through an anticipated biologics license application in the first quarter of 2026 and potential U.S. FDA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a description of the terms of our license and purchase agreements, see Note 7 to our unaudited condensed financial statements “License and Purchase Agreements” presented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$0.2 million during the three months ended September 30, 2025, compared to the three months ended September 30, 2024, primarily due to a decrease in stock-based compensation expense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$1.3 million during the nine months ended September 30, 2025, compared to the nine months ended September 30, 2024, primarily due to a decrease in stock-based compensation expense of $1.5 million, offset by an increase in professional fees of $0.5 million primarily due to increased legal fees.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three months ended September 30, 2025 compared to the three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$0.2 million during the nine months ended September 30, 2025 compared to the nine months ended September 30, 2024 due to a decrease in the principal of the Term Loan.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decreased by $0.8 million during the three months ended September 30, 2025, compared to the three months ended September 30, 2024, primarily due to a decrease in interest income of $0.7 million due to lower yield earned on money market fund balances and a loss from an increase in the fair value of the warrant liability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decreased by $1.7 million during the nine months ended September 30, 2025, compared to the nine months ended September 30, 2024, primarily due to a decrease in interest income of $2.2 million due to lower yield earned on money market fund balances, offset by a gain from a decrease in the fair value of the warrant liability of $0.5 million.</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September 30, 2025 and December 31, 2024, we had an accumulated deficit of $274.6 million and $250.3 million, respectively. As of September 30, 2025 and December 31, 2024, we had cash and cash equivalents of $10.7 million and $38.8 million, respectively. Since inception through September 30, 2025,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October 7, 2025, we entered into a Securities Purchase Agreement with certain institutional investors to sell and issue (i) 502,181 shares of common stock and (ii) pre-funded warrants to purchase up to 233,144 shares of common stock in a private placement transaction. The purchase price per share of common stock was $68.00 per share and the purchase price for the pre-funded warrants was $67.99. Our total gross proceeds were approximately $50.0 million, before deducting placement agent fees and other expenses.</w:t>
      </w:r>
    </w:p>
    <w:p>
      <w:pPr>
        <w:pStyle w:val="TextBody"/>
        <w:bidi w:val="0"/>
        <w:jc w:val="left"/>
        <w:rPr>
          <w:rFonts w:ascii="Times New Roman" w:hAnsi="Times New Roman"/>
          <w:color w:val="000000"/>
          <w:sz w:val="20"/>
        </w:rPr>
      </w:pPr>
      <w:r>
        <w:rPr>
          <w:rFonts w:ascii="Times New Roman" w:hAnsi="Times New Roman"/>
          <w:color w:val="000000"/>
          <w:sz w:val="20"/>
        </w:rPr>
        <w:t>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Without alternative financing or proceeds from other strategic alternatives, we believe, based on our current operating plan, that our cash and cash equivalents as of September 30, 2025 and proceeds from the October 2025 private placement financing will be insufficient to fund our operations and debt obligations for at least 12 months following the issuance date of our unaudited financial statements included elsewhere in this Quarterly Report. These conditions raise substantial doubt about our ability to continue as a going concern.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TA-ERT or any other current or future product candidates, and we do not know when, or if at all, that will occur. We will continue to require additional capital to develop TA-ERT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TA-ERT or any of our other current or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significantly in the foreseeable future as we continue to invest in activities related to the clinical development and commercialization of TA-ERT and as we pursue regulatory approval of TA-ERT for the treatment of MPS IIIB. The process of conducting the necessary clinical research to obtain regulatory approval is costly and time-consuming, and we may never succeed in achieving regulatory approval for TA-ERT in patients with MPS IIIB.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raise capital through equity or debt financings, collaborative agreements, potentially including agreements to out-license rights to develop and commercialize TA-ERT,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product candidates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global trade disputes, labor shortages, declines in consumer confidence, inflation and monetary supply shifts, recession risks, tariffs, the current U.S. government shutdown and the ongoing wars in Ukraine and the Middle East and related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global trade disputes, labor shortages, declines in consumer confidence, inflation and monetary supply shifts, recession risks, potential disruptions from the wars in Ukraine and the Middle East and related sanctions, declines in economic growth, tariffs, the current U.S. government shutdown and uncertainty about economic stability. If the equity and credit markets continue to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our product candidates or other research and development initiatives. We also could be required to seek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for our product candidates and any future product candidates at an earlier stage than otherwise would be desirable or on terms that are less favorable than might otherwise be available or relinquish or license on unfavorable terms our rights to our product candidates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future payments of principal and interest on the Term Loan, which commenced repayment in January 2023 and matures in January 2026, were $0.5 million. For a description of the terms of the Loan Agreement, see the section titled “Material Agreements — Loan Agreement with Silicon Valley Bank”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total undiscounted lease payments for our non-cancelable operating lease for office space, which terminates in February 2028 unless renewed, was $0.9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entered into license and collaboration agreements under which we are obligated to make aggregate milestone payments upon the achievement of specified milestones as well as royalty payments. As of September 30, 2025, we were unable to estimate the timing or likelihood of achieving these milestones or generating future product sales. For a description of the terms of our license and collaboration agreements, see Note 7 to our unaudited condensed financial statements “License and Purchase Agreements” presented elsewhere in this Quarterly Report. </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7731" w:type="dxa"/>
        <w:jc w:val="left"/>
        <w:tblInd w:w="0" w:type="dxa"/>
        <w:tblLayout w:type="fixed"/>
        <w:tblCellMar>
          <w:top w:w="28" w:type="dxa"/>
          <w:left w:w="28" w:type="dxa"/>
          <w:bottom w:w="28" w:type="dxa"/>
          <w:right w:w="28" w:type="dxa"/>
        </w:tblCellMar>
      </w:tblPr>
      <w:tblGrid>
        <w:gridCol w:w="3486"/>
        <w:gridCol w:w="146"/>
        <w:gridCol w:w="248"/>
        <w:gridCol w:w="866"/>
        <w:gridCol w:w="195"/>
        <w:gridCol w:w="171"/>
        <w:gridCol w:w="248"/>
        <w:gridCol w:w="866"/>
        <w:gridCol w:w="166"/>
        <w:gridCol w:w="146"/>
        <w:gridCol w:w="211"/>
        <w:gridCol w:w="571"/>
        <w:gridCol w:w="411"/>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decrease in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decreased by $8.4 million during the nine months ended September 30, 2025 compared to the nine months ended September 30, 2024, primarily due to lower payments driven by decreased clinical development activities offset by payments made for asset acquisitions of $7.1 million. For a description of the terms of our license and purchase agreements, see Note 7 to our unaudited condensed financial statements “License and Purchase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net cash used in financing activities was $1.2 million, consisting primarily of principal payments on the Term Loan of $1.2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2024, net cash used in financing activities was $1.0 million, consisting primarily of principal payments on the Term Loan of $1.2 million, offset by proceeds of $0.2 million from stock option exercises.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Estimates” in the Annual Report. During the nine months ended September 30, 2025, there were no changes to our critical accounting estimates from those discussed in the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September 30, 2025 consisted of $10.7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 for our Term Loan is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high inflation due to geopolitical and macroeconomic events, as of September 30, 2025,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September 30,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currently have sufficient working capital to fund our planned operations for the next twelve months and substantial doubt exists as to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we had incurred a net loss of $24.3 million and used $26.9 million of cash in operations. As of September 30, 2025, we had an accumulated deficit of $274.6 million and cash and cash equivalents of $10.7 million. We expect to continue to generate operating losses and have significant cash outflows from operating activities for at least the next few years. 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Without alternative financing or proceeds from other strategic alternatives, we believe, based on our current operating plan, that our cash and cash equivalents as of September 30, 2025 and proceeds from the October 2025 private placement financing will be insufficient to fund our operations and debt obligations for at least twelve months following the issuance date of our unaudited financial statements included elsewhere in this Quarterly Report. These conditions raise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perception of our ability to continue as a going concern may make it more difficult for us to obtain financing for the continuation of our operations and could result in the loss of confidence by investors and employees. If we are not able to obtain the necessary additional financing on a timely or commercially reasonable basis, we will be forced to delay or scale down some or all of our development activities (or perhaps even cease the operation of our business). If we are unable to continue as a going concern, our stockholders may lose some or all of their investment in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our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TA-ERT, tildacerfont, SPR202 and our other current and future product candidates. We will require significant additional amounts in order to prepare for commercialization, and, if approved, to launch and commercialize TA-ERT, tildacerfont, SPR202 and our other current and future product candidates.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2025, we had cash and cash equivalents of $10.7 million. In October 2020, we consummated our IPO and issued 92,000 shares of common stock for net proceeds of $93.4 million, after deducting underwriting discounts and commissions and offering expenses. In February 2023, we completed a private placement for net proceeds of $50.9 million. In April 2023, we received a $15.0 million upfront payment under the Kaken License Agreement. On October 7, 2025, we entered into a Securities Purchase Agreement with certain institutional investors to sell and issue (i) 502,181 shares of common stock and (ii) pre-funded warrants to purchase up to 233,144 shares of common stock in a private placement transaction. The purchase price per share of common stock was $68.00 per share and the purchase price for the pre-funded warrants was $67.99. Our total gross proceeds were approximately $50.0 million, before deducting placement agent fees and other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Changing circumstances may cause us to consume capital significantly faster than we currently anticipate, and we may need to spend more money than currently expected because of circumstances beyond our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TA-ERT, tildacerfont, SPR202 and our other current and future product candidates and may need to raise additional funds sooner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funding may not be available on acceptable terms, or at all. In addition, we may not be able to access a portion of our existing cash and cash equivalents due to market conditions. For example, on March 10, 2023, the Federal Deposit Insurance Corporation (“FDIC”) took control and was appointed receiver of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Further, as a result of geopolitical and macroeconomic events, including global trade disputes and the ongoing wars in Ukraine and the Middle East and related sanctions, tariffs and the current U.S. government shutdown,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TA-ERT, tildacerfont, SPR202 or other research and development initiatives. We also could be required to seek collaborators for our current product candidates and any future product candidates at an earlier stage than otherwise would be desirable or on terms that are less favorable than might otherwise be available or relinquish or license on unfavorable terms our rights to our current product candidates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product candidates.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our product candidates are not successfully developed and approved, we may never generate any product revenue. For the nine months ended September 30, 2025 and 2024 we reported net losses of $24.3 million and $29.5 million, respectively. As of September 30, 2025, we had an accumulated deficit of $274.6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losses for the foreseeable future, and we expect these losses to increase as we continue our clinical development of, seek regulatory approvals for, and commercially launch TA-ERT and our other current and future product candidates, if approved. We may encounter unforeseen expenses, difficulties, complications, delays,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Human exposure to TA-ERT has occurred in 3 clinical studies (201, 202, and 401) sponsored by Allievex. Study 201 was a completed Phase 1/2, first-in-human, multicenter, multinational, open</w:t>
        <w:noBreakHyphen/>
        <w:t>label, dose-escalation study. Study 250-202 was an extension study for patients who completed Study 201, and Study 401 was an extension study for patients who completed Study 202. Patients entered Study 201 by either completing Study 201’s Part 1 dose-escalation study, or completing Study 901, an observational study of progressive MPS IIIB symptomatology.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Studies 201 and 202, TA-ERT was administered weekly by ICV infusion, and patients were evaluated in terms of neurocognitive function, behavior, sleep, quality of life (both of the patient and of the family/caregiver), MRI imaging characteristics, biochemical markers of disease burden and, in some cases, hearing. The primary objectives of these studies were to evaluate the safety and tolerability of TA-ERT administered to patients with MPS IIIB via an ICV reservoir and catheter, and to evaluate the impact of TA-ERT on cognitive function defined as communication skills in patients with MPS IIIB as assessed by the raw score and age-equivalent quotient (“AEq”). Patients in Study 202 were eligible for weekly or every other week dosing after Week 96. 22 patients enrolled in Study 201 and a total of 21 patients completed the study. 20 of these patients transitioned to Study 202. Study 401 was a Phase 3B/4 study to allow patients that completed Study 202 to continue receiving TA-ERT for up to 3 additional years. The study was discontinued in October 2023 due to financial constraints of the product’s prior sponsor.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901 was a prospective, non-treatment study of MPS IIIB open to 1 – 10 year</w:t>
        <w:noBreakHyphen/>
        <w:t>old patients with cognitive developmental quotients ≥ 50 (determined by the BSID</w:t>
        <w:noBreakHyphen/>
        <w:t>III) upon study entry. This study aimed to quantify MPS IIIB disease progression over time; to correlate changes in clinical features of the disease, in particular cognitive decline, with MRI characteristics and biochemical markers of disease burden; and to serve as a comparator for Studies 201 and 202. Following a screening period, patients were assessed every 12 weeks for up to 96 weeks. 22 patients enrolled and 20 patients matriculated into Study 201.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902 was a prospective, non-treatment study of MPS IIIB that aimed to quantify the progression of cognitive decline in pediatric patients with MPS IIIB over time. The study enrolled patients regardless of age or baseline DQ. To this end, data collected from Study 902 will augment and extend data from Study 901. Data was prospectively collected from 44 patients for up to 192 weeks, with study visits occurring every 24 weeks.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integrated and evaluated group-level efficacy data for cerebral spinal fluid heparan-sulfate non-reducing end (CSF HS-NRE), cortical grey matter volume (CGMV), and Bayley-III Cognitive Raw Score (BSID-C), the cognitive subscale of the Bayley Scales of Infant and Toddler Development - Third Edition (Bayley-III), as well as safety data over a five-year period from clinical studies 201, 202, and 401. Data from treated patients (n=22) in the Studies 201, 202, and 401 was compared with data from untreated patients with MPS IIIB in natural history Studies 901 and 902.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Integrated group-level data from clinical Studies 201, 202, and 401 demonstrate that TA-ERT therapy significantly reduced to normal or near normal CSF HS-NRE levels over a five-year period. At 240 weeks, CSF HS-NRE decreased 91.5 ng/mL from baseline (95% CI: -102.10, -80.90; p&lt;0.0001). Most participants experienced normalization of CSF HS-NRE levels eight weeks after initiating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untreated patients with MPS IIIB, cognitive function peaks around four years of age and then declines over time. In contrast, children with established disease treated with TA-ERT experienced stable cognitive function over time. Untreated children in the natural history studies showed a decline in cognition beginning at approximately five years of age that progressively worsened over time, while cognition in the TA-ERT treated group remained stable. Using a model-based approach, the mean (95% CI) BSID-C over six to 10 years of age was significantly higher in patients treated with TA-ERT, relative to untreated, age-matched children, with differences evident at six years of age (group difference:10.67, 95% CI: 3.23, 18.11; p=0.005). At 10 years of age, the difference in BSID-C scores between groups increased to 34.66 (95% CI: 24.38, 44.93; p&lt;0.0001). Although TA-ERT treatment stabilized BSID-C scores on average, increases in BSID-C scores were more commonly observed in subjects who initiated therapy at younger ages with higher baseline cognitive function and prior to the establishment of meaningful neurodegeneration. The BSID-C is anticipated to be the primary endpoint for the post-marketing clinical trial required for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TA-ERT therapy was also associated with stabilization of CGMV, relative to the decline in CGMV observed in untreated children due to the progressive neurodegenerative nature of MPS IIIB. While CGMV should increase with age in children up to five years of age, there was an average loss of ~32 mL over 48 weeks in untreated children with MPS IIIB observed in Study 901. Consistent with TA-ERT’s mechanism of action, decreases in CGMV were observed during the initial 24 weeks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treatment, likely reflecting intracellular clearance of cerebral spinal fluid heparan sulfate (CSF HS) and CSF HS-NRE. CGMV stabilized from weeks 48 to 240 with TA-ERT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therapy exposure for up to 7.3 years has demonstrated an adequate safety profile in a serious and fatal disease for which no treatment is currently available. The mean (SD) exposure to TA-ERT was 4.2 (2.0) years. No deaths occurred throughout Study 201 and its long-term extension Studies 202 and 401. The most frequent TEAE by preferred term (reported in ≥40% of participants) was vomiting (22 [100%]), followed by pyrexia (20 [90.9%]), upper respiratory tract infection (17 [77.3%]), pleocytosis (11 [50.0%]), COVID-19 infection (10 [45.5%]), and diarrhea (9 [40.9%]). Four (18%) patients discontinued treatment, although three (14%) discontinuations were due to hydrocephalus, a known complication of MPS IIIB. Adverse events related to the ICV device were consistent with other therapies administered by the ICV route.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in a type C meeting with the FDA, the FDA confirmed to Allievex that CSF-HS-NRE is deemed to be a biomarker reasonably likely to predict clinical benefit and could serve as a basis for accelerated approval. The FDA also confirmed that the completed clinical and nonclinical studies of TA-ERT were sufficient for a biologics license application (BLA) submission and provided guidance around key design elements of a confirmatory Phase 3 trial (placebo-controlled 5-year study with a 2-year interim analysis in 14 patients), which must be initiated prior to potential accelerated approval of TA-ERT. We intend to submit the BLA for TA-ERT for the treatment of MPS IIIB in the first quarter of 2026, and if successful and FDA approval is received, potentially commercially launch in late 2026. </w:t>
      </w:r>
    </w:p>
    <w:p>
      <w:pPr>
        <w:pStyle w:val="TextBody"/>
        <w:bidi w:val="0"/>
        <w:spacing w:before="120" w:after="283"/>
        <w:jc w:val="left"/>
        <w:rPr>
          <w:rFonts w:ascii="Times New Roman" w:hAnsi="Times New Roman"/>
          <w:sz w:val="20"/>
        </w:rPr>
      </w:pPr>
      <w:r>
        <w:rPr>
          <w:rFonts w:ascii="Times New Roman" w:hAnsi="Times New Roman"/>
          <w:color w:val="000000"/>
          <w:sz w:val="20"/>
        </w:rPr>
        <w:t>In May 2024, we formed a strategic partnership with HMNC to investigate the potential of tildacerfont, a potent and highly selective, oral, small-molecule antagonist of the CRF</w:t>
      </w:r>
      <w:r>
        <w:rPr>
          <w:rFonts w:ascii="Times New Roman" w:hAnsi="Times New Roman"/>
          <w:color w:val="000000"/>
          <w:sz w:val="13"/>
        </w:rPr>
        <w:t>1</w:t>
      </w:r>
      <w:r>
        <w:rPr>
          <w:rFonts w:ascii="Times New Roman" w:hAnsi="Times New Roman"/>
          <w:color w:val="000000"/>
          <w:sz w:val="20"/>
        </w:rPr>
        <w:t>receptor, and Cortibon, a companion diagnostic developed to identify major depressive disorder (MDD) patients most likely to benefit from CRF</w:t>
      </w:r>
      <w:r>
        <w:rPr>
          <w:rFonts w:ascii="Times New Roman" w:hAnsi="Times New Roman"/>
          <w:color w:val="000000"/>
          <w:sz w:val="13"/>
        </w:rPr>
        <w:t>1</w:t>
      </w:r>
      <w:r>
        <w:rPr>
          <w:rFonts w:ascii="Times New Roman" w:hAnsi="Times New Roman"/>
          <w:color w:val="000000"/>
          <w:sz w:val="20"/>
        </w:rPr>
        <w:t>receptor antagonism. Cortibon was developed using DNA samples from patients that were enrolled in a large-scale randomized controlled trial where a CRF</w:t>
      </w:r>
      <w:r>
        <w:rPr>
          <w:rFonts w:ascii="Times New Roman" w:hAnsi="Times New Roman"/>
          <w:color w:val="000000"/>
          <w:sz w:val="13"/>
        </w:rPr>
        <w:t>1</w:t>
      </w:r>
      <w:r>
        <w:rPr>
          <w:rFonts w:ascii="Times New Roman" w:hAnsi="Times New Roman"/>
          <w:color w:val="000000"/>
          <w:sz w:val="20"/>
        </w:rPr>
        <w:t>receptor antagonist was compared with the standard of care (escitalopram) and placebo. Cortibon stratifies the patient sample with a sensitivity and specificity above 80% and post-hoc analysis suggests treatment benefit of a CRF</w:t>
      </w:r>
      <w:r>
        <w:rPr>
          <w:rFonts w:ascii="Times New Roman" w:hAnsi="Times New Roman"/>
          <w:color w:val="000000"/>
          <w:sz w:val="13"/>
        </w:rPr>
        <w:t>1</w:t>
      </w:r>
      <w:r>
        <w:rPr>
          <w:rFonts w:ascii="Times New Roman" w:hAnsi="Times New Roman"/>
          <w:color w:val="000000"/>
          <w:sz w:val="20"/>
        </w:rPr>
        <w:t xml:space="preserve">receptor antagonist in the Cortibon-positive population.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HMNC and Spruce have initiated a Phase 2 proof-of-concept clinical trial called Tildacerfont as TAMARIND. TAMARIND’s primary objective will be to explore efficacy of 400mg twice-daily tildacerfont versus placebo in improving depressive symptoms in MDD patients that are Cortibon-positive. Topline results from TAMARIND are anticipated in the first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TA-ERT, tildacerfont, SPR 202 and our other current and future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tildacerfont, SPR 202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one or more new drug applications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TA-ERT, tildacerfont, and SPR202,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TA-ERT, tildacerfont, SPR202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TA-ERT, tildacerfont, and SPR202, if approved,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TA-ERT, tildacerfont, and SPR202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our product candidates.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TA-ERT, tildacerfont, and SPR202, if approved,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intend to seek FDA approval of TA-ERT for MPS IIIB through the accelerated approval pathway. If we are unable to obtain accelerated approval, we may be required to conduct additional preclinical studies or clinical trials beyond the confirmatory Phase 3 trial that we currently contemplate, which could increase the expense of obtaining, and delay the receipt of, necessary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submit a BLA seeking accelerated approval based on existing clinical data, however there can be no assurance that such submission or application will be accepted for filing by the FDA or that approval will be granted on a timely basis, or at all. For example, in March 2024, in a type C meeting with the FDA, the FDA confirmed that HS-NRE is deemed to be a biomarker reasonably likely to predict clinical benefit and could serve as a basis for accelerated approval. The FDA also confirmed that the completed clinical and nonclinical studies of TA-ERT were sufficient for a BLA submission and provided guidance around key design elements of a confirmatory trial (placebo-controlled 5-year study with a 2-year interim analysis in 14 patients), which must be initiated prior to potential accelerated approval of TA-ERT. Based, in part, on these discussions, we intend to submit the BLA for TA-ERT for the treatment of MPS IIIB in the first quarter of 2026, and if successful and FDA approval is received, potentially commercially launch in late 2026. Failure to obtain accelerated approval would result in a longer time period to commercialization, if any, and would increase the cost of development and harm our competitive position in the marketplace.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that our product candidates are well tolerated and provide sufficient clinical benefits for patients,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MPS IIIB, MDD, congenital adrenal hyperplasia (CAH), and post-bariatric hypoglycemia (PBH). We intend to seek accelerated approval of TA-ERT for MPS IIIB based on existing clinical data. As a condition of seeking such approval of a BLA from the FDA, we will initiate a confirmatory Phase 3 trial, which must be initiated prior to potential accelerated approval of TA-ERT. We intend to submit the BLA for TA-ERT for the treatment of MPS IIIB in the first quarter of 2026, and if successful and FDA approval is received, potentially commercially launch in late 2026. Additionally, any safety concerns observed in any one of our clinical trials in our targeted indications could limit the prospects for regulatory approval of TA-ERT, tildacerfont, and SPR202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TA-ERT, tildacerfont, and SPR202. We believe the key competitive factors that will affect the development and commercial success of our product candidates are,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safety and tolerability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promotional support and high-touch patient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commercial quantities of our product candidates if they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drugs may be more effectively marketed and sold than any drug we may commercialize and may render our product candidates obsolete or non-competitive before we can recover the expenses of developing and commercializing any of our product candidates.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our product candidates are likely to be efficacy, safety, and convenience.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tildacerfont, SPR202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of our product candidates, we or our collaborators must conduct extensive trials to demonstrate the safety and efficacy of the product candidates in humans. Preclinical and clinical testing is expensive and difficult to design and implement, can take many years to complete, and its outcome is inherently uncertain. A failure of one or more preclinical or clinical trials can occur at any stage of testing. The results of preclinical studies and early clinical trials of TA-ERT and tildacerfont, and preclinical studies of SPR202 may not be predictive of the results of later-stage clinical trials, and interim results of a trial do not necessarily predict final results. Product candidates in later stages of clinical trials may fail to show the desired safety and efficacy traits despite having progressed through preclinical studies and initial clinical trials. For example, we plan to use doses in our clinical trials for TA-ERT and tildacerfont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have faced significant setbacks as we conducted our two Phase 2b clinical trials for tildacerfont in adult patients with classic CAH, and we may continue to face such setbacks in our other development programs, which may delay or prevent regulatory approval of tildacerfont. For example, due to not meeting its primary efficacy endpoint, we terminated our CAHmelia-203 trial in March 2024 and our CAHmelia-204 trial in December 2024. Additionally, the prior sponsor of TA-ERT, Allievex, discontinued clinical development due to financial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TA-ERT, tildacerfont and our other current and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especially in the case of an orphan indication, the proximity of patients to clinical sites, competition with other organizations or our own clinical trials for clinical trial sites or patients, the eligibility and exclusion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one indication for which we are evaluating TA-ERT is a rare neurodegenerative pediatric disorder with limited patient populations from which to draw participants in clinical trials. For example, we estimate the MPS-IIIB population in the United States is less than 200 patients. We are and will be required to identify and enroll a sufficient number of patients with the disorder under investigation for our clinical trials of TA-ERT.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disorders and are recruiting clinical trial patients from these patient populations, which may delay or make it more difficult to fully enroll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our current product candidates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our current product candidates or any future product candidates, we must conduct extensive clinical trials to demonstrate the safety and efficacy of our current product candidates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our current product candidates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tildacerfont, and SPR202;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TA-ERT, tildacerfont, SPR202 or our other current and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TA-ERT, tildacerfont, SPR202 and our other current and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such as that experienced by Allievex in relation to the continued development of TA-ERT;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our product candidates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our product candidates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have done for TA-ERT,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TA-ERT, tildacerfont, SPR202,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TA-ERT, tildacerfont, SPR202 or our other current and future product candidates, the commercial prospect of TA-ERT, tildacerfont, SPR202 or our other current and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TA-ERT, tildacerfont, SPR202 or our other current and future product candidates. Further, delays to our clinical trials that occur as a result could shorten any period during which we may have the exclusive right to commercialize TA-ERT, tildacerfont, and SPR202 and our competitors may be able to bring products to market before we do, and the commercial viability of TA-ERT, tildacerfont, and SPR202 could be significantly reduced. Any of these occurrences may harm our business, financial condition, and prospects significantly.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TA-ERT, tildacerfont and SPR202 are, and our other current and future product candidates will be, subject to extensive regulation and compliance obligations, which are costly and time-consuming, and such regulation may cause unanticipated delays or prevent the receipt of the required approvals to commercialize TA-ERT, tildacerfont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our product candidates subject to extensive regulation by the FDA in the United States and by comparable foreign regulatory authorities in foreign markets. In the United States, we are not permitted to market TA-ERT, tildacerfont, SPR202 or any other current or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TA-ERT, tildacerfont, SPR202 or any other current or future product candidates in the United States until we receive approval of an NDA or BLA from the FDA. Similar requirements and risks are applicable in foreign markets. We have not previously submitted an NDA or BLA to the FDA, or similar drug approval filings to comparable foreign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TA-ERT, tildacerfont, SPR202 and any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tildacerfont, SPR202 and our other current and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TA-ERT, tildacerfont, SPR202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may not be sufficient to satisfy the FDA or comparable foreign regulatory authorities to support the submission of an NDA, BLA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TA-ERT, tildacerfont, SPR202 or our other current and future product candidates and could substantially increase the costs of commercializing TA-ERT, tildacerfont, SPR202 or our other current and future product candidates. The demand for TA-ERT, tildacerfont, SPR202 or any future product candidates could also be negatively impacted by any adverse effects of a competitor’s product or treatment.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TA-ERT, tildacerfont, SPR202 and our other current and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BLA or foreign marketing application for TA-ERT, tildacerfont, SPR202 and our other current and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such data should be viewed with caution until the final data are available. Adverse differences between preliminary, interim, or topline data and final data could significantly harm our business prospects and may cause the trading price of our common stock to fluctuate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our product candidates and any future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TA-ERT, tildacerfont, SPR202 and our other current and future product candidates are smaller than we believe they are, our future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size of the market opportunities in each of our target indications for our product candidates and any future product candidates is smaller than we anticipate, we may not be able to achieve profitability and growth. We focus our clinical development on treatments for neurological disorders. For example, we believe that TA-ERT has the potential to bring therapeutic benefit to patients suffering from MPS IIIB. Given the relatively small number of patients who have MPS IIIB,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due to the lack of available treatment options, newborn screening programs have not been widely adopted for the detection of MPS IIIB. As a result, patients may become increasingly difficult to identify or gain access to, which would adversely affect our results of operations and our business. In addition, the potentially addressable patient population for MPS IIIB may be limited or may not be amenable to treatment with TA-ERT, if approved. Further, even if we obtain significant adoption and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penetration for TA-ERT in MPS IIIB, we may never achieve profitability despite obtaining such significant market share, as other pharmaceutical companies with more resources and greater experience in drug development and commercialization are targeting this same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our product candidates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with the FDA, obtaining approval of a Marketing Authorization Application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TA-ERT in certain countries. If we fail to comply with the regulatory requirements in international markets and/or receive applicable marketing approvals, our target market will be reduced and our ability to realize the full market potential of TA-ERT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TA-ERT, tildacerfont, SPR202 and our other current and future product candidates, we may not be able to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our product candidates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TA-ERT,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development of our own sales force or the establishment of a contract sales force to market our product candidates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To the extent we rely on third parties to commercialize our product candidates, if approved, we may have little or no control over the marketing and sales efforts of such third parties and our revenues from product sales may be lower than if we had commercialized TA-ERT, tildacerfont, SPR202 and any future product candidates ourselves. In the event we are unable to develop our own marketing and sales force or collaborate with a third-party marketing and sales organization, we would not be able to commercialize TA-ERT or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and geopolitical conditions could adversely affect our business, financial condition or results of operations.*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economic and business activities have been, and may continue to be, disrupted and volatile due to many factors, including global trade disputes, labor shortages, declines in consumer confidence, inflation and monetary supply shifts, recession risks, potential disruptions from the ongoing wars in Ukraine and the Middle East and related sanctions, declines in economic growth, and uncertainty about economic stability,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jc w:val="left"/>
        <w:rPr>
          <w:rFonts w:ascii="Times New Roman" w:hAnsi="Times New Roman"/>
          <w:color w:val="000000"/>
          <w:sz w:val="20"/>
        </w:rPr>
      </w:pPr>
      <w:r>
        <w:rPr>
          <w:rFonts w:ascii="Times New Roman" w:hAnsi="Times New Roman"/>
          <w:color w:val="000000"/>
          <w:sz w:val="20"/>
        </w:rPr>
        <w:t xml:space="preserve">A severe or prolonged global economic downturn could result in a variety of risks to our business. For example, inflation rates, particularly in the United States, have increased to levels not previously seen in years, and increased inflation may result in increases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the Middle East may have similar effects. As a result, our business and results of operations may be adversely affected by the ongoing wars in Ukraine and the Middle East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retain, manage and motivate highly qualified managerial, scientific, and medical personnel. If we do not succeed in attracting and retaining qualified personnel, particularly at the management level, it could adversely affect our ability to execute our business plan and harm our operating results. In particular, the loss of the services of any of our executive officers or other key employees and our inability to find suitable replacements in a timely manner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TA-ERT, tildacerfont, SPR202 or our other current and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biopharmaceuticals generally, it is likely that there may be side effects and adverse events associated with the use of TA-ERT, tildacerfont, SPR202 and our other current and future product candidates. Results of our clinical trials could reveal a high and unacceptable severity and prevalence of side effects or unexpected characteristics. Undesirable side effects caused by TA-ERT, tildacerfont, SPR202 and our other current and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400 subjects across ten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ULN, elevations in aspartate aminotransferase (“AST”) less than five times the ULN, and no increases in bilirubin. The event resolved on its own without additional medical intervention. If drug-related SAEs are observed, our trials could be suspended or terminated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could order us to cease further development of or deny approval for TA-ERT, tildacerfont, and SPR202 for any or all targeted indications.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TA-ERT, tildacerfont, SPR202 and our other current and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form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TA-ERT, tildacerfont, SPR202 and our other current and future product candidates, if approved, and could significantly harm our business,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TA-ERT, tildacerfont, SPR202 and our other current and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TA-ERT, tildacerfont, SPR202 and our other current and future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policies of the FDA and other regulatory authorities, including foreign regulatory authorities, may change and additional government regulations may be enacted that could prevent, limit or delay regulatory approval for TA-ERT, tildacerfont, SPR202 and our other current and future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w:t>
      </w:r>
      <w:r>
        <w:rPr>
          <w:rFonts w:ascii="Times New Roman" w:hAnsi="Times New Roman"/>
          <w:i/>
          <w:color w:val="000000"/>
          <w:sz w:val="20"/>
        </w:rPr>
        <w:t>Chevron</w:t>
      </w:r>
      <w:r>
        <w:rPr>
          <w:rFonts w:ascii="Times New Roman" w:hAnsi="Times New Roman"/>
          <w:color w:val="000000"/>
          <w:sz w:val="20"/>
        </w:rPr>
        <w:t xml:space="preserve">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funding for the FDA and other government agencies, or comparable foreign regulatory authorities</w:t>
      </w:r>
      <w:r>
        <w:rPr>
          <w:rFonts w:ascii="Times New Roman" w:hAnsi="Times New Roman"/>
          <w:color w:val="000000"/>
          <w:sz w:val="20"/>
          <w:u w:val="single"/>
        </w:rPr>
        <w:t xml:space="preserve"> </w:t>
      </w:r>
      <w:r>
        <w:rPr>
          <w:rFonts w:ascii="Times New Roman" w:hAnsi="Times New Roman"/>
          <w:b/>
          <w:i/>
          <w:color w:val="000000"/>
          <w:sz w:val="20"/>
        </w:rPr>
        <w:t>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during the ongoing government shutdown that began on October 1, 2025 and the government shutdown that lasted for 35 days beginning on December 22, 2018, the U.S. government has shut down several times and certain regulatory agencies, such as the FDA, have had to furlough critical FDA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TA-ERT, tildacerfont, SPR202 and our other current and future product candidates, they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tildacerfont, SPR202 and our other current and future product candidates may not be commercially successful. The commercial success of TA-ERT, tildacerfont, SPR202 or our other current and future product candidates, if approved, will depend significantly on the broad adoption and use of such product by physicians and patients for approved indications. The degree of market acceptance of TA-ERT, tildacerfont or our other current and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TA-ERT, tildacerfont, SPR202 or any other current or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In addition, even if TA-ERT, tildacerfont and any other current or future product candidate gains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TA-ERT, tildacerfont, SPR202 and any other current or future product candidate is approved for marketing, and we are found to have improperly promoted off-label uses, or if physicians prescribe or use TA-ERT, tildacerfont, SPR202 and any other current or future product candidates off-label, we may become subject to prohibitions on the sale or marketing of TA-ERT, tildacerfont, SPR202 and any other current or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DOJ, and comparable foreign authorities strictly regulate the marketing and promotional claims that are made about pharmaceutical products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TA-ERT, tildacerfont, SPR202 and any other current or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authorities, or comparable foreign regulatory authorities, to have engaged in the promotion of TA-ERT, tildacerfont, SPR202 or any other current or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TA-ERT, tildacerfont, SPR202 and our other current or future product candidates, which could make it difficult for us to sell TA-ERT, tildacerfont, SPR202 and our other current or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TA-ERT, tildacerfont, SPR202 and any other current or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U.S. governmental healthcare programs, such as Medicare and Medicaid, or comparable foreign healthcare programs, and commercial payors is critical to new product acceptance, and we may not obtain such coverage or adequate reimbursement. Moreover, we focus our clinical development on treatments for serious disorders, some of which have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TA-ERT, tildacerfont, SPR202 or any other current or future product candidate unless coverage is provided and reimbursement is adequate to cover a significant portion of the cost. Additionally, the reimbursement rates and coverage amounts may be affected by the approved label for TA-ERT, tildacerfont, SPR202 or any other current or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TA-ERT, tildacerfont, SPR202 and any other current or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TA-ERT, tildacerfont, SPR202 and any other current or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seek approval to market TA-ERT tildacerfont, and SPR202 in the United States and in selected foreign jurisdictions. If we obtain approval in one or more foreign jurisdictions for TA-ERT, tildacerfont or SPR202, we will be subject to rules and regulations in those jurisdictions. In some foreign countries, particularly those in the EU, the pricing of prescription pharmaceuticals and biologics is subject to governmental control. In these countries, pricing negotiations with governmental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and healthcare reform measures may increase the difficulty and cost for us to obtain marketing approval for and commercialize TA-ERT, tildacerfont, SPR202 and any other current or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For example, on August 16, 2022, the Inflation Reduction Act of 2022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and amendments in the future. It is unclear how any such challenges and the healthcare reform measures of the second Trump administration will impact the Affordable Care Act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until 2032, unless additional Congressional action is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federal level the IRA, among other things (i) directs HHS to negotiate the price of certain high-expenditure, single-source drugs and biologics that have been on the market for at least 7 years covered under Medicare and (ii) imposes rebates under Medicare Part B and Medicare Part D to penalize price increases that outpace inflation. These provisions began to effect progressively starting in fiscal year 2023. On August 15, 2024, HHS announced the agreed-upon reimbursement price of the first ten drugs that were subject to price negotiations, although the Medicare drug price negotiation program is currently subject to legal challenges. HHS will select up to fifteen additional drugs covered under Part D for negotiation in 2025. HHS has and will continue to issue and update guidance as these programs are implemented. In addition, in response to an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On December 8, 2023, the National Institute of Standards and Technology published for comment a Draft Interagency Guidance Framework for Considering the Exercise of March-In Rights which for the first time includes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other healthcare reform measures that may be adopted in the future, particularly in light of the recent U.S. Presidential and Congressional elections,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current Trump administration is pursuing policies to reduce regulations and expenditures across government including at HHS, the FDA, CMS and related agencies.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presently directed by executive orders or memoranda from the Office of Management and Budget, may propose policy changes that create additional uncertainty for our business. These actions include, for example, (1) directives to reduce agency workforce and cut programs, (2) rescinding a Biden administration executive order tasking the Center for Medicare and Medicaid Innovation to consider new payment and healthcare models to limit drug spending, (3) eliminating the Biden administration’s executive order that directed HHS to establishing an AI task force and developing a strategic plan, (4) directing certain federal agencies to enforce existing law regarding hospital and price plan transparency and by standardizing prices across hospitals and health plans (5) imposing tariffs of imported pharmaceutical products; (6) and directing certain federal agencies to enforce existing law regarding hospital and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with full implementation timelines extending to 2030. It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to identify promising technologies early, and continuing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April 26, 2023, the European Commission adopted a proposal for a new Directive and Regulation to revise the existing pharmaceutical legislation. On April 10, 2024, the Parliament adopted its related position and on 4 June 2025 the European Council agreed on its position. The Council, the Parliament and the European Commission have begun trilogue negotiations with a view to reaching an agreement on the package. A decrease in data and market exclusivity opportunities for our product candidates in the EU could make them open to generic or biosimilar competition earlier than is currently the case with a related reduction in reimbursement status. If adopted in the form proposed, the European Commission proposals to revise the existing EU laws governing authorization of medicinal products may result in a number of changes to the regulatory framework governing medicinal product, including a decrease in data and market exclusivity for our product candidates in the EU, if approved, among other regulatory changes.</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the necessary regulatory approvals, a variety of risks associated with marketing TA-ERT, tildacerfont, SPR202 and any other current or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TA-ERT, tildacerfont, SPR202 and any other current or future product candidates internationally. Even if we obtain such approvals, we will nevertheless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to in-license or acquire development and commercial-stage product candidates in disorders that have the potential to complement our existing portfolio. Our current product candidates are generally in-licensed from or derived from partnerships with other pharmaceutical companies. If we decide to pursue the development and commercialization of any additional product candidates, we may be required to invest significant resources to acquire or in-license the rights to such product candidates or to conduct drug discovery activities and we may be unable to in-license the rights on reasonable terms if at all.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9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our product candidates and any future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our product candidates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(the “Loan Agreement”) providing for a term loan (the “Term Loan”) with SVB for an aggregate principal amount of $4.5 million. In March 2021, we entered into the First Amendment to Loan and Security Agreement (the “First Amendment”), which increased the aggregate principal amount of the Term Loan to up to $30.0 million, of which $20.0 million was immediately available under the first tranche (the “First Tranche”) and $10.0 million was available under the second tranche through December 31, 2022 (the “Second Tranche”) subject to the completion of certain clinical or financial milestones. In May 2022, we entered into the Second Amendment to Loan and Security Agreement (the “Second Amendment”), which amended the milestone upon which the Second Tranche commitment of $10.0 million would become available, added a liquidity covenant for the Second Tranche and amended the interest and prepayment terms. Commitments available under the Second Tranche of $10.0 million expired on December 31, 2022. Repayment of principal on the First Tranche commenced in January 2023. As of September 30, 2025, we had $0.5 million outstanding principal under the Loan Agreement. Pursuant to the First Amendment, the Term Loan will mature on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Term Loan are secured by a first priority lien on substantially all of our assets, excluding intellectual property assets. We have agreed with SVB not to encumber our intellectual property assets, except as permitted under the Loan Agreement.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 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more detailed description of the terms of the Loan Agreement, see the section titled “Item. 2 Management’s Discussion and Analysis of Financial Condition and Results of Operations—Material Agreements—Loan Agreement with Silicon Valley Bank” and Note 6 to our unaudited financial statements, each included elsewhere in this Quarterly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TA-ERT tildacerfont, and SPR202. Our ability to obtain clinical supplies of TA-ERT, tildacerfont, SPR202 and any other current or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TA-ERT, tildacerfont, or SPR202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any of which could adversely affect our ability to operate our business and our results of operations. In addition, the approval and commercialization of TA-ERT, tildacerfont, or SPR202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As a result, we and the third parties with whom we work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our relationship with the third parties with whom we work could introduce new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continue to expend significant resources (including financial) and modify our business activities (including our clinical trial activities) to try to protect against security incidents and, as applicable, to detect, investigate, mitigate, contain and remediate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and recover from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have or could cause a security incident that resulted in or results in unauthorized, unlawful, or accidental acquisition, modification, destruction, alteration, encryption, access to, use or disclosure of, corruption of, or loss of sensitive data or our information technology systems, or those of the third parties with whom we work. A security incident has and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incidents (or perceived security incidents), may result in material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(including the third parties with whom we work)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are or may become subject to federal, state, local, and foreign data privacy and security laws and regulations, as well as other rules, standards, policies and contractual or other obligations, relating to the processing of personal data, including data we collect about trial participants in connection with clinical trials. If we (including the third parties with whom we work) fail, or are perceived to have failed, to address or comply with any such obligations, this could result in enforcement actions that could include investigations, fines, penalties, audits and inspections, litigation (including class-action claims) and mass arbitration demands, additional reporting requirements and/or oversight, temporary or permanent bans on all or some processing of personal data, or orders to destroy or not use personal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as applicable, state data breach notification laws, state health information privacy laws, and federal and state consumer protection laws (e.g., Section 5 of the Federal Trade Commission Act) and regulations, and other laws (e.g., wiretapping laws), that govern the processing of personal data apply to our operations and the operations of the third parties with whom we work. In addition, we obtain health information from third parties (including research institutions from which we obtain clinical trial data) that may be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California Consumer Privacy Act of 2018, as amended by the California Privacy Rights Act of 2020 (“CPRA”) (collectively “CCPA”), applies to personal data of consumers, business representatives, and employees who are California residents, and requires businesses (that are subject to the CCPA)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other states have also passed comprehensive privacy laws, and similar laws are being considered in several other states, as well as at the federal and local levels. We expect more states to pass similar laws in the future.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including our processing of personal data. For example, our processing of personal data is or may become subject in certain circumstances to the EU GDPR and the United Kingdom’s GDPR (“UK GDPR”) (collectively, “GDPR”). The GDPR imposes stringent standards of data privacy and security concerning personal data and imposes potentially significant sanctions for non-compliance. For example, under the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transfer personal data from Europe and other jurisdictions to the United States and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and other ‘inadequate’ countries in compliance with law, as applicable,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are also increasingly scrutinizing certain personal data transfers and have and may further impose personal data transfer requirements or prohibitions on cross-border personal data transfers.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such as industry standards adopted by industry groups, and our efforts to comply with such obligations may not be successful. For example, trial participants about whom we or the third parties with whom we work to obtain information, as well as the third parties with whom we work who share this information with us, may contractually limit our ability to use and disclose the information. We also publish privacy policies and other statements regarding data privacy and security. Regulators are increasingly scrutinizing these types of policies and statements, and ff these policies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Compliance with data privacy and security obligations have in the past and could require us to take on more onerous requirements in our contracts, engage in costly compliance exercises, restrict our ability to collect, use and disclose data, or in some cases, impact our or the third parties with whom we work ability to operate in certain jurisdictions. Applicable data protection laws can be subject to differing applications and interpretations which may be inconsistent or conflict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(or perceived non-compliance)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TA-ERT, tildacerfont, SPR202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TA-ERT, tildacerfont, SPR202 and any future product candidates and will face an even greater risk if we commercialize any products. For example, we may be sued if TA-ERT, tildacerfont, SPR202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TA-ERT, tildacerfont, and SPR202.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TA-ERT, tildacerfont, SPR202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TA-ERT, tildacerfont, SPR202 and any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2024, after reducing net operating losses (“NOLs”) and tax credits for amounts not expected to be utilized, we had federal NOL carryforwards of approximately $128.1 million and state NOL carryforwards of approximately $123.0 million. The federal NOL carryforwards arising in taxable years beginning prior to 2018 will begin to expire in 2036 and state NOL carryforwards will begin to expire in 2036, unless previously utilized. We also have federal and state tax credit carryforwards totaling $32.3 million and $2.4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2023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September 30, 2025, we recorded a full valuation allowance on our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at the state level, there may be periods during which the use of NOLs is suspended or otherwise limited, which could accelerate or permanently increase state taxes owed.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instance, OBBBA makes permanent key elements of the 2017 Tax Cuts and Jobs Act, including 100% bonus depreciation and the business interest expense limitation, as well as makes other significant changes to the U.S. tax laws. We are currently evaluating the impact, if any, of the OBBBA on our business and financial condition and expect the results of such evaluation to be reflected on the Company’s Form 10-K for the year ended December 31, 2025. Further, the Tax Act, the CARES Act and the Inflation Reduction Act of 2022 enacted many significant changes to the U.S. tax laws. Future guidance from the Internal Revenue Service and other tax authorities may affect us, and certain aspects of the changes could be repealed or modified in future legislation.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compliance with all applicable requirements of the Nasdaq Capital Market (“Nasdaq”), our common stock could be subject to delisting which would adversely affect the market liquidity of our common stock and the market price of our common stock could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we received a letter from Nasdaq Listing Qualifications, notifying us that, for the previous 30 consecutive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day period prior to the date of the letter, the closing bid price for our common stock was below $1.00 (the “Minimum Bid Price Requirement”). In accordance with Listing Rule 5810(c)(3)(A) we were provided an initial period of 180 calendar days, or until October 23, 2024, to regain compliance with Nasdaq’s bid price requirement. On October 10, 2024, we applied to transfer our listing from the Nasdaq Global Select Market to the Nasdaq Capital Market (the “Transfer”). On October 24, 2024, Nasdaq Listing Qualifications notified us that the Transfer was approved, effective October 28, 2024, and that, in connection with the Transfer, we were eligible for an additional 180 calendar day period, or until April 21, 2025 (the “Extended Compliance Date”), to regain compliance with the minimum closing bid price requirement.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22, 2025, we received a written notification (the “Delisting Notice”) from Nasdaq that as a result of our ongoing failure to comply with the Minimum Bid Price Requirement, our trading in the Company’s stock was suspended at the open of trading on April 29, 2025. We appealed Nasdaq’s determination to its Hearings Panel pursuant to the procedures set forth in the Nasdaq Listing Rule 5800 Series and submitted a plan to regain compliance with the Minimum Bid Price Requirement (the “Compliance Plan”) to that effect to the Hearings Panel as part of the hearing process. On May 29, 2025, the Company met with the Hearings Panel to discuss the Compliance Plan. On June 9, 2025, we received a letter from the Hearings Panel stating that our appeal was accepted.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23, 2025, we filed with the Secretary of State of the State of Delaware an Amendment to our Amended and Restated Certificate of Incorporation to effect a one-for-seventy-five (1:75) reverse stock split of our outstanding common stock (the “Reverse Stock Split”). A series of alternate amendments to effect the Reverse Stock Split was approved by our stockholders at the Annual Meeting of Stockholders held on July 22, 2025, and the specific one-for-seventy-five (1:75) ratio was subsequently approved by our Board of Directors on July 23,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began trading on the OTCQB on a split-adjusted basis on August 7, 2025 (the “Effective Date”) under the ticker symbol “SPRBD”. Our common stock resumed trading on the Nasdaq Capital Market on September 15,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remain in compliance with the Minimum Bid Price Requirement.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resulting in a determination that the common stock is a “penny stock” which would require brokers trading in the common stock to adhere to more stringent rules, possibly resulting in a reduced level of trading activity in the secondary trading market for shares of common stock; limiting our ability to issue additional securities or obtain additional financing in the future; and impairing our ability to provide equity incentives to our employees. In addition, delisting from Nasdaq may negatively impact our reputation and, consequently,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has been, and may continue to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and could be subject to wide fluctuations in response to various factors, some of which are beyond our control, including limited trading volume.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tralesinidase alfa (“TA-ERT"), tildacerfont or any future clinical trials we may conduct of TA-ERT, tildacerfont, SPR202 and any future product candidates, or changes in the development status of TA-ERT, tildacerfont, SPR202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and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TA-ERT, tildacerfont, SPR202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TA-ERT, tildacerfont, SPR202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TA-ERT, tildacerfont, SPR202 and any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TA-ERT, tildacerfont, SPR202 and any future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TA-ERT, tildacerfont, SPR202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TA-ERT, tildacerfont, SPR202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MPS-IIIB, major depressive disorder, and other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market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global trade disputes and the wars in Ukraine and the Middle East and related sanctions;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discussed in this “Risk Factors” section and elsewhere in this Quarterly Report,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a company’s securities. This risk is especially relevant for us because biopharmaceutical companies have experienced significant stock price volatility in recent years. This type of litigation, if instituted, could result in substantial costs and a diversion of management’s attention and resources, which could harm our business, operating results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2025, there were 563,491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214,873 shares of common stock, pre-funded warrants to purchase 10,666 shares of common stock, and warrants to purchase 169,147 shares of common stock. All of the pre-funded warrants have been exercised. Additionally, in October 2025, we entered into a securities purchase agreement with certain institutional investors, pursuant to which we agreed to sell and issue 502,181 shares of common stock and pre-funded warrants to purchase up to 233,144 shares of common stock in a private placement transaction. Pursuant to the securities purchase agreements, we have registered and, in the case of the October 2025 securities purchase agreement, plan to register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For example, in February 2023, we entered into a securities purchase agreement with several institutional and accredited investors, including holders of more than 5% of our total common stock outstanding on the date of the securities purchase agreement, pursuant to which we issued and sold 214,873 shares of common stock, pre-funded warrants to purchase 10,666 shares of common stock, all of which have been exercised, and warrants to purchase 169,147 shares of common stock.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2020 Equity Incentive Plan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5,883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others, the termination of which could result in the loss of significant rights,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technology, patents, know-how, and proprietary materials, both our own and licensed from others. For example, we entered into a license agreement with Eli Lilly and Company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 In addition, we entered into a license agreement with BioMarin Pharmaceutical Inc. in October 2019 pursuant to which we obtained a limited exclusivity, royalty bearing, and sublicensable license to certain technology, patent rights, know-how, and proprietary materials relating to certain enzyme replacement therapy products. We entered into a collaboration and license agreement with HBM Alpha Therapeutics, Inc (“HBM”) in January 2025 pursuant to which we obtained a limited exclusivity, royalty bearing, and sublicensable license to certain technology, patent rights, manufacturing rights, know-how, and proprietary materials relating to certain compounds developed by HBM (the “HBM License Agreement”). We also entered into an antibody license agreement with Twist Bioscience Corporation (“Twist Antibody License Agreement”) in December 2024, pursuant to which we obtained a license for purposes of evaluating certain antibodies for commercial development (“the Twist Option”). The Antibody License Agreement was amended in July 2025 to extend the exercise period for the Twist Option to December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TA-ERT, tildacerfont, SPR202 and our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clinical trials for TA-ERT, tildacerfont, and SPR202.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TA-ERT, tildacerfont, SPR202 and any future product candidates. As a result, our financial results and the commercial prospects for TA-ERT, tildacerfont, SPR202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quarantines, shelter-in-place, and similar government orders, or the perception that such orders, shutdowns or other restrictions on the conduct of business operations could occur, related to infectious diseases could impact personnel at our CROs,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could disrupt our clinical timelines, which could have a material adverse impact on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TA-ERT, tildacerfont, SPR202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TA-ERT, tildacerfont, SPR202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long-term agreement with a manufacturer to produce raw materials, active pharmaceutical ingredients (“APIs”), and the finished products of TA-ERT, tildacerfont, SPR202 or the associated packaging used in our current product format and we may rely on single source suppliers for clinical supply of API and drug products of TA-ERT, tildacerfont, and SPR202. We will need to identify and qualify a third-party manufacturer prior to commercialization of TA-ERT, tildacerfont, and SPR202 and we intend to enter into agreements for commercial production with third-party suppliers. Our reliance on third-party suppliers and manufacturers, including single-source suppliers, could harm our ability to develop TA-ERT, tildacerfont, SPR202 and any future product candidates or to commercialize any product candidates that are approved. Further, any delay in identifying and qualifying a manufacturer for commercial production could delay the potential commercialization of TA-ERT, tildacerfont, SPR202 and any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TA-ERT, tildacerfont, SPR202 and any future product candidates must be approved by the applicable regulatory authorities, including the FDA or comparable foreign regulatory authorities, pursuant to inspections that will be conducted after an NDA, BLA or comparable foreign regulatory marketing application is submitted. We currently do not control the manufacturing process of TA-ERT, tildacerfont, or SPR202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TA-ERT, tildacerfont, SPR202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TA-ERT, tildacerfont, SPR202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TA-ERT, tildacerfont, SPR202 or any future product candidates or in the manufacturing facilities, such manufacturing facilities may need to be closed for an extended period of time to investigate and remedy the contamination. Any stability or other issues relating to the manufacture of TA-ERT, tildacerfont, SPR202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Social media platforms and AI-based platforms present new risks and challenges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TA-ERT, tildacerfont, SPR202,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tildacerfont, and SPR202, if approved, any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TA-ERT, tildacerfont, SPR202, any future product candidates, and other proprietary technologies we develop. If we are unable to obtain or maintain patent protection with respect to TA-ERT, tildacerfont, SPR202, any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our product candidates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TA-ERT, tildacerfont, SPR202, any future product candidates and other proprietary technologies and their uses by obtaining, defending and enforcing patents. These risks and uncertainties include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our product candidates,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Additionally,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If we do not adequately protect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and proprietary technology, competitors may be able to use TA-ERT, tildacerfont, SPR202,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TA-ERT, tildacerfont, SPR202, and any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TA-ERT, tildacerfont, SPR202, and any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TA-ERT, tildacerfont, or SPR202;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our current product candidates, including TA-ERT, tildacerfont, SPR202,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our current product candidates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our current product candidates and any future product candidates. Furthermore, even if they are unchallenged, our patents may not adequately protect our intellectual property, provide exclusivity for our current product candidates or any future product candidates or prevent others from designing around our claims. If the breadth or strength of protection provided by the patents we hold with respect to our current product candidates or any future product candidates is threatened, it could dissuade companies from collaborating with us to develop, or threaten our ability to commercialize, our current product candidates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our product candidates,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our product candidates and any future product candidates under patent protection would be reduced. Additionally, we may not receive an extension if we fail to apply within applicable deadlines, fail to apply prior to expiration of relevant patents, or otherwise fail to satisfy applicable requirements. Additionally, administrative changes at the USPTO or other applicable patent authorities, such as reduced hiring and/or funding, and/or the current U.S. government shutdown may result in delays in issuance of a patent or in accrual of patent term extension, thereby reducing the amount of patent term extension that could otherwise be received. Administrative changes (e.g., at the FDA or USPTO) and/or the current U.S. government shutdown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project or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project or request, our competitors may obtain approval of competing products following our patent expiration, and our business, financial condition, results of operations, and prospects could be materially harmed).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our license agreement with Lilly and HBM License Agreement,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license agreements under which we are granted intellectual property rights that are important to our business and our product candidates. If we fail to comply with our obligations under the license agreements, or we are subject to a bankruptcy, the license agreements may be terminated, in which event we would not be able to develop, commercialize or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we entered into the HBM License Agreement with HBM. Pursuant to the HBM License Agreement, we obtained an exclusive license to a specified product candidate developed by HBM in all countries outside of mainland China, Taiwan, Hong Kong, and Macau, for upfront consideration of $5.0 million and the issuance to HBM of a pre-funded warrant equal to 4.99% of our outstanding common stock as of the date of issuance of such warrant. Furthermore, we are obligated to pay HBM up to an aggregate of $390.0 million upon the achievement of certain development, regulatory, and sales milestones. In addition, we are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licensors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licensors, or any future licensor fail to adequately protect this intellectual property, our ability to commercialize our product candidates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the U.S.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Filing, prosecuting, and defending patents on our product candidates,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(such as, the Russia and Ukraine conflict and conflicts in the Middle East;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threaten to impose retaliatory measures that may adversely impact our intellectual property rights in those countries.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As another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intellectual property rights, through licenses from third parties including Lilly, related to our product candidates. Because our program may require the use of additional proprietary rights held by third parties, the growth of our business will likely depend in part on our ability to acquire, in-license or use these proprietary rights. In addition, our product candidates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challenges.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our product candidates or future product candidates. Defense of these claims, regardless of their merit, could involve substantial expenses and could be a substantial diversion of management and other employee resources from our business. 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our product candidates, and any future product candidates or the use of our technologies,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our product candidates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 third party has asserted a claim of patent infringement against us as of the date of this prospectus, others may hold proprietary rights that could prevent our product candidates from being marketed. For example, we are aware of issued patents that claim a method of treatment based upon a general mode of action.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or consultants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biotechnology and pharmaceutical industries, in addition to our employees, we engage the services of consultants to assist us in the development of our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or sustain damage, which could adversely affect our business.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administrative bodies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patents or pending patent applications, or the patents or pending patent applications that we license, may be challenged in the courts or administrative bodies in the United States and other foreign jurisdictions. Such proceedings to challenges in enforceability or validity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also raise similar claims before the USPTO, even outside the context of litigation or infringement. Such mechanisms could include re-examination, post-grant review, inter partes review, derivation proceedings, and equivalent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foreign jurisdictions (e.g., opposition proceedings). For example, we are currently a party to an opposition proceeding with the European Patent Office with respect to EP Patent No. 3,678,649, a Revocation Proceeding with respect to EP Patent No. 3,678,649, and a Unified Patent Court (UPC) Revocation Proceeding with respect to EP Patent No. 3,678,649. We may be subject to new or additional third-party pre-issuance submission of prior art to the USPTO or become involved in other post-grant review procedures, derivations, reexaminations, or </w:t>
      </w:r>
      <w:r>
        <w:rPr>
          <w:rFonts w:ascii="Times New Roman" w:hAnsi="Times New Roman"/>
          <w:i/>
          <w:color w:val="000000"/>
          <w:sz w:val="20"/>
        </w:rPr>
        <w:t xml:space="preserve">inter partes review </w:t>
      </w:r>
      <w:r>
        <w:rPr>
          <w:rFonts w:ascii="Times New Roman" w:hAnsi="Times New Roman"/>
          <w:color w:val="000000"/>
          <w:sz w:val="20"/>
        </w:rPr>
        <w:t>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any future product candidates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administrative proceedings are very costly and time-consuming and could interfere with our ability to sell and market our products.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some of our technology and products, we also rely on trade secrets, including unpatented know-how, technology and other proprietary information, to maintain our competitive position,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including the HBM License Agreement, and the Twist Antibody License Agreement,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Loan Agreement, we are prohibited from paying cash dividends without the prior written consent of Silicon Valley Bank.</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Termination of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2025, we gave notice, effective as of November 7, 2025, of our termination of the Loan Agreement with SVB. The Loan Agreement, as amended, provided for a term loan facility in a principal amount of $5.0 million and was scheduled to mature on January 1, 2026. On November 3, 2025, we voluntarily prepaid in full the outstanding principal balance of the Term Loan, which was $0.4 million, and all accrued and unpaid interest and fees under the Term Loan including the Supplemental Final Payment of $0.3 million.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 director or officer (as defined in Rule 16a-1(f) under the Exchange Act)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840"/>
        <w:gridCol w:w="146"/>
        <w:gridCol w:w="511"/>
        <w:gridCol w:w="146"/>
        <w:gridCol w:w="735"/>
        <w:gridCol w:w="146"/>
        <w:gridCol w:w="631"/>
        <w:gridCol w:w="146"/>
        <w:gridCol w:w="1011"/>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24,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w:t>
              </w:r>
            </w:hyperlink>
            <w:hyperlink r:id="rId5">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Designation of Preferences, Rights and Limitations of Series A Preferred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29,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Amended 2025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8,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First Amendment to Antibody License Agreement, dated July 28, 2025, by and between Spruce Biosciences, Inc. and Twist Bioscience 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14, 2025</w:t>
            </w:r>
          </w:p>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Securities Purchase Agreement, dated October 7, 2025, by and among Spruce Biosciences, Inc. and the Purchasers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October 8, 2025</w:t>
            </w:r>
          </w:p>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2206"/>
        <w:gridCol w:w="109"/>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3" w:name="sprb-ex31_1.htm"/>
      <w:bookmarkStart w:id="24" w:name="kssprb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206"/>
        <w:gridCol w:w="109"/>
        <w:gridCol w:w="406"/>
        <w:gridCol w:w="28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prb-ex31_2.htm"/>
      <w:bookmarkStart w:id="27" w:name="kssprb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2_1.htm"/>
      <w:bookmarkStart w:id="29" w:name="kssprb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206"/>
        <w:gridCol w:w="109"/>
        <w:gridCol w:w="406"/>
        <w:gridCol w:w="28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2.htm"/>
      <w:bookmarkStart w:id="31" w:name="kssprb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095017025098340/sprb-ex3_1.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hyperlink" Target="https://www.sec.gov/Archives/edgar/data/1683553/000119312520269344/d12372dex32.htm" TargetMode="External"/><Relationship Id="rId6" Type="http://schemas.openxmlformats.org/officeDocument/2006/relationships/hyperlink" Target="https://www.sec.gov/Archives/edgar/data/1683553/000095017025078590/sprb-ex3_1.htm" TargetMode="External"/><Relationship Id="rId7" Type="http://schemas.openxmlformats.org/officeDocument/2006/relationships/hyperlink" Target="https://www.sec.gov/Archives/edgar/data/1683553/000095017025108888/sprb-ex4_2.htm" TargetMode="External"/><Relationship Id="rId8" Type="http://schemas.openxmlformats.org/officeDocument/2006/relationships/hyperlink" Target="https://www.sec.gov/Archives/edgar/data/1683553/000119312525234516/d36248dex41.htm" TargetMode="External"/><Relationship Id="rId9" Type="http://schemas.openxmlformats.org/officeDocument/2006/relationships/hyperlink" Target="https://www.sec.gov/Archives/edgar/data/1683553/000095017025108888/sprb-ex10_2.htm" TargetMode="External"/><Relationship Id="rId10" Type="http://schemas.openxmlformats.org/officeDocument/2006/relationships/hyperlink" Target="https://www.sec.gov/Archives/edgar/data/1683553/000119312525234516/d36248d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63466</Words>
  <Characters>355852</Characters>
  <CharactersWithSpaces>418984</CharactersWithSpaces>
  <Paragraphs>4520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