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sprb-20260630.htm"/>
        <w:bookmarkStart w:id="1" w:name="kssprb2026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 to 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001-39594</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Spruce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292" w:type="dxa"/>
        <w:jc w:val="left"/>
        <w:tblInd w:w="0" w:type="dxa"/>
        <w:tblLayout w:type="fixed"/>
        <w:tblCellMar>
          <w:top w:w="28" w:type="dxa"/>
          <w:left w:w="28" w:type="dxa"/>
          <w:bottom w:w="28" w:type="dxa"/>
          <w:right w:w="28" w:type="dxa"/>
        </w:tblCellMar>
      </w:tblPr>
      <w:tblGrid>
        <w:gridCol w:w="3046"/>
        <w:gridCol w:w="1246"/>
      </w:tblGrid>
      <w:tr>
        <w:trPr/>
        <w:tc>
          <w:tcPr>
            <w:tcW w:w="30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81-2154263</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611 Gateway Boulevard, Suite 740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(415) 343-5986</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3286"/>
        <w:gridCol w:w="146"/>
        <w:gridCol w:w="886"/>
        <w:gridCol w:w="14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SPRB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r>
              <w:rPr>
                <w:rFonts w:ascii="Times New Roman" w:hAnsi="Times New Roman"/>
                <w:color w:val="000000"/>
                <w:sz w:val="20"/>
              </w:rPr>
              <w:t xml:space="preserve"> </w:t>
            </w:r>
          </w:p>
        </w:tc>
      </w:tr>
    </w:tbl>
    <w:p>
      <w:pPr>
        <w:pStyle w:val="TextBody"/>
        <w:bidi w:val="0"/>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6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9"/>
        </w:rPr>
        <w:t>As of August 10, 2026, the registrant had 2,874,013</w:t>
      </w:r>
      <w:r>
        <w:rPr>
          <w:rFonts w:ascii="Times New Roman" w:hAnsi="Times New Roman"/>
          <w:color w:val="000000"/>
          <w:sz w:val="20"/>
        </w:rPr>
        <w:t xml:space="preserve"> </w:t>
      </w:r>
      <w:r>
        <w:rPr>
          <w:rFonts w:ascii="Times New Roman" w:hAnsi="Times New Roman"/>
          <w:color w:val="000000"/>
          <w:sz w:val="19"/>
        </w:rPr>
        <w:t>shares of common stock, $0.0001 par value per share, outstanding.</w:t>
      </w:r>
    </w:p>
    <w:p>
      <w:pPr>
        <w:pStyle w:val="TextBody"/>
        <w:bidi w:val="0"/>
        <w:spacing w:before="60" w:after="283"/>
        <w:jc w:val="left"/>
        <w:rPr/>
      </w:pPr>
      <w:r>
        <w:rPr/>
        <w:t> </w:t>
      </w:r>
    </w:p>
    <w:p>
      <w:pPr>
        <w:pStyle w:val="TextBody"/>
        <w:pBdr>
          <w:bottom w:val="double" w:sz="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center"/>
        <w:rPr/>
      </w:pPr>
      <w:r>
        <w:rPr/>
        <w:t> </w:t>
      </w:r>
    </w:p>
    <w:p>
      <w:pPr>
        <w:pStyle w:val="TextBody"/>
        <w:bidi w:val="0"/>
        <w:jc w:val="left"/>
        <w:rPr/>
      </w:pPr>
      <w:hyperlink w:anchor="summary_of_risks">
        <w:r>
          <w:rPr>
            <w:rStyle w:val="InternetLink"/>
            <w:rFonts w:ascii="Times New Roman" w:hAnsi="Times New Roman"/>
            <w:caps/>
            <w:color w:val="0000FF"/>
            <w:sz w:val="20"/>
            <w:u w:val="single"/>
          </w:rPr>
          <w:t>Summary of Risks Associated With Our Business</w:t>
        </w:r>
      </w:hyperlink>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76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stock">
              <w:r>
                <w:rPr>
                  <w:rStyle w:val="InternetLink"/>
                  <w:rFonts w:ascii="Times New Roman" w:hAnsi="Times New Roman"/>
                  <w:color w:val="0000FF"/>
                  <w:sz w:val="20"/>
                  <w:u w:val="single"/>
                </w:rPr>
                <w:t>Condensed Statements of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 the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3" w:name="summary_of_risks"/>
      <w:bookmarkEnd w:id="3"/>
      <w:r>
        <w:rPr>
          <w:rFonts w:ascii="Times New Roman" w:hAnsi="Times New Roman"/>
          <w:b/>
          <w:color w:val="000000"/>
          <w:sz w:val="20"/>
        </w:rPr>
        <w:t>SUMMARY OF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and uncertainties associated with our business, many of which are beyond our control. Some of the material risks associated with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financing to develop our product candidates and implement our operating plan. If we fail to obtain additional financing, including as a result of geopolitical uncertainty and macroeconomic events, we may be forced to delay, reduce or eliminate our product development programs or commercialization efforts, which could significantly harm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have incurred significant net losses since our inception, and anticipate that we will continue to incur significant net losses for the foreseeable future, and such net losses are expected to increase as we continue our clinical development of, and seek regulatory approvals for, our product candidate, tralesinidase alfa enzyme replacement therapy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advance our product candidates in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adequately demonstrate that our product candidates are well tolerated and provide sufficient clinical benefits for patients, which could prevent or delay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and our other current and future product candidates will be subject to extensive regulation and compliance obligations, which are costly and time-consuming, and such regulation may cause unanticipated delays or prevent the receipt of the required approvals to commercialize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opportunities for TA-ERT and our other current and future product candidates are smaller than we believe they are, our future revenue, if any, may be adversely affected, and our business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marketing and sales organization and have yet to commercialize a product. If we are unable to establish marketing and sales capabilities or enter into agreements with third parties to market and sell TA-ERT and our other current and future product candidates, we may not be able to generate any product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U.S. and global economic and geopolitical conditions could adversely affect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may be limited or unavailable in certain market segments for TA-ERT and our other current or future product candidates, which could make it difficult for us to sell TA-ERT and our other current or future product candidates profitably.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develop and commercialize additional product candidates, we may be unable to grow our business.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intellectual property licensed from others, the termination of which could result in the loss of significant rights, which would harm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clinical trials. If these third parties do not successfully carry out their contractual duties or meet expected deadlines, we may not be able to obtain regulatory approval for or commercialize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completely on third parties to manufacture our preclinical and clinical drug supplies and we intend to rely on third parties to produce commercial supplies of TA-ERT and our other current and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intellectual property protection for TA-ERT and our other current and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TA-ERT, our other current and future product candidates and other proprietary technologies, if approved, may be adversely affected.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 w:name="part_ifinancial_information"/>
      <w:bookmarkEnd w:id="4"/>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8967" w:type="dxa"/>
        <w:jc w:val="left"/>
        <w:tblInd w:w="0" w:type="dxa"/>
        <w:tblLayout w:type="fixed"/>
        <w:tblCellMar>
          <w:top w:w="28" w:type="dxa"/>
          <w:left w:w="28" w:type="dxa"/>
          <w:bottom w:w="28" w:type="dxa"/>
          <w:right w:w="28" w:type="dxa"/>
        </w:tblCellMar>
      </w:tblPr>
      <w:tblGrid>
        <w:gridCol w:w="5751"/>
        <w:gridCol w:w="146"/>
        <w:gridCol w:w="211"/>
        <w:gridCol w:w="841"/>
        <w:gridCol w:w="166"/>
        <w:gridCol w:w="146"/>
        <w:gridCol w:w="219"/>
        <w:gridCol w:w="876"/>
        <w:gridCol w:w="611"/>
      </w:tblGrid>
      <w:tr>
        <w:trPr/>
        <w:tc>
          <w:tcPr>
            <w:tcW w:w="5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$0.0001 par value; 10,000,000 shares authorized </w:t>
              <w:br/>
              <w:t xml:space="preserve">   and no shares issued or outstanding as of June 30, 2026 and </w:t>
              <w:br/>
              <w: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200,000,000 shares authorized </w:t>
              <w:br/>
              <w:t xml:space="preserve">   as of June 30, 2026 and December 31, 2025; 2,752,810 and </w:t>
              <w:br/>
              <w:t xml:space="preserve">   1,372,043 shares issued and outstanding as of June 30, 2026 </w:t>
              <w:br/>
              <w:t>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(289,234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7" w:name="condensed_statements_operations"/>
      <w:bookmarkEnd w:id="7"/>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102" w:type="dxa"/>
        <w:jc w:val="left"/>
        <w:tblInd w:w="0" w:type="dxa"/>
        <w:tblLayout w:type="fixed"/>
        <w:tblCellMar>
          <w:top w:w="28" w:type="dxa"/>
          <w:left w:w="28" w:type="dxa"/>
          <w:bottom w:w="28" w:type="dxa"/>
          <w:right w:w="28" w:type="dxa"/>
        </w:tblCellMar>
      </w:tblPr>
      <w:tblGrid>
        <w:gridCol w:w="4161"/>
        <w:gridCol w:w="146"/>
        <w:gridCol w:w="211"/>
        <w:gridCol w:w="931"/>
        <w:gridCol w:w="166"/>
        <w:gridCol w:w="146"/>
        <w:gridCol w:w="211"/>
        <w:gridCol w:w="781"/>
        <w:gridCol w:w="166"/>
        <w:gridCol w:w="146"/>
        <w:gridCol w:w="211"/>
        <w:gridCol w:w="931"/>
        <w:gridCol w:w="166"/>
        <w:gridCol w:w="146"/>
        <w:gridCol w:w="211"/>
        <w:gridCol w:w="781"/>
        <w:gridCol w:w="591"/>
      </w:tblGrid>
      <w:tr>
        <w:trPr/>
        <w:tc>
          <w:tcPr>
            <w:tcW w:w="4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 in fair value of warrant and conversion </w:t>
              <w:br/>
              <w:t>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w:t>
              <w:br/>
              <w:t>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591,137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8" w:name="condensed_statements_of_stock"/>
      <w:bookmarkEnd w:id="8"/>
      <w:r>
        <w:rPr>
          <w:rFonts w:ascii="Times New Roman" w:hAnsi="Times New Roman"/>
          <w:b/>
          <w:color w:val="000000"/>
          <w:sz w:val="20"/>
        </w:rPr>
        <w:t>CONDENSED STATEMENTS OF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88"/>
        <w:gridCol w:w="146"/>
        <w:gridCol w:w="146"/>
        <w:gridCol w:w="931"/>
        <w:gridCol w:w="146"/>
        <w:gridCol w:w="146"/>
        <w:gridCol w:w="261"/>
        <w:gridCol w:w="430"/>
        <w:gridCol w:w="146"/>
        <w:gridCol w:w="146"/>
        <w:gridCol w:w="211"/>
        <w:gridCol w:w="781"/>
        <w:gridCol w:w="146"/>
        <w:gridCol w:w="146"/>
        <w:gridCol w:w="211"/>
        <w:gridCol w:w="841"/>
        <w:gridCol w:w="166"/>
        <w:gridCol w:w="146"/>
        <w:gridCol w:w="238"/>
        <w:gridCol w:w="840"/>
        <w:gridCol w:w="393"/>
      </w:tblGrid>
      <w:tr>
        <w:trPr/>
        <w:tc>
          <w:tcPr>
            <w:tcW w:w="3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April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Issuance of common stock and warrants, </w:t>
              <w:br/>
              <w:t>   net of offering costs of $4,562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Issuance of common stock related to </w:t>
              <w:br/>
              <w:t>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83,730</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59"/>
        <w:gridCol w:w="146"/>
        <w:gridCol w:w="146"/>
        <w:gridCol w:w="931"/>
        <w:gridCol w:w="146"/>
        <w:gridCol w:w="146"/>
        <w:gridCol w:w="261"/>
        <w:gridCol w:w="430"/>
        <w:gridCol w:w="146"/>
        <w:gridCol w:w="146"/>
        <w:gridCol w:w="211"/>
        <w:gridCol w:w="781"/>
        <w:gridCol w:w="166"/>
        <w:gridCol w:w="146"/>
        <w:gridCol w:w="211"/>
        <w:gridCol w:w="841"/>
        <w:gridCol w:w="166"/>
        <w:gridCol w:w="146"/>
        <w:gridCol w:w="236"/>
        <w:gridCol w:w="831"/>
        <w:gridCol w:w="413"/>
      </w:tblGrid>
      <w:tr>
        <w:trPr/>
        <w:tc>
          <w:tcPr>
            <w:tcW w:w="3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Issuance of common stock and warrants, </w:t>
              <w:br/>
              <w:t>   net of offering costs of $4,562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Issuance of common stock related to </w:t>
              <w:br/>
              <w:t>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Issuance of common stock related to vesting of </w:t>
              <w:br/>
              <w:t>   restricted stock units, net of tax withholdings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embedded conversion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83,730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9003" w:type="dxa"/>
        <w:jc w:val="left"/>
        <w:tblInd w:w="0" w:type="dxa"/>
        <w:tblLayout w:type="fixed"/>
        <w:tblCellMar>
          <w:top w:w="28" w:type="dxa"/>
          <w:left w:w="28" w:type="dxa"/>
          <w:bottom w:w="28" w:type="dxa"/>
          <w:right w:w="28" w:type="dxa"/>
        </w:tblCellMar>
      </w:tblPr>
      <w:tblGrid>
        <w:gridCol w:w="2496"/>
        <w:gridCol w:w="146"/>
        <w:gridCol w:w="146"/>
        <w:gridCol w:w="781"/>
        <w:gridCol w:w="146"/>
        <w:gridCol w:w="146"/>
        <w:gridCol w:w="261"/>
        <w:gridCol w:w="430"/>
        <w:gridCol w:w="146"/>
        <w:gridCol w:w="146"/>
        <w:gridCol w:w="211"/>
        <w:gridCol w:w="781"/>
        <w:gridCol w:w="166"/>
        <w:gridCol w:w="146"/>
        <w:gridCol w:w="211"/>
        <w:gridCol w:w="841"/>
        <w:gridCol w:w="166"/>
        <w:gridCol w:w="146"/>
        <w:gridCol w:w="256"/>
        <w:gridCol w:w="824"/>
        <w:gridCol w:w="411"/>
      </w:tblGrid>
      <w:tr>
        <w:trPr/>
        <w:tc>
          <w:tcPr>
            <w:tcW w:w="2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April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9138" w:type="dxa"/>
        <w:jc w:val="left"/>
        <w:tblInd w:w="0" w:type="dxa"/>
        <w:tblLayout w:type="fixed"/>
        <w:tblCellMar>
          <w:top w:w="28" w:type="dxa"/>
          <w:left w:w="28" w:type="dxa"/>
          <w:bottom w:w="28" w:type="dxa"/>
          <w:right w:w="28" w:type="dxa"/>
        </w:tblCellMar>
      </w:tblPr>
      <w:tblGrid>
        <w:gridCol w:w="2671"/>
        <w:gridCol w:w="146"/>
        <w:gridCol w:w="146"/>
        <w:gridCol w:w="781"/>
        <w:gridCol w:w="146"/>
        <w:gridCol w:w="146"/>
        <w:gridCol w:w="261"/>
        <w:gridCol w:w="430"/>
        <w:gridCol w:w="146"/>
        <w:gridCol w:w="146"/>
        <w:gridCol w:w="211"/>
        <w:gridCol w:w="781"/>
        <w:gridCol w:w="146"/>
        <w:gridCol w:w="146"/>
        <w:gridCol w:w="211"/>
        <w:gridCol w:w="841"/>
        <w:gridCol w:w="166"/>
        <w:gridCol w:w="146"/>
        <w:gridCol w:w="239"/>
        <w:gridCol w:w="841"/>
        <w:gridCol w:w="3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9" w:name="condensed_statements_cash_flows"/>
      <w:bookmarkEnd w:id="9"/>
      <w:r>
        <w:rPr>
          <w:rFonts w:ascii="Times New Roman" w:hAnsi="Times New Roman"/>
          <w:b/>
          <w:color w:val="000000"/>
          <w:sz w:val="20"/>
        </w:rPr>
        <w:t>CONDENSED STATEMENTS OF CASH FLOWS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9804" w:type="dxa"/>
        <w:jc w:val="left"/>
        <w:tblInd w:w="0" w:type="dxa"/>
        <w:tblLayout w:type="fixed"/>
        <w:tblCellMar>
          <w:top w:w="28" w:type="dxa"/>
          <w:left w:w="28" w:type="dxa"/>
          <w:bottom w:w="28" w:type="dxa"/>
          <w:right w:w="28" w:type="dxa"/>
        </w:tblCellMar>
      </w:tblPr>
      <w:tblGrid>
        <w:gridCol w:w="7041"/>
        <w:gridCol w:w="146"/>
        <w:gridCol w:w="211"/>
        <w:gridCol w:w="736"/>
        <w:gridCol w:w="166"/>
        <w:gridCol w:w="146"/>
        <w:gridCol w:w="211"/>
        <w:gridCol w:w="736"/>
        <w:gridCol w:w="411"/>
      </w:tblGrid>
      <w:tr>
        <w:trPr/>
        <w:tc>
          <w:tcPr>
            <w:tcW w:w="7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fair value of warrant and conversion option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common stock and warrants,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debt,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common stock related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Repayment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 of debt and equity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Tax withholding payments on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38,788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 long-term (included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 on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Allocation of debt to warrant liability for warrant and embedded conversion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of debt embedded conversion option to 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sz w:val="20"/>
        </w:rPr>
      </w:pPr>
      <w:bookmarkStart w:id="10" w:name="notes_to_condensed_financial_statements"/>
      <w:bookmarkEnd w:id="10"/>
      <w:r>
        <w:rPr>
          <w:rFonts w:ascii="Times New Roman" w:hAnsi="Times New Roman"/>
          <w:b/>
          <w:color w:val="000000"/>
          <w:sz w:val="20"/>
        </w:rPr>
        <w:t>NOTES TO THE CONDENSED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Principal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Spruce Biosciences, Inc. (the “Company”) is a late-stage biopharmaceutical company focused on developing and commercializing novel therapies for neurological disorders with significant unmet medical need. The Company is located in South San Francisco, California and was incorporated in the state of Delaware in April 2016.</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April 2026 Public Offering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April 22, 2026, the Company closed its previously announced underwritten public offering of 1,150,000 shares of its common stock at a public offering price of $50.00 per share and pre-funded warrants to purchase up to 50,000 shares of its common stock at a public offering price of $49.99 per pre-funded warrant (which equals the public offering price per share of common stock, less the $0.01 per share exercise price of each pre-funded warrant). In addition, the Company granted the underwriters a 30-day option to purchase up to 180,000 additional shares of common stock at the public offering price, less underwriting discounts and commissions, which was exercised in full. The net proceeds to the Company from the offering, after deducting underwriting discounts and commissions and offering expenses payable by the Company, were $64.4 million. The pre-funded warrants were fully exercised in April 2026.</w:t>
      </w:r>
    </w:p>
    <w:p>
      <w:pPr>
        <w:pStyle w:val="TextBody"/>
        <w:bidi w:val="0"/>
        <w:spacing w:before="0" w:after="120"/>
        <w:jc w:val="left"/>
        <w:rPr>
          <w:rFonts w:ascii="Times New Roman" w:hAnsi="Times New Roman"/>
          <w:sz w:val="20"/>
        </w:rPr>
      </w:pPr>
      <w:r>
        <w:rPr>
          <w:rFonts w:ascii="Times New Roman" w:hAnsi="Times New Roman"/>
          <w:b/>
          <w:color w:val="000000"/>
          <w:sz w:val="20"/>
        </w:rPr>
        <w:t>Open Market Sales Agreement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In November 2025, the U.S. Securities and Exchange Commission (“SEC”) declared effective a registration statement on Form S-3 (the “Shelf Registration”), covering the sale of up to $300.0 million of the Company's securities. Also, in March 2026, the Company entered into an Open Market Sales Agreement</w:t>
      </w:r>
      <w:r>
        <w:rPr>
          <w:rFonts w:ascii="Times New Roman" w:hAnsi="Times New Roman"/>
          <w:color w:val="000000"/>
          <w:sz w:val="13"/>
        </w:rPr>
        <w:t xml:space="preserve">SM </w:t>
      </w:r>
      <w:r>
        <w:rPr>
          <w:rFonts w:ascii="Times New Roman" w:hAnsi="Times New Roman"/>
          <w:color w:val="000000"/>
          <w:sz w:val="20"/>
        </w:rPr>
        <w:t>(the “Sales Agreement”) with Jefferies LLC (“Jefferies”) pursuant to which it may elect to issue and sell, from time to time, shares of common stock having an aggregate offering price of up to $75.0 million under the Shelf Registration through Jefferies acting as the sales agent and/or principal. As of June 30, 2026, the Company has not issued any shares of common stock under the Sales Agreement.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Effective April 29, 2025, the Company’s common stock was delisted from the </w:t>
      </w:r>
      <w:r>
        <w:rPr>
          <w:rFonts w:ascii="Times New Roman" w:hAnsi="Times New Roman"/>
          <w:color w:val="231F20"/>
          <w:sz w:val="20"/>
        </w:rPr>
        <w:t>Nasdaq Capital Market</w:t>
      </w:r>
      <w:r>
        <w:rPr>
          <w:rFonts w:ascii="Times New Roman" w:hAnsi="Times New Roman"/>
          <w:color w:val="000000"/>
          <w:sz w:val="20"/>
        </w:rPr>
        <w:t xml:space="preserve"> as a result of the Company’s ongoing failure to comply with the minimum bid price requirement under the Nasdaq </w:t>
      </w:r>
      <w:r>
        <w:rPr>
          <w:rFonts w:ascii="Times New Roman" w:hAnsi="Times New Roman"/>
          <w:color w:val="231F20"/>
          <w:sz w:val="20"/>
        </w:rPr>
        <w:t>Capital Market</w:t>
      </w:r>
      <w:r>
        <w:rPr>
          <w:rFonts w:ascii="Times New Roman" w:hAnsi="Times New Roman"/>
          <w:color w:val="000000"/>
          <w:sz w:val="20"/>
        </w:rPr>
        <w:t xml:space="preserve">. As a result, the Company’s common stock began trading publicly on the over-the-counter market on April 29, 2025 under its symbol “SPRB”. </w:t>
      </w:r>
    </w:p>
    <w:p>
      <w:pPr>
        <w:pStyle w:val="TextBody"/>
        <w:bidi w:val="0"/>
        <w:spacing w:before="0" w:after="120"/>
        <w:jc w:val="left"/>
        <w:rPr>
          <w:rFonts w:ascii="Times New Roman" w:hAnsi="Times New Roman"/>
          <w:sz w:val="20"/>
        </w:rPr>
      </w:pPr>
      <w:r>
        <w:rPr>
          <w:rFonts w:ascii="Times New Roman" w:hAnsi="Times New Roman"/>
          <w:color w:val="000000"/>
          <w:sz w:val="20"/>
        </w:rPr>
        <w:t>Subsequently on August 4, 2025, the Company effected a one-for-seventy-five (1:75) reverse stock split of its outstanding common stock (the “Reverse Stock Split”). The Company's</w:t>
      </w:r>
      <w:r>
        <w:rPr>
          <w:rFonts w:ascii="Times New Roman" w:hAnsi="Times New Roman"/>
          <w:color w:val="231F20"/>
          <w:sz w:val="20"/>
        </w:rPr>
        <w:t xml:space="preserve"> common stock began trading on the OTCQB on a split-adjusted basis on August 7, 2025 (the “Split Effective Date”) under the ticker symbol “SPRBD”. The Company’s common stock resumed trading on the Nasdaq Capital Market on September 15, 2025 under the ticker symbol </w:t>
      </w:r>
      <w:r>
        <w:rPr>
          <w:rFonts w:ascii="Times New Roman" w:hAnsi="Times New Roman"/>
          <w:color w:val="000000"/>
          <w:sz w:val="20"/>
        </w:rPr>
        <w:t>“SPRB”.</w:t>
      </w:r>
      <w:r>
        <w:rPr>
          <w:rFonts w:ascii="Times New Roman" w:hAnsi="Times New Roman"/>
          <w:color w:val="231F2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At the Split Effective Date, every 75 shares of the Company’s issued and outstanding common stock were automatically converted into one issued and outstanding share of common stock, without any change in authorized common stock or par value per share. The Reverse Stock Split affected all shares of the Company’s common stock outstanding immediately prior to the effective time of the Reverse Stock Split, as well as the number of shares of common stock available for issuance under the Company’s equity incentive plans and employee stock purchase plan. In addition, the Reverse Stock Split effected a reduction in the number of shares of common stock issuable upon the exercise of warrants, stock options and restricted stock units outstanding immediately prior to the effectiveness of the Reverse Stock Split with a corresponding increase in the exercise price per share applicable to such warrants and stock options. No fractional shares were issued because of the Reverse Stock Split. Stockholders who were otherwise entitled to receive a fractional share received a cash payment in lieu thereof. </w:t>
      </w:r>
    </w:p>
    <w:p>
      <w:pPr>
        <w:pStyle w:val="TextBody"/>
        <w:bidi w:val="0"/>
        <w:jc w:val="left"/>
        <w:rPr>
          <w:rFonts w:ascii="Times New Roman" w:hAnsi="Times New Roman"/>
          <w:color w:val="000000"/>
          <w:sz w:val="20"/>
        </w:rPr>
      </w:pPr>
      <w:r>
        <w:rPr>
          <w:rFonts w:ascii="Times New Roman" w:hAnsi="Times New Roman"/>
          <w:color w:val="000000"/>
          <w:sz w:val="20"/>
        </w:rPr>
        <w:t>All of the outstanding common stock share numbers (including shares of common stock subject to the Company’s options), share prices, exercise prices and per share amounts contained in the financial statements have been retroactively adjusted in the financial statements to reflect this Reverse Stock Split for all periods presented.</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incurred significant losses and negative cash flows from operations. During the six months ended June 30, 2026, the Company incurred a net loss of $28.5 million and used $30.9 million of cash in operations. As of June 30, 2026, the Company had an accumulated deficit of $317.7 million and does not expect positive cash flows from operations in the foreseeable future. The Company has funded its operations primarily through the issuance and sale of equity securities, debt and collaboration revenue. In August 2026, the Company received gross proceeds of $5.5 million from a private placement financing (see Note 13).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assuming the Company will continue as a going concern, which assumes the realization of assets and satisfaction of liabilities and commitments in the normal course of business. The Company believes that based on its current operating plan, its cash and cash equivalents of $96.3 million as of June 30, 2026 and the proceeds from the August 2026 private placement will be sufficient to fund its planned operations and debt obligations for at least 12 months following the issuance date of these financial statements. </w:t>
      </w:r>
    </w:p>
    <w:p>
      <w:pPr>
        <w:pStyle w:val="TextBody"/>
        <w:bidi w:val="0"/>
        <w:spacing w:before="12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statements have been prepared in accordance with accounting principles generally accepted in the United States of America (“U.S. GAAP”) and applicable rules and regulations of the SEC for interim reporting. As permitted under those rules and regulations, certain notes or other financial information normally included in financial statements prepared in accordance with U.S. GAAP have been condensed or omitted. The condensed balance sheet as of June 30, 2026, the condensed statements of operations and comprehensive loss for the three and six months ended June 30, 2026 and 2025, the condensed statement of stockholders’ equity for the three and six months ended June 30, 2026 and 2025, and the condensed statements of cash flows for the six months ended June 30, 2026 and 2025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2025 is derived from the Company’s audited financial statements. The results of operations for the three and six months ended June 30, 2026 are not necessarily indicative of the results to be expected for the year ending December 31, 2026, or for any other future annual or interim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interim condensed financial statements should be read in conjunction with the Company’s Annual Report on Form 10-K for the year ended December 31, 2025 filed with the SEC on March 9, 2026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prior period amounts on the condensed statement of operations and comprehensive loss for the three and six months ended June 30, 2025 have been reclassified to conform to the current period presentation.</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warrant liability, stock-based compensation, and uncertain tax positions. The Company bases its estimates on its historical experience and on assumptions that it believes are reasonable; however, actual results could significantly differ from those estimates.</w:t>
      </w:r>
    </w:p>
    <w:p>
      <w:pPr>
        <w:pStyle w:val="TextBody"/>
        <w:bidi w:val="0"/>
        <w:spacing w:before="120" w:after="283"/>
        <w:jc w:val="left"/>
        <w:rPr>
          <w:rFonts w:ascii="Times New Roman" w:hAnsi="Times New Roman"/>
          <w:sz w:val="20"/>
        </w:rPr>
      </w:pPr>
      <w:r>
        <w:rPr>
          <w:rFonts w:ascii="Times New Roman" w:hAnsi="Times New Roman"/>
          <w:b/>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candidates developed by the Company will require approvals from the U.S. Food and Drug Administration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a number of risks similar to other late-stage biopharmaceutical companies including, but not limited to, dependency on the clinical success of the Company’s product candidates, ability to obtain regulatory approval of its product candidates, the need for substantial additional financing to achieve its goals, uncertainty of broad adoption of its approved products, if any, by physicians and consumers, significant competition, untested manufacturing capabilities, and dependence on key individuals and sole source suppliers.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and geopolitical 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and related legal challenges, the recent U.S. government shutdown and uncertainty about economic stability.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significant concentration of credit risk, consist primarily of cash and cash equivalents. The Company maintains deposits in federally insured financial institutions in excess of federally insured limits. The Company is exposed to credit risk in the event of default by the financial institutions holding its cash and cash equivalents to the extent recorded in the condensed balance sheets.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and operating segment, which is the business of developing and commercializing novel therapies for serious neurological disorders with significant unmet medical need. The Company’s chief executive officer, who is the chief operating decision maker (“CODM”), reviews financial information on an aggregate basis for allocating and evaluating financial performance. All long-lived assets are maintained in the United States of America.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and decides how to allocate resources based on net loss. Net loss is used to monitor budget versus actual results. The measure of segment net loss and segment expenses is reported on the condensed statements of operations and comprehensive loss. The measure of segment assets is reported on the condensed balance sheet as total assets.</w:t>
      </w:r>
    </w:p>
    <w:p>
      <w:pPr>
        <w:pStyle w:val="TextBody"/>
        <w:bidi w:val="0"/>
        <w:spacing w:before="12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to the significant accounting policies during the six months ended June 30, 2026, as compared to the significant accounting policies described in the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 -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Accounting Standards Update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which requires disaggregated 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The Company is evaluating the impact of the adoption of this standard on the Company’s financial statements and related disclosures.</w:t>
      </w:r>
    </w:p>
    <w:p>
      <w:pPr>
        <w:pStyle w:val="TextBody"/>
        <w:bidi w:val="0"/>
        <w:spacing w:before="12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the fair value of financial assets and liabilities using the fair value hierarchy that describes three levels of inputs that may be used to measure fair value,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prices in active markets for identical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liabilities measured at fair value are classified in their entirety based on the lowest level of input that is significant to the fair value measurement. The Company classifies money market funds as Level 1 instruments as the Company uses quoted prices in active markets for identical assets to determine the fair value.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Company's financial assets and liabilities measured at fair value on a recurring basis by level within the fair value hierarchy (in thousands):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600" w:type="dxa"/>
        <w:jc w:val="left"/>
        <w:tblInd w:w="0" w:type="dxa"/>
        <w:tblLayout w:type="fixed"/>
        <w:tblCellMar>
          <w:top w:w="28" w:type="dxa"/>
          <w:left w:w="28" w:type="dxa"/>
          <w:bottom w:w="28" w:type="dxa"/>
          <w:right w:w="28" w:type="dxa"/>
        </w:tblCellMar>
      </w:tblPr>
      <w:tblGrid>
        <w:gridCol w:w="2001"/>
        <w:gridCol w:w="146"/>
        <w:gridCol w:w="211"/>
        <w:gridCol w:w="676"/>
        <w:gridCol w:w="146"/>
        <w:gridCol w:w="146"/>
        <w:gridCol w:w="211"/>
        <w:gridCol w:w="676"/>
        <w:gridCol w:w="146"/>
        <w:gridCol w:w="146"/>
        <w:gridCol w:w="211"/>
        <w:gridCol w:w="571"/>
        <w:gridCol w:w="146"/>
        <w:gridCol w:w="146"/>
        <w:gridCol w:w="239"/>
        <w:gridCol w:w="39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448" w:type="dxa"/>
        <w:jc w:val="left"/>
        <w:tblInd w:w="0" w:type="dxa"/>
        <w:tblLayout w:type="fixed"/>
        <w:tblCellMar>
          <w:top w:w="28" w:type="dxa"/>
          <w:left w:w="28" w:type="dxa"/>
          <w:bottom w:w="28" w:type="dxa"/>
          <w:right w:w="28" w:type="dxa"/>
        </w:tblCellMar>
      </w:tblPr>
      <w:tblGrid>
        <w:gridCol w:w="2001"/>
        <w:gridCol w:w="146"/>
        <w:gridCol w:w="211"/>
        <w:gridCol w:w="676"/>
        <w:gridCol w:w="146"/>
        <w:gridCol w:w="146"/>
        <w:gridCol w:w="211"/>
        <w:gridCol w:w="676"/>
        <w:gridCol w:w="146"/>
        <w:gridCol w:w="146"/>
        <w:gridCol w:w="239"/>
        <w:gridCol w:w="391"/>
        <w:gridCol w:w="146"/>
        <w:gridCol w:w="146"/>
        <w:gridCol w:w="239"/>
        <w:gridCol w:w="39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have any financial liabilities recorded at fair value as of December 31,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gross amount of debt approximates its fair value as of June 30, 2026 as the debt bears interest at a variable rate that includes a component based on the prime rate, which is a market-observable rate. As a result, the stated coupon rate is consistent with current market rates for similar instruments and therefore the carrying amount is considered to approximate fair value.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Warrant and Conversion Option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classified its warrant liability as a Level 2 instrument as it was valued using the Black Scholes Method. See Note 6 “Debt” for further information.</w:t>
        <w:b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tbl>
      <w:tblPr>
        <w:tblW w:w="7167" w:type="dxa"/>
        <w:jc w:val="left"/>
        <w:tblInd w:w="0" w:type="dxa"/>
        <w:tblLayout w:type="fixed"/>
        <w:tblCellMar>
          <w:top w:w="28" w:type="dxa"/>
          <w:left w:w="28" w:type="dxa"/>
          <w:bottom w:w="28" w:type="dxa"/>
          <w:right w:w="28" w:type="dxa"/>
        </w:tblCellMar>
      </w:tblPr>
      <w:tblGrid>
        <w:gridCol w:w="4461"/>
        <w:gridCol w:w="146"/>
        <w:gridCol w:w="211"/>
        <w:gridCol w:w="571"/>
        <w:gridCol w:w="146"/>
        <w:gridCol w:w="146"/>
        <w:gridCol w:w="294"/>
        <w:gridCol w:w="80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Accrued research and development expenses were primarily related to clinical development. </w:t>
      </w:r>
    </w:p>
    <w:p>
      <w:pPr>
        <w:pStyle w:val="TextBody"/>
        <w:bidi w:val="0"/>
        <w:spacing w:before="0" w:after="12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space under a non-cancelable operating lease, which requires the Company to pay base rent, real estate taxes, insurance, general repairs, and maintenance. In December 2022, the Company entered into a non-cancelable operating lease for approximately 6,500 square feet of office space in South San Francisco, California, which commenced in December 2022 and expires in February 2028 (the “South San Francisco Lease”). The Company has an option to extend the lease term of the South San Francisco Lease for an additional three years which has not been included in the lease term as it is not reasonably certain that the Company will exercise this option.</w:t>
      </w:r>
    </w:p>
    <w:p>
      <w:pPr>
        <w:pStyle w:val="TextBody"/>
        <w:bidi w:val="0"/>
        <w:spacing w:before="12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Debt</w:t>
      </w:r>
    </w:p>
    <w:p>
      <w:pPr>
        <w:pStyle w:val="TextBody"/>
        <w:bidi w:val="0"/>
        <w:spacing w:before="120" w:after="283"/>
        <w:jc w:val="left"/>
        <w:rPr>
          <w:rFonts w:ascii="Times New Roman" w:hAnsi="Times New Roman"/>
          <w:sz w:val="20"/>
        </w:rPr>
      </w:pPr>
      <w:r>
        <w:rPr>
          <w:rFonts w:ascii="Times New Roman" w:hAnsi="Times New Roman"/>
          <w:b/>
          <w:color w:val="000000"/>
          <w:sz w:val="20"/>
        </w:rPr>
        <w:t>Avenue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7, 2026 (the “Avenue Closing Date”), the Company entered into a Loan and Security Agreement (the “Avenue Loan and Security Agreement”) and a Supplement to the Loan and Security Agreement (together with the Avenue Loan and Security Agreement, the “Avenue Loan Agreement”), with Avenue Capital Management II, L.P., as administrative agent and collateral agent (the “Agent”) and Avenue Venture Opportunities Fund II, L.P., as lender (the “Lender”, together with the Agent, “Avenue”).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Avenue Loan Agreement makes available to the Company term loans in an aggregate principal amount of up to $50.0 million with (i) $15.0 million funded within 5 business days after the Avenue Closing Date (“Tranche 1”), (ii) up to $10.0 million to be made available to the Company between March 1, 2026 and September 30, 2026, subject to, among other things, the Company’s achievement of a key regulatory milestone related to the Company’s development of TA-ERT for the treatment of Sanfilippo Syndrome Type B (“MPS IIIB”) (“Tranche 2”) and (iii) up to $15.0 million to be made available to the Company between September 1, 2026 and March 31, 2027, subject to, among other things, the Company’s achievement of an additional key regulatory milestone with respect to the Company’s development of TA-ERT for the treatment of MPS IIIB (“Tranche 3”). The Lender may make additional term loans of up to an additional $10.0 million (the “Discretionary Tranche 4” and collectively with Tranche 1, Tranche 2 and Tranche 3, the “Avenue Loans”), to be funded between October 1, 2027 and June 30, 2028, subject to, among other things, (i) the Company’s achievement of a certain commercial milestone and (ii) the mutual written agreement of the Company and the Lender (upon the Lender’s investment committee approval). The Avenue Loans bear interest at an annual rate equal to the greater of (x) the sum of 5.25% plus the prime rate as reported in The Wall Street Journal and (y) 12.25%. The Avenue Loans are secured by a lien upon and security interest in all of the Company’s assets, including intellectual property, subject to agreed exceptions. The maturity date of the Avenue Loans is July 1, 2029 (the “Avenue Maturity Date”). The Avenue Loan Agreement does not contain any minimum cash requirement or other financial covenants. As of June 30, 2026, the stated interest rate of the Avenue Loans was 12.25%.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will make interest only payments on the Avenue Loans until the 12-month anniversary of the Avenue Closing Date, subject to (i) a 6-month extension, so long as at least $5.0 million from Tranche 2 has been funded and (ii) an additional 12-month extension if the Company achieves the Tranche 3 milestone. The Avenue Loans principal is repayable in equal monthly installments from the end of interest only period to the Avenue Maturity Date.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may, at its option at any time, prepay the Avenue Loans in their entirety by paying the then-outstanding principal balance and all accrued and unpaid interest on the Avenue Loans, subject to a prepayment fee equal to (i) 3.0% of the principal amount outstanding if the prepayment occurs on or prior to the first anniversary following the Avenue Closing Date, (ii) 2.0% of the principal amount outstanding if the prepayment occurs after the first anniversary following the Avenue Closing Date, but on or prior to the second anniversary following the Avenue Closing Date, and (iii) 1.0% of the principal amount outstanding if the prepayment occurs after the second anniversary following the Avenue Closing Date. The Company will pay a final payment of 4.0% of the aggregate commitment amounts for Tranche 1, Tranche 2 and Tranche 3, which shall be increased to include the commitment amount of Discretionary Tranche 4 upon the funding of such tranche, on the earlier of (x) the Avenue Maturity Date and (y) the date that the Company prepays all of the outstanding principal amount of the Avenue Loans in full (“Avenue Final Payment”). On the Avenue Closing Date, the Company paid to the Lender a commitment fee of $0.4 million.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Avenue Loan Agreement contains customary representations, warranties and covenants, including covenants by the Company limiting additional indebtedness, liens, guaranties, mergers and consolidations, substantial asset sales, investments and loans, certain corporate changes, transactions with affiliates and fundamental changes. The Avenue Loan Agreement provides for events of default customary for term loans of this type, including but not limited to non-payment, breaches or defaults in the performance of covenants, insolvency, bankruptcy and the occurrence of a material adverse effect on the Company. After the occurrence of an event of default, the Agent may (i) accelerate payment of all obligations, impose an increased rate of interest, and terminate the Lender’s commitments under the Avenue Loan Agreement and (ii) exercise any other right or remedy provided by contract or applicable law. As of June 30, 2026, the Company was in compliance with all covenants under the Avenue Loan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Avenue Loan Agreement, following the filing of the Company’s annual report on Form 10-K for the fiscal year ending December 31, 2025 which occurred on March 9, 2026, the Lender has the right to convert up to $4.0 million of the outstanding principal of the Avenue Loans (the “Avenue Conversion Option”) at a price of $60.00 per share, subject to certain terms and conditions, including beneficial ownership limitations. In addition, subject to applicable law, the Lender had the right to participate in certain equity financing transactions of the Company in an aggregate amount of up to $1.0 million on the same terms, conditions and pricing offered by the Company to other investors participating in such financing transaction (such right, the “Participation Right”). The Participation Right terminated in April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At issuance of the Avenue Loans, the Company recorded the debt net of debt discount and costs which included $7.6 million for the grant date fair value of the Avenue Warrant and Avenue Conversion Option (discussed below), Avenue Final Payment of $1.6 million and issuance costs of $1.2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June 30, 2026, the carrying value of the Avenue Loans was $7.1 million, consisting of the outstanding principal under Tranche 1 of $15.0 million, plus the Avenue Final Payment of $1.6 million, less unamortized debt discount and costs of $9.5 million, which are being amortized using the effective interest method over the life of the Avenue Loans.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June 30, 2026, future payments of principal and interest of the Avenue Loans are as follows (in thousands):</w:t>
      </w:r>
    </w:p>
    <w:tbl>
      <w:tblPr>
        <w:tblW w:w="5000" w:type="dxa"/>
        <w:jc w:val="left"/>
        <w:tblInd w:w="0" w:type="dxa"/>
        <w:tblLayout w:type="fixed"/>
        <w:tblCellMar>
          <w:top w:w="28" w:type="dxa"/>
          <w:left w:w="28" w:type="dxa"/>
          <w:bottom w:w="28" w:type="dxa"/>
          <w:right w:w="28" w:type="dxa"/>
        </w:tblCellMar>
      </w:tblPr>
      <w:tblGrid>
        <w:gridCol w:w="3556"/>
        <w:gridCol w:w="146"/>
        <w:gridCol w:w="211"/>
        <w:gridCol w:w="676"/>
        <w:gridCol w:w="41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6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 and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Avenue Warrant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connection with the Avenue Loans, the Company issued to the Lender a warrant (the “Avenue Warrant”) to purchase up to $3.2 million worth of shares of the Company’s common stock on March 9, 2026. Prior to the issuance of the Avenue Warrant, the Lender was entitled to receive a payment of $6.4 million in the event a change of control had occurred prior to the issuance of the Avenue Warrant (the “Success Fee”). The obligation to pay the Lender the Success Fee terminated upon the issuance of the Avenue Warrant. The Avenue Warrant will expire on January 31, 2031 (the “Avenue Warrant Expiration Date”) and has an exercise price equal to $50.00 per share, provided that any exercise of such Avenue Warrant is subject to certain beneficial ownership limitations. In addition, upon a change of control, the Lender is entitled to receive the shares of the Company's common stock underlying the Avenue Warrant without payment of the exercise price.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Lender may exercise the Avenue Warrant at any time, or from time to time up to and including the Avenue Warrant Expiration Date, by making a cash payment equal to the exercise price multiplied by the quantity of shares. The Lender may also exercise the Avenue Warrant on a cashless basis by receiving a net number of shares calculated pursuant to the formula set forth in the Avenue Warrant. The Avenue Warrant is subject to anti-dilution adjustments for stock dividends, stock splits, and reverse stock splits.</w:t>
      </w:r>
    </w:p>
    <w:p>
      <w:pPr>
        <w:pStyle w:val="TextBody"/>
        <w:bidi w:val="0"/>
        <w:spacing w:before="0" w:after="120"/>
        <w:jc w:val="left"/>
        <w:rPr>
          <w:rFonts w:ascii="Times New Roman" w:hAnsi="Times New Roman"/>
          <w:sz w:val="20"/>
        </w:rPr>
      </w:pPr>
      <w:r>
        <w:rPr>
          <w:rFonts w:ascii="Times New Roman" w:hAnsi="Times New Roman"/>
          <w:b/>
          <w:i/>
          <w:color w:val="000000"/>
          <w:sz w:val="20"/>
        </w:rPr>
        <w:t>Avenue Warrant Liability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Although the Avenue Warrant wasn't legally issued until March 9, 2026 (the “Avenue Warrant Issue Date“), the Avenue Warrant was considered issued and outstanding as of the Avenue Closing Date for accounting purposes. The Avenue Warrant met the criteria for a derivative classification under ASC 815. As of the Avenue Closing Date, the Avenue Warrant did not have a fixed number of shares to be issued and therefore did not qualify for equity classification and was accounted for as a derivative liability at an initial fair value of $3.8 million under the Monte Carlo Method, with changes in fair value recognized on the condensed statements of operations and comprehensive loss.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Upon legal issuance of the Avenue Warrant on March 9, 2026, the shares into which the Avenue Warrant will be issued became fixed and therefore the Company reassessed its accounting treatment under ASC 815-40-15-7 using the prescribed two-step analysis. The Company concluded that Section 4.3 of the Avenue Warrant, which provides for automatic exchange of the Avenue Warrant for a fixed number of shares without payment of the exercise price upon a change of control, precludes the Avenue Warrant from being considered indexed to the Company’s own stock under Step 2 of ASC 815-40-15-7C through 7E. As such, the Avenue Warrant remains a derivative liability and was remeasured to fair value with changes in fair value recognized on the condensed statements of operations and comprehensive loss.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Avenue Conversion Option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discussed above, the Avenue Conversion Option allows the Lender to convert up to $4.0 million of the outstanding principal of the Avenue Loans at a price of $60.00 per share. At inception on the Avenue Closing Date, this feature was initially accounted for as an embedded derivative liability due to variable settlement terms at an initial fair value of $3.7 million under the Monte Carlo Method, with changes in fair value recognized on the condensed statements of operations and comprehensive loss.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Upon legal issuance of the Avenue Warrant on March 9, 2026, the Company reassessed its accounting treatment under ASC 815-40-15-7 using the prescribed two-step analysis and concluded that the Avenue Conversion Option qualified for equity classification because the settlement terms became fixed and the Avenue Conversion Option satisfied both the indexation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classification criteria. As such, the derivative liability was remeasured to fair value of $3.7 million and reclassified to additional paid-in capital, with no further remeasurement required thereafter.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Avenue Warrant and Avenue Conversion Option was measured using the Monte Carlo Method at the grant and issue dates and the Avenue Warrant was measured using the Black Scholes Method at June 30, 2026 with the following inputs as of the periods noted:</w:t>
      </w:r>
    </w:p>
    <w:tbl>
      <w:tblPr>
        <w:tblW w:w="9833" w:type="dxa"/>
        <w:jc w:val="left"/>
        <w:tblInd w:w="0" w:type="dxa"/>
        <w:tblLayout w:type="fixed"/>
        <w:tblCellMar>
          <w:top w:w="28" w:type="dxa"/>
          <w:left w:w="28" w:type="dxa"/>
          <w:bottom w:w="28" w:type="dxa"/>
          <w:right w:w="28" w:type="dxa"/>
        </w:tblCellMar>
      </w:tblPr>
      <w:tblGrid>
        <w:gridCol w:w="3856"/>
        <w:gridCol w:w="146"/>
        <w:gridCol w:w="255"/>
        <w:gridCol w:w="690"/>
        <w:gridCol w:w="271"/>
        <w:gridCol w:w="146"/>
        <w:gridCol w:w="279"/>
        <w:gridCol w:w="756"/>
        <w:gridCol w:w="271"/>
        <w:gridCol w:w="146"/>
        <w:gridCol w:w="211"/>
        <w:gridCol w:w="931"/>
        <w:gridCol w:w="271"/>
        <w:gridCol w:w="146"/>
        <w:gridCol w:w="211"/>
        <w:gridCol w:w="931"/>
        <w:gridCol w:w="316"/>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Avenue Warrant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Avenue Conversion Option</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 End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 Date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1/7/2026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6/30/2026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1/7/2026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3/9/2026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exercise price / Conversion price max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a roll forward of the aggregate fair value of the Company’s warrant and conversion option liability (in thousands):</w:t>
      </w:r>
    </w:p>
    <w:tbl>
      <w:tblPr>
        <w:tblW w:w="7351" w:type="dxa"/>
        <w:jc w:val="left"/>
        <w:tblInd w:w="0" w:type="dxa"/>
        <w:tblLayout w:type="fixed"/>
        <w:tblCellMar>
          <w:top w:w="28" w:type="dxa"/>
          <w:left w:w="28" w:type="dxa"/>
          <w:bottom w:w="28" w:type="dxa"/>
          <w:right w:w="28" w:type="dxa"/>
        </w:tblCellMar>
      </w:tblPr>
      <w:tblGrid>
        <w:gridCol w:w="3161"/>
        <w:gridCol w:w="146"/>
        <w:gridCol w:w="211"/>
        <w:gridCol w:w="571"/>
        <w:gridCol w:w="166"/>
        <w:gridCol w:w="146"/>
        <w:gridCol w:w="371"/>
        <w:gridCol w:w="1114"/>
        <w:gridCol w:w="166"/>
        <w:gridCol w:w="146"/>
        <w:gridCol w:w="211"/>
        <w:gridCol w:w="631"/>
        <w:gridCol w:w="311"/>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Avenue </w:t>
              <w:br/>
              <w:t>Warrant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Avenue </w:t>
              <w:br/>
              <w:t>Conversion Option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Reclass to 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2026, 64,000 shares remain outstanding under the Avenue Warrant at an exercise price of $50.00 and the Avenue Conversion Option has not been exercised.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License Agreements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BioMarin Pharmaceutical,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4, 2024, the Company entered into that certain Asset Purchase Agreement (the “Allievex Purchase Agreement”) with AVX (ABC), LLC, a Delaware limited liability company, in its sole and limited capacity as the assignee for the benefit of creditors of Allievex Corporation (“Allievex”). Pursuant to the Allievex Purchase Agreement, the Company acquired all intellectual property and inventory relating to Allievex's product candidates and that certain Exclusive License Agreement, by and between BioMarin Pharmaceutical Inc. (“BioMarin”) and Allievex, dated October 22, 2019 (the “BioMarin License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the Company paid $5.0 million to Allievex in November 2024. The Company also assumed certain liabilities of Allievex of $7.8 million, which have been fully paid as of June 30, 2026. The Company also recorded an estimated receivable of $2.6 million in other current assets on the balance sheet related to the completed Allievex bankruptcy proceedings which was fully collected by the Company in January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assumed the obligations of Allievex to pay BioMarin up to $25.5 million for the first MPS IIIB product and up to an aggregate of $100.0 million per licensed product upon the achievement of certain sales milestones. In addition, the Company is required to pay to BioMarin certain (i) high-single digit to low-double digit tiered royalties on aggregate annual net sales of licensed MPS IIIB products during the applicable royalty term, subject to certain customary reductions and floors. No amounts were paid by the Company to BioMarin nor were any due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terminate the BioMarin License Agreement at any time for convenience upon prior written notice provided within a specified period of time. BioMarin may terminate the BioMarin License Agreement upon written notice if the Company (i) challenges the validity, enforceability or scope of any of the patents licensed by the Company under the BioMarin License Agreement, subject to certain conditions, or (ii) ceases all material research and development activity for any licensed product for a specified period of time, subject to certain exceptions. Either the Company or BioMarin may also terminate the BioMarin License Agreement (i) in the event the other party shall have materially breached its obligations thereunder and such default shall have continued for a specified period after written notice thereof or (ii) upon the bankruptcy or insolvency of the other 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HBM Alpha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15, 2025, the Company entered into a collaboration and license agreement (the “HBM License Agreement”) with HBM Alpha Therapeutics, Inc. (“HBM”). Under the terms of the HBM License Agreement, HBM granted the Company a limited exclusivity, royalty bearing, and sublicensable license to certain technology, patent rights, manufacturing rights, know-how, and proprietary materials relating to SPR202.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the Company made a one-time upfront payment to HBM of $5.0 million in February 2025. Additionally, in January 2025, the Company issued pre-funded warrants to HBM and its affiliates that in total were to be equal to 4.99% of the Company's outstanding common stock as of the date of exercise of such pre-funded warrants. In June 2025, the Company amended the pre-funded warrants to extend the exercise period to December 2025. In December 2025, these pre-funded warrants were fully exercised.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the rights acquired under the HBM License Agreement have no alternative future use. Therefore, the consideration paid of $5.0 million, along with the initial fair value of the pre-funded warrants issued of $0.7 million, was recognized as acquired in-process research and development expense, which was reported as a component of research and development expense for the 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also obligated to pay HBM up to an aggregate of $390.0 million upon the achievement of certain development, regulatory, and sales milestones. In addition, the Company is required to pay to HBM certain mid to high-single digit tiered royalties on aggregate annual net sales of licensed products during the applicable royalty term, subject to certain customary reductions.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terminate the HBM License Agreement on a licensed product-by-licensed product basis or in its entirety at any time for convenience upon prior written notice provided within a specified period of time. Either the Company or HBM may also terminate the HBM License Agreement (i) in the event the other party shall have materially breached its obligations thereunder and such default shall have continued for a specified period after written notice thereof or (ii) upon the bankruptcy or insolvency of the other party. HBM may terminate the HBM License Agreement upon prior written notice if the Company (i) ceases all development or commercialization activities for a specified period of time, subject to certain exceptions, or (ii) challenges the validity, enforceability or scope of any of the patents licensed by the Company to HBM under the HBM License Agreement, subject to certain conditions.</w:t>
      </w:r>
    </w:p>
    <w:p>
      <w:pPr>
        <w:pStyle w:val="TextBody"/>
        <w:bidi w:val="0"/>
        <w:spacing w:before="12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industry is characterized by frequent claims and litigation, including claims regarding intellectual property. As a result, the Company may be subject to various legal proceedings from time to time. The results of any future litigation cannot be predicted with certainty, and regardless of the outcome, litigation can have an adverse impact on the Company because of defense and settlement costs, diversion of management resources and other factors. As of June 30, 2026, the Company was not subject to any material legal proceedings and management is not aware of any pending or threatened litigation that, individually or in the aggregate, could have a material adverse effect on the Company's business, financial condition or results of operations.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Capital Structure</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was authorized to issue 200,000,000 shares of common stock $0.0001 par value per share. Holders of common stock are entitled to dividends if and when declared by the board of directors of the Company. The holder of each share of common stock is entitled to one vote. As of June 30, 2026, no dividends were declared.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Common stock reserved for future issuance, on an as converted basis, consisted of the following:</w:t>
      </w:r>
    </w:p>
    <w:tbl>
      <w:tblPr>
        <w:tblW w:w="9347" w:type="dxa"/>
        <w:jc w:val="left"/>
        <w:tblInd w:w="0" w:type="dxa"/>
        <w:tblLayout w:type="fixed"/>
        <w:tblCellMar>
          <w:top w:w="28" w:type="dxa"/>
          <w:left w:w="28" w:type="dxa"/>
          <w:bottom w:w="28" w:type="dxa"/>
          <w:right w:w="28" w:type="dxa"/>
        </w:tblCellMar>
      </w:tblPr>
      <w:tblGrid>
        <w:gridCol w:w="6496"/>
        <w:gridCol w:w="146"/>
        <w:gridCol w:w="146"/>
        <w:gridCol w:w="781"/>
        <w:gridCol w:w="146"/>
        <w:gridCol w:w="146"/>
        <w:gridCol w:w="172"/>
        <w:gridCol w:w="923"/>
        <w:gridCol w:w="39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2020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2020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2026 Inducement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shares reserved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10. Stock-Based Compensation Expense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components of stock-based compensation expense recognized in the Company’s condensed statements of operations and comprehensive loss during the three and six months ended June 30, 2026 and 2025 (in thousands): </w:t>
      </w:r>
    </w:p>
    <w:tbl>
      <w:tblPr>
        <w:tblW w:w="8831" w:type="dxa"/>
        <w:jc w:val="left"/>
        <w:tblInd w:w="0" w:type="dxa"/>
        <w:tblLayout w:type="fixed"/>
        <w:tblCellMar>
          <w:top w:w="28" w:type="dxa"/>
          <w:left w:w="28" w:type="dxa"/>
          <w:bottom w:w="28" w:type="dxa"/>
          <w:right w:w="28" w:type="dxa"/>
        </w:tblCellMar>
      </w:tblPr>
      <w:tblGrid>
        <w:gridCol w:w="3651"/>
        <w:gridCol w:w="146"/>
        <w:gridCol w:w="295"/>
        <w:gridCol w:w="590"/>
        <w:gridCol w:w="204"/>
        <w:gridCol w:w="204"/>
        <w:gridCol w:w="295"/>
        <w:gridCol w:w="674"/>
        <w:gridCol w:w="166"/>
        <w:gridCol w:w="146"/>
        <w:gridCol w:w="247"/>
        <w:gridCol w:w="669"/>
        <w:gridCol w:w="171"/>
        <w:gridCol w:w="171"/>
        <w:gridCol w:w="247"/>
        <w:gridCol w:w="564"/>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 (</w:t>
      </w:r>
      <w:r>
        <w:rPr>
          <w:rFonts w:ascii="Times New Roman" w:hAnsi="Times New Roman"/>
          <w:color w:val="000000"/>
          <w:sz w:val="20"/>
        </w:rPr>
        <w:t>“</w:t>
      </w:r>
      <w:r>
        <w:rPr>
          <w:rFonts w:ascii="Times New Roman" w:hAnsi="Times New Roman"/>
          <w:b/>
          <w:color w:val="000000"/>
          <w:sz w:val="20"/>
        </w:rPr>
        <w:t>RSUs</w:t>
      </w:r>
      <w:r>
        <w:rPr>
          <w:rFonts w:ascii="Times New Roman" w:hAnsi="Times New Roman"/>
          <w:color w:val="000000"/>
          <w:sz w:val="20"/>
        </w:rPr>
        <w:t>”</w:t>
      </w:r>
      <w:r>
        <w:rPr>
          <w:rFonts w:ascii="Times New Roman" w:hAnsi="Times New Roman"/>
          <w:b/>
          <w:color w:val="000000"/>
          <w:sz w:val="2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six months ended June 30, 2026, the Company granted 83,050 RSUs with a weighted-average grant date fair value of $73.06 per unit, of which 36,900 RSUs are subject to performance-based vesting conditions related to the satisfaction of a regulatory milestone. As of June 30, 2026, the Company had 38,920 RSUs outstanding subject to performance-based vesting conditions, of which none are considered probable of achievement. </w:t>
      </w:r>
    </w:p>
    <w:p>
      <w:pPr>
        <w:pStyle w:val="TextBody"/>
        <w:bidi w:val="0"/>
        <w:spacing w:before="0" w:after="12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464"/>
        <w:gridCol w:w="146"/>
        <w:gridCol w:w="211"/>
        <w:gridCol w:w="931"/>
        <w:gridCol w:w="166"/>
        <w:gridCol w:w="146"/>
        <w:gridCol w:w="211"/>
        <w:gridCol w:w="781"/>
        <w:gridCol w:w="166"/>
        <w:gridCol w:w="146"/>
        <w:gridCol w:w="211"/>
        <w:gridCol w:w="931"/>
        <w:gridCol w:w="166"/>
        <w:gridCol w:w="146"/>
        <w:gridCol w:w="211"/>
        <w:gridCol w:w="781"/>
        <w:gridCol w:w="391"/>
      </w:tblGrid>
      <w:tr>
        <w:trPr/>
        <w:tc>
          <w:tcPr>
            <w:tcW w:w="4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2,431,075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tbl>
      <w:tblPr>
        <w:tblW w:w="8684" w:type="dxa"/>
        <w:jc w:val="left"/>
        <w:tblInd w:w="0" w:type="dxa"/>
        <w:tblLayout w:type="fixed"/>
        <w:tblCellMar>
          <w:top w:w="28" w:type="dxa"/>
          <w:left w:w="28" w:type="dxa"/>
          <w:bottom w:w="28" w:type="dxa"/>
          <w:right w:w="28" w:type="dxa"/>
        </w:tblCellMar>
      </w:tblPr>
      <w:tblGrid>
        <w:gridCol w:w="6001"/>
        <w:gridCol w:w="146"/>
        <w:gridCol w:w="146"/>
        <w:gridCol w:w="781"/>
        <w:gridCol w:w="146"/>
        <w:gridCol w:w="146"/>
        <w:gridCol w:w="146"/>
        <w:gridCol w:w="781"/>
        <w:gridCol w:w="3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shares issuable under the 2020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239,841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12. Related Party Transactions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Effective December 20, 2024, Kirk Ways, M.D., a member of the board of the directors, began serving as the Company’s interim Chief Medical Officer pursuant to a consulting agreement. During the six months ended June 30, 2026 and 2025, the Company recognized compensation expense of $0.6 million and $0.3 million, respectively, which is included in research and development expenses on the condensed statement of operations and comprehensive loss. As of June 30, 2026, the Company accrued compensation expense of $0.1 million which is included in accrued expenses and other current liabilities on the condensed balance sheet.</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Private Placement Financing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August 7, 2026, the Company entered into a Stock Purchase Agreement with the National MPS Society and the Cure Sanfilippo Foundation (the “Purchasers”), pursuant to which the Company sold and issued to the Purchasers 121,203 shares of common stock in a private placement transaction. The purchase price per share of common stock is $45.38 per share. The total gross proceeds to the Company was $5.5 million. The proceeds will be used to partially fund the Company’s planned open-label, single-arm early access program to provide TA-ERT for the treatment of MPS IIIB in children.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condensed financial statements and the related notes to those statements included elsewhere in this Quarterly Report on Form 10-Q (the “Quarterly Report”) and our audited financial statements and notes thereto and the related Management’s Discussion and Analysis of Financial Condition and Results of Operations included in our Annual Report on Form 10-K for the year ended December 31, 2025 filed with the Securities and Exchange Commission (“SEC”) on March 9, 2026 (the “Annual Report”). Unless otherwise indicated, all references in this Quarterly Report to “Spruce,” the “company,” “we,” “our,” “us” or similar terms refer to Spruce Biosciences, Inc.</w:t>
      </w:r>
    </w:p>
    <w:p>
      <w:pPr>
        <w:pStyle w:val="TextBody"/>
        <w:bidi w:val="0"/>
        <w:spacing w:before="12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to historical financial information, this Quarterly Report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left"/>
        <w:rPr>
          <w:rFonts w:ascii="Times New Roman" w:hAnsi="Times New Roman"/>
          <w:sz w:val="20"/>
        </w:rPr>
      </w:pPr>
      <w:r>
        <w:rPr>
          <w:rFonts w:ascii="Times New Roman" w:hAnsi="Times New Roman"/>
          <w:i/>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hAnsi="Times New Roman"/>
          <w:i/>
          <w:color w:val="32406B"/>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biopharmaceutical company focused on developing and commercializing novel therapies for neurological disorders with significant unmet medical need. We have a diverse portfolio of product candidates aimed at addressing diseases with high unmet medical need and clear biology for treatment, for which there are either no approved therapies treating the underlying disease or suboptimal treatment options. We were incorporated in April 2016 and are led by a management team experienced in the development and commercialization of groundbreaking therapeutics.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focused primarily on raising capital, establishing and protecting our intellectual property portfolio, organizing and staffing our company, business planning, and conducting preclinical and clinical development of, and manufacturing development for, our product candidates. Since November 2024 we have shifted our focus to the development of tralesinidase alfa enzyme replacement therapy (“TA-ERT”), an investigational treatment for mucopolysaccharidoses type IIIB (“MPS IIIB”), or Sanfilippo Syndrome Type B. In October 2025, TA-ERT received breakthrough therapy designation from the U.S. Food and Drug Administration (“FDA”) for the treatment of Sanfilippo Syndrome Type B. TA-ERT has received Rare Pediatric Disease Designation, Fast Track Designation, Breakthrough Therapy Designation, and Orphan Drug Designation in the United States and European Union (“EU”). We anticipate submitting a biologics license application of TA-ERT for the treatment of Sanfilippo Syndrome Type B in the fourth quarter of 2026. Currently, there is no FDA-approved therapy for the treatment of MPS IIIB, and disease management consists of limited palliative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product revenue to date, and we continue to incur significant research and development and other expenses related to our ongoing operations. Our ability to generate product revenue sufficient to achieve profitability, if ever, will depend on the successful development of TA-ERT and our other current and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incurred significant losses and negative cash flows from operations. During the six months ended June 30, 2026 and 2025, we incurred net losses of $28.5 million and $16.1 million, respectively, and used $30.9 million and $21.6 million of cash in operations, respectively. As of June 30, 2026, we had an accumulated deficit of $317.7 million,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through the date of this filing, we have raised aggregate gross proceeds of $432.6 million, including $103.5 million from our initial public offering in October 2020, $116.0 million from the sale of our redeemable convertible preferred stock, $109.1 million from private placement financings (including the August 2026 private placement), $69.0 million from the April 2026 underwritten public offering, $20.0 million from the issuance of debt, and $15.0 million upfront payment from Kaken Pharmaceutical Co., Ltd. received in April 2023. As of June 30, 2026, we had cash and cash equivalents of $96.3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based on our current operating plan, our cash and cash equivalents of $96.3 million as of June 30, 2026 and the proceeds from the August 2026 private placement will be sufficient to fund our planned operations and debt obligations for at least 12 months following the issuance date of these financial statements included elsewhere in this Quarterly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will increase significantly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TA-ERT in patients with MPS IIIB;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 a highly specialized commercial organization to support the commercialization of TA-ERT, if approved,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strategic collaborations to benefit from the resources of biopharmaceutical companies specialized in either relevant disease areas or geographies in markets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TA-ERT through our planned TrAnsform confirmatory study in patients with MPS IIIB and expanded access programs, both of which are expected to initiate in the fourth quarter of 2026 and are expected to enroll approximately 14 and 10 participants, respectively;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manufacturing capacity to accommodate anticipated global demand of TA-ERT, if approved, for the treatment of MPS IIIB;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operational, financial, and management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expand, and protect our intellectual property portfolio.</w:t>
      </w:r>
    </w:p>
    <w:p>
      <w:pPr>
        <w:pStyle w:val="TextBody"/>
        <w:bidi w:val="0"/>
        <w:spacing w:before="120" w:after="160"/>
        <w:jc w:val="left"/>
        <w:rPr>
          <w:rFonts w:ascii="Times New Roman" w:hAnsi="Times New Roman"/>
          <w:sz w:val="20"/>
        </w:rPr>
      </w:pPr>
      <w:r>
        <w:rPr>
          <w:rFonts w:ascii="Times New Roman" w:hAnsi="Times New Roman"/>
          <w:color w:val="231F20"/>
          <w:sz w:val="20"/>
        </w:rPr>
        <w:t>In November 2025, the U.S. Securities and Exchange Commission (“SEC”) declared effective a registration statement on Form S-3 (the “Shelf Registration”), covering the sale of up to $300.0 million of our securities. Also, in March 2026, we entered into an Open Market Sales Agreement</w:t>
      </w:r>
      <w:r>
        <w:rPr>
          <w:rFonts w:ascii="Times New Roman" w:hAnsi="Times New Roman"/>
          <w:color w:val="231F20"/>
          <w:sz w:val="13"/>
        </w:rPr>
        <w:t>SM</w:t>
      </w:r>
      <w:r>
        <w:rPr>
          <w:rFonts w:ascii="Times New Roman" w:hAnsi="Times New Roman"/>
          <w:color w:val="231F20"/>
          <w:sz w:val="20"/>
        </w:rPr>
        <w:t xml:space="preserve"> (the “Sales Agreement”) with Jefferies LLC (“Jefferies”) pursuant to which we may elect to issue and sell, from time to time, shares of common stock having an aggregate offering price of up to $75.0 million under the Shelf Registration through Jefferies acting as the sales agent and/or principal. As of June 30, 2026, we have not issued any shares of common stock under the Sales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Additionally, on April 22, 2026, we closed our previously announced underwritten public offering of 1,150,000 shares of our common stock at a public offering price of $50.00 per share and pre-funded warrants to purchase up to 50,000 shares of our common stock at a public offering price of $49.99 per pre-funded warrant (which equals the public offering price per share of common stock, less the $0.01 per share exercise price of each pre-funded warrant). In addition, we granted the underwriters a 30-day option to purchase up to 180,000 additional shares of common stock at the public offering price, less underwriting discounts and commissions, which was exercised in full. The net proceeds to us from the offering, after deducting underwriting discounts and commissions and offering expenses payable by us, were $64.4 million. </w:t>
      </w:r>
    </w:p>
    <w:p>
      <w:pPr>
        <w:pStyle w:val="TextBody"/>
        <w:bidi w:val="0"/>
        <w:spacing w:before="0" w:after="160"/>
        <w:jc w:val="left"/>
        <w:rPr>
          <w:rFonts w:ascii="Times New Roman" w:hAnsi="Times New Roman"/>
          <w:color w:val="231F20"/>
          <w:sz w:val="20"/>
        </w:rPr>
      </w:pPr>
      <w:r>
        <w:rPr>
          <w:rFonts w:ascii="Times New Roman" w:hAnsi="Times New Roman"/>
          <w:color w:val="231F20"/>
          <w:sz w:val="20"/>
        </w:rPr>
        <w:t xml:space="preserve">Global economic and business activities continue to face widespread macroeconomic 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and related legal challenges, and uncertainty about economic stability. </w:t>
      </w:r>
    </w:p>
    <w:p>
      <w:pPr>
        <w:pStyle w:val="TextBody"/>
        <w:bidi w:val="0"/>
        <w:spacing w:before="0" w:after="160"/>
        <w:jc w:val="left"/>
        <w:rPr>
          <w:rFonts w:ascii="Times New Roman" w:hAnsi="Times New Roman"/>
          <w:color w:val="231F20"/>
          <w:sz w:val="20"/>
        </w:rPr>
      </w:pPr>
      <w:r>
        <w:rPr>
          <w:rFonts w:ascii="Times New Roman" w:hAnsi="Times New Roman"/>
          <w:color w:val="231F20"/>
          <w:sz w:val="20"/>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pStyle w:val="TextBody"/>
        <w:bidi w:val="0"/>
        <w:jc w:val="left"/>
        <w:rPr>
          <w:rFonts w:ascii="Times New Roman" w:hAnsi="Times New Roman"/>
          <w:sz w:val="20"/>
        </w:rPr>
      </w:pPr>
      <w:r>
        <w:rPr>
          <w:rFonts w:ascii="Times New Roman" w:hAnsi="Times New Roman"/>
          <w:b/>
          <w:color w:val="000000"/>
          <w:sz w:val="20"/>
        </w:rPr>
        <w:t>Reverse Stock Split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effected a one-for-seventy-five (1:75) reverse stock split of our outstanding common stock (the “Reverse Stock Split”) on August 4, 2025.</w:t>
      </w:r>
    </w:p>
    <w:p>
      <w:pPr>
        <w:pStyle w:val="TextBody"/>
        <w:bidi w:val="0"/>
        <w:jc w:val="left"/>
        <w:rPr>
          <w:rFonts w:ascii="Times New Roman" w:hAnsi="Times New Roman"/>
          <w:color w:val="000000"/>
          <w:sz w:val="20"/>
        </w:rPr>
      </w:pPr>
      <w:r>
        <w:rPr>
          <w:rFonts w:ascii="Times New Roman" w:hAnsi="Times New Roman"/>
          <w:color w:val="000000"/>
          <w:sz w:val="20"/>
        </w:rPr>
        <w:t>All of the outstanding common stock share numbers (including shares of common stock subject to our options), share prices, exercise prices and per share amounts contained in the financial statements have been retroactively adjusted in the financial statements to reflect this Reverse Stock Split for all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Material Agreements</w:t>
      </w:r>
    </w:p>
    <w:p>
      <w:pPr>
        <w:pStyle w:val="TextBody"/>
        <w:bidi w:val="0"/>
        <w:spacing w:before="120" w:after="283"/>
        <w:jc w:val="left"/>
        <w:rPr>
          <w:rFonts w:ascii="Times New Roman" w:hAnsi="Times New Roman"/>
          <w:sz w:val="20"/>
        </w:rPr>
      </w:pPr>
      <w:r>
        <w:rPr>
          <w:rFonts w:ascii="Times New Roman" w:hAnsi="Times New Roman"/>
          <w:b/>
          <w:i/>
          <w:color w:val="000000"/>
          <w:sz w:val="20"/>
        </w:rPr>
        <w:t>Loan Agreement with Avenue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7, 2026 (the “Avenue Closing Date”), we entered into a Loan and Security Agreement (the “Avenue Loan and Security Agreement”) and a Supplement to the Loan and Security Agreement (together with the Avenue Loan and Security Agreement, the “Avenue Loan Agreement”), with Avenue Capital Management II, L.P., as administrative agent and collateral agent (the “Agent”) and Avenue Venture Opportunities Fund II, L.P., as lender (the “Lender”, together with the Agent, “Avenue”).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Avenue Loan Agreement makes available to us term loans in an aggregate principal amount of up to $50.0 million with (i) $15.0 million funded within 5 business days after the Avenue Closing Date (“Tranche 1”), (ii) up to $10.0 million to be made available to us between March 1, 2026 and September 30, 2026, subject to, among other things, our achievement of a key regulatory milestone related to our development of TA-ERT for the treatment of MPS IIIB (“Tranche 2”) and (iii) up to $15.0 million to be made available to us between September 1, 2026 and March 31, 2027, subject to, among other things, our achievement of an additional key regulatory milestone with respect to our development of TA-ERT for the treatment of MPS IIIB (“Tranche 3”). The Lender may make additional term loans of up to an additional $10.0 million (the “Discretionary Tranche 4” and collectively with Tranche 1, Tranche 2 and Tranche 3, the “Avenue Loans”), to be funded between October 1, 2027 and June 30, 2028, subject to, among other things, (i) our achievement of a certain commercial milestone and (ii) the mutual written agreement of us and the Lender (upon the Lender’s investment committee approval). The Avenue Loans bear interest at an annual rate equal to the greater of (x) the sum of 5.25% plus the prime rate as reported in The Wall Street Journal and (y) 12.25%. The Avenue Loans are secured by a lien on and security interest in all of our assets, including intellectual property, subject to agreed exceptions. The maturity date of the Avenue Loans is July 1, 2029 (the “Avenue Maturity Date”). The Avenue Loan Agreement does not contain any minimum cash requirement or other financial covenants. As of June 30, 2026, the outstanding principal was $15.0 million under Tranche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make interest only payments on the Avenue Loans until the 12-month anniversary of the Avenue Closing Date, subject to (i) a 6-month extension, so long as at least $5.0 million from Tranche 2 has been funded and (ii) an additional 12-month extension if we achieve the Tranche 3 milestone. The Avenue Loan principal is repayable in equal monthly installments from the end of interest only period to the Avenue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at our option at any time, prepay the Avenue Loans in their entirety by paying the then-outstanding principal balance and all accrued and unpaid interest on the Avenue Loans, subject to a prepayment fee equal to (i) 3.0% of the principal amount outstanding if the prepayment occurs on or prior to the first anniversary following the Avenue Closing Date, (ii) 2.0% of the principal amount outstanding if the prepayment occurs after the first anniversary following the Avenue Closing Date, but on or prior to the second anniversary following the Avenue Closing Date, and (iii) 1.0% of the principal amount outstanding if the prepayment occurs after the second anniversary following the Avenue Closing Date. We will pay a final payment of 4.0% of the aggregate commitment amounts for Tranche 1, Tranche 2 and Tranche 3, which shall be increased to include the commitment amount of Discretionary Tranche 4 upon the funding of such tranche, on the earlier of (x) the Avenue Maturity Date and (y) the date that we prepay all of the outstanding principal amount of the Avenue Loans in full. On the Avenue Closing Date, we paid to the Lender a commitment fee of $0.4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Avenue Loan Agreement contains customary representations, warranties and covenants, including covenants by the company limiting, among other things, additional indebtedness, liens, guaranties, mergers and consolidations, substantial asset sales, investments and loans, certain corporate changes, transactions with affiliates and fundamental changes. The Avenue Loan Agreement provides for events of default customary for term loans of this type, including but not limited to non-payment, breaches or defaults in the performance of covenants, insolvency, bankruptcy and the occurrence of a material adverse effect on the company. After the occurrence of an event of default, the Agent may (i) accelerate payment of all obligations, impose an increased rate of interest, and terminate the Lender’s commitments under the Avenue Loan Agreement and (ii) exercise any other right or remedy provided by contract or applicable law, including a foreclosure on our assets.</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classify operating expenses into two main categories: (i) research and development expenses and (ii) general and administrative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of external and internal expenses incurred in connection with our research activities and development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expenses, consisting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development—expenses associated with clinical research organizations (“CROs”) engaged to manage and conduct clinical trials, in-process research and development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studies—expenses associated with preclinical studies and clinical pharmacology;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manufacturing—expenses associated with contract manufacturing; labeling, packaging, and distribution of clinical trial supplies, and other outside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research and development—expenses associated with business operations, quality and regulatory compliance;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expenses, consisting of personnel, including expenses for salaries, bonuses, benefits, stock-based compensation, as well as allocation of certain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these expenses have been incurred primarily to develop TA-ERT. We expect that these expenses will primarily consist of personnel costs, expenses for the conduct of clinical trials, manufacturing costs for clinical drug supply, and in-process research and development. We expect that significant additional spending will be required to progress TA-ERT through clinical development and potential regulatory approval and advancing our other investigational product candidates through clinical and pre-clinical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statements of operations and comprehensive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LLC listing rules.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general and administrative expenses will continue to increase in the foreseeable future as additional administrative personnel and services are required to manage these functions of a public company, and as we advance TA-ERT through potential regulatory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incurred and non-cash amortization of debt discount and issuance costs in connection with our debt.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primarily consists of interest income earned on our cash and cash equivalents.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 in Fair Value of Warrant and Conversion Option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warrant and conversion option liabilities consists of the change in the fair value of the warrant liability and debt conversion option.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Comparisons of the Three and Six Months Ended June 30, 2026 and 2025</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presented (in thousands):</w:t>
      </w:r>
    </w:p>
    <w:tbl>
      <w:tblPr>
        <w:tblW w:w="10205" w:type="dxa"/>
        <w:jc w:val="left"/>
        <w:tblInd w:w="0" w:type="dxa"/>
        <w:tblLayout w:type="fixed"/>
        <w:tblCellMar>
          <w:top w:w="28" w:type="dxa"/>
          <w:left w:w="28" w:type="dxa"/>
          <w:bottom w:w="28" w:type="dxa"/>
          <w:right w:w="28" w:type="dxa"/>
        </w:tblCellMar>
      </w:tblPr>
      <w:tblGrid>
        <w:gridCol w:w="2258"/>
        <w:gridCol w:w="146"/>
        <w:gridCol w:w="218"/>
        <w:gridCol w:w="761"/>
        <w:gridCol w:w="171"/>
        <w:gridCol w:w="150"/>
        <w:gridCol w:w="218"/>
        <w:gridCol w:w="652"/>
        <w:gridCol w:w="166"/>
        <w:gridCol w:w="146"/>
        <w:gridCol w:w="211"/>
        <w:gridCol w:w="736"/>
        <w:gridCol w:w="166"/>
        <w:gridCol w:w="146"/>
        <w:gridCol w:w="211"/>
        <w:gridCol w:w="736"/>
        <w:gridCol w:w="166"/>
        <w:gridCol w:w="146"/>
        <w:gridCol w:w="211"/>
        <w:gridCol w:w="736"/>
        <w:gridCol w:w="166"/>
        <w:gridCol w:w="146"/>
        <w:gridCol w:w="211"/>
        <w:gridCol w:w="736"/>
        <w:gridCol w:w="595"/>
      </w:tblGrid>
      <w:tr>
        <w:trPr/>
        <w:tc>
          <w:tcPr>
            <w:tcW w:w="2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9,331</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 in fair value of warrant and </w:t>
              <w:br/>
              <w:t>   conversion option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(16,229</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(12,387</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research and development expenses for the periods presented (in thousands): </w:t>
      </w:r>
    </w:p>
    <w:tbl>
      <w:tblPr>
        <w:tblW w:w="10205" w:type="dxa"/>
        <w:jc w:val="left"/>
        <w:tblInd w:w="0" w:type="dxa"/>
        <w:tblLayout w:type="fixed"/>
        <w:tblCellMar>
          <w:top w:w="28" w:type="dxa"/>
          <w:left w:w="28" w:type="dxa"/>
          <w:bottom w:w="28" w:type="dxa"/>
          <w:right w:w="28" w:type="dxa"/>
        </w:tblCellMar>
      </w:tblPr>
      <w:tblGrid>
        <w:gridCol w:w="2799"/>
        <w:gridCol w:w="146"/>
        <w:gridCol w:w="227"/>
        <w:gridCol w:w="728"/>
        <w:gridCol w:w="156"/>
        <w:gridCol w:w="156"/>
        <w:gridCol w:w="227"/>
        <w:gridCol w:w="679"/>
        <w:gridCol w:w="166"/>
        <w:gridCol w:w="146"/>
        <w:gridCol w:w="211"/>
        <w:gridCol w:w="676"/>
        <w:gridCol w:w="166"/>
        <w:gridCol w:w="146"/>
        <w:gridCol w:w="211"/>
        <w:gridCol w:w="676"/>
        <w:gridCol w:w="146"/>
        <w:gridCol w:w="146"/>
        <w:gridCol w:w="211"/>
        <w:gridCol w:w="676"/>
        <w:gridCol w:w="166"/>
        <w:gridCol w:w="146"/>
        <w:gridCol w:w="211"/>
        <w:gridCol w:w="571"/>
        <w:gridCol w:w="416"/>
      </w:tblGrid>
      <w:tr>
        <w:trPr/>
        <w:tc>
          <w:tcPr>
            <w:tcW w:w="2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studies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12,163</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9,331</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by $12.6 million during the three months ended June 30, 2026 compared to the three months ended June 30, 2025. The increase in clinical development expenses of $4.7 million was primarily related to increased expenses for TA-ERT of $5.8 million, offset by the discontinuation of the tildacerfont congenital adrenal hyperplasia (“CAH”) development program of $1.1 million. The increase in manufacturing expenses of $7.4 million was primarily related to TA-ERT. There was also an increase in personnel related costs of $0.3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by $9.3 million during the six months ended June 30, 2026 compared to the six months ended June 30, 2025. The increase in clinical development expenses of $0.8 million was primarily related to increased expenses for TA-ERT of $9.6 million, offset by lower one-time product acquisition related costs of $5.7 million and the discontinuation of the tildacerfont CAH development program of $3.0 million. The increase in manufacturing expenses of $8.5 million was primarily related to TA-ERT.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research and development expenses will increase into the foreseeable future as we advance TA-ERT through an anticipated biologics license application submission in the fourth quarter of 2026 and potential FDA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the terms of our license agreements, see Note 7 to our unaudited condensed financial statements “License Agreements” presented elsewhere in this Quarterly Report.</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$1.2 million during the three months ended June 30, 2026 compared to the three months ended June 30, 2025 primarily due to an increase in personnel related costs of $0.9 million and an increase in professional fees of $0.2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$2.0 million during the six months ended June 30, 2026 compared to the six months ended June 30, 2025 primarily due to an increase in personnel related costs of $1.1 million and an increase in professional fees of $0.7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$1.1 million during the three months ended June 30, 2026 compared to the three months ended June 30, 2025 and increased by $1.7 million during the six months ended June 30, 2026 compared to the six months ended June 30, 2025 due to an increase in our debt and its related interest rate and an increase in the related amortization of debt discount and issuance costs.</w:t>
      </w:r>
    </w:p>
    <w:p>
      <w:pPr>
        <w:pStyle w:val="TextBody"/>
        <w:bidi w:val="0"/>
        <w:spacing w:before="12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other income, net increased by $0.6 million during the three months ended June 30, 2026 compared to the three months ended June 30, 2025 and increased by $0.7 million during the six months ended June 30, 2026 compared to the six months ended June 30, 2025 primarily due to higher money market fund balances.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 in Fair Value of Warrant and Conversion Option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in fair value of warrant and conversion option liabilities increased by $0.2 million during the three months ended June 30, 2026 compared to the three months ended June 30, 2025 and decreased by $0.1 million during the six months ended June 30, 2026 compared to the six months ended June 30, 2025. In the prior period, the change in fair value was for pre-funded warrants issued to HBM Alpha Therapeutics, Inc. In the current period, the change in fair value relates to warrants and the conversion option under the Avenue Loan Agreement.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from product sales and have incurred significant operating losses and negative cash flows from operations. We anticipate that we will continue to incur net losses for the foreseeable future. As of June 30, 2026 and December 31, 2025, we had an accumulated deficit of $317.7 million and $289.2 million, respectively. As of June 30, 2026 and December 31, 2025, we had cash and cash equivalents of $96.3 million and $48.9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inception through the date of this filing, we have raised aggregate gross proceeds of $432.6 million, including $103.5 million from our initial public offering in October 2020, $116.0 million from the sale of our redeemable convertible preferred stock, $109.1 million from private placement financings (including the August 2026 private placement), $69.0 million from the April 2026 underwritten public offering, $20.0 million from the issuance of debt, and $15.0 million upfront payment from Kaken Pharmaceutical Co., Ltd. received in April 2023. As of June 30, 2026, we had cash and cash equivalents of $96.3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7, 2026, we entered into a Stock Purchase Agreement with the National MPS Society and the Cure Sanfilippo Foundation, pursuant to which we agreed to sell and issue 121,203 shares of our common stock in a private placement transaction. The purchase price per share was $45.38 per share. The total gross proceeds were $5.5 million. The proceeds will be used to partially fund our early access program, which is expected to initiate in the fourth quarter of 2026. We believe that based on our current operating plan, our cash and cash equivalents of $96.3 million as of June 30, 2026 and proceeds from the August 2026 private placement will be sufficient to fund our planned operations and debt obligations for at least 12 months following the issuance date of these financial statements included elsewhere in this Quarterly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we can generate sufficient revenue, if ever, to fund our operations, we will need to finance future cash needs through the sale of a priority review voucher, if received, public or private equity offerings, license agreements, debt financings or restructurings, collaborations, strategic alliances and marketing or distribution arrangements, and there can be no assurance that such arrangements will be available to us on a timely basis, or, if available, will be available on terms acceptable to us. </w:t>
      </w:r>
    </w:p>
    <w:p>
      <w:pPr>
        <w:pStyle w:val="TextBody"/>
        <w:bidi w:val="0"/>
        <w:spacing w:before="120" w:after="283"/>
        <w:jc w:val="left"/>
        <w:rPr>
          <w:rFonts w:ascii="Times New Roman" w:hAnsi="Times New Roman"/>
          <w:sz w:val="20"/>
        </w:rPr>
      </w:pPr>
      <w:r>
        <w:rPr>
          <w:rFonts w:ascii="Times New Roman" w:hAnsi="Times New Roman"/>
          <w:b/>
          <w:i/>
          <w:color w:val="000000"/>
          <w:sz w:val="20"/>
        </w:rPr>
        <w:t>Shelf Registration and Sales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2025, the SEC declared effective the Shelf Registration covering the sale of up to $300.0 million of our securities. Also, in March 2026, we entered into the Sales Agreement with Jefferies, pursuant to which we may elect to issue and sell, from time to time, shares of common stock having an aggregate offering price of up to $75.0 million under the Shelf Registration through Jefferies acting as the sales agent and/or principal (the “ATM Offering”). We have also filed a prospectus supplement with the SEC in connection with the ATM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The Nasdaq Capital Market, the existing trading market for our common stock. As of June 30, 2026, we have not issued any shares of common stock pursuant to the Sales Agreement. We have agreed to pay Jefferies commissions for its services of acting as agent of 3.0% of the gross proceeds from the sale of the shares pursuant to the Sales Agreement. We have also agreed to provide Jefferies with customary indemnification and contribution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generated any product revenue. We do not expect to generate any meaningful revenue unless and until we obtain regulatory approval and commercialize TA-ERT or any other current or future product candidates, and we do not know when, or if at all, that will occur. We will continue to require additional capital to develop and launch TA-ERT and fund operations for the foreseeable future. Our primary uses of cash are to fund our operations, which consist primarily of research and development expenses related to our clinical development programs, and to a lesser extent, general and administrative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and obtain regulatory approval for, TA-ERT or any of our other current or future product candidates. We expect our research and development expenses to increase significantly in the foreseeable future as we continue to invest in activities related to the clinical development and commercialization of TA-ERT and as we pursue regulatory approval of TA-ERT for the treatment of MPS IIIB. The process of conducting the necessary clinical research to obtain regulatory approval is costly and time-consuming, and we may never succeed in achieving regulatory approval for TA-ERT in patients with MPS IIIB.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raise capital through the sale of a priority review voucher, if received, equity or debt financings, collaborative agreements, potentially including agreements to out-license rights to develop and commercialize TA-ERT,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trial design, results of, and timing of our ongoing and planned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costs and timing of seeking and obtaining FDA and any other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sufficient quantities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to expand our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manufacturing our product candidates and establishing clinical and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enter into favorable out-licensing agreements for the development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licensing, or investing in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and ability to retain key management and hire scientific, technical, business,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products and product candidates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from our product candidates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and other terms, timing of, and success of any collaboration, licensing, or other arrangements which we may enter in the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the disruptions to and volatility in the credit and financial markets in the United States and worldwide from geopolitical and macroeconomic events, including global trade disputes, labor shortages, declines in consumer confidence, inflation and monetary supply shifts, recession risks, tariffs and related legal challenges, and the ongoing wars in Ukraine and the Middle East and related sanctions.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global trade disputes, labor shortages, declines in consumer confidence, inflation and monetary supply shifts, recession risks, potential disruptions from the wars in Ukraine and the Middle East and related sanctions, declines in economic growth, tariffs and related legal challenges, and uncertainty about economic stability. If the equity and credit markets continue to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our product candidates or other research and development initiatives. We also could be required to seek collaborators for our product candidates and any future product candidates at an earlier stage than otherwise would be desirable or on terms that are less favorable than might otherwise be available or relinquish or license on unfavorable terms our rights to our product candidates and any future product candidates in markets where we otherwise would seek to pursue development or commercialization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future payments of principal and interest on the Avenue Loans, which matures in July 2029, were $19.9 million. For a description of the terms of the Avenue Loans, see the section titled “Material Agreements — Loan Agreement with Avenue”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total undiscounted lease payments for our non-cancelable operating lease for office space, which terminates in February 2028 unless renewed, was $0.6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except for certain contracts with contract manufacturing organizations containing minimum purchase obligations. Payments due upon cancellation consist only of payments for services provided or expenses incurred, including noncancelable obligations of our service providers, up to the date of cancellation.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also entered into license and collaboration agreements under which we are obligated to make aggregate milestone payments upon the achievement of specified milestones as well as royalty payments. As of June 30, 2026, we were unable to estimate the timing or likelihood of achieving these milestones or generating future product sales. For a description of the terms of our license and collaboration agreements, see Note 7 to our unaudited condensed financial statements “License Agreements” presented elsewhere in this Quarterly Report. </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Statements of 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primary sources and uses of cash, cash equivalents, and restricted cash for the periods presented below (in thousands):</w:t>
      </w:r>
    </w:p>
    <w:tbl>
      <w:tblPr>
        <w:tblW w:w="8253" w:type="dxa"/>
        <w:jc w:val="left"/>
        <w:tblInd w:w="0" w:type="dxa"/>
        <w:tblLayout w:type="fixed"/>
        <w:tblCellMar>
          <w:top w:w="28" w:type="dxa"/>
          <w:left w:w="28" w:type="dxa"/>
          <w:bottom w:w="28" w:type="dxa"/>
          <w:right w:w="28" w:type="dxa"/>
        </w:tblCellMar>
      </w:tblPr>
      <w:tblGrid>
        <w:gridCol w:w="4311"/>
        <w:gridCol w:w="146"/>
        <w:gridCol w:w="211"/>
        <w:gridCol w:w="736"/>
        <w:gridCol w:w="166"/>
        <w:gridCol w:w="146"/>
        <w:gridCol w:w="211"/>
        <w:gridCol w:w="736"/>
        <w:gridCol w:w="166"/>
        <w:gridCol w:w="146"/>
        <w:gridCol w:w="211"/>
        <w:gridCol w:w="676"/>
        <w:gridCol w:w="391"/>
      </w:tblGrid>
      <w:tr>
        <w:trPr/>
        <w:tc>
          <w:tcPr>
            <w:tcW w:w="4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increase (decrease) in cash, cash equivalents, </w:t>
              <w:br/>
              <w:t>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increased by $9.3 million during the six months ended June 30, 2026 compared to the six months ended June 30, 2025 primarily due to increased clinical development activities for TA-ERT offset by the receipt of $2.6 million related to the Allievex Purchase Agreement due to the completed Allievex bankruptcy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the terms of our license agreements, see Note 7 to our unaudited condensed financial statements “License Agreements” presented elsewhere in this Quarterly Report.</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cash used in investing activities was related to purchase of property and equipment.</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cash provided by financing activities was $78.4 million, consisting primarily of net proceeds from the issuance of common stock and warrants of $64.4 million and net proceeds from the Avenue Loans of $14.0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2025, net cash used in financing activities was $0.8 million, consisting of principal payments on debt of $0.8 million.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estimates are described in the section titled “Management’s Discussion and Analysis of Financial Condition and Results of Operations—Critical Accounting Estimates” in the Annual Report. During the six months ended June 30, 2026, there were no changes to our critical accounting estimates from those discussed in the Annual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Interest Rate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and cash equivalents as of June 30, 2026 consisted of $96.3 million in bank deposits and money market funds. Previously, we have held U.S. treasury securities and corporate bonds.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and cash equivalents do not contain excessive risk, we cannot provide absolute assurance that in the future our investments will not be subject to adverse changes in market value. Additionally, the interest rates for our loans are variable.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a hypothetical 1% change in interest rates would not have a material effect on our financial statements. We do not currently engage in hedging transactions to manage our exposure to interest rate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Foreign Currency Exchange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primarily consist of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high inflation due to geopolitical and macroeconomic uncertainties, as of June 30, 2026, we do not expect anticipated changes in inflation to have a material effect on our business, financial condition or results of operations for future reporting periods.</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(the “Exchange Act”)) as of the end of the period covered by this Quarterly Report. Based on that evaluation, our Chief Executive Officer and President and Chief Financial Officer have concluded that, as of the end of the period covered by this Quarterly Report,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Exchange Act Rules 13a-15(f) and 15d-15(f)) during the quarter ended June 30, 2026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Limitation on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14" w:name="part_iior_information"/>
      <w:bookmarkEnd w:id="14"/>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An investment in shares of our common stock involves a high degree of risk. You should carefully consider the risks described below, as well as the other information in this Quarterly Report,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financing to develop our product candidates and implement our operating plan. If we fail to obtain additional financing, including as a result of geopolitical uncertainty and macroeconomic events, we may be forced to delay, reduce or eliminate our product development programs or commercialization efforts, which could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consumed substantial amounts of cash since our inception. We expect to continue to spend substantial amounts to continue the clinical development of, and seek regulatory approval for, TA-ERT and our other current and future product candidates. We will require significant additional amounts in order to prepare for commercialization, and, if approved, to launch and commercialize TA-ERT and our other current and future product candidates.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2026, we had cash and cash equivalents of $96.3 million. In October 2020, we consummated our initial public offering and issued 92,000 shares of common stock for net proceeds of $93.4 million. In February 2023, we completed a private placement for net proceeds of $50.9 million. In April 2023, we received a $15.0 million upfront payment under a collaboration and license agreement with Kaken Pharmaceutical Co. Ltd. In October 2025, we completed a private placement for total net proceeds of $46.6 million. On January 7, 2026, we entered into the Avenue Loan Agreement, which makes available to the company term loans in an aggregate principal amount of up to $50.0 million, subject to the company’s achievement of certain regulatory milestones, which we may not achieve. On April 22, 2026, we closed our previously announced underwritten public offering of 1,150,000 shares of our common stock and pre-funded warrants to purchase up to 50,000 shares of our common stock, and we granted the underwriters a 30-day option to purchase up to 180,000 additional shares of common stock, which was exercised in full. The net proceeds to us from the offering were $64.4 million. Additionally, in August 2026 we completed a private placement for gross proceeds of $5.5 million.</w:t>
      </w:r>
    </w:p>
    <w:p>
      <w:pPr>
        <w:pStyle w:val="TextBody"/>
        <w:bidi w:val="0"/>
        <w:jc w:val="left"/>
        <w:rPr>
          <w:rFonts w:ascii="Times New Roman" w:hAnsi="Times New Roman"/>
          <w:color w:val="000000"/>
          <w:sz w:val="20"/>
        </w:rPr>
      </w:pPr>
      <w:r>
        <w:rPr>
          <w:rFonts w:ascii="Times New Roman" w:hAnsi="Times New Roman"/>
          <w:color w:val="000000"/>
          <w:sz w:val="20"/>
        </w:rPr>
        <w:t xml:space="preserve">Changing circumstances may cause us to consume capital significantly faster than we currently anticipate, and we may need to spend more money than currently expected because of circumstances beyond our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additional capital for the further development and commercialization of TA-ERT and our other current and future product candidates and may need to raise additional funds sooner if we choose to expand more rapidly than we presently anticipate. Additional funding may not be available on acceptable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as a result of geopolitical uncertainty and macroeconomic events, including global trade disputes, tariffs and resulting legal challenges, and the ongoing wars in Ukraine and the Middle East and related sanctions, the global credit and financial markets have experienced and may in the future experience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TA-ERT or other research and development initiatives. We also could be required to seek collaborators for our current product candidates and any future product candidates at an earlier stage than otherwise would be desirable or on terms that are less favorable than might otherwise be available, or relinquish or license on unfavorable terms our rights to our current product candidates and any future product candidates in markets where we otherwise would seek to pursue development or commercialization ourselves.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significantly harm our business, financial condition, results of operations and prospects, and cause the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For example, on January 7, 2026, we entered into the Avenue Loan Agreement, which contains covenants restricting, among other things, our ability to incur additional indebtedness, liens, guaranties, mergers and consolidations, substantial asset sales, investments and loans, certain corporate changes, transactions with affiliates and fundamental changes. If we raise additional funds through strategic partnerships and alliances and licensing arrangements with third parties, we may have to relinquish valuable rights to our technologies or current or future product candidates, or grant licenses on terms unfavorable to us.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incurred significant net losses since our inception, and anticipate that we will continue to incur significant net losses for the foreseeable future, and such net losses are expected to increase as we continue our clinical development of, and seek regulatory approvals for, our product candidate, TA-ERT,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late-stage biopharmaceutical company incorporated in 2016,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product candidates.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product revenue to date, and we continue to incur significant research and development and other expenses related to our ongoing operations. As a result, we are not profitable and have incurred significant net losses since our inception. If our product candidates are not successfully developed and approved, we may never generate any revenue. For the six months ended June 30, 2026 and 2025, we reported net losses of $28.5 million and $16.1 million, respectively. As of June 30, 2026, we had an accumulated deficit of $317.7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losses for the foreseeable future, and we expect these losses to increase as we continue our clinical development of, seek regulatory approvals for, and commercially launch, if approved, TA-ERT and our other current and future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advance our product candidates in clinical development, obtain regulatory approval, and ultimately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TA-ERT and our other current and future product candidates will depend on various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site expansion and activation and patient engagement in our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our ongoing and planned clinical trials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U.S. Food and Drug Administration (“FDA”) and European Medicines Agency (“EMA”) of the clinical trial design of our planned and ongoing clinical trials of TA-ERT and our other current and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safety and efficacy to the satisfaction of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meeting regulatory requirements established by the FDA, the European Commission, EMA, and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 and maintaining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and receiving/importing commercial supplies approved by the FDA and other regulatory authorities from any future third-party manufacturer;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sales, marketing, and distribution capabilities and commercializing TA-ERT and our other current product candidates,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patent and trade secret protection and regulatory exclusivity for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of TA-ERT and our other current product candidates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growing an organization of people who can develop and, if approved, commercialize, market, and sell TA-ERT and our other current product candidates to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achieve one or more of these factors, many of which are beyond our control, in a timely manner or at all, we could experience significant delays or an inability to obtain regulatory approvals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regulatory approvals are obtained, we may never be able to successfully commercialize our product candidates.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TA-ERT and our other current product candidates, if approved, to continue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intend to seek FDA approval of TA-ERT for MPS IIIB through the accelerated approval pathway. If we are unable to obtain accelerated approval, we may be required to conduct additional preclinical studies or clinical trials beyond the confirmatory Phase 3 trial that we currently contemplate, which could increase the expense of obtaining, and delay the receipt of, necessary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submit a biologics license application (“BLA”) seeking accelerated approval of TA-ERT for MPS IIIB based on existing clinical data, however there can be no assurance that such submission or application will be accepted for filing by the FDA or that approval will be granted on a timely basis, or at all. For example, in March 2024, in a type C meeting with the FDA, the FDA confirmed that CSF HS-NRE is deemed to be a biomarker reasonably likely to predict clinical benefit and could serve as a basis for accelerated approval. The FDA also confirmed that the completed clinical and nonclinical studies of TA-ERT were sufficient for a BLA submission and provided guidance around key design elements of a confirmatory trial (placebo-controlled 5-year study in 14 patients), which must be initiated prior to potential accelerated approval of TA-ERT.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held two Type B meetings with the FDA ahead of our anticipated BLA submission for TA-ERT; the first in December 2025 to discuss our clinical data and regulatory strategy, and the second in January 2026 to discuss CMC requirements. During the December 2025 meeting, the FDA confirmed that the integrated study data from interventional clinical studies of TA-ERT and the available natural history data could potentially serve as an adequate and well-controlled study for purposes of the FDA’s review of the effects of TA-ERT on CSF HS-NRE, which could serve as a surrogate endpoint to support an accelerated approval. Following the January 2026 CMC meeting, the FDA considered the company’s plan to address DP PPQ batch requirements for the BLA submission, and in the official meeting minutes, the FDA shared its requirement for one DP PPQ batch at the time of BLA submission and data from a second DP PPQ batch prior to midcycle of BLA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in part, on these discussions, we intend to submit the BLA for TA-ERT for the treatment of MPS IIIB in the fourth quarter of 2026, and if successful and FDA approval is received, potentially commercially launch in mid-2027. However, even if we submit the BLA as planned, we may be unsuccessful in providing sufficient evidence of CSF HS-NRE to predict clinical benefit in support of an accelerated approval, and after reviewing our BLA submission, the FDA may ultimately issue a Complete Response Letter. For example, the FDA has in the past rejected accelerated approval following submission of a BLA under accelerated approval pathway by another company focusing on the treatment of an ultra-rare neurodegenerative disease, in part due to uncertainty regarding the appropriateness of the proposed surrogate endpoint, and the FDA may reject similar BLA applications in the future. If our BLA submission is viewed as having similarities to another BLA submission that was previously rejected by the FDA, this could impact the likelihood of success of our BLA application or could influence investor perception of our likelihood of success, which could cause the price of our common stock to decline, and could harm our business, financial condition, results of operations and prospects. If the FDA rejects CSF HS-NRE as a surrogate endpoint, we may be required to conduct longer-term follow up, to enroll additional patients in our current study, or to perform a new clinical study, all of which could be challenging with an ultra-rare and fatal genetic disease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 MPS IIIB and could make us experience significant delays in, or could prevent us from, obtaining accelerated regulatory approval. Failure to obtain accelerated approval would result in a longer time period to commercialization, if any, and would increase the cost of development and harm our competitive position in the marketplace.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clinical trials may fail to adequately demonstrate that our product candidates are well tolerated and provide sufficient clinical benefits for patients, which could prevent or delay regulatory approval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MPS IIIB and congenital adrenal hyperplasia (“CAH”). We intend to seek accelerated approval of TA-ERT for MPS IIIB based on existing clinical data. As a condition of seeking such approval of a BLA from the FDA, we will initiate a confirmatory Phase 3 trial, which must be initiated prior to potential accelerated approval of TA-ERT. We intend to submit the BLA for TA-ERT for the treatment of MPS IIIB in the fourth quarter of 2026, and if successful and FDA approval is received, potentially commercially launch in mid-2027. Additionally, any safety concerns observed in any one of our clinical trials in our targeted indications could limit the prospects for regulatory approval of TA-ERT and our other current product candidates in other indications.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biopharmaceutical industry is characterized by intense competition and rapid innovation and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TA-ERT and our other current product candidates. We believe the key competitive factors that will affect the development and commercial success of our product candidates are,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safety and tolerability profile of our product candidates relative to marketed products and product candidates in development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it takes for our product candidates to complete clinical development and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convenience of dosing;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product candidates, including in comparison to branded or generic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coverage and adequate levels of reimbursement are available under private and governmental health insurance plans, including Medicare;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effectiveness of promotional support and high-touch patient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manufacture commercial quantities of our product candidates if they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preferential formulary status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intellectual property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potential could be reduced or eliminated if our competitors develop and commercialize products that are safer, more effective, have fewer or less severe side effects, are more convenient, or are less expensive than products that we may develop. Our competitors’ drugs may be more effectively marketed and sold than any drug we may commercialize and may render our product candidates obsolete or non-competitive before we can recover the expenses of developing and commercializing any of our product candidates.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our product candidates are likely to be efficacy, safety, and convenience.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TA-ERT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marketing approval from regulatory authorities for the sale of any of our product candidates, we or our collaborators must conduct extensive trials to demonstrate the safety and efficacy of the product candidates in humans. Preclinical and clinical testing is expensive and difficult to design and implement, can take many years to complete, and its outcome is inherently uncertain. A failure of one or more preclinical or clinical trials can occur at any stage of testing. The results of preclinical studies and early clinical trials of TA-ERT and preclinical studies of SPR202 may not be predictive of the results of later-stage clinical trials, and interim results of a trial do not necessarily predict final results. Product candidates in later stages of clinical trials may fail to show the desired safety and efficacy traits despite having progressed through preclinical studies and initial clinical trials. For example, we plan to use doses in our clinical trials for TA-ERT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For example, the Tildacerfont as Antidepressant Medication and Relief in Depression (“TAMARIND”) Phase 2 study of tildacerfont in major depressive disorder (“MDD”) was discontinued in the first quarter of 2026 following a serious adverse event in which a patient experienced a significant elevation of liver enzymes. The prior sponsor of TA-ERT, Allievex Corporation (“Allievex”), discontinued clinical development due to financial constraints.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our clinical trials for TA-ERT and our other current and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especially in the case of an orphan indication, the proximity of patients to clinical sites, competition with other organizations or our own clinical trials for clinical trial sites or patients, the eligibility and exclusion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one indication for which we are evaluating TA-ERT is a rare neurodegenerative pediatric disorder with limited patient populations from which to draw participants in clinical trials. We are and will be required to identify and enroll a sufficient number of patients with the disorder under investigation for our clinical trials of TA-ERT.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disorders and are recruiting clinical trial patients from these patient populations, which may delay or make it more difficult to fully enroll our clinical trials. Our inability to enroll a sufficient number of patients for any of our current or future clinical trials would result in significant delays or may require us to abandon one or more clinical trials altogether.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initiate clinical trials for our current product candidates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investigational new drug application or similar regulatory filing under which we must receive authorization to proceed with clinical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current product candidates or any future product candidates, we must conduct extensive clinical trials to demonstrate the safety and efficacy of our current product candidates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our current product candidates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with them, our development programs may be significantly delayed, and we may need to conduct additional clinical trials or collect additional data independently. In either case, our development costs would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know whether our current or any future clinical trials will begin on time or be completed on schedule, if at all. The commencement and completion of clinical trials can be delayed for a number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failure to accept our proposed manufacturing processes and suppliers and/or requirement to provide additional information regarding our manufacturing processes before providing marketing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authorizations to commence a clinical trial or reaching a consensus with regulatory authorities on clinical trial design or implementation;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delay in reaching an agreement with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approval from one or more institutional review boards (“IRBs”) or positive opinions from Ethics Committees (“ECs”);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IRBs or ECs refusing to approve or issuing a negative opinion, suspending, varying or terminating the clinical trial at an investigational site, precluding enrollment of additional subjects, or withdrawing their approval or positive opinion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clinical trial protocols and related operationalization of such changes at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TA-ERT and our other current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sites not timely activating, delaying screening activities, or deviating from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manufacturing sufficient quantities of TA-ERT or our other current and future product candidates</w:t>
      </w:r>
      <w:r>
        <w:rPr>
          <w:color w:val="000000"/>
        </w:rPr>
        <w:t xml:space="preserve"> </w:t>
      </w:r>
      <w:r>
        <w:rPr>
          <w:rFonts w:ascii="Times New Roman" w:hAnsi="Times New Roman"/>
          <w:color w:val="000000"/>
          <w:sz w:val="20"/>
        </w:rPr>
        <w:t>or obtaining sufficient quantities of combination therapies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failing to enroll or remain in our trials at the rate we expect,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choosing an alternative treatment for the indications for which we are developing TA-ERT and our other current and future product candidates,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subject engagement in the clinical trials or subjects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lack of adequate funding to continue the clinical trial, such as that experienced by Allievex in relation to the continued development of TA-ERT;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serious adverse events (“SAEs”) in clinical trials of the same class of agents conducted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facility manufacturing our product candidates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our product candidates in the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changes to our manufacturing process, suppliers or formulation that may be necessary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vendors not performing manufacturing and distribution services in a timely manner or to sufficient quality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becoming debarred or suspended or otherwise penalized by the FDA or other government or regulatory authorities for violations of regulatory requirements, in which case we may need to find a substitute contractor,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we may not be able to use some or all of the data produced by such contractors in support of our marketing applications;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impacts of contagious disease outbreaks on our ongoing and planned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competent authorities, IRBs or ECs for reexamination, which may impact the costs, timing, or successful completion of a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conducting clinical trials in foreign countries, which we have done for TA-ERT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TA-ERT or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experience delays in the completion of, or termination of, any clinical trial of TA-ERT or our other current and future product candidates, the commercial prospect of TA-ERT or our other current and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TA-ERT or our other current and future product candidates. Further, delays to our clinical trials that occur as a result could shorten any period during which we may have the exclusive right to commercialize, if approved, TA-ERT and our other current product candidates, and our competitors may be able to bring products to market before we do, and the commercial viability of TA-ERT and our other current product candidates could be significantly reduced. Any of these occurrences may harm our business, financial condition, results of operations and prospects significantly.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TA-ERT and our other current and future product candidates will be subject to extensive regulation and compliance obligations, which are costly and time-consuming, and such regulation may cause unanticipated delays or prevent the receipt of the required approvals to commercialize TA-ERT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development, manufacturing, labeling, storage, record-keeping, advertising, promotion, import, export, marketing, and distribution of our product candidates subject to extensive regulation by the FDA in the United States and by comparable foreign regulatory authorities in foreign markets. In the United States, we are not permitted to market TA-ERT or any other current or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TA-ERT or any other current or future product candidates in the United States until we receive approval of a new drug application (“NDA”) or BLA from the FDA. Similar requirements and risks are applicable in foreign markets. We have not previously submitted an NDA or BLA to the FDA, or similar drug approval filings to comparable foreign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TA-ERT and any other current and future product candidates either prior to or post-approval, or may object to elements of our clinical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and our other current and future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serious and unexpected drug-related side effects may be experienced by participants in our clinical trials or by people using drugs similar to TA-ERT and our other current and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not accept clinical data from trials which are conducted at clinical facilities or in countries where the standard of care is potentially different from that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to the satisfaction of the FDA or comparable foreign regulatory authorities that a product candidate is safe and effective for any of its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clinical trials may not meet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collected from clinical trials may not be sufficient to satisfy the FDA or comparable foreign regulatory authorities to support the submission of an NDA, BLA or other comparable submissions in foreign jurisdictions or to obtain regulatory approval in the United States or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above events could prevent us from achieving market approval of TA-ERT or our other current and future product candidates and could substantially increase the costs of commercializing TA-ERT or our other current and future product candidates. The demand for TA-ERT and our other current or any future product candidates could also be negatively impacted by any adverse effects of a competitor’s product or treatment.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TA-ERT and our other current and future product candidates, which would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eventually complete clinical trials and receive approval of an NDA, BLA or foreign marketing application for TA-ERT and our other current and future product candidates, the FDA or comparable foreign regulatory authority may grant approval contingent on the performance of costly additional clinical trials, including Phase 4 clinical trials, and/or the implementation of a risk evaluation and mitigation strategy (“REMS”) or comparable foreign strategies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such data should be viewed with caution until the final data are available. Adverse differences between preliminary, interim, or topline data and final data could significantly harm our business prospects and may cause the trading price of our common stock to fluctuate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regulatory approval for, and commercialize, our product candidates and any future product candidates may be harmed, which could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market opportunities for TA-ERT and our other current and future product candidates are smaller than we believe they are, our future revenue, if any,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size of the market opportunities in each of our target indications for our product candidates and any future product candidates is smaller than we anticipate, we may not be able to achieve profitability and growth. We focus our clinical development on treatments for neurological disorders. For example, we believe that TA-ERT has the potential to bring therapeutic benefit to patients suffering from MPS IIIB. Given the relatively small number of patients who have MPS IIIB, it is critical to our ability to grow and become profitable that we continue to successfully identify patients with these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due to the lack of available treatment options, newborn screening programs have not been widely adopted for the detection of MPS IIIB. As a result, patients may become increasingly difficult to identify or gain access to, which would adversely affect our results of operations and our business. In addition, the potentially addressable patient population for MPS IIIB may be limited or may not be amenable to treatment with TA-ERT, if approved. Further, even if we obtain significant adoption and market penetration for TA-ERT in MPS IIIB, we may never achieve profitability despite obtaining such significant market share, as other pharmaceutical companies with more resources and greater experience in drug development and commercialization are targeting this same disorder.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regulatory approval for a product candidate in one jurisdiction does not mean that we will be successful in obtaining regulatory approval for that product candidate in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must be approved for reimbursement before it can be approved for sale in that jurisdiction. In some cases, the price that we intend to charge for our product candidates is also subject to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with the FDA, obtaining approval of a Marketing Authorization Application (“MAA”) from the European Commission, following the related opinion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TA-ERT in certain countries. If we fail to comply with the regulatory requirements in international markets and/or receive applicable marketing approvals, our target market will be reduced and our ability to realize the full market potential of TA-ERT will be harmed, which would adversely affect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have no marketing and sales organization and have yet to commercialize a product. If we are unable to establish marketing and sales capabilities or enter into agreements with third parties to market and sell TA-ERT and our other current and future product candidates, we may not be able to generate any product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 commercial organization for the marketing, sales, and distribution of pharmaceutical products. To commercialize our product candidates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TA-ERT, if approved,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establishment and development of our own sales force or the establishment of a contract sales force to market our product candidates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To the extent we rely on third parties to commercialize our product candidates, if approved, we may have little or no control over the marketing and sales efforts of such third parties and our revenues from product sales may be lower than if we had commercialized TA-ERT and any other current and future product candidates ourselves. In the event we are unable to develop our own marketing and sales force or collaborate with a third-party marketing and sales organization, we would not be able to commercialize, if approved, TA-ERT and any other current and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U.S. and global economic and geopolitical conditions could adversely affect our business, financial condition, results of operations and prospects.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U.S. and global economies, the U.S. and global financial markets and adverse geopolitical and macroeconomic developments. U.S. and global economic and business activities have been, and may continue to be, disrupted and volatile due to many factors, including global trade disputes, labor shortages, declines in consumer confidence, inflation and monetary supply shifts, recession risks, geopolitical uncertainty, potential disruptions from the ongoing wars in Ukraine and the Middle East and related sanctions, disruptions in supply chain continuity, reduced access to liquidity in Europe and globally, declines in economic growth, and uncertainty about economic stability,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 </w:t>
      </w:r>
    </w:p>
    <w:p>
      <w:pPr>
        <w:pStyle w:val="TextBody"/>
        <w:bidi w:val="0"/>
        <w:jc w:val="left"/>
        <w:rPr>
          <w:rFonts w:ascii="Times New Roman" w:hAnsi="Times New Roman"/>
          <w:color w:val="000000"/>
          <w:sz w:val="20"/>
        </w:rPr>
      </w:pPr>
      <w:r>
        <w:rPr>
          <w:rFonts w:ascii="Times New Roman" w:hAnsi="Times New Roman"/>
          <w:color w:val="000000"/>
          <w:sz w:val="20"/>
        </w:rPr>
        <w:t>A severe or prolonged global economic downturn could result in a variety of risks to our business. For example, inflation rates, particularly in the United States, have increased to levels not previously seen in years, and increased inflation may result in increases in our operating costs (including our labor costs), reduced liquidity and limits on our ability to access credit or otherwise raise capital on acceptable terms, if at all. In addition, the U.S. Federal Reserve and equivalent foreign entities have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United States and the other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imposition of substantial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including legal challenges to such tariffs,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 Based on this investigation, on April 2, 2026, the President issued a proclamation imposing up to a 100% tariff on certain patented pharmaceuticals and associated pharmaceutical ingredients. These tariffs will become effective September 29, 2026, unless they are “expressly reduced, modified, or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and our principal suppliers of critical raw materials are located in multiple countries. The active pharmaceutical ingredients (“APIs”) for our product candidates are manufactured in South Korea and China, and our product candidates are manufactured in South Korea, United States, and China. We also rely on specialized laboratory equipment, supplies, materials, and precursor compounds, all or part of which we believe may be ultimately sourced from multiple countries outside the United States, to advance our research and development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legal challenges related to tariffs, we expect that 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complexity of announced or future tariffs, including as a result of uncertainty surrounding related legal challenges,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as well as of related legal challenges, remains uncertain and could materially and adversely affect our business, financial condition, results of operations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financial condition, results of operations and prospects. In addition, tariffs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developments have and may continue to heighten the risks related to the other risk factors described elsewhere in this Quarterly Report.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highly competitive biotechnology and pharmaceuticals industries depends upon our ability to attract, retain, manage and motivate highly qualified managerial, scientific, and medical personnel. If we do not succeed in attracting and retaining qualified personnel, particularly at the management level, it could adversely affect our ability to execute our business plan and harm our operating results. In particular, the loss of the services of any of our executive officers or other key employees and our inability to find suitable replacements in a timely manner could potentially harm our business, prospects,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TA-ERT and our other current and future product candidates could be associated with side effects, adverse events or other properties that could delay or prevent regulatory approval or result in significant negative consequences following marketing approval,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biopharmaceuticals generally, it is likely that there may be side effects and adverse events associated with the use of TA-ERT and our other current and future product candidates. Results of our clinical trials could reveal a high and unacceptable severity and prevalence of side effects or unexpected characteristics. Undesirable side effects caused by TA-ERT and our other current and future product candidates could cause us or regulatory authorities to interrupt, delay, terminate or halt clinical trials and could result in a more restrictive label or the delay or denial of regulatory approval by the FDA or other comparable foreign authorities. For example, in the first quarter of 2026, the TAMARIND Phase 2 clinical trial of tildacerfont in MDD was discontinued following a serious adverse event in which a patient experienced a significant elevation of liver enzymes. In addition, although in clinical trials TA-ERT has demonstrated an adequate safety profile in a serious and fatal disease for which no treatment is currently available, the most frequent treatment-emergent adverse events (TEAE) by preferred term (reported in ≥40% of participants) was vomiting (22 [100%]), followed by pyrexia (20 [90.9%]), upper respiratory tract infection (17 [77.3%]), pleocytosis (11 [50.0%]), COVID-19 infection (10 [45.5%]), and diarrhea (9 [40.9%]). Four (18%) patients discontinued treatment, although three (14%) discontinuations were due to hydrocephalus, a known complication of MPS IIIB. Adverse events related to the intracerebroventricular (“ICV”) device were consistent with other therapies administered by the ICV route.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drug-related SAEs are observed, our trials could be suspended or terminated and the FDA or comparable foreign regulatory authorities could order us to cease further development of or deny approval for TA-ERT and our other current and future product candidates for any or all targeted indications.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if TA-ERT and our other current and future product candidates receive marketing approval, and we or others later identify undesirable side effects caused by such product candidate,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forced to suspend marketing of that product, or decide to remove the product from the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approvals or suspend or change their approvals of such product or place restrictions on the way it is prescribed;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subject to fines, injunctions, or the imposition of criminal or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 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TA-ERT and our other current and future product candidates, if approved, and could significantly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receive regulatory approval for TA-ERT and our other current and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Comparable foreign regulatory authorities may impose similar requirements in their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and comparable foreign regulatory authorities also require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 modifications to promotional materials or require us to provide corrective information to healthcare practitioners, or require other restrictions on the labeling or marketing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withdraw or modify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terminate or modify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we conduct post-market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pending applications or supplements to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 approval for narrower indications than we requested;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refuse to permit the import or export of products, or require us to initiate a product recall.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if approved, TA-ERT and our other current and future product candidates and generate revenue and could require us to expend significant time and resources in response and could generate negative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authorities. Any actual or alleged failure to comply with labeling and promotion requirements may result in fines, warning letters, mandates to corrective information to healthcare practitioners, injunctions, or civil or criminal penalties.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policies of the FDA and other regulatory authorities, including foreign regulatory authorities, may change and additional government regulations may be enacted that could prevent, limit or delay regulatory approval for TA-ERT and our other current and future product candidates. For example, 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w:t>
      </w:r>
      <w:r>
        <w:rPr>
          <w:rFonts w:ascii="Times New Roman" w:hAnsi="Times New Roman"/>
          <w:i/>
          <w:color w:val="000000"/>
          <w:sz w:val="20"/>
        </w:rPr>
        <w:t>Chevron</w:t>
      </w:r>
      <w:r>
        <w:rPr>
          <w:rFonts w:ascii="Times New Roman" w:hAnsi="Times New Roman"/>
          <w:color w:val="000000"/>
          <w:sz w:val="20"/>
        </w:rPr>
        <w:t xml:space="preserve">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funding for the FDA and other government agencies, or comparable foreign regulatory authorities</w:t>
      </w:r>
      <w:r>
        <w:rPr>
          <w:rFonts w:ascii="Times New Roman" w:hAnsi="Times New Roman"/>
          <w:color w:val="000000"/>
          <w:sz w:val="20"/>
          <w:u w:val="single"/>
        </w:rPr>
        <w:t xml:space="preserve"> </w:t>
      </w:r>
      <w:r>
        <w:rPr>
          <w:rFonts w:ascii="Times New Roman" w:hAnsi="Times New Roman"/>
          <w:b/>
          <w:i/>
          <w:color w:val="000000"/>
          <w:sz w:val="20"/>
        </w:rPr>
        <w:t>could hinder their ability to hire and retain key leadership and other personnel, or otherwise prevent new products and services from being developed or commercialized in a timely manner,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authorities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or comparable foreign regulatory authorities may also slow the time necessary for new drugs to be reviewed and/or approved, which would adversely affect our business. For example, over the last several years, including during the government shutdown that began on October 1, 2025, the U.S. government has shut down several times and certain regulatory agencies, such as the FDA, have had to furlough critical FDA employees and stop critical activities. If a prolonged government shutdown occurs,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regulatory approval for TA-ERT and our other current and future product candidates, they may not gain market acceptance among physicians, patients, healthcare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TA-ERT and our other current and future product candidates may not be commercially successful. The commercial success of TA-ERT or our other current and future product candidates, if approved, will depend significantly on the broad adoption and use of such product by physicians and patients for approved indications. The degree of market acceptance of TA-ERT or our other current and future products, if approved,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such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physicians and patients considering the product as a safe and effective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of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contained in the labeling approved by the FDA or other regulatory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patients to pay out-of-pocket in the absence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 including as compared to alternative treatments and competitive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sales and marketing efforts and those of any collaboration or distribution partner on whom we rely for sales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TA-ERT or any other current or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In addition, even if TA-ERT and any other current or future product candidate gain acceptance, the markets for the treatment of patients with our target indications may not be as significant as we estimate.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TA-ERT and any other current or future product candidate is approved for marketing, and we are found to have improperly promoted off-label uses, or if physicians prescribe or use TA-ERT and any other current or future product candidates off-label, we may become subject to prohibitions on the sale or marketing of TA-ERT and any other current or future product candidates, significant fines, penalties, sanctions, or product liability claims, and our image and reputation within the industry and marketplace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DOJ, and comparable foreign authorities strictly regulate the marketing and promotional claims that are made about pharmaceutical products following approval. In particular, a product may not be promoted for uses or indications that are not approved by the FDA or comparable foreign authorities as reflected in the product’s approved labeling and Summary of Product Characteristics. However, if we receive marketing approval for TA-ERT and any other current or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incur penalties,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including comparable foreign authorities, have also required that companies enter into consent decrees or permanent injunctions under which specified promotional conduct is changed or curtailed in order to resolve enforcement actions. If we are deemed by the FDA, DOJ, or other governmental authorities, or comparable foreign regulatory authorities, to have engaged in the promotion of TA-ERT or any other current or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TA-ERT and our other current or future product candidates, which could make it difficult for us to sell TA-ERT and our other current or future product candidates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sales of TA-ERT and any other current or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U.S. governmental healthcare programs, such as Medicare and Medicaid, or comparable foreign healthcare programs, and commercial payors is critical to new product acceptance, and we may not obtain such coverage or adequate reimbursement. Moreover, we focus our clinical development on treatments for serious disorders, some of which have relatively small patient populations. As a result, we must rely on obtaining appropriate coverage and reimbursement for these populations.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If we obtain coverage for a given product, the resulting reimbursement payment rates might not be adequate or may require co-payments that patients find unacceptably high. Patients are unlikely to use TA-ERT or any other current or future product candidate unless coverage is provided and reimbursement is adequate to cover a significant portion of the cost. Additionally, the reimbursement rates and coverage amounts may be affected by the approved label for TA-ERT or any other current or future product candidate. If coverage and reimbursement of our future products are unavailable or limited in scope or amount, or if pricing is set at unsatisfactory levels, we may be unable to achieve or sustain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market for TA-ERT and any other current or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TA-ERT and any other current or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approval to market TA-ERT and our other current product candidates in the United States and in selected foreign jurisdictions. If we obtain approval in one or more foreign jurisdictions for TA-ERT and our other current product candidates,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the Inflation Reduction Act of 2022 (“IRA”) among other things, (1) requires HHS to negotiate the price of certain single-source biologics that have been on the market for at least 11 years covered under Medicare as part of the Medicare Drug Price Negotiation Program (the “Medicare Drug Price Negotiation Program”), and (2) imposes rebates under Medicare Part B and Medicare Part D to penalize price increases that outpace inflation on an annual basis.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legislation and healthcare reform measures may increase the difficulty and cost for us to obtain marketing approval for and commercialize TA-ERT and any other current or future product candidates and may affect the prices we may 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March 2010, the Patient Protection and Affordable Care Act, as amended by the Health Care and Education Reconciliation Act (collectively the “Affordable Care Act”), was enacted in the United States. There have been executive, judicial and Congressional challenges to certain aspects of the Affordable Care Act. While Congress has not passed comprehensive repeal legislation, several bills affecting the implementation of certain taxes under the Affordable Care Act have been signed into law. For example, on August 16, 2022, the IRA was signed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and amendments in the future. It is unclear how any such challenges and the healthcare reform measures of the second Trump administration will impact the Affordable Care Act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Affordable Care Act was enacted.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at the end of 2025, which, among other provisions in the law, are anticipated to reduce the number of Americans with health insurance. Congress is considering proposed legislation intended to further reduce healthcare costs with alternatives to replace the expiring ACA subsidies.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current administration is pursuing policies to reduce regulations and expenditures across government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certain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directives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(“MAHA”) Commission’s recent Strategy Report,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r>
        <w:rPr>
          <w:rFonts w:ascii="Times New Roman" w:hAnsi="Times New Roman"/>
          <w:i/>
          <w:color w:val="000000"/>
          <w:sz w:val="20"/>
        </w:rPr>
        <w:t xml:space="preserve">Loper Bright Enterprises v. Raimondo </w:t>
      </w:r>
      <w:r>
        <w:rPr>
          <w:rFonts w:ascii="Times New Roman" w:hAnsi="Times New Roman"/>
          <w:color w:val="000000"/>
          <w:sz w:val="20"/>
        </w:rPr>
        <w:t>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created under the IRA. The implementation of cost containment measures or other healthcare reforms may prevent us from being able to generate revenue, attain profitability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certain foreign activities related to drugs, biologics, and research, especially with regard to China, have come under increased scrutiny in the United States. Chinese contract manufacturing organizations may become subject to legislation, trade restrictions, sanctions, tariffs and other regulatory requirements by the U.S. government, which could restrict or even prohibit our ability to work with such entities. For example, on December 18, 2025, President Trump signed the National Defense Authorization Act for Fiscal Year 2026 (“NDAA”) into law. On June 8, 2024, the Department of Defense released the annual 1260H List which included a number of contract manufactures, making them biotechnology companies of concern. The BIOSECURE Act prohibits U.S. federal agencies from entering into or renewing any contract, loan, or grant with any entity that uses biotechnology equipment or services produced or provided by a “biotechnology company of concern” to perform that contract. The BIOSECURE Act also prohibits U.S. government loan and grant recipients from using federal loan or grant money to enter into contracts with entities that use equipment from “biotechnology companies of concern” in the performance of any federal prime contract or subcontract. The Office of Management and Budget (“OMB”) of the U.S. Government will issue a list of “biotechnology companies of concern,”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The BIOSECURE Act includes a safe harbor provision providing that the restrictions do not apply to equipment or services that were formerly but are no longer provided by a “biotechnology company of concern.” The BIOSECURE Act also includes a grandfathering provision providing that the prohibitions shall not apply for a five-year period to biotechnology equipment or services produced or provided under a contract or agreement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entered into before the applicable effective date. Under the NDAA BIOSECURE Act related language we may be restricted in our ability to work with certain Chinese biotechnology manufacturing companies to the extent we would contract with, or otherwise receive funding from, the U.S. government. In addition, if we, our suppliers, or our customers were to be designated under the NDAA BIOSECURE Act related language, this could potentially cause harm to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in order to obtain reimbursement for our products in some European countries, including some EU Member States, we may be required to compile additional data comparing the cost-effectiveness of our products to other available therapies. The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began to apply on January 12, 2025 through a phased implementation. The Regulation initially applies to new active substances for oncology and advanced therapy medicinal products. It will be expanded to orphan medicinal products in January 2028, and to all centrally authorized medicinal products as of 2030. Select high-risk medical devices will also come into scope in 2026. It is intended to boost cooperation among EU Member States in assessing health technologies, including new medicinal products, and providing the basis for cooperation at EU level for joint clinical assessments in these areas. The Regulation permits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package—comprised of a new directive and regulation to replace existing legislation—aims to modernize the EU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capped at a maximum of eleven years. The reform will also significantly reshape the incentives regime for orphan medicinal products, by introducing “breakthrough” orphan medicinal products – those addressing diseases with no available medicinal treatment – which will benefit from 11 years of market exclusivity. A decrease in market exclusivity opportunities for our product candidates in the EU could impact the commercial prospects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Our failure to obtain regulatory approval in international jurisdictions would prevent us from marketing our product candidates internationally.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the necessary regulatory approvals, a variety of risks associated with marketing TA-ERT and any other current or future product candidates internationally could materially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seek regulatory approval for TA-ERT and any other current or future product candidates internationally. Even if we obtain such approvals, we will nevertheless be subject to additional risks related to operating in foreign countries,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regulatory requirements in foreign countries, including differing reimbursement, pricing and insurance regimes;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liability under the U.S. Foreign Corrupt Practices Act of 1977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internationally;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international operations may materially adversely affect our ability to attain or maintain profitable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and commercialize additional product candidates, we may be unable to grow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seek to in-license or acquire development and commercial-stage product candidates in disorders that have the potential to complement our existing portfolio. Our current product candidates are generally in-licensed from or derived from partnerships with other pharmaceutical companies. If we decide to pursue the development and commercialization of any additional product candidates, we may be required to invest significant resources to acquire or in-license the rights to such product candidates or to conduct drug discovery activities and we may be unable to in-license the rights on reasonable terms if at all.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financial condition, results of operations and prospects will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form or seek strategic alliances or enter into additional licensing arrangements in the future, and we may not realize the benefits of such alliances or licensing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our product candidates could delay the development and commercialization of our product candidates in certain geographies for certain indications, which would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to grow the size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22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our internal development efforts effectively, including the clinical and regulatory review process for our product candidates and any future product candidates, while complying with our contractual obligations to contractors and other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our product candidates and any future product candidates and, accordingly, may not achieve our research, development and commercialization goals.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indebtedness to Avenue may limit our flexibility in operating our business and adversely affect our financial health and competitive position, and our obligations to Avenue are secured by substantially all of our assets, including our intellectual property assets. If we default on these obligations, Avenue could foreclose on our assets, which could materially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7, 2026, we entered into the Avenue Loan Agreement. For a description of our Loan Agreement, see Note 6, “Debt — Avenue Loan”, to the financial statements included elsewhere in this Quarterly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Avenue Loan Agreement contains customary representations, warranties and covenants, including covenants by the company limiting, amongst other things, additional indebtedness, liens, guaranties, mergers and consolidations, substantial asset sales, investments and loans, certain corporate changes, transactions with affiliates and fundamental changes. These covenants may limit our ability to engage in certain transactions that may be in our long-term best interest, including entering into a change in control transaction.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the Agent may choose to declare an event of default and require that we immediately repay all amounts outstanding under the Loan Agreement, terminate any commitment to extend further credit and foreclose on the collateral.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Avenue Loan Agreement also provides for events of default customary for term loans of this type, including but not limited to non-payment, breaches or defaults in the performance of covenants, insolvency, bankruptcy and the occurrence of a material adverse effect on the company. After the occurrence of an event of default, the Agent may (i) accelerate payment of all obligations, impose an increased rate of interest, and terminate the Lender’s commitments under the Avenue Loan Agreement and (ii) exercise any other right or remedy provided by contract or applicable law, including a foreclosure on our assets. The occurrence of any of these events could have a material adverse effect on our business, financial condition, results of operations and prospects. If we default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obligations under the Avenue Loan Agreement, the Lender could foreclose on its security interest and liquidate some or all of the collateral, including our intellectual property assets, which would harm our business, financial condition, results of operations and prospects, and could require us to reduce or cease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to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revenues and financial condition and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TA-ERT and our other current product candidates. Our ability to obtain clinical supplies of TA-ERT and our other current or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strategic partners,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obtain regulatory approval for TA-ERT and our other current product candidates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or comparable foreign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relationships with customers, healthcare providers and third-party payors may be subject, directly or indirectly, to federal and state healthcare fraud and abuse laws, false claims laws, health information privacy and security laws, and other comparable foreign healthcare laws and regulations. If we or our employees, independent contractors, consultants, commercial partners, or vendors violate these laws, we could face substantial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be subject to state and foreign equivalents of each of the healthcare laws described above, among others, some of which may be broader in scope. For example, we may be subject to the following: state and foreign anti-kickback and false claims laws that may apply to sales or marketing arrangements and claims involving healthcare items or services reimbursed by non-governmental third party payors, including private insurers, or that apply regardless of payor; state and foreign laws that require pharmaceutical companies to comply with the pharmaceutical industry’s voluntary compliance guidelines and the relevant compliance guidance promulgated by the federal government; state and foreign laws that require drug manufacturers to report information related to payments and other transfers of value to physicians and other healthcare providers, marketing expenditures, or drug pricing; state and local laws requiring certain regulatory licenses to manufacture or distribute our products commercially and/or the registration of pharmaceutical sales and medical representatives; and state and foreign laws, such as the EU’s General Data Protection Regulation (“EU GDPR”) governing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may be subject to federal consumer protection and unfair competition laws, and equivalent foreign laws, which broadly regulate marketplace activities and activities that potentially harm consumers.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or comparable foreign healthcare programs, contractual damages, public reprimands,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TA-ERT or our other current product candidates outside the United States will also likely subject us to foreign equivalents of the healthcare laws mentioned above, among other foreign laws.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including in the context of clinical trials), intellectual property, and trade secrets (collectively, sensitive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physical or electronic break-ins, social engineering attempts (including through deep fakes, which may be increasingly more difficult to identify as fake, and phishing and spam emails), malicious code (such as computer viruses and worms), malware (including as a result of advanced persistent threat intrusions), ransomware attacks, natural disasters, terrorism, war, server malfunctions, telecommunication and electrical failure, denial of service attacks (such as credential stuffing attacks), credential harvesting, personnel misconduct or error, supply-chain attacks, software bugs, attacks enhanced or facilitated by AI and other similar threats.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Remote work increases risks to our information technology systems and data, as personnel utilize network connections, computers, and devices outside the control of us or the third parties with whom we work, including working at home, while in transit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sz w:val="20"/>
        </w:rPr>
      </w:pPr>
      <w:r>
        <w:rPr>
          <w:rFonts w:ascii="Times New Roman" w:hAnsi="Times New Roman"/>
          <w:color w:val="000000"/>
          <w:sz w:val="20"/>
        </w:rPr>
        <w:t>In addition, our relationship with the third parties with whom we work could introduce additional cybersecurity risks and vulnerabilities, including supply-chain attacks, and other threats to our business operations. We rely on third parties to operate critical business systems to process sensitive data in a variety of contexts, including, without limitation, cloud-based infrastructure, third-party 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w:t>
      </w:r>
      <w:r>
        <w:rPr>
          <w:rFonts w:ascii="Times New Roman" w:hAnsi="Times New Roman"/>
          <w:color w:val="231F20"/>
          <w:sz w:val="20"/>
        </w:rPr>
        <w:t xml:space="preserve"> While we may be entitled to damages if the third parties with whom we work fail to satisfy their privacy or security-related obligations to us, any award may be insufficient to cover our damages, or we may be unable to recover such award.</w:t>
      </w:r>
      <w:r>
        <w:rPr>
          <w:rFonts w:ascii="Times New Roman" w:hAnsi="Times New Roman"/>
          <w:color w:val="000000"/>
          <w:sz w:val="20"/>
        </w:rPr>
        <w:t xml:space="preserve"> </w:t>
      </w:r>
      <w:r>
        <w:rPr>
          <w:rFonts w:ascii="Times New Roman" w:hAnsi="Times New Roman"/>
          <w:color w:val="231F20"/>
          <w:sz w:val="20"/>
        </w:rPr>
        <w:t>In addition, supply-chain attacks have increased in frequency and severity, and we cannot guarantee that third parties’ infrastructure in our supply chain or that of the third parties with whom we work have not been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and may continue to expend significant resources (including financial) and modify our business activities (including our clinical trial activities) to try to protect against security incidents and, as applicable, to detect, investigate, mitigate, contain and remediate security incidents. Additionally, certain data privacy and security obligations have required us to implement and maintain specific security measures or industry-standard or reasonable security measures to protect our information technology systems and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and recover from security incidents, there can be no assurance that these measures will be effective. We take steps designed to detect, mitigate and remediate vulnerabilities, in our information systems (such as our hardware and/or software, including that of third parties with whom we work). There exists risk that we have in the past and may in the future, however, fail to detect, mitigate and remediate all such vulnerabilities including on a timely basis. Further, there exists risk that we have in the past and may in the future experience delays in developing and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have in the past and may in the future cause a security incident that resulted in or results in unauthorized, unlawful, or accidental acquisition, modification, destruction, alteration, encryption, access to, use or disclosure of, corruption of, or loss of sensitive data or our information technology systems, or those of the third parties with whom we work. For example, we have been the target of unsuccessful phishing attempts in the past, and expect such attempts will continue in the future. A security incident has and could disrupt our ability (and that of third parties with whom we work) to provide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security incident, applicable data privacy and security obligations may require us, or we may voluntarily choose, to notify relevant stakeholders, such as consumers, partners, collaborators, government authorities, and the media or to take other actions, such as providing credit monitoring and identifying theft protection services. Such disclosures and related actions can be costly, and the disclosure or the failure to comply with such applicable requirements could lead to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Security incidents (or perceived security incidents), may result in material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diversion of management attention,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 Additionally,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our company could be leaked, disclosed, or revealed as a result of or in connection with our employees’, personnels’, or vendors’ use of generative artificial intelligence (“AI”)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in each case related to data privacy or security. Our (or the third parties with whom we work) actual or perceived failure to comply with such obligations could lead to regulatory investigations and actions (which could include civil or criminal penalties); private litigation (including class-action claims) and mass arbitration demands; disruptions to our business operations; adverse publicity;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process personal and sensitive data and are subject to numerous data privacy and security obligations, such as laws and regulations, rules, industry standards, policies, contractual requirements and other obligations, relating to data privacy or security, including data we collect about trial participants in connection with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numerous federal, state, and local laws and regulations, including, as applicable, state data breach notification laws, personal data privacy laws, consumer protection laws (e.g., Section 5 of the Federal Trade Commission Act) and other similar laws (e.g., wiretapping laws), govern the processing of personal data and apply to our operations and the operations of the third parties with whom we work. In addition, we obtain health information from third parties (including research institutions from which we obtain clinical trial data) that may be subject to privacy and security requirements under HIPAA, as amended by HITECH. If we violate HIPAA, we may be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(that are subject to the CCPA) to provide specific disclosures in privacy notices and honor requests of such individuals to exercise certain privacy rights. The CCPA provides for statutory fines and allows private litigants affected by certain data breaches to recover significant statutory damages.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other states have also passed comprehensive privacy laws, and similar laws are being considered in several other states, as well as at the federal and local levels. We expect more states to pass similar laws in the future. The CCPA and other U.S. state comprehensive privacy laws exempt some data processed in the context of clinical trials, but these developments may further complicate compliance efforts, and increase legal risk and compliance costs for us and the third parties with whom we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and personnel use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including our processing of personal data. For example, our processing of personal data is or may become subject in certain circumstances to the EU GDPR and the United Kingdom’s GDPR (“UK GDPR”) (collectively, “GDPR”). The GDPR imposes stringent standards of data privacy and security concerning personal data and imposes potentially significant sanctions for non-compliance. For example, under the GDPR, companies may face temporary or definitive bans on processing of personal data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transfer personal data from Europe and other jurisdictions to the United States and other countries outside Europe.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there are currently various mechanisms that may be used to transfer personal data from the EEA and UK to the United States and other countries in compliance with law, as applicable, such as the European Commission’s standard contractual clauses, the UK’s International Data Transfer Agreement / Addendum, and the EU-U.S. Data Privacy Framework and the UK extension thereto (which allow for transfers to relevant U.S.-based organizations who self-certify compliance and participate in the Framework and/or Extension), these mechanisms are subject to legal challenges, and there is no assurance that we can always satisfy or rely on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mechanisms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certain collaborators, partners, vendors and other third parties with whom we work,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to recipients outside the EEA for allegedly violating the EU GDPR’s cross-border data transfer limitations. Regulators in the United States and other jurisdictions are also increasingly scrutinizing certain data transfers (including to the extent related to personal, de-identified, or anonymized data) and have and may further impose data transfer requirements or prohibitions on cross-border data transfers which impacts the ability to engage in certain data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data privacy and security laws, we are bound by other contractual obligations related to data privacy and security, such as industry standards adopted by industry groups, and our efforts to comply with such obligations may not be successful. For example, trial participants about whom we or the third parties with whom we work to obtain information, as well as the third parties with whom we work who share this information with us, have in the past and may in the future contractually limit our ability to use and disclose the information. We also publish privacy policies and other statements regarding data privacy and security. Regulators are increasingly scrutinizing these types of policies and statements, and if these policies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individuals’ data privacy and security expectations) are quickly changing, becoming increasingly stringent, and creating uncertainty. Compliance with data privacy and security obligations have in the past and could require us to take on more onerous requirements in our contracts, engage in costly compliance exercises, restrict our ability to collect, use and disclose data, or in some cases, impact our or the third parties with whom we work ability to operate in certain jurisdictions. Applicable data protection laws can be subject to differing applications and interpretations which may be inconsistent or conflict among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(or perceived non-compliance) with applicable data privacy and security obligations, could result in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TA-ERT and any other current or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TA-ERT and any other current or future product candidates and will face an even greater risk if we commercialize any products. For example, we may be sued if TA-ERT or any other current or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asserted under state consumer protection acts. If we cannot successfully defend ourselves against product liability claims, we may incur substantial liabilities or be required to limit commercialization of TA-ERT and our other current product candidates. Even successful defense would require significant financial and management resources.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TA-ERT and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initiation of investigations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TA-ERT and any other current or future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decline in the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and retain sufficient product liability insurance at an acceptable cost to protect against potential product liability claims could prevent or inhibit the commercialization of products we develop.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substantial losses during our history and do not expect to become profitable in the near future, and we may never achieve profitability. As of December 31, 2025, after reducing net operating losses (“NOLs”) and tax credits for amounts not expected to be utilized, we had federal NOL carryforwards of approximately $163.1 million and state NOL carryforwards of approximately $150.0 million. The federal NOL carryforwards arising in taxable years beginning prior to 2018 will begin to expire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2036 and state NOL carryforwards will begin to expire in 2036, unless previously utilized. We also have federal and state tax credit carryforwards totaling $34.2 million and $2.8 million, respectively. The federal tax credit carryforwards will begin to expire in 2036, unless previously utilized. The state tax credits will not expire.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Tax Cuts and Jobs Act of 2017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2025 concluded that an ownership change occurred in May 2016, August 2020, and October 2025.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June 30, 2026, we recorded a full valuation allowance on our net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at the state level, there may be periods during which the use of NOLs is suspended or otherwise limited, which could accelerate or permanently increase state taxes owed. For example, California has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instance, OBBBA makes permanent key elements of the Tax Act, including 100% bonus depreciation and the business interest expense limitation, as well as makes other significant changes to the U.S. tax laws. We are currently evaluating the impact, if any, of the OBBBA on our business and financial condition. Further, the Tax Act, the CARES Act and the Inflation Reduction Act of 2022 enacted many significant changes to the U.S. tax laws. Future guidance from the Internal Revenue Service and other tax authorities may affect us, and certain aspects of the changes could be repealed or modified in future legislation. In addition, it is uncertain if and to what extent various states will conform to the Tax Act, the CARES Act, the Inflation Reduction Act, OBBBA or any other newly enacted federal tax legislation. Changes in corporate tax rates, the realization of net deferred tax assets relating to our operations, and the deductibility of expenses under the Tax Act, the CARES Act, the Inflation Reduction Act, OBBBA or future reform legislation could have a material impact on the value of our net deferred tax assets, could result in significant one-time charges, and could increase our future tax expense.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maintain compliance with all applicable requirements of the Nasdaq Capital Market (“Nasdaq”), our common stock could be subject to delisting which would adversely affect the market liquidity of our common stock and the market price of our common stock could decrease.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26, 2024, we received a letter from Nasdaq Listing Qualifications, notifying us that, for the previous 30 consecutive business day period prior to the date of the letter, the closing bid price for our common stock was below $1.00 (the “Minimum Bid Price Requirement”).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22, 2025, we received a written notification from Nasdaq that as a result of our ongoing failure to comply with the Minimum Bid Price Requirement, the trading in our company’s stock was suspended at the open of trading on April 29, 2025. We appealed Nasdaq’s determination to its Hearings Panel and on June 9, 2025, we received a letter from the Hearings Panel stating that our appeal was accepted. On July 23, 2025, we filed an Amendment to our Amended and Restated Certificate of Incorporation to effect a one-for-seventy-five (1:75) reverse stock split of our outstanding common stock. Our common stock began trading on the OTCQB on a split-adjusted basis on August 7, 2025 under the ticker symbol “SPRBD”. Our common stock resumed trading on the Nasdaq Capital Market on September 15,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we will remain in compliance with the Minimum Bid Price Requirement. A delisting of our common stock could negatively impact us by, among other things, reducing the liquidity and market price of our common stock; reducing the number of investors willing to hold or acquire our common stock, which could negatively impact our ability to raise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financing; decreasing the amount of news and analyst coverage of us; resulting in a determination that the common stock is a “penny stock” which would require brokers trading in the common stock to adhere to more stringent rules, possibly resulting in a reduced level of trading activity in the secondary trading market for shares of common stock; limiting our ability to issue additional securities or obtain additional financing in the future; and impairing our ability to provide equity incentives to our employees. In addition, delisting from Nasdaq may negatively impact our reputation and, consequently,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our common stock has been, and may continue to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and is likely to continue to be highly volatile and could be subject to wide fluctuations in response to various factors, some of which are beyond our control, including limited trading volume.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commencement, enrollment or results of our ongoing and planned clinical trials of TA-ERT, or any future clinical trials we may conduct of TA-ERT and any other current or future product candidates, or changes in the development status of TA-ERT and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by the FDA and EMA of the clinical trial design of our planned and ongoing clinical trials of TA-ERT;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our regulatory filings for TA-ERT and any other current or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results or delays in clinical trials as a result of outbreaks of contagious diseases, patient engagement, protocol amendments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regulatory decisions, including failure to receive regulatory approval for TA-ERT and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TA-ERT and any other current or future product candidates, including but not limited to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obtain coverage and adequate reimbursement of TA-ERT and any other current or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concerning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establish collaborations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commercialize TA-ERT and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serious safety concerns related to the use of TA-ERT and any other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or services offered by us or our competitors, or the release or publication of clinical trial results from competing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significant acquisitions, strategic partnerships, joint ventures, or capital commitments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if any, of the markets for MPS IIIB and other disorders that we may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quarterly or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meet the estimates and projections of the investment community or that we may otherwise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market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issuances of debt 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and macroeconomic conditions, including global trade disputes and the wars in Ukraine and the Middle East and related sanctions;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discussed in this “Risk Factors” section and elsewhere in this Quarterly Report, many of which are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instituted against companies following periods of volatility in the market price of a company’s securities. This risk is especially relevant for us because biopharmaceutical companies have experienced significant stock price volatility in recent years. This type of litigation, if instituted, could result in substantial costs and a diversion of management’s attention and resources, which could harm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Avenue Loan Agreement, we are prohibited from paying cash dividends without the prior written consent of Avenue, and future debt instruments may materially restrict our ability to pay dividends on our common stock. Any return to stockholders would therefore be limited to the appreciation, if any, of their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reporting requirements applicable to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the Exchange Act which allows us to take advantage of exemptions, including not being required to comply with the auditor attestation requirements of Section 404 of the Sarbanes-Oxley Act of 2002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as required by Section 404 of the Sarbanes-Oxley Act. This will require that we incur substantial additional professional fees and internal costs to expand our accounting and finance functions and that we expend significant management efforts. Prior to our IPO, we had never been required to test our internal controls within a specified period, and, as a result, we may experience difficulty in meeting these reporting requirements in a timely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and will continue to incur significant increased costs as a result of operating as a public company, and our management will be required to devote substantial time to new compliance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2026, there were 2,752,810 shares of our 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(“Securities Act”). If these additional shares of common stock are sold, or if it is perceived that they will be 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214,873 shares of common stock, pre-funded warrants to purchase 10,666 shares of common stock, and warrants to purchase 169,147 shares of common stock. All of the pre-funded warrants have been exercised. Additionally, in October 2025, we entered into a securities purchase agreement with certain institutional investors, pursuant to which we agreed to sell and issue 502,181 shares of common stock and pre-funded warrants to purchase up to 233,144 shares of common stock in a private placement transaction. Pursuant to the securities purchase agreements, we have registered for resale such securities. In December 2025, three holders of pre-funded warrants to purchase shares of common stock exercised those warrants to purchase 233,144 shares of common stock. On January 7, 2026, we also entered into the Avenue Loan Agreement, pursuant to which we issued a warrant to purchase $3.2 million in shares of common stock at a price of $50.00 per share. Lender may also elect to convert up to $4.0 million of the principal amount outstanding under the Avenue Loan Agreement into shares of our common stock at a price of $60.00 per share. In August 2026, we entered into a stock purchase agreement pursuant to which we agreed to sell and issue 121,203 shares of common stock in a private placement transaction. If these additional shares of common stock, and the shares of common stock issued or issuable pursuant to such pre-funded warrants and warrants, are resold, or if it is perceived that they will be resold,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and issuances of our common stock or rights to purchase common stock, including pursuant to registration statements, warrants, the Loan Agreement, any future loan agreements, and our equity incentive plans, could result in additional dilution of the percentage ownership of our stockholders and could cause our stock price to fall.*</w:t>
      </w:r>
    </w:p>
    <w:p>
      <w:pPr>
        <w:pStyle w:val="TextBody"/>
        <w:bidi w:val="0"/>
        <w:spacing w:before="120" w:after="283"/>
        <w:jc w:val="left"/>
        <w:rPr>
          <w:rFonts w:ascii="Times New Roman" w:hAnsi="Times New Roman"/>
          <w:sz w:val="20"/>
        </w:rPr>
      </w:pPr>
      <w:r>
        <w:rPr>
          <w:rFonts w:ascii="Times New Roman" w:hAnsi="Times New Roman"/>
          <w:color w:val="000000"/>
          <w:sz w:val="20"/>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declared effective in November 2025, covering the sale of up to $300.0 million of our securities (the “Shelf Registration”). For example, in March 2026, we entered into an Open Market Sales Agreement</w:t>
      </w:r>
      <w:r>
        <w:rPr>
          <w:rFonts w:ascii="Times New Roman" w:hAnsi="Times New Roman"/>
          <w:color w:val="000000"/>
          <w:sz w:val="13"/>
        </w:rPr>
        <w:t>SM</w:t>
      </w:r>
      <w:r>
        <w:rPr>
          <w:rFonts w:ascii="Times New Roman" w:hAnsi="Times New Roman"/>
          <w:color w:val="000000"/>
          <w:sz w:val="20"/>
        </w:rPr>
        <w:t xml:space="preserve"> (the “Sales Agreement”) with Jefferies LLC (“Jefferies”), pursuant to which we may elect to issue and sell, from time to time, shares of common stock having an aggregate offering price of up to $75.0 million under the Shelf Registration through Jefferies acting as the sales agent and/or principal. As of June 30, 2026, we have not issued any shares of common stock pursuant to the Sales Agreement. Additionally, on April 22, 2026, we closed our previously announced underwritten public offering of 1,150,000 shares of our common stock and pre-funded warrants to purchase up to 50,000 shares of our common stock. In addition, we granted the underwriters a 30-day option to purchase up to 180,000 additional shares of common stock, which was exercised in full. The net proceeds to us from the offering, after deducting underwriting discounts and commissions and offering expenses payable by us, were $64.4 million. As described in the section titled “Risk Factors—Sales of a substantial number of shares of our common stock in the public market could cause our stock price to fall” above, we have in the past entered into transactions where we issued and sold common stock, pre-funded warrants and common warrants to purchase shares of our common stock, and we may enter into other or similar transactions in the future.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2020 Equity Incentive Plan (“2020 Plan”) and 2026 Inducement Plan (“Inducement Plan”), our management is authorized to grant stock options and other stock awards to our employees, directors and consultants. Additionally, the number of shares of our common stock reserved for issuance under our 2020 Plan will automatically increase on January 1 of each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5,883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board of directors divided into three classes serving staggered three-year terms, such that not all members of the board will be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 action through written consent, which requires that all stockholder actions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special meetings of stockholders be called only by the chairman of the board of directors, the chief executive officer, the president, or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stockholder proposals and nominations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intellectual property licensed from others, the termination of which could result in the loss of significant rights, which would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technology, patents, know-how, and proprietary materials, both our own and licensed from others. For example, we entered into a license agreement with BioMarin Pharmaceutical Inc. in October 2019 pursuant to which we obtained a limited exclusivity, royalty bearing, and sublicensable license to certain technology, patent rights, know-how, and proprietary materials relating to certain enzyme replacement therapy products. We entered into a collaboration and license agreement with HBM Alpha Therapeutics, Inc (“HBM”) in January 2025 pursuant to which we obtained a limited exclusivity, royalty bearing, and sublicensable license to certain technology, patent rights, manufacturing rights, know-how, and proprietary materials relating to certain compounds developed by HBM (the “HBM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these third parties do not successfully carry out their contractual duties or meet expected deadlines, we may not be able to obtain regulatory approval for or commercialize TA-ERT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on, and intend to continue relying on, third-party CROs in connection with our current and planned clinical trials for TA-ERT and our other current product candidates.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suspended, varied, delayed, or terminated and we may not be able to complete development of, obtain regulatory approval for or successfully commercialize TA-ERT and our other current and any future product candidates. As a result, our financial results and the commercial prospects for TA-ERT and our other current and any future product candidates would be harmed, our costs could increase and our ability to generate revenues could be delayed.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quarantines, shelter-in-place, and similar government orders, or the perception that such orders, shutdowns or other restrictions on the conduct of business operations could occur, related to infectious diseases could impact personnel at our CROs, which could disrupt our clinical timelines, which could have a material adverse impact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completely on third parties to manufacture our preclinical and clinical drug supplies and we intend to rely on third parties to produce commercial supplies of TA-ERT and our other current and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nor do we plan to acquire the infrastructure or capability internally to manufacture our clinical drug supplies for use in the conduct of our clinical trials, and we lack the resources and the capability to manufacture TA-ERT and our other current and future product candidates on a clinical or commercial scale. Instead, we rely on contract manufacturers for such production. In particular, we currently rely on a single-source manufacturer for drug product, and a single-source manufacturer for drug substance.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long-term agreement with a manufacturer to produce raw materials, active pharmaceutical ingredients (“APIs”), and the finished product of TA-ERT. Our reliance on third-party suppliers and manufacturers, including single-source suppliers, could harm our ability to develop TA-ERT and our other current and future product candidates or to commercialize any product candidates that are approved. Further, any delay in identifying and qualifying a manufacturer for commercial production could delay the potential commercialization of TA-ERT and our other current and future product candidates, and, in the event that we do not have sufficient product to complete our clinical trials, it could delay such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facilities used by our contract manufacturers to manufacture TA-ERT and our other current and future product candidates must be approved by the applicable regulatory authorities, including the FDA or comparable foreign regulatory authorities, pursuant to inspections that will be conducted after an NDA, BLA or comparable foreign regulatory marketing application is submitted. We currently do not control the manufacturing process of TA-ERT and our other current product candidates and are completely dependent on our contract manufacturing partners for compliance with the FDA’s and comparable foreign regulatory authorities’ cGMP requirements for manufacture of both the active drug substances and finished drug product. If our contract manufacturers cannot successfully manufacture material that conforms to our specifications and the FDA’s and comparable foreign regulatory authorities’ strict regulatory requirements, they will not be able to secure or maintain FDA or comparable foreign regulatory approval for the manufacturing facilities. In addition, we have limited control over the ability of our contract manufacturers to maintain adequate quality control, quality assurance and qualified personnel. If the FDA or any other applicable regulatory authority does not approve these facilities for the manufacture of TA-ERT and our other current and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TA-ERT and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TA-ERT and our other current and future product candidates or in the manufacturing facilities, such manufacturing facilities may need to be closed for an extended period of time to investigate and remedy the contamination. Any stability or other issues relating to the manufacture of TA-ERT and our other current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may occur in the future. In addition, quarantines, shelter-in-place, and similar government orders, or the perception that such orders, shutdowns, or other restrictions on the conduct of business operations could occur, related to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or our third-party manufacturers use hazardous and biological materials in a manner that causes injury or violates applicable law, we may be liable for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Social media platforms and AI-based platforms present new risks and challenges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AI-based platforms are increasingly being used in the biopharmaceutical industry. The use of AI platforms by people, including our vendors, suppliers and contractors, with access to our proprietary and confidential information, including trade secrets, may continue to increase and may lead to the release of such information, which may negatively impact our company, including our ability to realize the benefit of our intellectual property.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TA-ERT and our other current and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TA-ERT and our other current and future product candidates and other proprietary technologies, if approved,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on our ability to obtain and maintain a combination of patents, trade secret protection and confidentiality agreements to protect the intellectual property related to TA-ERT and our other current and future product candidates, and other proprietary technologies we develop. If we are unable to obtain or maintain patent protection with respect to TA-ERT and our other current and future product candidates, and other proprietary technologies we may develop, our business, financial condition, results of operations, and prospects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our product candidates and uses thereof, any future product candidates, and other proprietary technologies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obtained or enforced in the patents that have been issued or may be issued from the applications we currently or may in the future own or license from third parties. Further, if any patents or applications we obtain or license are deemed invalid and unenforceable, our ability to commercialize or license our technology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actual or potential future collaborators will be successful in protecting TA-ERT and our other current and future product candidates and other proprietary technologies and their uses by obtaining, defending and enforcing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that may be issued or in-licensed may be challenged, invalidated, modified, revoked, circumvented, found to be unenforceable, or may otherwise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and may limit, interfere with, or eliminate our ability to obtain patents related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and patents, either by claiming the same composition of matter, methods or formulations or by claiming subject matter that could dominate our patent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successful opposition to any patents owned by or licensed to us could deprive us of rights necessary for the practice of our technologies or the successful commercialization of any products or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patent applications in the United States and most other countries are confidential for a period of time after filing, we cannot be certain that we or our licensors were the first to file any patent application related to our product candidates, any future product candidates, and other proprietary technologies and their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 as such, subject matter covered in patents or patent applications that we or our licensors have filed before March 16, 2013 may be challenged and invalidated under an interference proceeding;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 candidates in those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 Additionally,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TA-ERT and our other current and future product candidates, and other proprietary technologies and erode or negate any competitive advantage we may have, which could have a material adverse effect on our financial condition and results of operations.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TA-ERT and our other current and future product candidates but that are not covered by the claims of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and use TA-ERT and our other current and future product candidates in countries where valid enforceable patents are not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the inventions covered by our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file patent applications for these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patents that we obtain may not provide us with any competitive advantages;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any of our patents, or any of our pending patent applications, if issued, or those of our licensors, will include claims having a scope sufficient to protect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we will be able to successfully commercialize our products on a substantial scale, if approved, before the relevant patents that we own or license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obtain patents that cover the use or manufacture of TA-ERT or our other current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the claims in our issued patents and pending patent applications covering our current product candidates, including TA-ERT and our other current and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fields involves complex legal and scientific questions and can be uncertain. The patent applications that we own or in-license may fail to result in issued patents with claims that cover our current product candidates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our current product candidates and any future product candidates. Furthermore, even if they are unchallenged, our patents may not adequately protect our intellectual property, provide exclusivity for our current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candidates or any future product candidates or prevent others from designing around our claims. If the breadth or strength of protection provided by the patents we hold with respect to our current product candidates or any future product candidates is threatened, it could dissuade companies from collaborating with us to develop, or threaten our ability to commercialize, our current product candidates 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U.S. patent applications containing a claim not entitled to priority before March 16, 2013, there is greater level of uncertainty in the patent law. In September 2011, the Leahy-Smith America Invents Act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such as patent term adjustments,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obtain patent term extension for our product candidates, our business may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our product candidates,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our product candidates and any future product candidates under patent protection would be reduced. Additionally, we may not receive an extension if we fail to apply within applicable deadlines, fail to apply prior to expiration of relevant patents, or otherwise fail to satisfy applicable requirements. Additionally, administrative changes at the USPTO or other applicable patent authorities, such as reduced hiring 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regulatory submissions or requests for patent term extension, which could result in a patent term extension not being timely granted (e.g., before the expiration of the patent) and there may be no patent eligible for extension. Moreover, the applicable time period or the scope of patent protection afforded could be less than we project or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project or request, our competitors may obtain approval of competing products following our patent expiration, and our business, financial condition, results of operations, and prospects could be materially harmed. If we are unable to obtain patent term extension or restoration, or the term of any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extension is less than we request, the period during which we will have the right to exclusively market our product will be shortened and our competitors may obtain approval of competing products following our patent expiration, and our revenue could be reduced.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such as the HBM License Agreement, or otherwise experience disruptions to our business relationships with our licensors, we could lose license rights that are important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party to license agreements under which we are granted intellectual property rights that are important to our business and our product candidates. If we fail to comply with our obligations under the license agreements, or we are subject to a bankruptcy, the license agreements may be terminated, in which event we would not be able to develop, commercialize or market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2025, we entered into the HBM License Agreement with HBM. Pursuant to the HBM License Agreement, we obtained an exclusive license to a specified product candidate developed by HBM in all countries outside of mainland China, Taiwan, Hong Kong, and Macau, for upfront consideration of $5.0 million and the issuance to HBM of a pre-funded warrant equal to 4.99% of our outstanding common stock as of the date of issuance of such warrant. Furthermore, we are obligated to pay HBM up to an aggregate of $390.0 million upon the achievement of certain development, regulatory, and sales milestones. In addition, we are required to pay to HBM certain mid to high-single digit tiered royalties on aggregate annual net sales of licensed products during the applicable royalty term, subject to certain customary reductions.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rights of the licensor that are not subject to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intellectual property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 candidates,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current licensors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generally also subject to all of the same risks with respect to protection of intellectual property that we license as we are for intellectual property that we own, which are described below. If we, our current licensors, or any future licensor fail to adequately protect this intellectual property, our ability to commercialize our product candidates and any future product could be impeded.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U.S.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U.S. courts, and the USPTO, the laws and regulations governing patents could change in unpredictable ways that could weaken our ability to obtain new patents or to enforce our existing patents and patents that we might obtain in the future. For example, the U.S. Supreme Court has ruled on several patent cases in recent years, either narrowing the scope of patent protection available in certain circumstances or weakening the rights of patent owners in certain situations. We cannot predict how decisions by the U.S. courts, the U.S. Congress or the USPTO may impact the value of our patent rights. For example, the U.S. Supreme Court held in </w:t>
      </w:r>
      <w:r>
        <w:rPr>
          <w:rFonts w:ascii="Times New Roman" w:hAnsi="Times New Roman"/>
          <w:i/>
          <w:color w:val="000000"/>
          <w:sz w:val="20"/>
        </w:rPr>
        <w:t>Amgen v. Sanofi</w:t>
      </w:r>
      <w:r>
        <w:rPr>
          <w:rFonts w:ascii="Times New Roman" w:hAnsi="Times New Roman"/>
          <w:color w:val="000000"/>
          <w:sz w:val="20"/>
        </w:rPr>
        <w:t xml:space="preserve"> (2023)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In addition, the Federal Circuit recently issued a decision, </w:t>
      </w:r>
      <w:r>
        <w:rPr>
          <w:rFonts w:ascii="Times New Roman" w:hAnsi="Times New Roman"/>
          <w:i/>
          <w:color w:val="000000"/>
          <w:sz w:val="20"/>
        </w:rPr>
        <w:t>In re Cellect, LLC</w:t>
      </w:r>
      <w:r>
        <w:rPr>
          <w:rFonts w:ascii="Times New Roman" w:hAnsi="Times New Roman"/>
          <w:color w:val="000000"/>
          <w:sz w:val="20"/>
        </w:rPr>
        <w:t xml:space="preserve"> (2023) involving the interaction of patent term adjustment (“PTA”), terminal disclaimers, and obvious-type double patenting which may affect the patent term of any issued patents that rely on any PTA. The trend of these decisions along with resulting changes in patentability requirements being implemented by the USPTO could make it increasingly difficult for us to obtain and maintain patents on our products and could jeopardize patent term adjustment or otherwise reduce patent term, reduce the scope of, or invalidate or render unenforceable our patent rights.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hAnsi="Times New Roman"/>
          <w:i/>
          <w:color w:val="000000"/>
          <w:sz w:val="20"/>
        </w:rPr>
        <w:t>Assoc. for Molecular Pathology v. Myriad Genetics, Inc.</w:t>
      </w:r>
      <w:r>
        <w:rPr>
          <w:rFonts w:ascii="Times New Roman" w:hAnsi="Times New Roman"/>
          <w:color w:val="000000"/>
          <w:sz w:val="20"/>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IRA passed by the U.S. Congress authorizes the Secretary of the Department of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term.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are of national or regional effect. Filing, prosecuting, and defending patents on our product candidates,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For example, as of June 1, 2023, European patent applications and patents may be subjected to the jurisdiction of the Unified Patent Court (the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actions in the United States and in foreign countries (such as, the Russia and Ukraine war and conflicts in the Middle East;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Many foreign countries could threaten to impose retaliatory measures that may adversely impact our intellectual property rights in those countries.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As another example, on March 14, 2025, Brazil enacted Law No. 15.122/2025 (known as the “Economic Reciprocity Law”), which provides a framework that allows for the suspension of obligations related to foreign entity’s intellectual property rights.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Presently we have intellectual property rights, through licenses from third parties, related to our product candidates. Because our program may require the use of additional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our product candidates.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Third-party claims alleging intellectual property infringement may prevent or delay our drug discovery and development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avoiding infringement of the patents and proprietary rights of third parties. There is a substantial amount of litigation, both within and outside the United States, involving patents and other intellectual property rights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biotechnology and pharmaceutical industries, as well as administrative proceedings for challenging patents, including </w:t>
      </w:r>
      <w:r>
        <w:rPr>
          <w:rFonts w:ascii="Times New Roman" w:hAnsi="Times New Roman"/>
          <w:i/>
          <w:color w:val="000000"/>
          <w:sz w:val="20"/>
        </w:rPr>
        <w:t>inter partes</w:t>
      </w:r>
      <w:r>
        <w:rPr>
          <w:rFonts w:ascii="Times New Roman" w:hAnsi="Times New Roman"/>
          <w:color w:val="000000"/>
          <w:sz w:val="20"/>
        </w:rPr>
        <w:t xml:space="preserve"> review, interference and reexamination proceedings before the USPTO, or oppositions and other comparable proceedings in foreign jurisdictions. The America Invents Act introduced new procedures including </w:t>
      </w:r>
      <w:r>
        <w:rPr>
          <w:rFonts w:ascii="Times New Roman" w:hAnsi="Times New Roman"/>
          <w:i/>
          <w:color w:val="000000"/>
          <w:sz w:val="20"/>
        </w:rPr>
        <w:t>inter partes</w:t>
      </w:r>
      <w:r>
        <w:rPr>
          <w:rFonts w:ascii="Times New Roman" w:hAnsi="Times New Roman"/>
          <w:color w:val="000000"/>
          <w:sz w:val="20"/>
        </w:rPr>
        <w:t xml:space="preserve">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activities related to our product candidates may give rise to claims of infringement of the patent rights of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our product candidates. Because patent applications can take many years to issue and may be confidential for 18 months or more after filing, there may be currently pending third-party patent applications which may later result in issued patents that our product candidates,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our product candidates or future product candidates. Defense of these claims, regardless of their merit, could involve substantial expenses and could be a substantial diversion of management and other employee resources from our business. 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patent applications in the United States may be maintained in secrecy until the patents are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and elsewhere can be pending for many years before issuance, or unintentionally abandoned patents or applications can be revived;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that have been published can, subject to certain limitations, be later amended in a manner that could cover our technologies, our product candidates, and any future product candidates or the use of our technologies, our product candidates,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in the United States are typically not published until 18 months after the priority 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publications in the scientific literature often lag behind actual discoveries.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have filed, and may in the future file, patent applications covering technology similar to ours, and others may have or obtain patents or proprietary rights that could limit our ability to make, use, sell, offer for sale or import our product candidates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of patent infringement asserted by third parties would be time-consuming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 in costly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prevent us from commercializing our product candidates or any future product candidates until the asserted patent expires or is finally held invalid, unenforceable, or not infringed in a court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pay the attorney’s fees and costs of litigation to the party whose intellectual property rights we may be found to be willfully infringing; and/or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royalty or license agreements, which may not be available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no third party has asserted a claim of patent infringement against us as of the date of this Quarterly Report, others may hold proprietary rights that could prevent our product candidates from being marketed. For example, we are aware of issued patents that claim a method of treatment based upon a general mode of action. While we believe that these patents are difficult to enforce and that we would have valid defenses to these claims of patent infringement, we cannot be certain that we would prevail in any dispute, and we cannot be certain how an adverse determination would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a third party may assert a claim of patent infringement directed at any of our product candidates.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Even if we were able to obtain a license, the rights may be nonexclusive, which may give our competitors access to the same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pursue invalidity proceedings with respect to third-party patents.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personnel and budgets experienced by the Patent and Trial Appeal Board, could further delay our ability to timely challenge any such patents.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or consultants have wrongfully used or disclosed alleged confidential information or trade secrets of their former employers.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common in the biotechnology and pharmaceutical industries, in addition to our employees, we engage the services of consultants to assist us in the development of our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or sustain damage, which could adversely affect our business.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 or before administrative bodies in the United States or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patents or pending patent applications, or the patents or pending patent applications that we license, may be challenged in the courts or administrative bodies in the United States and other foreign jurisdictions. Such proceedings to challenges in enforceability or validity could result in the revocation of, cancellation of or amendment to our owned and in-licensed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Such a loss of patent protection would have a material adverse impact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commonplace. Grounds for a validity challenge include an alleged failure to meet any of several statutory requirements for patentability, including, but not limited to,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Third parties may also raise similar claims before the USPTO, even outside the context of litigation or infringement. Such mechanisms could include re-examination, post-grant review, inter partes review, derivation proceedings, and equivalent proceedings in foreign jurisdictions (e.g., opposition proceedings). For example, we are a party to three post-grant review (PGR) proceedings with the United States Patent Office with respect to U.S. Patent Nos. 12,576,084, 12,569,490, and 12,569,491. As another example, we were a party to potential revocation proceedings with respect to Australian Patent Nos. 2019260793 and 2021324839. These Australian patents have been revoked. We may be subject to new or additional third-party pre-issuance submission of prior art to the USPTO or become involved in other post-grant review procedures, derivations, reexaminations, or </w:t>
      </w:r>
      <w:r>
        <w:rPr>
          <w:rFonts w:ascii="Times New Roman" w:hAnsi="Times New Roman"/>
          <w:i/>
          <w:color w:val="000000"/>
          <w:sz w:val="20"/>
        </w:rPr>
        <w:t xml:space="preserve">inter partes review </w:t>
      </w:r>
      <w:r>
        <w:rPr>
          <w:rFonts w:ascii="Times New Roman" w:hAnsi="Times New Roman"/>
          <w:color w:val="000000"/>
          <w:sz w:val="20"/>
        </w:rPr>
        <w:t xml:space="preserve">proceedings, in the United States or oppositions or similar proceedings in foreign jurisdictions, challenging our patent rights. The legal threshold for initiating such proceedings may be low, so that even proceedings with a low probability of success might be initiated.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any future product candidates to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 Intellectual property litigation or administrative proceedings are very costly and time-consuming and could interfere with our ability to sell and market our products.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seeking patents for some of our technology and products, we also rely on trade secrets, including unpatented know-how, technology and other proprietary information, to maintain our competitive position,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any name we have proposed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including the HBM License Agreement, will depend heavily on the efforts and activities of our collaborators. Collaborations are subject to numerous risks, which may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products that results from our collaborating with them, and in such cases, we would not have the exclusive right to develop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collaborator’s sales and marketing activities or other operations may not be in compliance with applicable laws resulting in civil or criminal proceedings.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Working Capital Restrictions and Limitations Upon the Payment of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Avenue Loan Agreement, we are prohibited from paying cash dividends without the prior written consent of Avenue.</w:t>
      </w:r>
    </w:p>
    <w:p>
      <w:pPr>
        <w:pStyle w:val="TextBody"/>
        <w:bidi w:val="0"/>
        <w:spacing w:before="24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Private Placement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7, 2026, we entered into a Stock Purchase Agreement (the “Purchase Agreement”) with the National MPS Society and the Cure Sanfilippo Foundation (the “Purchasers”), pursuant to which we agreed to sell and issue to the Purchasers 121,203 shares of the Company’s common stock in a private placement transaction (the “Private Placement”). The purchase price per share was $45.38. The closing of the Private Placement occurred on August 10, 2026 (the “Closing”). The total gross proceeds we received at the Closing was $5.5 million. The proceeds will be used to partially fund the Company’s planned open-label, single-arm early access program to provide TA-ERT for the treatment of MPS IIIB in children.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Purchase Agreement contains customary representations, warranties and covenants that were made solely for the benefit of the parties to the Purchase Agreement. Such representations, warranties and covenants (i) are intended as a way of allocating risk between the parties to the Purchase Agreement and not as statements of fact, and (ii) may apply standards of materiality in a way that is different from what may be viewed as material by stockholders of, or other investors in, us. Accordingly, the Purchase Agreement is included with this filing only to provide investors with information regarding the terms of transaction and not to provide investors with any other factual information regarding us. Investors should not rely on the representations, warranties and covenants or any descriptions thereof as characterizations of the actual state of facts or condition of us or any of our subsidiaries or affiliates. Moreover, information concerning the subject matter of the representations and warranties may change after the date of the Purchase Agreement, which subsequent information may or may not be fully reflected in public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is only a summary of the terms of the Purchase Agreement and does not purport to be complete and is qualified in its entirety by reference to the full text of the form of Purchase Agreement, a copy of which is attached to this report as Exhibit 10.5.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securities described above have not been registered under the Securities Act. We relied on the exemption from the registration requirements of the Securities Act by virtue of Rule 506 of Regulation D thereunder. Each of the Purchasers has represented that it is an “accredited investor” as defined in Regulation D of the Securities Act and that it is acquiring the securities for investment only and not with a view towards, or for resale in connection with, the public sale or distribution thereof, and appropriate legends will be affixed to the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Insider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 director or Section 16 officer of the Company adopted, modified or terminated any "Rule 10b5-1 trading arrangement" or any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7"/>
        <w:gridCol w:w="146"/>
        <w:gridCol w:w="5840"/>
        <w:gridCol w:w="146"/>
        <w:gridCol w:w="511"/>
        <w:gridCol w:w="146"/>
        <w:gridCol w:w="735"/>
        <w:gridCol w:w="146"/>
        <w:gridCol w:w="631"/>
        <w:gridCol w:w="146"/>
        <w:gridCol w:w="1011"/>
      </w:tblGrid>
      <w:tr>
        <w:trPr/>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74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Underwriting Agreement, dated April 20, 2026, by and among the Company, Leerink Partners LLC, Guggenheim Securities, LLC and Oppenheimer &amp; Co.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22, 2026</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the Amended and Restated Certificate of Incorporation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001-39594</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24, 2025</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w:t>
              </w:r>
            </w:hyperlink>
            <w:hyperlink r:id="rId6">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14, 2020</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2026 Pre-Funded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22, 2026</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Spruce Biosciences, Inc. 2026 Inducement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13, 2026</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Restricted Stock Unit Grant Notice and Award Agreement under the Spruce Biosciences, Inc. 2026 Inducement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13, 2026</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Forms of Grant Notice, Stock Option Agreement and Notice of Exercise under the Spruce Biosciences, Inc. 2026 Inducement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13, 2026</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10_4.htm">
              <w:r>
                <w:rPr>
                  <w:rStyle w:val="InternetLink"/>
                  <w:rFonts w:ascii="Times New Roman" w:hAnsi="Times New Roman"/>
                  <w:color w:val="0000FF"/>
                  <w:sz w:val="20"/>
                  <w:u w:val="single"/>
                </w:rPr>
                <w:t>Offer Letter, by and between Spruce Biosciences, Inc. and Adrian Quartel, effective July 27,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10_5.htm">
              <w:r>
                <w:rPr>
                  <w:rStyle w:val="InternetLink"/>
                  <w:rFonts w:ascii="Times New Roman" w:hAnsi="Times New Roman"/>
                  <w:color w:val="0000FF"/>
                  <w:sz w:val="20"/>
                  <w:u w:val="single"/>
                </w:rPr>
                <w:t>Form of Stock Purchase Agreement, dated August 7, 2026 by and among the Company and the Purchasers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1_1.htm">
              <w:r>
                <w:rPr>
                  <w:rStyle w:val="InternetLink"/>
                  <w:rFonts w:ascii="Times New Roman" w:hAnsi="Times New Roman"/>
                  <w:color w:val="0000FF"/>
                  <w:sz w:val="20"/>
                  <w:u w:val="single"/>
                </w:rPr>
                <w:t>Certification of Principal Executive Officer pursuant to Rules 13a-14(a) and 15d-14(a) under the Securities Exchange Act of 1934, as amended,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1_2.htm">
              <w:r>
                <w:rPr>
                  <w:rStyle w:val="InternetLink"/>
                  <w:rFonts w:ascii="Times New Roman" w:hAnsi="Times New Roman"/>
                  <w:color w:val="0000FF"/>
                  <w:sz w:val="20"/>
                  <w:u w:val="single"/>
                </w:rPr>
                <w:t>Certification of Principal Financial Officer pursuant to Rules 13a-14(a) and 15d-14(a) under the Securities Exchange Act of 1934, as amended,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rb-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Instance Document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Pursuant to Item 601(b)(10) of Regulation S-K, certain portions of this exhibit have been omitted by means of marking such portions with asterisks because the registrant has determined that the information is the type that the registrant customarily and actually treats as private or confidential and is not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1951"/>
        <w:gridCol w:w="109"/>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SPRUCE BIOSCIENCES,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Javier Szwarcberg, M.D., MPH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Samir Gharib</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3" w:name="sprb-ex10_4.htm"/>
      <w:bookmarkStart w:id="24" w:name="kssprbex10_4"/>
      <w:bookmarkEnd w:id="23"/>
      <w:bookmarkEnd w:id="24"/>
      <w:r>
        <w:rPr>
          <w:rFonts w:ascii="Times New Roman" w:hAnsi="Times New Roman"/>
          <w:color w:val="000000"/>
          <w:sz w:val="20"/>
        </w:rPr>
        <w:t>Exhibit 10.4</w:t>
      </w:r>
      <w:r>
        <w:br w:type="page"/>
      </w:r>
    </w:p>
    <w:p>
      <w:pPr>
        <w:pStyle w:val="TextBody"/>
        <w:bidi w:val="0"/>
        <w:jc w:val="right"/>
        <w:rPr/>
      </w:pPr>
      <w:r>
        <w:rPr/>
        <w:t> </w:t>
      </w:r>
    </w:p>
    <w:p>
      <w:pPr>
        <w:pStyle w:val="TextBody"/>
        <w:bidi w:val="0"/>
        <w:spacing w:before="0" w:after="160"/>
        <w:jc w:val="right"/>
        <w:rPr/>
      </w:pPr>
      <w:r>
        <w:rPr/>
        <w:drawing>
          <wp:inline distT="0" distB="0" distL="0" distR="0">
            <wp:extent cx="1419225"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419225" cy="676275"/>
                    </a:xfrm>
                    <a:prstGeom prst="rect">
                      <a:avLst/>
                    </a:prstGeom>
                  </pic:spPr>
                </pic:pic>
              </a:graphicData>
            </a:graphic>
          </wp:inline>
        </w:drawing>
      </w:r>
    </w:p>
    <w:p>
      <w:pPr>
        <w:pStyle w:val="TextBody"/>
        <w:bidi w:val="0"/>
        <w:spacing w:before="0" w:after="160"/>
        <w:jc w:val="left"/>
        <w:rPr>
          <w:rFonts w:ascii="sans-serif" w:hAnsi="sans-serif"/>
          <w:b/>
          <w:color w:val="000000"/>
          <w:sz w:val="22"/>
        </w:rPr>
      </w:pPr>
      <w:r>
        <w:rPr>
          <w:rFonts w:ascii="sans-serif" w:hAnsi="sans-serif"/>
          <w:b/>
          <w:color w:val="000000"/>
          <w:sz w:val="22"/>
        </w:rPr>
        <w:t>Adrian Quartel</w:t>
      </w:r>
    </w:p>
    <w:p>
      <w:pPr>
        <w:pStyle w:val="TextBody"/>
        <w:bidi w:val="0"/>
        <w:spacing w:before="0" w:after="160"/>
        <w:jc w:val="left"/>
        <w:rPr>
          <w:rFonts w:ascii="sans-serif" w:hAnsi="sans-serif"/>
          <w:color w:val="000000"/>
          <w:sz w:val="22"/>
        </w:rPr>
      </w:pPr>
      <w:r>
        <w:rPr>
          <w:rFonts w:ascii="sans-serif" w:hAnsi="sans-serif"/>
          <w:color w:val="000000"/>
          <w:sz w:val="22"/>
        </w:rPr>
        <w:t>March 27, 2026</w:t>
      </w:r>
    </w:p>
    <w:p>
      <w:pPr>
        <w:pStyle w:val="TextBody"/>
        <w:bidi w:val="0"/>
        <w:spacing w:before="0" w:after="160"/>
        <w:jc w:val="left"/>
        <w:rPr>
          <w:rFonts w:ascii="sans-serif" w:hAnsi="sans-serif"/>
          <w:b/>
          <w:color w:val="000000"/>
          <w:sz w:val="22"/>
        </w:rPr>
      </w:pPr>
      <w:r>
        <w:rPr>
          <w:rFonts w:ascii="sans-serif" w:hAnsi="sans-serif"/>
          <w:b/>
          <w:color w:val="000000"/>
          <w:sz w:val="22"/>
        </w:rPr>
        <w:t>Re: Employment Terms</w:t>
      </w:r>
    </w:p>
    <w:p>
      <w:pPr>
        <w:pStyle w:val="TextBody"/>
        <w:bidi w:val="0"/>
        <w:spacing w:before="0" w:after="160"/>
        <w:jc w:val="left"/>
        <w:rPr>
          <w:rFonts w:ascii="Times New Roman" w:hAnsi="Times New Roman"/>
          <w:sz w:val="20"/>
        </w:rPr>
      </w:pPr>
      <w:r>
        <w:rPr>
          <w:rFonts w:ascii="sans-serif" w:hAnsi="sans-serif"/>
          <w:color w:val="000000"/>
          <w:sz w:val="22"/>
        </w:rPr>
        <w:t>Dear Adrian,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2"/>
        </w:rPr>
        <w:t>Spruce Biosciences, Inc., a Delaware corporation (the “</w:t>
      </w:r>
      <w:r>
        <w:rPr>
          <w:rFonts w:ascii="sans-serif" w:hAnsi="sans-serif"/>
          <w:color w:val="000000"/>
          <w:sz w:val="22"/>
          <w:u w:val="single"/>
        </w:rPr>
        <w:t>Company</w:t>
      </w:r>
      <w:r>
        <w:rPr>
          <w:rFonts w:ascii="Times New Roman" w:hAnsi="Times New Roman"/>
          <w:color w:val="000000"/>
          <w:sz w:val="20"/>
        </w:rPr>
        <w:t>”</w:t>
      </w:r>
      <w:r>
        <w:rPr>
          <w:rFonts w:ascii="sans-serif" w:hAnsi="sans-serif"/>
          <w:color w:val="000000"/>
          <w:sz w:val="22"/>
        </w:rPr>
        <w:t>), is pleased to offer you full-time employment in the regular exempt position of Chief Medical Officer effective as of July 27, 2026, in which you will be responsible for such duties as are normally associated with such position or as otherwise determined by your supervisor. You will report to Javier Szwarcberg, the Chief Executive Officer, or such other individual as the Company may designate. Your position will be headquartered in our offices located in South San Francisco, California, or such other location as the Company may designate, except for such travel as may be necessary to fulfill your responsibilities. In the course of your employment with Company, you will be subject to and required to comply with all company policies, and applicable laws and regulations.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2"/>
        </w:rPr>
        <w:t>You will be paid a base salary at the annual rate of $512,300 subject to required tax withholding and other authorized deductions. Your base salary will be payable in accordance with the Company’s standard payroll policies and subject to adjustment pursuant to the Company’s policies as in effect from time to time.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2"/>
        </w:rPr>
        <w:t>In addition to your base salary, you may be eligible to earn an annual cash performance bonus, at the discretion of the Board of Directors (the “</w:t>
      </w:r>
      <w:r>
        <w:rPr>
          <w:rFonts w:ascii="sans-serif" w:hAnsi="sans-serif"/>
          <w:color w:val="000000"/>
          <w:sz w:val="22"/>
          <w:u w:val="single"/>
        </w:rPr>
        <w:t>Board</w:t>
      </w:r>
      <w:r>
        <w:rPr>
          <w:rFonts w:ascii="Times New Roman" w:hAnsi="Times New Roman"/>
          <w:color w:val="000000"/>
          <w:sz w:val="20"/>
        </w:rPr>
        <w:t>”</w:t>
      </w:r>
      <w:r>
        <w:rPr>
          <w:rFonts w:ascii="sans-serif" w:hAnsi="sans-serif"/>
          <w:color w:val="000000"/>
          <w:sz w:val="22"/>
        </w:rPr>
        <w:t>) or Compensation Committee of the Board (the “</w:t>
      </w:r>
      <w:r>
        <w:rPr>
          <w:rFonts w:ascii="sans-serif" w:hAnsi="sans-serif"/>
          <w:color w:val="000000"/>
          <w:sz w:val="22"/>
          <w:u w:val="single"/>
        </w:rPr>
        <w:t>Compensation Committee</w:t>
      </w:r>
      <w:r>
        <w:rPr>
          <w:rFonts w:ascii="Times New Roman" w:hAnsi="Times New Roman"/>
          <w:color w:val="000000"/>
          <w:sz w:val="20"/>
        </w:rPr>
        <w:t>”</w:t>
      </w:r>
      <w:r>
        <w:rPr>
          <w:rFonts w:ascii="sans-serif" w:hAnsi="sans-serif"/>
          <w:color w:val="000000"/>
          <w:sz w:val="22"/>
        </w:rPr>
        <w:t>), based on the attainment of corporate performance metrics and/or individual performance objectives, in each case established and evaluated by the Board or Compensation Committee in its sole good faith discretion. Your target annual bonus shall be 40% of your base salary, but the actual amount of your annual bonus may be more or less, depending on the attainment of applicable performance criteria and Company achievements. Such annual bonus shall be paid within three months following the year to which the annual bonus relates and will be contingent upon your continued employment through the applicable payment date (provided that if your employment is terminated by the Company without Cause (as defined in the Equity Plan (as defined below) or as the result of your death or disability, then in any such case you will receive any earned but unpaid annual bonus relating to the immediately preceding calendar year at the same time as if no such termination had occurred). You hereby acknowledge and agree that nothing contained herein confers upon you any right to an annual bonus in any year, and that whether the Company pays you an annual bonus and the amount of any such annual bonus will be determined by the Board or Compensation Committee in its sole good faith discretion.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2"/>
        </w:rPr>
        <w:t>The Company will grant you a Restricted Stock Unit (RSU) award of 13,000 shares of the Company’s common stock (the “</w:t>
      </w:r>
      <w:r>
        <w:rPr>
          <w:rFonts w:ascii="sans-serif" w:hAnsi="sans-serif"/>
          <w:color w:val="000000"/>
          <w:sz w:val="22"/>
          <w:u w:val="single"/>
        </w:rPr>
        <w:t>RSU Award</w:t>
      </w:r>
      <w:r>
        <w:rPr>
          <w:rFonts w:ascii="Times New Roman" w:hAnsi="Times New Roman"/>
          <w:color w:val="000000"/>
          <w:sz w:val="20"/>
        </w:rPr>
        <w:t>”</w:t>
      </w:r>
      <w:r>
        <w:rPr>
          <w:rFonts w:ascii="sans-serif" w:hAnsi="sans-serif"/>
          <w:color w:val="000000"/>
          <w:sz w:val="22"/>
        </w:rPr>
        <w:t>). Subject to your continued employment with the Company through the applicable vesting date, the RSU Award will vest over a four-year period. 25% of the shares underlying the RSU Award will vest on June 15, 2027 (the “</w:t>
      </w:r>
      <w:r>
        <w:rPr>
          <w:rFonts w:ascii="sans-serif" w:hAnsi="sans-serif"/>
          <w:color w:val="000000"/>
          <w:sz w:val="22"/>
          <w:u w:val="single"/>
        </w:rPr>
        <w:t>Annual Vesting Date</w:t>
      </w:r>
      <w:r>
        <w:rPr>
          <w:rFonts w:ascii="sans-serif" w:hAnsi="sans-serif"/>
          <w:color w:val="000000"/>
          <w:sz w:val="22"/>
        </w:rPr>
        <w:t>") and 25% of the total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drawing>
          <wp:inline distT="0" distB="0" distL="0" distR="0">
            <wp:extent cx="141922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419225" cy="676275"/>
                    </a:xfrm>
                    <a:prstGeom prst="rect">
                      <a:avLst/>
                    </a:prstGeom>
                  </pic:spPr>
                </pic:pic>
              </a:graphicData>
            </a:graphic>
          </wp:inline>
        </w:drawing>
      </w:r>
    </w:p>
    <w:p>
      <w:pPr>
        <w:pStyle w:val="TextBody"/>
        <w:bidi w:val="0"/>
        <w:spacing w:before="0" w:after="160"/>
        <w:jc w:val="left"/>
        <w:rPr>
          <w:rFonts w:ascii="Times New Roman" w:hAnsi="Times New Roman"/>
          <w:sz w:val="20"/>
        </w:rPr>
      </w:pPr>
      <w:r>
        <w:rPr>
          <w:rFonts w:ascii="sans-serif" w:hAnsi="sans-serif"/>
          <w:color w:val="000000"/>
          <w:sz w:val="22"/>
        </w:rPr>
        <w:t>number of shares initially underlying the RSU Award will vest in annual installments on each anniversary of the Annual Vesting Date thereafter.</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2"/>
        </w:rPr>
        <w:t>The RSU Award will otherwise be subject to the award agreement to be entered into between you and the Company (the “</w:t>
      </w:r>
      <w:r>
        <w:rPr>
          <w:rFonts w:ascii="sans-serif" w:hAnsi="sans-serif"/>
          <w:color w:val="000000"/>
          <w:sz w:val="22"/>
          <w:u w:val="single"/>
        </w:rPr>
        <w:t>RSU Award Agreement</w:t>
      </w:r>
      <w:r>
        <w:rPr>
          <w:rFonts w:ascii="Times New Roman" w:hAnsi="Times New Roman"/>
          <w:color w:val="000000"/>
          <w:sz w:val="20"/>
        </w:rPr>
        <w:t>”</w:t>
      </w:r>
      <w:r>
        <w:rPr>
          <w:rFonts w:ascii="sans-serif" w:hAnsi="sans-serif"/>
          <w:color w:val="000000"/>
          <w:sz w:val="22"/>
        </w:rPr>
        <w:t>). The RSU Award shall constitute an inducement award in accordance with Nasdaq Listing Rule 5635(c)(4) and is granted outside the Company’s 2020 Equity Incentive Plan (the “</w:t>
      </w:r>
      <w:r>
        <w:rPr>
          <w:rFonts w:ascii="sans-serif" w:hAnsi="sans-serif"/>
          <w:color w:val="000000"/>
          <w:sz w:val="22"/>
          <w:u w:val="single"/>
        </w:rPr>
        <w:t>Plan</w:t>
      </w:r>
      <w:r>
        <w:rPr>
          <w:rFonts w:ascii="Times New Roman" w:hAnsi="Times New Roman"/>
          <w:color w:val="000000"/>
          <w:sz w:val="20"/>
        </w:rPr>
        <w:t>”</w:t>
      </w:r>
      <w:r>
        <w:rPr>
          <w:rFonts w:ascii="sans-serif" w:hAnsi="sans-serif"/>
          <w:color w:val="000000"/>
          <w:sz w:val="22"/>
        </w:rPr>
        <w:t>) but pursuant to the terms of the Plan as if such awards were made under the Plan.</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2"/>
        </w:rPr>
      </w:pPr>
      <w:r>
        <w:rPr>
          <w:rFonts w:ascii="sans-serif" w:hAnsi="sans-serif"/>
          <w:color w:val="000000"/>
          <w:sz w:val="22"/>
        </w:rPr>
        <w:t xml:space="preserve">You will be entitled to participate in the Company's Severance and Change of Control Plan, a copy of which will be separately provided to you. You will also be eligible to participate in all of the employee benefits and benefit plans that the Company generally makes available to its regular full-time employees, including group health plans, life and disability insurances, and a 401k Plan. In addition, during your employment, you will be eligible for other standard benefits, such as paid time off and holidays to the extent applicable generally to other similarly situated employees of the Company. The Company reserves the right to terminate, modify or add to its benefits and benefit plans at any time. </w:t>
      </w:r>
    </w:p>
    <w:p>
      <w:pPr>
        <w:pStyle w:val="TextBody"/>
        <w:bidi w:val="0"/>
        <w:spacing w:before="0" w:after="160"/>
        <w:jc w:val="left"/>
        <w:rPr>
          <w:rFonts w:ascii="sans-serif" w:hAnsi="sans-serif"/>
          <w:color w:val="000000"/>
          <w:sz w:val="22"/>
        </w:rPr>
      </w:pPr>
      <w:r>
        <w:rPr>
          <w:rFonts w:ascii="sans-serif" w:hAnsi="sans-serif"/>
          <w:color w:val="000000"/>
          <w:sz w:val="22"/>
        </w:rPr>
        <w:t>The Company requires that, as a full-time employee, you devote your full business time, attention, skill, and efforts to the tasks and duties of your position as assigned by the Company. Accordingly, you may not provide services (for any or no form of compensation) for any other person or business entity while employed by the Company, without prior authorization and approval from the Board.</w:t>
      </w:r>
    </w:p>
    <w:p>
      <w:pPr>
        <w:pStyle w:val="TextBody"/>
        <w:bidi w:val="0"/>
        <w:spacing w:before="0" w:after="160"/>
        <w:jc w:val="left"/>
        <w:rPr>
          <w:rFonts w:ascii="sans-serif" w:hAnsi="sans-serif"/>
          <w:color w:val="000000"/>
          <w:sz w:val="22"/>
        </w:rPr>
      </w:pPr>
      <w:r>
        <w:rPr>
          <w:rFonts w:ascii="sans-serif" w:hAnsi="sans-serif"/>
          <w:color w:val="000000"/>
          <w:sz w:val="22"/>
        </w:rPr>
        <w:t>As an executive officer of the Company, you will be entitled to indemnification as provided under the Company's bylaws and other governing documents in effect as of the date hereof to the fullest extent permitted by applicable law. The Company and you intend that such obligation shall remain in full force and effect, such that a future change in the Company's bylaws other than a change required by applicable law, shall not affect the Company's obligations hereunder. You will be covered by the Company’s directors' and officers' liability insurance policy on the same basis as other executive officers of the Company.</w:t>
      </w:r>
    </w:p>
    <w:p>
      <w:pPr>
        <w:pStyle w:val="TextBody"/>
        <w:bidi w:val="0"/>
        <w:spacing w:before="0" w:after="160"/>
        <w:jc w:val="left"/>
        <w:rPr>
          <w:rFonts w:ascii="Times New Roman" w:hAnsi="Times New Roman"/>
          <w:sz w:val="20"/>
        </w:rPr>
      </w:pPr>
      <w:r>
        <w:rPr>
          <w:rFonts w:ascii="sans-serif" w:hAnsi="sans-serif"/>
          <w:color w:val="000000"/>
          <w:sz w:val="22"/>
        </w:rPr>
        <w:t>As a condition of employment, you will be required to (1) sign and comply with a Proprietary Information and Inventions Assignment Agreement, a copy of which will be separately provided to you, which, among other things, prohibits unauthorized use or disclosure of Company proprietary information, (2) sign and return a satisfactory I-9 Immigration form and provide sufficient documentation establishing your employment eligibility in the United States of America, and (3) provide satisfactory proof of your identity as required by United States law. This offer, and any employment pursuant to this offer, is also conditioned upon your consent to, and results satisfactory to the Company of reference and background checks. Until you have been informed in writing by Company that such checks have been completed and the results found satisfactory, you may wish to defer reliance on this offer. By signing below, you represent that your performance of services to the Company will not violate any duty which you may have to any other person or entity (such as a present or former employer), including obligations concerning providing services (whether or not competitive) to others, confidentiality of proprietary information and assignment of inventions, ideas, patents or copyrights,</w:t>
      </w:r>
      <w:r>
        <w:rPr>
          <w:rFonts w:ascii="Times New Roman" w:hAnsi="Times New Roman"/>
          <w:color w:val="000000"/>
          <w:sz w:val="20"/>
        </w:rPr>
        <w:t xml:space="preserve"> </w:t>
      </w:r>
    </w:p>
    <w:p>
      <w:pPr>
        <w:pStyle w:val="TextBody"/>
        <w:bidi w:val="0"/>
        <w:jc w:val="center"/>
        <w:rPr>
          <w:rFonts w:ascii="Arial" w:hAnsi="Arial"/>
          <w:b/>
          <w:color w:val="00ADBB"/>
          <w:sz w:val="18"/>
        </w:rPr>
      </w:pPr>
      <w:r>
        <w:rPr>
          <w:rFonts w:ascii="Arial" w:hAnsi="Arial"/>
          <w:b/>
          <w:color w:val="00ADBB"/>
          <w:sz w:val="18"/>
        </w:rPr>
        <w:t>611 Gateway Boulevard, Suite 740, South San Francisco, CA 94080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drawing>
          <wp:inline distT="0" distB="0" distL="0" distR="0">
            <wp:extent cx="1419225" cy="676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1419225" cy="676275"/>
                    </a:xfrm>
                    <a:prstGeom prst="rect">
                      <a:avLst/>
                    </a:prstGeom>
                  </pic:spPr>
                </pic:pic>
              </a:graphicData>
            </a:graphic>
          </wp:inline>
        </w:drawing>
      </w:r>
    </w:p>
    <w:p>
      <w:pPr>
        <w:pStyle w:val="TextBody"/>
        <w:bidi w:val="0"/>
        <w:spacing w:before="0" w:after="160"/>
        <w:jc w:val="left"/>
        <w:rPr>
          <w:rFonts w:ascii="sans-serif" w:hAnsi="sans-serif"/>
          <w:color w:val="000000"/>
          <w:sz w:val="22"/>
        </w:rPr>
      </w:pPr>
      <w:r>
        <w:rPr>
          <w:rFonts w:ascii="sans-serif" w:hAnsi="sans-serif"/>
          <w:color w:val="000000"/>
          <w:sz w:val="22"/>
        </w:rPr>
        <w:t>and you agree that you will not do anything in the performance of services hereunder that would violate any such duty.</w:t>
      </w:r>
    </w:p>
    <w:p>
      <w:pPr>
        <w:pStyle w:val="TextBody"/>
        <w:bidi w:val="0"/>
        <w:spacing w:before="0" w:after="160"/>
        <w:jc w:val="left"/>
        <w:rPr>
          <w:rFonts w:ascii="sans-serif" w:hAnsi="sans-serif"/>
          <w:color w:val="000000"/>
          <w:sz w:val="22"/>
        </w:rPr>
      </w:pPr>
      <w:r>
        <w:rPr>
          <w:rFonts w:ascii="sans-serif" w:hAnsi="sans-serif"/>
          <w:color w:val="000000"/>
          <w:sz w:val="22"/>
        </w:rPr>
        <w:t>Notwithstanding any of the above, your employment with the Company is "at will". This means that it is not for any specified period of time and can be terminated by you or by the Company at any time, with or without advance notice, and for any or no particular reason or cause. This "at-will" nature of your employment shall remain unchanged during your tenure as an employee and may not be changed, except in an express writing signed by you and another authorized officer of the Company.</w:t>
      </w:r>
    </w:p>
    <w:p>
      <w:pPr>
        <w:pStyle w:val="TextBody"/>
        <w:bidi w:val="0"/>
        <w:spacing w:before="0" w:after="160"/>
        <w:jc w:val="left"/>
        <w:rPr>
          <w:rFonts w:ascii="sans-serif" w:hAnsi="sans-serif"/>
          <w:color w:val="000000"/>
          <w:sz w:val="22"/>
        </w:rPr>
      </w:pPr>
      <w:r>
        <w:rPr>
          <w:rFonts w:ascii="sans-serif" w:hAnsi="sans-serif"/>
          <w:color w:val="000000"/>
          <w:sz w:val="22"/>
        </w:rPr>
        <w:t>If you accept this offer, this letter, the Proprietary Information and Invention Assignment Agreement, and the other plans, policies and agreements referred to herein shall constitute the complete agreement between you and Company with respect to the terms and conditions of your employment. Any prior or contemporaneous representations (whether oral or written) not contained herein or therein or contrary to those contained herein or therein, that may have been made to you are expressly cancelled and superseded by this offer. This offer letter shall be interpreted and construed in accordance with California law without regard to any conflicts of laws principles.</w:t>
      </w:r>
    </w:p>
    <w:p>
      <w:pPr>
        <w:pStyle w:val="TextBody"/>
        <w:bidi w:val="0"/>
        <w:spacing w:before="0" w:after="160"/>
        <w:jc w:val="left"/>
        <w:rPr>
          <w:rFonts w:ascii="sans-serif" w:hAnsi="sans-serif"/>
          <w:color w:val="000000"/>
          <w:sz w:val="22"/>
        </w:rPr>
      </w:pPr>
      <w:r>
        <w:rPr>
          <w:rFonts w:ascii="sans-serif" w:hAnsi="sans-serif"/>
          <w:color w:val="000000"/>
          <w:sz w:val="22"/>
        </w:rPr>
        <w:t>Please sign and date this letter and the Proprietary Information and Invention Assignment Agreement, and return it to me by April 3, 2026 if you wish to accept employment at the Company under the terms described above, after which time this offer of employment will expire. If you accept our offer, we would like you to commence your employment with us as soon as practicable.</w:t>
      </w:r>
    </w:p>
    <w:p>
      <w:pPr>
        <w:pStyle w:val="TextBody"/>
        <w:bidi w:val="0"/>
        <w:spacing w:before="0" w:after="160"/>
        <w:jc w:val="left"/>
        <w:rPr/>
      </w:pPr>
      <w:r>
        <w:rPr/>
        <w:t> </w:t>
      </w:r>
    </w:p>
    <w:p>
      <w:pPr>
        <w:pStyle w:val="TextBody"/>
        <w:bidi w:val="0"/>
        <w:spacing w:before="0" w:after="160"/>
        <w:jc w:val="center"/>
        <w:rPr>
          <w:rFonts w:ascii="sans-serif" w:hAnsi="sans-serif"/>
          <w:color w:val="000000"/>
          <w:sz w:val="22"/>
        </w:rPr>
      </w:pPr>
      <w:r>
        <w:rPr>
          <w:rFonts w:ascii="sans-serif" w:hAnsi="sans-serif"/>
          <w:color w:val="000000"/>
          <w:sz w:val="22"/>
        </w:rPr>
        <w:t>(signature page follows)</w:t>
      </w:r>
    </w:p>
    <w:p>
      <w:pPr>
        <w:pStyle w:val="TextBody"/>
        <w:bidi w:val="0"/>
        <w:jc w:val="center"/>
        <w:rPr>
          <w:rFonts w:ascii="Arial" w:hAnsi="Arial"/>
          <w:b/>
          <w:color w:val="00ADBB"/>
          <w:sz w:val="18"/>
        </w:rPr>
      </w:pPr>
      <w:r>
        <w:rPr>
          <w:rFonts w:ascii="Arial" w:hAnsi="Arial"/>
          <w:b/>
          <w:color w:val="00ADBB"/>
          <w:sz w:val="18"/>
        </w:rPr>
        <w:t>611 Gateway Boulevard, Suite 740, South San Francisco, CA 94080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pPr>
      <w:r>
        <w:rPr/>
        <w:drawing>
          <wp:inline distT="0" distB="0" distL="0" distR="0">
            <wp:extent cx="1419225" cy="676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1419225" cy="676275"/>
                    </a:xfrm>
                    <a:prstGeom prst="rect">
                      <a:avLst/>
                    </a:prstGeom>
                  </pic:spPr>
                </pic:pic>
              </a:graphicData>
            </a:graphic>
          </wp:inline>
        </w:drawing>
      </w:r>
    </w:p>
    <w:p>
      <w:pPr>
        <w:pStyle w:val="TextBody"/>
        <w:bidi w:val="0"/>
        <w:spacing w:before="0" w:after="16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We look forward to your favorable reply and to a productive and enjoyable work relationship.</w:t>
      </w:r>
    </w:p>
    <w:p>
      <w:pPr>
        <w:pStyle w:val="TextBody"/>
        <w:bidi w:val="0"/>
        <w:spacing w:before="0" w:after="16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Sincerely,</w:t>
      </w:r>
    </w:p>
    <w:p>
      <w:pPr>
        <w:pStyle w:val="TextBody"/>
        <w:bidi w:val="0"/>
        <w:spacing w:before="0" w:after="160"/>
        <w:jc w:val="left"/>
        <w:rPr>
          <w:rFonts w:ascii="Times New Roman" w:hAnsi="Times New Roman"/>
          <w:sz w:val="20"/>
        </w:rPr>
      </w:pPr>
      <w:r>
        <w:rPr>
          <w:rFonts w:ascii="sans-serif" w:hAnsi="sans-serif"/>
          <w:color w:val="000000"/>
          <w:sz w:val="22"/>
        </w:rPr>
        <w:t>/s/ Javier Szwarcberg</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2"/>
        </w:rPr>
      </w:pPr>
      <w:r>
        <w:rPr>
          <w:rFonts w:ascii="sans-serif" w:hAnsi="sans-serif"/>
          <w:color w:val="000000"/>
          <w:sz w:val="22"/>
        </w:rPr>
        <w:t>Javier Szwarcberg, MD, MPH</w:t>
      </w:r>
    </w:p>
    <w:p>
      <w:pPr>
        <w:pStyle w:val="TextBody"/>
        <w:bidi w:val="0"/>
        <w:spacing w:before="0" w:after="160"/>
        <w:jc w:val="left"/>
        <w:rPr>
          <w:rFonts w:ascii="sans-serif" w:hAnsi="sans-serif"/>
          <w:color w:val="000000"/>
          <w:sz w:val="22"/>
        </w:rPr>
      </w:pPr>
      <w:r>
        <w:rPr>
          <w:rFonts w:ascii="sans-serif" w:hAnsi="sans-serif"/>
          <w:color w:val="000000"/>
          <w:sz w:val="22"/>
        </w:rPr>
        <w:t>Spruce Biosciences, Inc.</w:t>
      </w:r>
    </w:p>
    <w:p>
      <w:pPr>
        <w:pStyle w:val="TextBody"/>
        <w:bidi w:val="0"/>
        <w:spacing w:before="0" w:after="16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Accepted by:</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2"/>
          <w:u w:val="single"/>
        </w:rPr>
        <w:t>/s/ Adrian Quartel</w:t>
      </w:r>
      <w:r>
        <w:rPr>
          <w:rFonts w:ascii="Times New Roman" w:hAnsi="Times New Roman"/>
          <w:color w:val="000000"/>
          <w:sz w:val="20"/>
          <w:u w:val="single"/>
        </w:rPr>
        <w:t xml:space="preserve"> </w:t>
      </w:r>
    </w:p>
    <w:p>
      <w:pPr>
        <w:pStyle w:val="TextBody"/>
        <w:bidi w:val="0"/>
        <w:spacing w:before="0" w:after="160"/>
        <w:jc w:val="left"/>
        <w:rPr>
          <w:rFonts w:ascii="sans-serif" w:hAnsi="sans-serif"/>
          <w:color w:val="000000"/>
          <w:sz w:val="22"/>
        </w:rPr>
      </w:pPr>
      <w:r>
        <w:rPr>
          <w:rFonts w:ascii="sans-serif" w:hAnsi="sans-serif"/>
          <w:color w:val="000000"/>
          <w:sz w:val="22"/>
        </w:rPr>
        <w:t>Adrian Quartel</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2"/>
          <w:u w:val="single"/>
        </w:rPr>
        <w:t>28-Mar-2026</w:t>
      </w:r>
      <w:r>
        <w:rPr>
          <w:rFonts w:ascii="Times New Roman" w:hAnsi="Times New Roman"/>
          <w:color w:val="000000"/>
          <w:sz w:val="20"/>
          <w:u w:val="single"/>
        </w:rPr>
        <w:t xml:space="preserve"> </w:t>
      </w:r>
    </w:p>
    <w:p>
      <w:pPr>
        <w:pStyle w:val="TextBody"/>
        <w:bidi w:val="0"/>
        <w:spacing w:before="0" w:after="160"/>
        <w:jc w:val="left"/>
        <w:rPr>
          <w:rFonts w:ascii="sans-serif" w:hAnsi="sans-serif"/>
          <w:color w:val="000000"/>
          <w:sz w:val="22"/>
        </w:rPr>
      </w:pPr>
      <w:r>
        <w:rPr>
          <w:rFonts w:ascii="sans-serif" w:hAnsi="sans-serif"/>
          <w:color w:val="000000"/>
          <w:sz w:val="22"/>
        </w:rPr>
        <w:t>Date</w:t>
      </w:r>
    </w:p>
    <w:p>
      <w:pPr>
        <w:pStyle w:val="TextBody"/>
        <w:bidi w:val="0"/>
        <w:jc w:val="left"/>
        <w:rPr/>
      </w:pPr>
      <w:r>
        <w:rPr/>
        <w:t> </w:t>
      </w:r>
    </w:p>
    <w:p>
      <w:pPr>
        <w:pStyle w:val="TextBody"/>
        <w:bidi w:val="0"/>
        <w:jc w:val="center"/>
        <w:rPr>
          <w:rFonts w:ascii="Arial" w:hAnsi="Arial"/>
          <w:b/>
          <w:color w:val="00ADBB"/>
          <w:sz w:val="18"/>
        </w:rPr>
      </w:pPr>
      <w:r>
        <w:rPr>
          <w:rFonts w:ascii="Arial" w:hAnsi="Arial"/>
          <w:b/>
          <w:color w:val="00ADBB"/>
          <w:sz w:val="18"/>
        </w:rPr>
        <w:t>611 Gateway Boulevard, Suite 740, South San Francisco, CA 94080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25" w:name="sprb-ex10_5.htm"/>
      <w:bookmarkStart w:id="26" w:name="kssprbex10_5"/>
      <w:bookmarkEnd w:id="25"/>
      <w:bookmarkEnd w:id="26"/>
      <w:r>
        <w:rPr>
          <w:rFonts w:ascii="Times New Roman" w:hAnsi="Times New Roman"/>
          <w:color w:val="000000"/>
          <w:sz w:val="22"/>
        </w:rPr>
        <w:t>Exhibit 10.5</w:t>
      </w:r>
      <w:r>
        <w:br w:type="page"/>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Stock PURCHASE AGREEMENT</w:t>
      </w:r>
    </w:p>
    <w:p>
      <w:pPr>
        <w:pStyle w:val="TextBody"/>
        <w:bidi w:val="0"/>
        <w:spacing w:before="0" w:after="240"/>
        <w:jc w:val="both"/>
        <w:rPr>
          <w:rFonts w:ascii="Times New Roman" w:hAnsi="Times New Roman"/>
          <w:sz w:val="20"/>
        </w:rPr>
      </w:pPr>
      <w:r>
        <w:rPr>
          <w:rFonts w:ascii="Times New Roman" w:hAnsi="Times New Roman"/>
          <w:color w:val="000000"/>
          <w:sz w:val="22"/>
        </w:rPr>
        <w:t>This</w:t>
      </w:r>
      <w:r>
        <w:rPr>
          <w:rFonts w:ascii="Times New Roman" w:hAnsi="Times New Roman"/>
          <w:color w:val="000000"/>
          <w:sz w:val="20"/>
        </w:rPr>
        <w:t xml:space="preserve"> </w:t>
      </w:r>
      <w:r>
        <w:rPr>
          <w:rFonts w:ascii="Times New Roman" w:hAnsi="Times New Roman"/>
          <w:b/>
          <w:smallCaps/>
          <w:color w:val="000000"/>
          <w:sz w:val="22"/>
        </w:rPr>
        <w:t>Stock Purchase Agreement</w:t>
      </w:r>
      <w:r>
        <w:rPr>
          <w:rFonts w:ascii="Times New Roman" w:hAnsi="Times New Roman"/>
          <w:color w:val="000000"/>
          <w:sz w:val="20"/>
        </w:rPr>
        <w:t xml:space="preserve"> </w:t>
      </w:r>
      <w:r>
        <w:rPr>
          <w:rFonts w:ascii="Times New Roman" w:hAnsi="Times New Roman"/>
          <w:color w:val="000000"/>
          <w:sz w:val="22"/>
        </w:rPr>
        <w:t>(this</w:t>
      </w:r>
      <w:r>
        <w:rPr>
          <w:rFonts w:ascii="Times New Roman" w:hAnsi="Times New Roman"/>
          <w:color w:val="000000"/>
          <w:sz w:val="20"/>
        </w:rPr>
        <w:t xml:space="preserve">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color w:val="000000"/>
          <w:sz w:val="22"/>
        </w:rPr>
        <w:t>), dated as of August 7, 2026, is made by and among</w:t>
      </w:r>
      <w:r>
        <w:rPr>
          <w:rFonts w:ascii="Times New Roman" w:hAnsi="Times New Roman"/>
          <w:color w:val="000000"/>
          <w:sz w:val="20"/>
        </w:rPr>
        <w:t xml:space="preserve"> </w:t>
      </w:r>
      <w:r>
        <w:rPr>
          <w:rFonts w:ascii="Times New Roman" w:hAnsi="Times New Roman"/>
          <w:b/>
          <w:smallCaps/>
          <w:color w:val="000000"/>
          <w:sz w:val="22"/>
        </w:rPr>
        <w:t>Spruce Biosciences, Inc.</w:t>
      </w:r>
      <w:r>
        <w:rPr>
          <w:rFonts w:ascii="Times New Roman" w:hAnsi="Times New Roman"/>
          <w:color w:val="000000"/>
          <w:sz w:val="22"/>
        </w:rPr>
        <w:t>, a Delaware corporation (the</w:t>
      </w:r>
      <w:r>
        <w:rPr>
          <w:rFonts w:ascii="Times New Roman" w:hAnsi="Times New Roman"/>
          <w:color w:val="000000"/>
          <w:sz w:val="20"/>
        </w:rPr>
        <w:t xml:space="preserv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and the Purchasers listed on</w:t>
      </w:r>
      <w:r>
        <w:rPr>
          <w:rFonts w:ascii="Times New Roman" w:hAnsi="Times New Roman"/>
          <w:color w:val="000000"/>
          <w:sz w:val="20"/>
        </w:rPr>
        <w:t xml:space="preserve"> </w:t>
      </w:r>
      <w:r>
        <w:rPr>
          <w:rFonts w:ascii="Times New Roman" w:hAnsi="Times New Roman"/>
          <w:b/>
          <w:color w:val="000000"/>
          <w:sz w:val="22"/>
        </w:rPr>
        <w:t>Exhibit A</w:t>
      </w:r>
      <w:r>
        <w:rPr>
          <w:rFonts w:ascii="Times New Roman" w:hAnsi="Times New Roman"/>
          <w:color w:val="000000"/>
          <w:sz w:val="20"/>
        </w:rPr>
        <w:t xml:space="preserve"> </w:t>
      </w:r>
      <w:r>
        <w:rPr>
          <w:rFonts w:ascii="Times New Roman" w:hAnsi="Times New Roman"/>
          <w:color w:val="000000"/>
          <w:sz w:val="22"/>
        </w:rPr>
        <w:t>hereto, together with their respective successors and assigns (each, a “</w:t>
      </w:r>
      <w:r>
        <w:rPr>
          <w:rFonts w:ascii="Times New Roman" w:hAnsi="Times New Roman"/>
          <w:b/>
          <w:i/>
          <w:color w:val="000000"/>
          <w:sz w:val="22"/>
        </w:rPr>
        <w:t>Purchaser</w:t>
      </w:r>
      <w:r>
        <w:rPr>
          <w:rFonts w:ascii="Times New Roman" w:hAnsi="Times New Roman"/>
          <w:color w:val="000000"/>
          <w:sz w:val="20"/>
        </w:rPr>
        <w:t xml:space="preserve">” </w:t>
      </w:r>
      <w:r>
        <w:rPr>
          <w:rFonts w:ascii="Times New Roman" w:hAnsi="Times New Roman"/>
          <w:color w:val="000000"/>
          <w:sz w:val="22"/>
        </w:rPr>
        <w:t>and collectively, the</w:t>
      </w:r>
      <w:r>
        <w:rPr>
          <w:rFonts w:ascii="Times New Roman" w:hAnsi="Times New Roman"/>
          <w:color w:val="000000"/>
          <w:sz w:val="20"/>
        </w:rPr>
        <w:t xml:space="preserve"> “</w:t>
      </w:r>
      <w:r>
        <w:rPr>
          <w:rFonts w:ascii="Times New Roman" w:hAnsi="Times New Roman"/>
          <w:b/>
          <w:i/>
          <w:color w:val="000000"/>
          <w:sz w:val="22"/>
        </w:rPr>
        <w:t>Purchasers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Recitals</w:t>
      </w:r>
    </w:p>
    <w:p>
      <w:pPr>
        <w:pStyle w:val="TextBody"/>
        <w:bidi w:val="0"/>
        <w:spacing w:before="0" w:after="240"/>
        <w:jc w:val="both"/>
        <w:rPr>
          <w:rFonts w:ascii="Times New Roman" w:hAnsi="Times New Roman"/>
          <w:sz w:val="20"/>
        </w:rPr>
      </w:pPr>
      <w:r>
        <w:rPr>
          <w:rFonts w:ascii="Times New Roman" w:hAnsi="Times New Roman"/>
          <w:b/>
          <w:color w:val="000000"/>
          <w:sz w:val="22"/>
        </w:rPr>
        <w:t>A.</w:t>
      </w:r>
      <w:r>
        <w:rPr>
          <w:rFonts w:ascii="Times New Roman" w:hAnsi="Times New Roman"/>
          <w:color w:val="000000"/>
          <w:sz w:val="20"/>
        </w:rPr>
        <w:t xml:space="preserve"> </w:t>
      </w:r>
      <w:r>
        <w:rPr>
          <w:rFonts w:ascii="Times New Roman" w:hAnsi="Times New Roman"/>
          <w:color w:val="000000"/>
          <w:sz w:val="22"/>
        </w:rPr>
        <w:t>The Company and the Purchasers are executing and delivering this Agreement in reliance upon the exemption from the registration requirement of Section 5 of the Securities Act afforded by Section 4(a)(2) thereof and/or Rule 506(b) of Regulation D (“</w:t>
      </w:r>
      <w:r>
        <w:rPr>
          <w:rFonts w:ascii="Times New Roman" w:hAnsi="Times New Roman"/>
          <w:b/>
          <w:i/>
          <w:color w:val="000000"/>
          <w:sz w:val="22"/>
        </w:rPr>
        <w:t>Regulation D</w:t>
      </w:r>
      <w:r>
        <w:rPr>
          <w:rFonts w:ascii="Times New Roman" w:hAnsi="Times New Roman"/>
          <w:color w:val="000000"/>
          <w:sz w:val="20"/>
        </w:rPr>
        <w:t>”</w:t>
      </w:r>
      <w:r>
        <w:rPr>
          <w:rFonts w:ascii="Times New Roman" w:hAnsi="Times New Roman"/>
          <w:color w:val="000000"/>
          <w:sz w:val="22"/>
        </w:rPr>
        <w:t>) as promulgated by the SEC under the Securities Act.</w:t>
      </w:r>
    </w:p>
    <w:p>
      <w:pPr>
        <w:pStyle w:val="TextBody"/>
        <w:bidi w:val="0"/>
        <w:spacing w:before="0" w:after="240"/>
        <w:jc w:val="both"/>
        <w:rPr>
          <w:rFonts w:ascii="Times New Roman" w:hAnsi="Times New Roman"/>
          <w:sz w:val="20"/>
        </w:rPr>
      </w:pPr>
      <w:r>
        <w:rPr>
          <w:rFonts w:ascii="Times New Roman" w:hAnsi="Times New Roman"/>
          <w:b/>
          <w:color w:val="000000"/>
          <w:sz w:val="22"/>
        </w:rPr>
        <w:t>B.</w:t>
      </w:r>
      <w:r>
        <w:rPr>
          <w:rFonts w:ascii="Times New Roman" w:hAnsi="Times New Roman"/>
          <w:color w:val="000000"/>
          <w:sz w:val="20"/>
        </w:rPr>
        <w:t xml:space="preserve"> </w:t>
      </w:r>
      <w:r>
        <w:rPr>
          <w:rFonts w:ascii="Times New Roman" w:hAnsi="Times New Roman"/>
          <w:color w:val="000000"/>
          <w:sz w:val="22"/>
        </w:rPr>
        <w:t>The Purchasers, severally, and not jointly, desire to purchase from the Company, and the Company desires to sell to the Purchasers, upon the terms and conditions stated in this Agreement, shares (the “</w:t>
      </w:r>
      <w:r>
        <w:rPr>
          <w:rFonts w:ascii="Times New Roman" w:hAnsi="Times New Roman"/>
          <w:b/>
          <w:i/>
          <w:color w:val="000000"/>
          <w:sz w:val="22"/>
        </w:rPr>
        <w:t>Shares</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of the Company’s common stock, par value $0.0001 per share (“</w:t>
      </w:r>
      <w:r>
        <w:rPr>
          <w:rFonts w:ascii="Times New Roman" w:hAnsi="Times New Roman"/>
          <w:b/>
          <w:i/>
          <w:color w:val="000000"/>
          <w:sz w:val="22"/>
        </w:rPr>
        <w:t>Common Stock</w:t>
      </w:r>
      <w:r>
        <w:rPr>
          <w:rFonts w:ascii="Times New Roman" w:hAnsi="Times New Roman"/>
          <w:color w:val="000000"/>
          <w:sz w:val="20"/>
        </w:rPr>
        <w:t>”</w:t>
      </w:r>
      <w:r>
        <w:rPr>
          <w:rFonts w:ascii="Times New Roman" w:hAnsi="Times New Roman"/>
          <w:color w:val="000000"/>
          <w:sz w:val="22"/>
        </w:rPr>
        <w:t>) having an aggregate purchase price of $5,500,000.</w:t>
      </w:r>
    </w:p>
    <w:p>
      <w:pPr>
        <w:pStyle w:val="TextBody"/>
        <w:bidi w:val="0"/>
        <w:spacing w:before="0" w:after="240"/>
        <w:jc w:val="both"/>
        <w:rPr>
          <w:rFonts w:ascii="Times New Roman" w:hAnsi="Times New Roman"/>
          <w:sz w:val="20"/>
        </w:rPr>
      </w:pPr>
      <w:r>
        <w:rPr>
          <w:rFonts w:ascii="Times New Roman" w:hAnsi="Times New Roman"/>
          <w:b/>
          <w:color w:val="000000"/>
          <w:sz w:val="22"/>
        </w:rPr>
        <w:t>C.</w:t>
      </w:r>
      <w:r>
        <w:rPr>
          <w:rFonts w:ascii="Times New Roman" w:hAnsi="Times New Roman"/>
          <w:color w:val="000000"/>
          <w:sz w:val="20"/>
        </w:rPr>
        <w:t xml:space="preserve"> </w:t>
      </w:r>
      <w:r>
        <w:rPr>
          <w:rFonts w:ascii="Times New Roman" w:hAnsi="Times New Roman"/>
          <w:color w:val="000000"/>
          <w:sz w:val="22"/>
        </w:rPr>
        <w:t>The capitalized terms used herein and not otherwise defined have the meanings given in Article 5 hereof.</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consideration of the premises and the mutual covenants contained herein and other good and valuable consideration, the receipt and sufficiency of which are hereby acknowledged, the Company and each Purchaser (severally and not jointly) hereby agree as follows: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w:t>
      </w:r>
    </w:p>
    <w:p>
      <w:pPr>
        <w:pStyle w:val="TextBody"/>
        <w:bidi w:val="0"/>
        <w:spacing w:before="0" w:after="240"/>
        <w:jc w:val="center"/>
        <w:rPr/>
      </w:pPr>
      <w:r>
        <w:rPr>
          <w:rFonts w:ascii="Times New Roman" w:hAnsi="Times New Roman"/>
          <w:color w:val="000000"/>
          <w:sz w:val="22"/>
        </w:rPr>
        <w:br/>
        <w:br/>
      </w:r>
      <w:r>
        <w:rPr>
          <w:rFonts w:ascii="Times New Roman" w:hAnsi="Times New Roman"/>
          <w:b/>
          <w:color w:val="000000"/>
          <w:sz w:val="22"/>
        </w:rPr>
        <w:t>PURCHASE AND SALE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 xml:space="preserve">Closing.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pPr>
      <w:r>
        <w:rPr>
          <w:rFonts w:ascii="Times New Roman" w:hAnsi="Times New Roman"/>
          <w:b/>
          <w:color w:val="000000"/>
          <w:sz w:val="22"/>
        </w:rPr>
        <w:t>Purchase and Sale.</w:t>
      </w:r>
      <w:r>
        <w:rPr>
          <w:color w:val="000000"/>
        </w:rPr>
        <w:t xml:space="preserve"> </w:t>
      </w:r>
      <w:r>
        <w:rPr>
          <w:rFonts w:ascii="Times New Roman" w:hAnsi="Times New Roman"/>
          <w:color w:val="000000"/>
          <w:sz w:val="22"/>
        </w:rPr>
        <w:t>At the closing of the transaction contemplated by this Agreement (the “</w:t>
      </w:r>
      <w:r>
        <w:rPr>
          <w:rFonts w:ascii="Times New Roman" w:hAnsi="Times New Roman"/>
          <w:b/>
          <w:i/>
          <w:color w:val="000000"/>
          <w:sz w:val="22"/>
        </w:rPr>
        <w:t>Closing</w:t>
      </w:r>
      <w:r>
        <w:rPr>
          <w:color w:val="000000"/>
        </w:rPr>
        <w:t>”</w:t>
      </w:r>
      <w:r>
        <w:rPr>
          <w:rFonts w:ascii="Times New Roman" w:hAnsi="Times New Roman"/>
          <w:color w:val="000000"/>
          <w:sz w:val="22"/>
        </w:rPr>
        <w:t xml:space="preserve">), the Company will sell and issue to each Purchaser, and each Purchaser will, severally and not jointly, purchase from the Company, the number of Shares equal to (i) the dollar amount set forth opposite such Purchaser’s name on </w:t>
      </w:r>
      <w:r>
        <w:rPr>
          <w:rFonts w:ascii="Times New Roman" w:hAnsi="Times New Roman"/>
          <w:b/>
          <w:color w:val="000000"/>
          <w:sz w:val="22"/>
        </w:rPr>
        <w:t>Exhibit A</w:t>
      </w:r>
      <w:r>
        <w:rPr>
          <w:color w:val="000000"/>
        </w:rPr>
        <w:t xml:space="preserve"> </w:t>
      </w:r>
      <w:r>
        <w:rPr>
          <w:rFonts w:ascii="Times New Roman" w:hAnsi="Times New Roman"/>
          <w:color w:val="000000"/>
          <w:sz w:val="22"/>
        </w:rPr>
        <w:t xml:space="preserve">hereto under the heading “Shares Subscription Amount” divided by (ii) the Market Price, rounded down to the nearest whole share, such number of Shares (as adjusted pursuant to this Section 1.1(a)) as set forth on </w:t>
      </w:r>
      <w:r>
        <w:rPr>
          <w:rFonts w:ascii="Times New Roman" w:hAnsi="Times New Roman"/>
          <w:b/>
          <w:color w:val="000000"/>
          <w:sz w:val="22"/>
        </w:rPr>
        <w:t>Exhibit A</w:t>
      </w:r>
      <w:r>
        <w:rPr>
          <w:color w:val="000000"/>
        </w:rPr>
        <w:t xml:space="preserve"> </w:t>
      </w:r>
      <w:r>
        <w:rPr>
          <w:rFonts w:ascii="Times New Roman" w:hAnsi="Times New Roman"/>
          <w:color w:val="000000"/>
          <w:sz w:val="22"/>
        </w:rPr>
        <w:t xml:space="preserve">hereto under the heading “Shares”.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b/>
          <w:color w:val="000000"/>
          <w:sz w:val="22"/>
        </w:rPr>
        <w:t>Payment.</w:t>
      </w:r>
      <w:r>
        <w:rPr>
          <w:color w:val="000000"/>
        </w:rPr>
        <w:t xml:space="preserve"> </w:t>
      </w:r>
      <w:r>
        <w:rPr>
          <w:rFonts w:ascii="Times New Roman" w:hAnsi="Times New Roman"/>
          <w:color w:val="000000"/>
          <w:sz w:val="22"/>
        </w:rPr>
        <w:t>At the Closing, each Purchaser will pay to an account designated by the Company, by wire transfer of immediately available funds, the amount set forth opposite its name on</w:t>
      </w:r>
      <w:r>
        <w:rPr>
          <w:color w:val="000000"/>
        </w:rPr>
        <w:t xml:space="preserve"> </w:t>
      </w:r>
      <w:r>
        <w:rPr>
          <w:rFonts w:ascii="Times New Roman" w:hAnsi="Times New Roman"/>
          <w:b/>
          <w:color w:val="000000"/>
          <w:sz w:val="22"/>
        </w:rPr>
        <w:t>Exhibit A</w:t>
      </w:r>
      <w:r>
        <w:rPr>
          <w:color w:val="000000"/>
        </w:rPr>
        <w:t xml:space="preserve"> </w:t>
      </w:r>
      <w:r>
        <w:rPr>
          <w:rFonts w:ascii="Times New Roman" w:hAnsi="Times New Roman"/>
          <w:color w:val="000000"/>
          <w:sz w:val="22"/>
        </w:rPr>
        <w:t>hereto under the heading “Shares Subscription Amount”. The Company will (i) instruct its transfer agent, Computershare Trust Company, N.A. (the “</w:t>
      </w:r>
      <w:r>
        <w:rPr>
          <w:rFonts w:ascii="Times New Roman" w:hAnsi="Times New Roman"/>
          <w:b/>
          <w:i/>
          <w:color w:val="000000"/>
          <w:sz w:val="22"/>
        </w:rPr>
        <w:t>Transfer Agent</w:t>
      </w:r>
      <w:r>
        <w:rPr>
          <w:color w:val="000000"/>
        </w:rPr>
        <w:t>”</w:t>
      </w:r>
      <w:r>
        <w:rPr>
          <w:rFonts w:ascii="Times New Roman" w:hAnsi="Times New Roman"/>
          <w:color w:val="000000"/>
          <w:sz w:val="22"/>
        </w:rPr>
        <w:t xml:space="preserve">) to credit each Purchaser the number of Shares purchased by the Purchaser pursuant to Section 1.1 hereof and (ii) on the Closing Date (defined below) deliver written notice from the Company’s Transfer Agent to each Purchaser evidencing the issuance to the Purchaser of the Shares on and as of the Closing Date.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rFonts w:ascii="Times New Roman" w:hAnsi="Times New Roman"/>
          <w:b/>
          <w:color w:val="000000"/>
          <w:sz w:val="22"/>
        </w:rPr>
        <w:t>Closing Date.</w:t>
      </w:r>
      <w:r>
        <w:rPr>
          <w:color w:val="000000"/>
        </w:rPr>
        <w:t xml:space="preserve"> </w:t>
      </w:r>
      <w:r>
        <w:rPr>
          <w:rFonts w:ascii="Times New Roman" w:hAnsi="Times New Roman"/>
          <w:color w:val="000000"/>
          <w:sz w:val="22"/>
        </w:rPr>
        <w:t>The Closing will take place as soon as reasonably practicable after the date hereof (the</w:t>
      </w:r>
      <w:r>
        <w:rPr>
          <w:color w:val="000000"/>
        </w:rPr>
        <w:t xml:space="preserve"> </w:t>
      </w:r>
      <w:r>
        <w:rPr>
          <w:rFonts w:ascii="Times New Roman" w:hAnsi="Times New Roman"/>
          <w:color w:val="000000"/>
          <w:sz w:val="22"/>
        </w:rPr>
        <w:t>date on which the Closing actually occurs, the “</w:t>
      </w:r>
      <w:r>
        <w:rPr>
          <w:rFonts w:ascii="Times New Roman" w:hAnsi="Times New Roman"/>
          <w:b/>
          <w:i/>
          <w:color w:val="000000"/>
          <w:sz w:val="22"/>
        </w:rPr>
        <w:t>Closing Date</w:t>
      </w:r>
      <w:r>
        <w:rPr>
          <w:color w:val="000000"/>
        </w:rPr>
        <w:t>”</w:t>
      </w:r>
      <w:r>
        <w:rPr>
          <w:rFonts w:ascii="Times New Roman" w:hAnsi="Times New Roman"/>
          <w:color w:val="000000"/>
          <w:sz w:val="22"/>
        </w:rPr>
        <w:t xml:space="preserve">) and the Closing will be held remotely via the exchange of documents and signatures, or at such other place as agreed upon by the Company and the Purchasers.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2</w:t>
      </w:r>
    </w:p>
    <w:p>
      <w:pPr>
        <w:pStyle w:val="TextBody"/>
        <w:bidi w:val="0"/>
        <w:spacing w:before="0" w:after="240"/>
        <w:jc w:val="center"/>
        <w:rPr/>
      </w:pPr>
      <w:r>
        <w:rPr>
          <w:rFonts w:ascii="Times New Roman" w:hAnsi="Times New Roman"/>
          <w:color w:val="000000"/>
          <w:sz w:val="22"/>
        </w:rPr>
        <w:br/>
        <w:br/>
      </w:r>
      <w:r>
        <w:rPr>
          <w:rFonts w:ascii="Times New Roman" w:hAnsi="Times New Roman"/>
          <w:b/>
          <w:color w:val="000000"/>
          <w:sz w:val="22"/>
        </w:rPr>
        <w:t>REPRESENTATIONS AND WARRANTIES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specifically contemplated by this Agreement, the Company hereby represents and warrants to the Purchasers as of the date of this Agreement that: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w:t>
      </w:r>
    </w:p>
    <w:p>
      <w:pPr>
        <w:pStyle w:val="TextBody"/>
        <w:bidi w:val="0"/>
        <w:spacing w:before="0" w:after="240"/>
        <w:jc w:val="both"/>
        <w:rPr/>
      </w:pPr>
      <w:r>
        <w:rPr>
          <w:rFonts w:ascii="Times New Roman" w:hAnsi="Times New Roman"/>
          <w:b/>
          <w:color w:val="000000"/>
          <w:sz w:val="22"/>
        </w:rPr>
        <w:t>Good Standing of the Company.</w:t>
      </w:r>
      <w:r>
        <w:rPr>
          <w:color w:val="000000"/>
        </w:rPr>
        <w:t xml:space="preserve"> </w:t>
      </w:r>
      <w:r>
        <w:rPr>
          <w:rFonts w:ascii="Times New Roman" w:hAnsi="Times New Roman"/>
          <w:color w:val="000000"/>
          <w:sz w:val="22"/>
        </w:rPr>
        <w:t>The Company has been duly incorporated, is validly existing as a corporation in good standing under the laws of the jurisdiction of its incorporation, has the corporate power and authority to own its property and to conduct its business as described in the reports, schedules, forms, statements, proxy statements and other documents required to be filed by it with the SEC, pursuant to the reporting requirements of the Exchange Act (all of the foregoing filed prior to the date hereof and all exhibits included therein and financial statements and schedules thereto and documents (other than exhibits) incorporated by reference therein, and including all registration statements and prospectuses filed with the SEC, the “</w:t>
      </w:r>
      <w:r>
        <w:rPr>
          <w:rFonts w:ascii="Times New Roman" w:hAnsi="Times New Roman"/>
          <w:b/>
          <w:i/>
          <w:color w:val="000000"/>
          <w:sz w:val="22"/>
        </w:rPr>
        <w:t>SEC Documents</w:t>
      </w:r>
      <w:r>
        <w:rPr>
          <w:color w:val="000000"/>
        </w:rPr>
        <w:t>”</w:t>
      </w:r>
      <w:r>
        <w:rPr>
          <w:rFonts w:ascii="Times New Roman" w:hAnsi="Times New Roman"/>
          <w:color w:val="000000"/>
          <w:sz w:val="22"/>
        </w:rPr>
        <w:t xml:space="preserve">) and is duly qualified to transact business and is in good standing in each jurisdiction in which the conduct of its business or its ownership or leasing of property requires such qualification, and no proceeding has been instituted in any such jurisdiction revoking, limiting or curtailing or seeking to revoke, limit or curtail such qualification, in each case, except to the extent that the failure to be so qualified or be in good standing would not have a Material Adverse Effect on the Company.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w:t>
      </w:r>
    </w:p>
    <w:p>
      <w:pPr>
        <w:pStyle w:val="TextBody"/>
        <w:bidi w:val="0"/>
        <w:spacing w:before="0" w:after="240"/>
        <w:jc w:val="both"/>
        <w:rPr/>
      </w:pPr>
      <w:r>
        <w:rPr>
          <w:rFonts w:ascii="Times New Roman" w:hAnsi="Times New Roman"/>
          <w:b/>
          <w:color w:val="000000"/>
          <w:sz w:val="22"/>
        </w:rPr>
        <w:t>Authorization of Capital Stock.</w:t>
      </w:r>
      <w:r>
        <w:rPr>
          <w:color w:val="000000"/>
        </w:rPr>
        <w:t xml:space="preserve"> </w:t>
      </w:r>
      <w:r>
        <w:rPr>
          <w:rFonts w:ascii="Times New Roman" w:hAnsi="Times New Roman"/>
          <w:color w:val="000000"/>
          <w:sz w:val="22"/>
        </w:rPr>
        <w:t>The authorized capital stock of the Company consists of 200,000,000 shares of Common Stock and 10,000,000 shares of Preferred Stock. As of December 31, 2025, 1,372,043 shares of Common Stock were issued and outstanding and no shares of Preferred Stock were issued and outstanding. The shares of capital stock of the Company, including the Common Stock outstanding prior to the issuance of the Shares, have been duly authorized and are validly issued, fully paid and non-assessable and were not issued in violation of the preemptive or similar rights of any security holder of the Company. The issuance and sale of the Shares will not obligate the Company to issue shares of Common Stock or other securities to any Person (other than the Purchasers). There are no outstanding securities or instruments of the Company with any provision that adjusts the exercise, conversion, exchange or reset price of such security or instrument upon an issuance of securities by the Company. There are no outstanding securities or instruments of the Company that contain any redemption or similar provisions, and there are no contracts, commitments, understandings or arrangements by which the Company is or may become bound to redeem a security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2.3</w:t>
      </w:r>
    </w:p>
    <w:p>
      <w:pPr>
        <w:pStyle w:val="TextBody"/>
        <w:bidi w:val="0"/>
        <w:spacing w:before="0" w:after="240"/>
        <w:jc w:val="both"/>
        <w:rPr/>
      </w:pPr>
      <w:r>
        <w:rPr>
          <w:rFonts w:ascii="Times New Roman" w:hAnsi="Times New Roman"/>
          <w:b/>
          <w:color w:val="000000"/>
          <w:sz w:val="22"/>
        </w:rPr>
        <w:t>Authorization of Shares.</w:t>
      </w:r>
      <w:r>
        <w:rPr>
          <w:color w:val="000000"/>
        </w:rPr>
        <w:t xml:space="preserve"> </w:t>
      </w:r>
      <w:r>
        <w:rPr>
          <w:rFonts w:ascii="Times New Roman" w:hAnsi="Times New Roman"/>
          <w:color w:val="000000"/>
          <w:sz w:val="22"/>
        </w:rPr>
        <w:t>The Shares have been duly authorized and, when issued and delivered in accordance with the terms of this Agreement, will be validly issued, fully paid and non-assessable, and the issuance of such Shares will not be subject to any preemptive or similar rights of stockholders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2.4</w:t>
      </w:r>
    </w:p>
    <w:p>
      <w:pPr>
        <w:pStyle w:val="TextBody"/>
        <w:bidi w:val="0"/>
        <w:spacing w:before="0" w:after="240"/>
        <w:jc w:val="both"/>
        <w:rPr/>
      </w:pPr>
      <w:r>
        <w:rPr>
          <w:rFonts w:ascii="Times New Roman" w:hAnsi="Times New Roman"/>
          <w:b/>
          <w:color w:val="000000"/>
          <w:sz w:val="22"/>
        </w:rPr>
        <w:t>Private Placement.</w:t>
      </w:r>
      <w:r>
        <w:rPr>
          <w:color w:val="000000"/>
        </w:rPr>
        <w:t xml:space="preserve"> </w:t>
      </w:r>
      <w:r>
        <w:rPr>
          <w:rFonts w:ascii="Times New Roman" w:hAnsi="Times New Roman"/>
          <w:color w:val="000000"/>
          <w:sz w:val="22"/>
        </w:rPr>
        <w:t>Neither the Company nor any of its Affiliates, nor any Person acting on its or their behalf, has, directly or indirectly, made any offers or sales of any security or solicited any offers to buy any security, or taken any other action under any circumstances that would require registration of the Shares under the Securities Act. Assuming the accuracy of the representations and warranties of the Purchasers contained in Article 3 hereof, the issuance of the Shares is exempt from registration under the Securities Act.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2.5</w:t>
      </w:r>
    </w:p>
    <w:p>
      <w:pPr>
        <w:pStyle w:val="TextBody"/>
        <w:bidi w:val="0"/>
        <w:spacing w:before="0" w:after="240"/>
        <w:jc w:val="both"/>
        <w:rPr/>
      </w:pPr>
      <w:r>
        <w:rPr>
          <w:rFonts w:ascii="Times New Roman" w:hAnsi="Times New Roman"/>
          <w:b/>
          <w:color w:val="000000"/>
          <w:sz w:val="22"/>
        </w:rPr>
        <w:t>Authorization and Execution of Agreement.</w:t>
      </w:r>
      <w:r>
        <w:rPr>
          <w:color w:val="000000"/>
        </w:rPr>
        <w:t xml:space="preserve"> </w:t>
      </w:r>
      <w:r>
        <w:rPr>
          <w:rFonts w:ascii="Times New Roman" w:hAnsi="Times New Roman"/>
          <w:color w:val="000000"/>
          <w:sz w:val="22"/>
        </w:rPr>
        <w:t xml:space="preserve">This Agreement has been duly authorized, executed and delivered by the Company. The Company has all requisite corporate power and authority to execute, deliver and perform its obligations under this Agreement. All corporate action required to be taken by the Board of Directors of the Company and stockholders in order to authorize the Company to enter into this Agreement, and to issue the Shares at the Closing, has been taken or will be taken prior to the Closing. All action on the part of the officers of the Company necessary for the execution and delivery of this Agreement, the performance of all obligations of the Company under this Agreement to be performed as of the Closing, and the issuance and delivery of the Shares has been taken or will be taken prior to the Closing. This Agreement, when executed and delivered by the Company,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shall constitute the valid and legally binding obligation of the Company, enforceable against the Company in accordance with its terms except (i) as limited by applicable bankruptcy, insolvency, reorganization, moratorium or similar laws affecting creditors’ and contracting parties’ rights generally or (ii) as limited by laws relating to the availability of specific performance, injunctive relief, or other equitable remedies.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2.6</w:t>
      </w:r>
    </w:p>
    <w:p>
      <w:pPr>
        <w:pStyle w:val="TextBody"/>
        <w:bidi w:val="0"/>
        <w:spacing w:before="0" w:after="240"/>
        <w:jc w:val="both"/>
        <w:rPr/>
      </w:pPr>
      <w:r>
        <w:rPr>
          <w:rFonts w:ascii="Times New Roman" w:hAnsi="Times New Roman"/>
          <w:b/>
          <w:color w:val="000000"/>
          <w:sz w:val="22"/>
        </w:rPr>
        <w:t>Absence of Defaults and Conflicts.</w:t>
      </w:r>
      <w:r>
        <w:rPr>
          <w:color w:val="000000"/>
        </w:rPr>
        <w:t xml:space="preserve"> </w:t>
      </w:r>
      <w:r>
        <w:rPr>
          <w:rFonts w:ascii="Times New Roman" w:hAnsi="Times New Roman"/>
          <w:color w:val="000000"/>
          <w:sz w:val="22"/>
        </w:rPr>
        <w:t>The Company is not (i) in violation of its charter, by-laws or similar incorporation or organizational documents, (ii) in violation or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property or assets of the Company is subject or (iii) in violation of any instrument, judgment, order, writ or decree (collectively, “</w:t>
      </w:r>
      <w:r>
        <w:rPr>
          <w:rFonts w:ascii="Times New Roman" w:hAnsi="Times New Roman"/>
          <w:b/>
          <w:i/>
          <w:color w:val="000000"/>
          <w:sz w:val="22"/>
        </w:rPr>
        <w:t>Agreements and Instruments</w:t>
      </w:r>
      <w:r>
        <w:rPr>
          <w:color w:val="000000"/>
        </w:rPr>
        <w:t>”</w:t>
      </w:r>
      <w:r>
        <w:rPr>
          <w:rFonts w:ascii="Times New Roman" w:hAnsi="Times New Roman"/>
          <w:color w:val="000000"/>
          <w:sz w:val="22"/>
        </w:rPr>
        <w:t>), except in the case of clauses (ii) and (iii), for such violations and defaults that would not result in a Material Adverse Effect on the Company; and the execution, delivery and performance of this Agreement and the consummation of the transactions contemplated in this Agreement, and compliance by the Company with its obligations under this Agreement, do not and will not, whether with or without the giving of notice or passage of time or both, conflict with or result in a breach of any of the terms and provisions of, or constitute a default or Repayment Event (as defined below) under, or result in the creation or imposition of any lien, charge or encumbrance upon any property or assets of the Company pursuant to, the Agreements and Instruments, nor will such action result in any violation of the provisions of the charter, by-laws or similar organizational documents of the Company or any applicable law, statute, rule, regulation, judgment, order, writ or decree of any government, government instrumentality or court, domestic or foreign, having jurisdiction over the Company or any of its assets, properties or operations, except in each case (other than with respect to such charter, by-laws or similar organizational documents of the Company) for such conflicts, violations, breaches or defaults which would not reasonably be expected to result in a Material Adverse Effect on the Company. As used herein, a “</w:t>
      </w:r>
      <w:r>
        <w:rPr>
          <w:rFonts w:ascii="Times New Roman" w:hAnsi="Times New Roman"/>
          <w:b/>
          <w:i/>
          <w:color w:val="000000"/>
          <w:sz w:val="22"/>
        </w:rPr>
        <w:t>Repayment Event</w:t>
      </w:r>
      <w:r>
        <w:rPr>
          <w:color w:val="000000"/>
        </w:rPr>
        <w:t xml:space="preserve">” </w:t>
      </w:r>
      <w:r>
        <w:rPr>
          <w:rFonts w:ascii="Times New Roman" w:hAnsi="Times New Roman"/>
          <w:color w:val="000000"/>
          <w:sz w:val="22"/>
        </w:rPr>
        <w:t xml:space="preserve">means any event or condition which gives the holder of any note, debenture or other evidence of indebtedness that is material to the operations or financial results of the Company (or any person acting on such holder’s behalf) the right to require the repurchase, redemption or repayment of all or a portion of such indebtedness by the Company.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2.7</w:t>
      </w:r>
    </w:p>
    <w:p>
      <w:pPr>
        <w:pStyle w:val="TextBody"/>
        <w:bidi w:val="0"/>
        <w:spacing w:before="0" w:after="240"/>
        <w:jc w:val="both"/>
        <w:rPr/>
      </w:pPr>
      <w:r>
        <w:rPr>
          <w:rFonts w:ascii="Times New Roman" w:hAnsi="Times New Roman"/>
          <w:b/>
          <w:color w:val="000000"/>
          <w:sz w:val="22"/>
        </w:rPr>
        <w:t>Absence of Further Requirements.</w:t>
      </w:r>
      <w:r>
        <w:rPr>
          <w:color w:val="000000"/>
        </w:rPr>
        <w:t xml:space="preserve"> </w:t>
      </w:r>
      <w:r>
        <w:rPr>
          <w:rFonts w:ascii="Times New Roman" w:hAnsi="Times New Roman"/>
          <w:color w:val="000000"/>
          <w:sz w:val="22"/>
        </w:rPr>
        <w:t>Assuming the accuracy of the representations made by the Purchasers in Article 3 of this Agreement, no filing with, or authorization, approval, consent, license, order, registration, exemption, qualification or decree of, any court or governmental authority or agency or any sub-division thereof is required for the performance by the Company of its obligations hereunder, in connection with the offering, issuance or sale of the Shares under this Agreement or the consummation of the transactions contemplated by this Agreement, except such as have been already obtained or as may be required under the Securities Act or the rules and regulations of the SEC thereunder, state securities or blue sky laws, the rules and regulations of the Financial Industry Regulatory Authority, Inc. (“</w:t>
      </w:r>
      <w:r>
        <w:rPr>
          <w:rFonts w:ascii="Times New Roman" w:hAnsi="Times New Roman"/>
          <w:b/>
          <w:i/>
          <w:color w:val="000000"/>
          <w:sz w:val="22"/>
        </w:rPr>
        <w:t>FINRA</w:t>
      </w:r>
      <w:r>
        <w:rPr>
          <w:color w:val="000000"/>
        </w:rPr>
        <w:t>”</w:t>
      </w:r>
      <w:r>
        <w:rPr>
          <w:rFonts w:ascii="Times New Roman" w:hAnsi="Times New Roman"/>
          <w:color w:val="000000"/>
          <w:sz w:val="22"/>
        </w:rPr>
        <w:t xml:space="preserve">) or Nasdaq.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2.8</w:t>
      </w:r>
    </w:p>
    <w:p>
      <w:pPr>
        <w:pStyle w:val="TextBody"/>
        <w:bidi w:val="0"/>
        <w:spacing w:before="0" w:after="240"/>
        <w:jc w:val="both"/>
        <w:rPr/>
      </w:pPr>
      <w:r>
        <w:rPr>
          <w:rFonts w:ascii="Times New Roman" w:hAnsi="Times New Roman"/>
          <w:b/>
          <w:color w:val="000000"/>
          <w:sz w:val="22"/>
        </w:rPr>
        <w:t>No Material Adverse Effect.</w:t>
      </w:r>
      <w:r>
        <w:rPr>
          <w:color w:val="000000"/>
        </w:rPr>
        <w:t xml:space="preserve"> </w:t>
      </w:r>
      <w:r>
        <w:rPr>
          <w:rFonts w:ascii="Times New Roman" w:hAnsi="Times New Roman"/>
          <w:color w:val="000000"/>
          <w:sz w:val="22"/>
        </w:rPr>
        <w:t>Except as otherwise disclosed in the SEC Documents, subsequent to the respective dates as of which information is given in the SEC Documents: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has not sustained any material loss or material interference with its business from fire, explosion, flood or other calamity, whether or not covered by insurance, or from any labor dispute or court or governmental action, order or decree,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there has not been any change in the capital stock or increase in short-term or long-term debt of the Company, other than a change in the number of outstanding shares of Common Stock due to the issuance of shares upon the exercise of outstanding options, the vesting and settlement of restricted stock units or the automatic increases in shares of Common Stock available under the Company’s incentive plans, in each case, as described in the SEC Documents,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has not been any change in the assets, liabilities, financial condition or operating results of the Company from that reflected in the Financial Statements, except changes in the ordinary course of business that have not caused, individually or in the aggregate, a Material Adverse Effect,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there has not been any waiver or compromise by the Company of a valuable right or of a material debt owed to it,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has not been any satisfaction or discharge of any lien, claim or encumbrance or payment of any obligation by the Company, except in the ordinary course of business and which is not material to the assets, properties, financial condition, operating results or business of the Company (as such business is presently conducted),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has not been any change or amendment to the Company’s Certificate of Incorporation or Bylaws, or material change to any material contract or arrangement by which the Company is bound or to which any of its assets or properties is subject,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has not been any material labor difficulties or, to the Company’s knowledge, labor union organizing activities with respect to employees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has not been any material transaction entered into by the Company other than in the ordinary course of business,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has not been any loss of the services of any executive officer (as defined in Rule 405 under the Securities Act) and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has not occurred any Material Adverse Effect, or any development that would reasonably be expected to result in a prospective Material Adverse Effect, in or affecting the condition, financial or otherwise, or in or affecting the revenues, business, assets, management, financial position, stockholders’ equity, operations or results of operations or prospects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2.9</w:t>
      </w:r>
    </w:p>
    <w:p>
      <w:pPr>
        <w:pStyle w:val="TextBody"/>
        <w:bidi w:val="0"/>
        <w:spacing w:before="0" w:after="240"/>
        <w:jc w:val="both"/>
        <w:rPr/>
      </w:pPr>
      <w:r>
        <w:rPr>
          <w:rFonts w:ascii="Times New Roman" w:hAnsi="Times New Roman"/>
          <w:b/>
          <w:color w:val="000000"/>
          <w:sz w:val="22"/>
        </w:rPr>
        <w:t>Absence of Proceedings.</w:t>
      </w:r>
      <w:r>
        <w:rPr>
          <w:color w:val="000000"/>
        </w:rPr>
        <w:t xml:space="preserve"> </w:t>
      </w:r>
      <w:r>
        <w:rPr>
          <w:rFonts w:ascii="Times New Roman" w:hAnsi="Times New Roman"/>
          <w:color w:val="000000"/>
          <w:sz w:val="22"/>
        </w:rPr>
        <w:t>There are no legal or governmental proceedings, inquiries or investigations pending or, to the Company’s knowledge, threatened to which the Company or any officer or director of the Company (in their capacity as such) is a party or to which any of the properties of the Company is subject, other than proceedings accurately described in all material respects in the SEC Documents or proceedings that would not have a Material Adverse Effect on the Company, or on the power or ability of the Company to perform its obligations under this Agreement or to consummate the transactions contemplated by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2.10</w:t>
      </w:r>
    </w:p>
    <w:p>
      <w:pPr>
        <w:pStyle w:val="TextBody"/>
        <w:bidi w:val="0"/>
        <w:spacing w:before="0" w:after="240"/>
        <w:jc w:val="both"/>
        <w:rPr/>
      </w:pPr>
      <w:r>
        <w:rPr>
          <w:rFonts w:ascii="Times New Roman" w:hAnsi="Times New Roman"/>
          <w:b/>
          <w:color w:val="000000"/>
          <w:sz w:val="22"/>
        </w:rPr>
        <w:t>Investment Company Act of 1940.</w:t>
      </w:r>
      <w:r>
        <w:rPr>
          <w:color w:val="000000"/>
        </w:rPr>
        <w:t xml:space="preserve"> </w:t>
      </w:r>
      <w:r>
        <w:rPr>
          <w:rFonts w:ascii="Times New Roman" w:hAnsi="Times New Roman"/>
          <w:color w:val="000000"/>
          <w:sz w:val="22"/>
        </w:rPr>
        <w:t>The Company is not, and after giving effect to the offering and sale of the Shares and the application of the proceeds thereof as described herein will not be, required to register as an “investment company” as such term is defined in the Investment Company Act of 1940, as amended.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2.11</w:t>
      </w:r>
    </w:p>
    <w:p>
      <w:pPr>
        <w:pStyle w:val="TextBody"/>
        <w:bidi w:val="0"/>
        <w:spacing w:before="0" w:after="240"/>
        <w:jc w:val="both"/>
        <w:rPr/>
      </w:pPr>
      <w:r>
        <w:rPr>
          <w:rFonts w:ascii="Times New Roman" w:hAnsi="Times New Roman"/>
          <w:b/>
          <w:color w:val="000000"/>
          <w:sz w:val="22"/>
        </w:rPr>
        <w:t>Title to Real and Personal Property.</w:t>
      </w:r>
      <w:r>
        <w:rPr>
          <w:color w:val="000000"/>
        </w:rPr>
        <w:t xml:space="preserve"> </w:t>
      </w:r>
      <w:r>
        <w:rPr>
          <w:rFonts w:ascii="Times New Roman" w:hAnsi="Times New Roman"/>
          <w:color w:val="000000"/>
          <w:sz w:val="22"/>
        </w:rPr>
        <w:t>Except as set forth in the SEC Documents, the Company has good and marketable title in fee simple to all real property and good and marketable title to all personal property owned by it which is material to the business of the Company, in each case free and clear of all liens, encumbrances and defects, except such as are described in the SEC Documents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enforceable leases with such exceptions as are not material and do not interfere with the use made and proposed to be made of such property and buildings by the Company.</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2.12</w:t>
      </w:r>
    </w:p>
    <w:p>
      <w:pPr>
        <w:pStyle w:val="TextBody"/>
        <w:bidi w:val="0"/>
        <w:spacing w:before="0" w:after="240"/>
        <w:jc w:val="both"/>
        <w:rPr/>
      </w:pPr>
      <w:r>
        <w:rPr>
          <w:rFonts w:ascii="Times New Roman" w:hAnsi="Times New Roman"/>
          <w:b/>
          <w:color w:val="000000"/>
          <w:sz w:val="22"/>
        </w:rPr>
        <w:t>Intellectual Property Rights.</w:t>
      </w:r>
      <w:r>
        <w:rPr>
          <w:color w:val="000000"/>
        </w:rPr>
        <w:t xml:space="preserve"> </w:t>
      </w:r>
      <w:r>
        <w:rPr>
          <w:rFonts w:ascii="Times New Roman" w:hAnsi="Times New Roman"/>
          <w:color w:val="000000"/>
          <w:sz w:val="22"/>
        </w:rPr>
        <w:t>(i) Except as disclosed in the SEC Documents, or as would not reasonably be expected, individually or in the aggregate, to have a Material Adverse Effect, and to the Company’s knowledge, the Company owns, possesses or has the legal right to all patents, trademarks, service marks, trade names, domain names and other source indicators, copyrights and copyrightable works, know-how (including trade secrets, data and other unpatented and/or unpatentable proprietary or confidential information, systems or procedures), software, proprietary or confidential information and all other worldwide intellectual property and proprietary rights (including all registrations, and applications for registration of, and all goodwill associated with, the foregoing) (collectively, “</w:t>
      </w:r>
      <w:r>
        <w:rPr>
          <w:rFonts w:ascii="Times New Roman" w:hAnsi="Times New Roman"/>
          <w:b/>
          <w:i/>
          <w:color w:val="000000"/>
          <w:sz w:val="22"/>
        </w:rPr>
        <w:t>Intellectual Property</w:t>
      </w:r>
      <w:r>
        <w:rPr>
          <w:color w:val="000000"/>
        </w:rPr>
        <w:t>”</w:t>
      </w:r>
      <w:r>
        <w:rPr>
          <w:rFonts w:ascii="Times New Roman" w:hAnsi="Times New Roman"/>
          <w:color w:val="000000"/>
          <w:sz w:val="22"/>
        </w:rPr>
        <w:t>) used in, or necessary for, the conduct of its business as currently conducted and as proposed to be conducted as disclosed in the SEC Documents; (ii) to the Company’s knowledge, the Company’s conduct of its businesses has not infringed, misappropriated or otherwise violated in any material respect, and does not infringe, misappropriate or otherwise violate in any material respect, any valid and enforceable Intellectual Property rights of any person; (iii) except as disclosed in the SEC Documents, there is no claim, action, suit, investigation or proceeding pending against, or, to the Company’s knowledge, threatened against, the Company (A) based upon, or challenging or seeking to deny or restrict, any rights of the Company in any Intellectual Property owned by or exclusively licensed by the Company, (B) challenging the ownership, validity, enforceability or scope of any Intellectual Property owned or exclusively licensed by the Company, or (C) alleging that the Company has infringed, misappropriated or otherwise violated any Intellectual Property of any person in any material respect; (iv) to the Company’s knowledge, the Intellectual Property owned or exclusively licensed by the Company has not been infringed, misappropriated or otherwise violated by any person; (v) none of the Intellectual Property owned or exclusively licensed by the Company has been adjudged invalid or unenforceable and, to the Company’s knowledge, all Intellectual Property owned or exclusively licensed by the Company is valid and enforceable; (vi) the Company has taken reasonable steps in accordance with normal industry practice to maintain the confidentiality of all Intellectual Property of the Company the value of which to the Company is contingent upon maintaining the confidentiality thereof, and, to the Company’s knowledge, no such Intellectual Property has been disclosed other than to employees, representatives, and agents of the Company, all of whom are bound by written confidentiality agreements; (vii) no present or former employee, officer, or director of the Company, or agent or outside contractor or consultant of the Company, holds any right, title or interest, directly or indirectly, in whole or in part, in or to any Intellectual Property owned, purported to be owned, or licensed by the Company; (viii) each current and former employee and officer of the Company has executed an agreement with the Company regarding confidentiality and proprietary information in the form or forms made available to counsel for the Purchasers; and (ix) no employee of the Company has misappropriated any trade secrets or other confidential information of any other Person in the course of the performance of his or her duties as an employee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The computer software, computer hardware, firmware, networks, interfaces and related systems (collectively, “</w:t>
      </w:r>
      <w:r>
        <w:rPr>
          <w:rFonts w:ascii="Times New Roman" w:hAnsi="Times New Roman"/>
          <w:b/>
          <w:i/>
          <w:color w:val="000000"/>
          <w:sz w:val="22"/>
        </w:rPr>
        <w:t>Computer Systems</w:t>
      </w:r>
      <w:r>
        <w:rPr>
          <w:rFonts w:ascii="Times New Roman" w:hAnsi="Times New Roman"/>
          <w:color w:val="000000"/>
          <w:sz w:val="20"/>
        </w:rPr>
        <w:t>”</w:t>
      </w:r>
      <w:r>
        <w:rPr>
          <w:rFonts w:ascii="Times New Roman" w:hAnsi="Times New Roman"/>
          <w:color w:val="000000"/>
          <w:sz w:val="22"/>
        </w:rPr>
        <w:t>) used by the Company are sufficient for the conduct of the Company’s business in all material respects as now conducted or as proposed in the SEC Documents to be conducted, and there have been no material failures, crashes, security breaches or other adverse events affecting the Computer Systems which has caused material disruption to the business of the Company. The Company, and any directors, members, employees, agents, officers, managers, and other representatives of any of the Company, comply with and have at all times complied with, in all material respects, all Privacy Laws applicable to the Company or to the conduct of the business or operations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2.13</w:t>
      </w:r>
    </w:p>
    <w:p>
      <w:pPr>
        <w:pStyle w:val="TextBody"/>
        <w:bidi w:val="0"/>
        <w:spacing w:before="0" w:after="240"/>
        <w:jc w:val="both"/>
        <w:rPr/>
      </w:pPr>
      <w:r>
        <w:rPr>
          <w:rFonts w:ascii="Times New Roman" w:hAnsi="Times New Roman"/>
          <w:b/>
          <w:color w:val="000000"/>
          <w:sz w:val="22"/>
        </w:rPr>
        <w:t>Insurance.</w:t>
      </w:r>
      <w:r>
        <w:rPr>
          <w:color w:val="000000"/>
        </w:rPr>
        <w:t xml:space="preserve"> </w:t>
      </w:r>
      <w:r>
        <w:rPr>
          <w:rFonts w:ascii="Times New Roman" w:hAnsi="Times New Roman"/>
          <w:color w:val="000000"/>
          <w:sz w:val="22"/>
        </w:rPr>
        <w:t>Except as set forth in the SEC Documents, the Company is insured by insurers of recognized financial responsibility against such losses and risks and in such amounts as are prudent and customary in the business in which it is engaged; the Company has not been refused any coverage sought or applied for; and the Company does not have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2.14</w:t>
      </w:r>
    </w:p>
    <w:p>
      <w:pPr>
        <w:pStyle w:val="TextBody"/>
        <w:bidi w:val="0"/>
        <w:spacing w:before="0" w:after="240"/>
        <w:jc w:val="both"/>
        <w:rPr/>
      </w:pPr>
      <w:r>
        <w:rPr>
          <w:rFonts w:ascii="Times New Roman" w:hAnsi="Times New Roman"/>
          <w:b/>
          <w:color w:val="000000"/>
          <w:sz w:val="22"/>
        </w:rPr>
        <w:t>Licenses and Permits.</w:t>
      </w:r>
      <w:r>
        <w:rPr>
          <w:color w:val="000000"/>
        </w:rPr>
        <w:t xml:space="preserve"> </w:t>
      </w:r>
      <w:r>
        <w:rPr>
          <w:rFonts w:ascii="Times New Roman" w:hAnsi="Times New Roman"/>
          <w:color w:val="000000"/>
          <w:sz w:val="22"/>
        </w:rPr>
        <w:t xml:space="preserve">Except as set forth in the SEC Documents, the Company possesses all certificates, authorizations, consents, approvals, orders, licenses and permits issued by the appropriate federal, state or foreign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regulatory authorities (collectively, the “</w:t>
      </w:r>
      <w:r>
        <w:rPr>
          <w:rFonts w:ascii="Times New Roman" w:hAnsi="Times New Roman"/>
          <w:b/>
          <w:i/>
          <w:color w:val="000000"/>
          <w:sz w:val="22"/>
        </w:rPr>
        <w:t>Permits</w:t>
      </w:r>
      <w:r>
        <w:rPr>
          <w:color w:val="000000"/>
        </w:rPr>
        <w:t>”</w:t>
      </w:r>
      <w:r>
        <w:rPr>
          <w:rFonts w:ascii="Times New Roman" w:hAnsi="Times New Roman"/>
          <w:color w:val="000000"/>
          <w:sz w:val="22"/>
        </w:rPr>
        <w:t>), including the FDA and any other state, federal or foreign agencies or bodies engaged in the regulation of pharmaceuticals or biohazardous materials, necessary to conduct its business as now conducted and described in the SEC Documents, other than such certificates, authorizations, consents, approvals, orders, licenses and permits, the lack of which would not individually or in the aggregate have a Material Adverse Effect on the Company. Except as otherwise disclosed in the SEC Documents, all of such Permits are valid and in full force and effect, except where the invalidity of such Permits or the failure to be in full force and effect, individually or in the aggregate, would not have a Material Adverse Effect on the Company. Except as otherwise disclosed in the SEC Documents, there is no pending or, to the Company’s knowledge, threatened action, suit, proceeding or investigation that individually or in the aggregate would reasonably be expected to lead to the revocation, modification, termination, suspension or any other impairment of the rights of the holder of any such Permit which revocation, modification, termination, suspension or other impairment would have a Material Adverse Effect on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2.15</w:t>
      </w:r>
    </w:p>
    <w:p>
      <w:pPr>
        <w:pStyle w:val="TextBody"/>
        <w:bidi w:val="0"/>
        <w:spacing w:before="0" w:after="240"/>
        <w:jc w:val="both"/>
        <w:rPr/>
      </w:pPr>
      <w:r>
        <w:rPr>
          <w:rFonts w:ascii="Times New Roman" w:hAnsi="Times New Roman"/>
          <w:b/>
          <w:color w:val="000000"/>
          <w:sz w:val="22"/>
        </w:rPr>
        <w:t xml:space="preserve">FDA. </w:t>
      </w:r>
      <w:r>
        <w:rPr>
          <w:rFonts w:ascii="Times New Roman" w:hAnsi="Times New Roman"/>
          <w:color w:val="000000"/>
          <w:sz w:val="22"/>
        </w:rPr>
        <w:t>As to each product subject to the jurisdiction of the FDA under the Federal Food, Drug and Cosmetic Act, as amended, and the regulations thereunder (“</w:t>
      </w:r>
      <w:r>
        <w:rPr>
          <w:rFonts w:ascii="Times New Roman" w:hAnsi="Times New Roman"/>
          <w:b/>
          <w:i/>
          <w:color w:val="000000"/>
          <w:sz w:val="22"/>
        </w:rPr>
        <w:t>FDCA</w:t>
      </w:r>
      <w:r>
        <w:rPr>
          <w:color w:val="000000"/>
        </w:rPr>
        <w:t>”</w:t>
      </w:r>
      <w:r>
        <w:rPr>
          <w:rFonts w:ascii="Times New Roman" w:hAnsi="Times New Roman"/>
          <w:color w:val="000000"/>
          <w:sz w:val="22"/>
        </w:rPr>
        <w:t>) that is manufactured, packaged, labeled, tested, distributed, sold, and/or marketed by the Company (each such product, a “</w:t>
      </w:r>
      <w:r>
        <w:rPr>
          <w:rFonts w:ascii="Times New Roman" w:hAnsi="Times New Roman"/>
          <w:b/>
          <w:i/>
          <w:color w:val="000000"/>
          <w:sz w:val="22"/>
        </w:rPr>
        <w:t>Pharmaceutical Product</w:t>
      </w:r>
      <w:r>
        <w:rPr>
          <w:color w:val="000000"/>
        </w:rPr>
        <w:t>”</w:t>
      </w:r>
      <w:r>
        <w:rPr>
          <w:rFonts w:ascii="Times New Roman" w:hAnsi="Times New Roman"/>
          <w:color w:val="000000"/>
          <w:sz w:val="22"/>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and the Company has not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(iv) enjoins production at any facility of the Company, (v) enters or proposes to enter into a consent decree of permanent injunction with the Company, or (vi) otherwise alleges any violation of any laws, rules or regulations by the Company,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2.16</w:t>
      </w:r>
    </w:p>
    <w:p>
      <w:pPr>
        <w:pStyle w:val="TextBody"/>
        <w:bidi w:val="0"/>
        <w:spacing w:before="0" w:after="240"/>
        <w:jc w:val="both"/>
        <w:rPr/>
      </w:pPr>
      <w:r>
        <w:rPr>
          <w:rFonts w:ascii="Times New Roman" w:hAnsi="Times New Roman"/>
          <w:b/>
          <w:color w:val="000000"/>
          <w:sz w:val="22"/>
        </w:rPr>
        <w:t>Accounting Controls.</w:t>
      </w:r>
      <w:r>
        <w:rPr>
          <w:color w:val="000000"/>
        </w:rPr>
        <w:t xml:space="preserve"> </w:t>
      </w:r>
      <w:r>
        <w:rPr>
          <w:rFonts w:ascii="Times New Roman" w:hAnsi="Times New Roman"/>
          <w:color w:val="000000"/>
          <w:sz w:val="22"/>
        </w:rPr>
        <w:t>The Company has taken all actions reasonably necessary to ensure that, within the time period required by applicable law, the Company will have established and will maintain a system of internal control over financial reporting (as such term is defined in Rule 13a-15(f) under the Exchange Act) sufficient to provide reasonable assurance regarding the reliability of financial reporting and the preparation of financial statements for external purposes in accordance with United States generally accepted accounting principles (“</w:t>
      </w:r>
      <w:r>
        <w:rPr>
          <w:rFonts w:ascii="Times New Roman" w:hAnsi="Times New Roman"/>
          <w:b/>
          <w:i/>
          <w:color w:val="000000"/>
          <w:sz w:val="22"/>
        </w:rPr>
        <w:t>U.S. GAAP</w:t>
      </w:r>
      <w:r>
        <w:rPr>
          <w:color w:val="000000"/>
        </w:rPr>
        <w:t>”</w:t>
      </w:r>
      <w:r>
        <w:rPr>
          <w:rFonts w:ascii="Times New Roman" w:hAnsi="Times New Roman"/>
          <w:color w:val="000000"/>
          <w:sz w:val="22"/>
        </w:rPr>
        <w:t xml:space="preserve">). Except as set forth in the SEC Documents,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2.17</w:t>
      </w:r>
    </w:p>
    <w:p>
      <w:pPr>
        <w:pStyle w:val="TextBody"/>
        <w:bidi w:val="0"/>
        <w:spacing w:before="0" w:after="240"/>
        <w:jc w:val="both"/>
        <w:rPr/>
      </w:pPr>
      <w:r>
        <w:rPr>
          <w:rFonts w:ascii="Times New Roman" w:hAnsi="Times New Roman"/>
          <w:b/>
          <w:color w:val="000000"/>
          <w:sz w:val="22"/>
        </w:rPr>
        <w:t xml:space="preserve">Disclosure Controls. </w:t>
      </w:r>
      <w:r>
        <w:rPr>
          <w:rFonts w:ascii="Times New Roman" w:hAnsi="Times New Roman"/>
          <w:color w:val="000000"/>
          <w:sz w:val="22"/>
        </w:rPr>
        <w:t xml:space="preserve">The Company maintains disclosure controls and procedures (as such term is defined in Rule 13a-15(e) under the Exchange Act) that comply with the applicable requirements of the Exchange Act; and such disclosure controls and procedures have been designed to ensure that (i) material information relating to the Company is made known to the Company’s principal executive officer and principal financial officer by others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within the Company and (ii) information required to be disclosed by the Company in reports that it files, furnishes or submits under the Exchange Act is recorded, processed, summarized and reported within the timeframes specified in the SEC’s rules and forms, including controls and procedures designed to ensure that such information is accumulated and communicated to the Company’s management as appropriate to allow timely decisions regarding required disclosure. The Company has carried out evaluations of the effectiveness of its disclosure controls and procedures as required by Rule 13a-15 of the Exchange Act. Since the end of the Company’s most recent audited fiscal year, there have been no identified material weaknesses in the Company’s internal control over financial reporting (whether or not remediated) and no change in the Company’s internal control over financial reporting that has materially affected, or would reasonably be expected to materially affect, the Company’s internal control over financial reporting. The Company is not aware of any change in its internal controls over financial reporting that has occurred during its most recent fiscal quarter that has materially affected, or would reasonably be expected to materially affect, the Company’s internal control over financial reporting.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2.18</w:t>
      </w:r>
    </w:p>
    <w:p>
      <w:pPr>
        <w:pStyle w:val="TextBody"/>
        <w:bidi w:val="0"/>
        <w:spacing w:before="0" w:after="240"/>
        <w:jc w:val="both"/>
        <w:rPr/>
      </w:pPr>
      <w:r>
        <w:rPr>
          <w:rFonts w:ascii="Times New Roman" w:hAnsi="Times New Roman"/>
          <w:b/>
          <w:color w:val="000000"/>
          <w:sz w:val="22"/>
        </w:rPr>
        <w:t>Independent Accountants.</w:t>
      </w:r>
      <w:r>
        <w:rPr>
          <w:color w:val="000000"/>
        </w:rPr>
        <w:t xml:space="preserve"> </w:t>
      </w:r>
      <w:r>
        <w:rPr>
          <w:rFonts w:ascii="Times New Roman" w:hAnsi="Times New Roman"/>
          <w:color w:val="000000"/>
          <w:sz w:val="22"/>
        </w:rPr>
        <w:t xml:space="preserve">BDO USA, LLP, who have certified the Financial Statements and supporting schedules of the Company that are included in the SEC Documents, is an independent registered public accounting firm with respect to the Company as required by the Securities Act and the rules and regulations of the SEC thereunder.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2.19</w:t>
      </w:r>
    </w:p>
    <w:p>
      <w:pPr>
        <w:pStyle w:val="TextBody"/>
        <w:bidi w:val="0"/>
        <w:spacing w:before="0" w:after="240"/>
        <w:jc w:val="both"/>
        <w:rPr/>
      </w:pPr>
      <w:r>
        <w:rPr>
          <w:rFonts w:ascii="Times New Roman" w:hAnsi="Times New Roman"/>
          <w:b/>
          <w:color w:val="000000"/>
          <w:sz w:val="22"/>
        </w:rPr>
        <w:t>SEC Documents.</w:t>
      </w:r>
      <w:r>
        <w:rPr>
          <w:color w:val="000000"/>
        </w:rPr>
        <w:t xml:space="preserve"> </w:t>
      </w:r>
      <w:r>
        <w:rPr>
          <w:rFonts w:ascii="Times New Roman" w:hAnsi="Times New Roman"/>
          <w:color w:val="000000"/>
          <w:sz w:val="22"/>
        </w:rPr>
        <w:t>The Company has timely filed or furnished the SEC Documents required to be filed or furnished by it with the SEC pursuant to the reporting requirements of the Exchange Act. As of their respective dates, the SEC Documents complied in all material respects with the requirements of the Exchange Act or the Securities Act, as the case may be, and the rules and regulations of the SEC promulgated thereunder applicable to the SEC Documents, and none of the SEC Documents (including any audited or unaudited financial statements and any notes thereto or schedules included therein),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There are no material outstanding or unresolved comments in comment letters from the staff of the Division of Corporation Finance of the SEC with respect to any of the SEC Documents as of the date hereof. The Company meets the requirements for use of Form S-3 under the Securities Act. At the time of filing thereof, the SEC Documents complied as to form in all material respects with the requirements of the Securities Act or the Exchange Act, as applicable, and the rules and regulations of the SEC thereunder.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2.20</w:t>
      </w:r>
    </w:p>
    <w:p>
      <w:pPr>
        <w:pStyle w:val="TextBody"/>
        <w:bidi w:val="0"/>
        <w:spacing w:before="0" w:after="240"/>
        <w:jc w:val="both"/>
        <w:rPr/>
      </w:pPr>
      <w:r>
        <w:rPr>
          <w:rFonts w:ascii="Times New Roman" w:hAnsi="Times New Roman"/>
          <w:b/>
          <w:color w:val="000000"/>
          <w:sz w:val="22"/>
        </w:rPr>
        <w:t>Financial Statements.</w:t>
      </w:r>
      <w:r>
        <w:rPr>
          <w:color w:val="000000"/>
        </w:rPr>
        <w:t xml:space="preserve"> </w:t>
      </w:r>
      <w:r>
        <w:rPr>
          <w:rFonts w:ascii="Times New Roman" w:hAnsi="Times New Roman"/>
          <w:color w:val="000000"/>
          <w:sz w:val="22"/>
        </w:rPr>
        <w:t>(a) The Financial Statements, together with the related schedules and notes, present fairly, in all material respects, the financial position of the Company at the dates indicated and the statement of operations, stockholders’ equity and cash flows of the Company for the periods specified; said Financial Statements have been prepared in conformity with U.S. GAAP applied on a consistent basis throughout the periods involved except, in the case of unaudited interim financial statements, for normal year-end audit adjustments and the exclusion of footnotes. (b) Except as set forth in the SEC Documents, there are no off-balance sheet arrangements, outstanding guarantees or other contingent obligations of the Company that would reasonably be expected to have a Material Adverse Effect on the Company. There are no transactions, arrangements or other relationships between and/or among the Company, any of its affiliates (as such term is defined in Rule 405 of the Securities Act) and any unconsolidated entity, including, but not limited to, any structured finance, special purpose or limited purpose entity, that would reasonably be expected to materially affect the Company’s liquidity or the availability of or requirements for its capital resources required to be described in SEC Documents which have not been described as required.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2.21</w:t>
      </w:r>
    </w:p>
    <w:p>
      <w:pPr>
        <w:pStyle w:val="TextBody"/>
        <w:bidi w:val="0"/>
        <w:spacing w:before="0" w:after="240"/>
        <w:jc w:val="both"/>
        <w:rPr/>
      </w:pPr>
      <w:r>
        <w:rPr>
          <w:rFonts w:ascii="Times New Roman" w:hAnsi="Times New Roman"/>
          <w:b/>
          <w:color w:val="000000"/>
          <w:sz w:val="22"/>
        </w:rPr>
        <w:t>Tax Liabilities and Reserves.</w:t>
      </w:r>
      <w:r>
        <w:rPr>
          <w:color w:val="000000"/>
        </w:rPr>
        <w:t xml:space="preserve"> </w:t>
      </w:r>
      <w:r>
        <w:rPr>
          <w:rFonts w:ascii="Times New Roman" w:hAnsi="Times New Roman"/>
          <w:color w:val="000000"/>
          <w:sz w:val="22"/>
        </w:rPr>
        <w:t xml:space="preserve">Other than as set forth in the SEC Documents, any tax returns required to be filed by the Company in any jurisdiction have been filed and any taxes, including any withholding taxes, excise taxes, penalties and interest, assessments and fees and other charges due or claimed to be due from the Company have been paid, other than any of those being contested in good faith and for which adequate reserves have been provided or any of those currently payable without penalty or interest, except to the extent that the failure to so file or pay would not result in a Material Adverse Effect on the Company. There is no proposed tax deficiency,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assessment, charge or levy against the Company, as to which a reserve would be required to be established under U.S. GAAP, that has not been so reserved or that should be disclosed in the SEC Documents that has not been so disclosed, except for any such deficiency, assessment, charge or levy which, individually or in the aggregate, would not have a Material Adverse Effect on the Company.</w:t>
      </w:r>
      <w:r>
        <w:rPr>
          <w:color w:val="00000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2.22</w:t>
      </w:r>
    </w:p>
    <w:p>
      <w:pPr>
        <w:pStyle w:val="TextBody"/>
        <w:bidi w:val="0"/>
        <w:spacing w:before="0" w:after="240"/>
        <w:jc w:val="both"/>
        <w:rPr/>
      </w:pPr>
      <w:r>
        <w:rPr>
          <w:rFonts w:ascii="Times New Roman" w:hAnsi="Times New Roman"/>
          <w:b/>
          <w:color w:val="000000"/>
          <w:sz w:val="22"/>
        </w:rPr>
        <w:t>Related Party Transactions.</w:t>
      </w:r>
      <w:r>
        <w:rPr>
          <w:color w:val="000000"/>
        </w:rPr>
        <w:t xml:space="preserve"> </w:t>
      </w:r>
      <w:r>
        <w:rPr>
          <w:rFonts w:ascii="Times New Roman" w:hAnsi="Times New Roman"/>
          <w:color w:val="000000"/>
          <w:sz w:val="22"/>
        </w:rPr>
        <w:t>Other than the transactions contemplated by this Agreement, no relationship, direct or indirect, exists between or among the Company, on the one hand, and the directors, officers, stockholders, licensees, licensors or suppliers of the Company, on the other hand, that is required to be described in the SEC Documents which is not so described. There are no outstanding loans, advances (except normal advances for business expense in the ordinary course of business) or guarantees of indebtedness by the Company, to or for the benefit of any of the officers or directors of the Company or any of their respective family members, except as otherwise disclosed in the SEC Documents.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2.23</w:t>
      </w:r>
    </w:p>
    <w:p>
      <w:pPr>
        <w:pStyle w:val="TextBody"/>
        <w:bidi w:val="0"/>
        <w:spacing w:before="0" w:after="240"/>
        <w:jc w:val="both"/>
        <w:rPr/>
      </w:pPr>
      <w:r>
        <w:rPr>
          <w:rFonts w:ascii="Times New Roman" w:hAnsi="Times New Roman"/>
          <w:b/>
          <w:color w:val="000000"/>
          <w:sz w:val="22"/>
        </w:rPr>
        <w:t>Commission Agreements.</w:t>
      </w:r>
      <w:r>
        <w:rPr>
          <w:color w:val="000000"/>
        </w:rPr>
        <w:t xml:space="preserve"> </w:t>
      </w:r>
      <w:r>
        <w:rPr>
          <w:rFonts w:ascii="Times New Roman" w:hAnsi="Times New Roman"/>
          <w:color w:val="000000"/>
          <w:sz w:val="22"/>
        </w:rPr>
        <w:t>The Company is not a party to any contract, agreement or understanding with any person that would give rise to a valid claim against the Company for a brokerage commission, finder’s fee or like payment in connection with any transaction contemplated by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2.24</w:t>
      </w:r>
    </w:p>
    <w:p>
      <w:pPr>
        <w:pStyle w:val="TextBody"/>
        <w:bidi w:val="0"/>
        <w:spacing w:before="0" w:after="240"/>
        <w:jc w:val="both"/>
        <w:rPr/>
      </w:pPr>
      <w:r>
        <w:rPr>
          <w:rFonts w:ascii="Times New Roman" w:hAnsi="Times New Roman"/>
          <w:b/>
          <w:color w:val="000000"/>
          <w:sz w:val="22"/>
        </w:rPr>
        <w:t>Foreign Corrupt Practices Act.</w:t>
      </w:r>
      <w:r>
        <w:rPr>
          <w:color w:val="000000"/>
        </w:rPr>
        <w:t xml:space="preserve"> </w:t>
      </w:r>
      <w:r>
        <w:rPr>
          <w:rFonts w:ascii="Times New Roman" w:hAnsi="Times New Roman"/>
          <w:color w:val="000000"/>
          <w:sz w:val="22"/>
        </w:rPr>
        <w:t>Except as otherwise disclosed in the SEC Documents, neither the Company nor, to the Company’s knowledge, any of its affiliates, directors, officers, employees, agents or other person acting on behalf of the Company is aware of or has taken any action, directly or indirectly, that would result in a material violation by such person of the Foreign Corrupt Practices Act of 1977, as amended, and the rules and regulations thereunder (the “</w:t>
      </w:r>
      <w:r>
        <w:rPr>
          <w:rFonts w:ascii="Times New Roman" w:hAnsi="Times New Roman"/>
          <w:b/>
          <w:i/>
          <w:color w:val="000000"/>
          <w:sz w:val="22"/>
        </w:rPr>
        <w:t>FCPA</w:t>
      </w:r>
      <w:r>
        <w:rPr>
          <w:color w:val="000000"/>
        </w:rPr>
        <w:t>”</w:t>
      </w:r>
      <w:r>
        <w:rPr>
          <w:rFonts w:ascii="Times New Roman" w:hAnsi="Times New Roman"/>
          <w:color w:val="000000"/>
          <w:sz w:val="22"/>
        </w:rPr>
        <w:t>), including, without limitation, making use of the mails or any means or instrumentality of interstate commerce corruptly in furtherance of an offer, payment, promise to pay or authorization of the payment of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Company’s knowledge, its affiliates have conducted their businesses in material compliance with the FCPA and any other applicable anti-bribery or anti-corruption law, and have instituted and maintain policies and procedures designed to ensure, and which are reasonably expected to continue to ensure, continued compliance therewith.</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2.25</w:t>
      </w:r>
    </w:p>
    <w:p>
      <w:pPr>
        <w:pStyle w:val="TextBody"/>
        <w:bidi w:val="0"/>
        <w:spacing w:before="0" w:after="240"/>
        <w:jc w:val="both"/>
        <w:rPr/>
      </w:pPr>
      <w:r>
        <w:rPr>
          <w:rFonts w:ascii="Times New Roman" w:hAnsi="Times New Roman"/>
          <w:b/>
          <w:color w:val="000000"/>
          <w:sz w:val="22"/>
        </w:rPr>
        <w:t>Use of Proceeds.</w:t>
      </w:r>
      <w:r>
        <w:rPr>
          <w:color w:val="000000"/>
        </w:rPr>
        <w:t xml:space="preserve"> </w:t>
      </w:r>
      <w:r>
        <w:rPr>
          <w:rFonts w:ascii="Times New Roman" w:hAnsi="Times New Roman"/>
          <w:color w:val="000000"/>
          <w:sz w:val="22"/>
        </w:rPr>
        <w:t>The Company shall use the net proceeds of the sale of the Shares hereunder exclusively for the creation and distribution of two lots of Drug Substance for Expanded Access, which, for the sake of clarity, shall include creating the Drug Product, finishing/filling of Drug Product, labeling of Drug Product, packaging and bulk shipments of Drug Product, the QP Release and agent costs, and creating the Administration Kits, all explicitly for the Expanded Access program.</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2.26</w:t>
      </w:r>
    </w:p>
    <w:p>
      <w:pPr>
        <w:pStyle w:val="TextBody"/>
        <w:bidi w:val="0"/>
        <w:spacing w:before="0" w:after="240"/>
        <w:jc w:val="both"/>
        <w:rPr/>
      </w:pPr>
      <w:r>
        <w:rPr>
          <w:rFonts w:ascii="Times New Roman" w:hAnsi="Times New Roman"/>
          <w:b/>
          <w:color w:val="000000"/>
          <w:sz w:val="22"/>
        </w:rPr>
        <w:t>Acknowledgment Regarding Purchasers’ Purchase of Shares.</w:t>
      </w:r>
      <w:r>
        <w:rPr>
          <w:color w:val="000000"/>
        </w:rPr>
        <w:t xml:space="preserve"> </w:t>
      </w:r>
      <w:r>
        <w:rPr>
          <w:rFonts w:ascii="Times New Roman" w:hAnsi="Times New Roman"/>
          <w:color w:val="000000"/>
          <w:sz w:val="22"/>
        </w:rPr>
        <w:t>The Company acknowledges and agrees that each of the Purchasers is acting solely in the capacity of an arm’s length purchaser with respect to this Agreement and the transactions contemplated hereby. The Company further acknowledges that no Purchaser is acting as a financial advisor or fiduciary of the Company (or in any similar capacity with respect to the Company) with respect to this Agreement, the transactions contemplated hereby or the process leading thereto, the Purchasers have no obligation to the Company with respect to the transactions contemplated by this Agreement except those obligations expressly set forth in this Agreement to which they are a party, and any advice given by any Purchaser or any of their respective representatives or agents to the Company in connection with this Agreement and the transactions contemplated hereby is merely incidental to such Purchaser’s purchase of the Shares. The Company further represents to each Purchaser that the Company’s decision to enter into this Agreement has been based on the independent evaluation of the transactions contemplated hereby by the Company and its representatives.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2.27</w:t>
      </w:r>
    </w:p>
    <w:p>
      <w:pPr>
        <w:pStyle w:val="TextBody"/>
        <w:bidi w:val="0"/>
        <w:spacing w:before="0" w:after="240"/>
        <w:jc w:val="both"/>
        <w:rPr/>
      </w:pPr>
      <w:r>
        <w:rPr>
          <w:rFonts w:ascii="Times New Roman" w:hAnsi="Times New Roman"/>
          <w:b/>
          <w:color w:val="000000"/>
          <w:sz w:val="22"/>
        </w:rPr>
        <w:t>No Manipulation of Stock.</w:t>
      </w:r>
      <w:r>
        <w:rPr>
          <w:color w:val="000000"/>
        </w:rPr>
        <w:t xml:space="preserve"> </w:t>
      </w:r>
      <w:r>
        <w:rPr>
          <w:rFonts w:ascii="Times New Roman" w:hAnsi="Times New Roman"/>
          <w:color w:val="000000"/>
          <w:sz w:val="22"/>
        </w:rPr>
        <w:t>The Company has not taken, and no Person acting on its behalf has taken, directly or indirectly, any action designed to cause or result in the stabilization or manipulation of the price of the Common Stock or any security of the Company to facilitate the sale or resale of any of the Shares.</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2.28</w:t>
      </w:r>
    </w:p>
    <w:p>
      <w:pPr>
        <w:pStyle w:val="TextBody"/>
        <w:bidi w:val="0"/>
        <w:spacing w:before="0" w:after="240"/>
        <w:jc w:val="both"/>
        <w:rPr/>
      </w:pPr>
      <w:r>
        <w:rPr>
          <w:rFonts w:ascii="Times New Roman" w:hAnsi="Times New Roman"/>
          <w:b/>
          <w:color w:val="000000"/>
          <w:sz w:val="22"/>
        </w:rPr>
        <w:t>Never a Shell Company.</w:t>
      </w:r>
      <w:r>
        <w:rPr>
          <w:color w:val="000000"/>
        </w:rPr>
        <w:t xml:space="preserve"> </w:t>
      </w:r>
      <w:r>
        <w:rPr>
          <w:rFonts w:ascii="Times New Roman" w:hAnsi="Times New Roman"/>
          <w:color w:val="000000"/>
          <w:sz w:val="22"/>
        </w:rPr>
        <w:t xml:space="preserve">The Company has never been an issuer subject to Rule 144(i) under the Securities Act.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2.29</w:t>
      </w:r>
    </w:p>
    <w:p>
      <w:pPr>
        <w:pStyle w:val="TextBody"/>
        <w:bidi w:val="0"/>
        <w:spacing w:before="0" w:after="240"/>
        <w:jc w:val="both"/>
        <w:rPr/>
      </w:pPr>
      <w:r>
        <w:rPr>
          <w:rFonts w:ascii="Times New Roman" w:hAnsi="Times New Roman"/>
          <w:b/>
          <w:color w:val="000000"/>
          <w:sz w:val="22"/>
        </w:rPr>
        <w:t>Listing and Maintenance Requirements.</w:t>
      </w:r>
      <w:r>
        <w:rPr>
          <w:color w:val="000000"/>
        </w:rPr>
        <w:t xml:space="preserve"> </w:t>
      </w:r>
      <w:r>
        <w:rPr>
          <w:rFonts w:ascii="Times New Roman" w:hAnsi="Times New Roman"/>
          <w:color w:val="000000"/>
          <w:sz w:val="22"/>
        </w:rPr>
        <w:t>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2.30</w:t>
      </w:r>
    </w:p>
    <w:p>
      <w:pPr>
        <w:pStyle w:val="TextBody"/>
        <w:bidi w:val="0"/>
        <w:spacing w:before="0" w:after="240"/>
        <w:jc w:val="both"/>
        <w:rPr/>
      </w:pPr>
      <w:r>
        <w:rPr>
          <w:rFonts w:ascii="Times New Roman" w:hAnsi="Times New Roman"/>
          <w:b/>
          <w:color w:val="000000"/>
          <w:sz w:val="22"/>
        </w:rPr>
        <w:t>The Nasdaq Capital Market.</w:t>
      </w:r>
      <w:r>
        <w:rPr>
          <w:color w:val="000000"/>
        </w:rPr>
        <w:t xml:space="preserve"> </w:t>
      </w:r>
      <w:r>
        <w:rPr>
          <w:rFonts w:ascii="Times New Roman" w:hAnsi="Times New Roman"/>
          <w:color w:val="000000"/>
          <w:sz w:val="22"/>
        </w:rPr>
        <w:t>The Common Stock is listed on The Nasdaq Capital Market, and to the Company’s knowledge, there are no proceedings to revoke or suspend such listing. Except as otherwise disclosed in the SEC Documents, the Company is in material compliance with the requirements of Nasdaq for continued listing of the Common Stock thereon and any other Nasdaq listing and maintenance requirements.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2.31</w:t>
      </w:r>
    </w:p>
    <w:p>
      <w:pPr>
        <w:pStyle w:val="TextBody"/>
        <w:bidi w:val="0"/>
        <w:spacing w:before="0" w:after="240"/>
        <w:jc w:val="both"/>
        <w:rPr/>
      </w:pPr>
      <w:r>
        <w:rPr>
          <w:rFonts w:ascii="Times New Roman" w:hAnsi="Times New Roman"/>
          <w:b/>
          <w:color w:val="000000"/>
          <w:sz w:val="22"/>
        </w:rPr>
        <w:t>No Disqualification Events.</w:t>
      </w:r>
      <w:r>
        <w:rPr>
          <w:color w:val="000000"/>
        </w:rPr>
        <w:t xml:space="preserve"> </w:t>
      </w:r>
      <w:r>
        <w:rPr>
          <w:rFonts w:ascii="Times New Roman" w:hAnsi="Times New Roman"/>
          <w:color w:val="000000"/>
          <w:sz w:val="22"/>
        </w:rPr>
        <w:t>None of the Company, any of its predecessors, any director, executive officer, other officer of the Company participating in the offering contemplated hereby, any beneficial owner (as that term is defined in Rule 13d-3 under the Exchange Act) of 20% or more of the Company’s outstanding voting equity securities, calculated on the basis of voting power, or any “</w:t>
      </w:r>
      <w:r>
        <w:rPr>
          <w:rFonts w:ascii="Times New Roman" w:hAnsi="Times New Roman"/>
          <w:b/>
          <w:i/>
          <w:color w:val="000000"/>
          <w:sz w:val="22"/>
        </w:rPr>
        <w:t>promoter</w:t>
      </w:r>
      <w:r>
        <w:rPr>
          <w:color w:val="000000"/>
        </w:rPr>
        <w:t xml:space="preserve">” </w:t>
      </w:r>
      <w:r>
        <w:rPr>
          <w:rFonts w:ascii="Times New Roman" w:hAnsi="Times New Roman"/>
          <w:color w:val="000000"/>
          <w:sz w:val="22"/>
        </w:rPr>
        <w:t>(as that term is defined in Rule 405 under the Securities Act) connected with the Company in any capacity at the time of the Closing (each, a “</w:t>
      </w:r>
      <w:r>
        <w:rPr>
          <w:rFonts w:ascii="Times New Roman" w:hAnsi="Times New Roman"/>
          <w:b/>
          <w:i/>
          <w:color w:val="000000"/>
          <w:sz w:val="22"/>
        </w:rPr>
        <w:t>Covered Person</w:t>
      </w:r>
      <w:r>
        <w:rPr>
          <w:color w:val="000000"/>
        </w:rPr>
        <w:t xml:space="preserve">” </w:t>
      </w:r>
      <w:r>
        <w:rPr>
          <w:rFonts w:ascii="Times New Roman" w:hAnsi="Times New Roman"/>
          <w:color w:val="000000"/>
          <w:sz w:val="22"/>
        </w:rPr>
        <w:t>and, together, “</w:t>
      </w:r>
      <w:r>
        <w:rPr>
          <w:rFonts w:ascii="Times New Roman" w:hAnsi="Times New Roman"/>
          <w:b/>
          <w:i/>
          <w:color w:val="000000"/>
          <w:sz w:val="22"/>
        </w:rPr>
        <w:t>Covered Persons</w:t>
      </w:r>
      <w:r>
        <w:rPr>
          <w:color w:val="000000"/>
        </w:rPr>
        <w:t>”</w:t>
      </w:r>
      <w:r>
        <w:rPr>
          <w:rFonts w:ascii="Times New Roman" w:hAnsi="Times New Roman"/>
          <w:color w:val="000000"/>
          <w:sz w:val="22"/>
        </w:rPr>
        <w:t>) is subject to any of the “</w:t>
      </w:r>
      <w:r>
        <w:rPr>
          <w:rFonts w:ascii="Times New Roman" w:hAnsi="Times New Roman"/>
          <w:b/>
          <w:i/>
          <w:color w:val="000000"/>
          <w:sz w:val="22"/>
        </w:rPr>
        <w:t>Bad Actor</w:t>
      </w:r>
      <w:r>
        <w:rPr>
          <w:color w:val="000000"/>
        </w:rPr>
        <w:t xml:space="preserve">” </w:t>
      </w:r>
      <w:r>
        <w:rPr>
          <w:rFonts w:ascii="Times New Roman" w:hAnsi="Times New Roman"/>
          <w:color w:val="000000"/>
          <w:sz w:val="22"/>
        </w:rPr>
        <w:t>disqualifications described in Rule 506(d)(1)(i) to (viii) under the Securities Act (a “</w:t>
      </w:r>
      <w:r>
        <w:rPr>
          <w:rFonts w:ascii="Times New Roman" w:hAnsi="Times New Roman"/>
          <w:b/>
          <w:i/>
          <w:color w:val="000000"/>
          <w:sz w:val="22"/>
        </w:rPr>
        <w:t>Disqualification Event</w:t>
      </w:r>
      <w:r>
        <w:rPr>
          <w:color w:val="000000"/>
        </w:rPr>
        <w:t>”</w:t>
      </w:r>
      <w:r>
        <w:rPr>
          <w:rFonts w:ascii="Times New Roman" w:hAnsi="Times New Roman"/>
          <w:color w:val="000000"/>
          <w:sz w:val="22"/>
        </w:rPr>
        <w:t>). The Company has exercised reasonable care to determine (i) the identity of each person that is a Covered Person; and (ii) whether any Covered Person is subject to a Disqualification Event. The Company has complied, to the extent applicable, with its disclosure obligations under Rule 506(e). With respect to each Covered Person, the Company has established procedures reasonably designed to ensure that the Company receives notice from each such Covered Person, and will notify the Purchasers in writing, of (x) any Disqualification Event relating to that Covered Person, and (y) any event that would, with the passage of time, become a Disqualification Event relating to that Covered Person; in each case occurring up to and including the Closing Date. The Company is not for any other reason disqualified from reliance upon Rule 506 of Regulation D for purposes of the offer and sale of the Shares.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2.32</w:t>
      </w:r>
    </w:p>
    <w:p>
      <w:pPr>
        <w:pStyle w:val="TextBody"/>
        <w:bidi w:val="0"/>
        <w:spacing w:before="0" w:after="240"/>
        <w:jc w:val="both"/>
        <w:rPr/>
      </w:pPr>
      <w:r>
        <w:rPr>
          <w:rFonts w:ascii="Times New Roman" w:hAnsi="Times New Roman"/>
          <w:b/>
          <w:color w:val="000000"/>
          <w:sz w:val="22"/>
        </w:rPr>
        <w:t>Subsidiaries.</w:t>
      </w:r>
      <w:r>
        <w:rPr>
          <w:color w:val="000000"/>
        </w:rPr>
        <w:t xml:space="preserve"> </w:t>
      </w:r>
      <w:r>
        <w:rPr>
          <w:rFonts w:ascii="Times New Roman" w:hAnsi="Times New Roman"/>
          <w:color w:val="000000"/>
          <w:sz w:val="22"/>
        </w:rPr>
        <w:t>The Company does not have any subsidiaries and does not otherwise own any shares of capital stock or any interest in any other Person. The Company does not control directly or indirectly or have any direct or indirect equity participation or similar interest in any corporation, partnership, limited liability company, joint venture, trust or other business association or entity.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2.33</w:t>
      </w:r>
    </w:p>
    <w:p>
      <w:pPr>
        <w:pStyle w:val="TextBody"/>
        <w:bidi w:val="0"/>
        <w:spacing w:before="0" w:after="240"/>
        <w:jc w:val="both"/>
        <w:rPr/>
      </w:pPr>
      <w:r>
        <w:rPr>
          <w:rFonts w:ascii="Times New Roman" w:hAnsi="Times New Roman"/>
          <w:b/>
          <w:color w:val="000000"/>
          <w:sz w:val="22"/>
        </w:rPr>
        <w:t>Subchapter C Corporation.</w:t>
      </w:r>
      <w:r>
        <w:rPr>
          <w:color w:val="000000"/>
        </w:rPr>
        <w:t xml:space="preserve"> </w:t>
      </w:r>
      <w:r>
        <w:rPr>
          <w:rFonts w:ascii="Times New Roman" w:hAnsi="Times New Roman"/>
          <w:color w:val="000000"/>
          <w:sz w:val="22"/>
        </w:rPr>
        <w:t>The Company is classified as a Subchapter C corporation for U.S. federal tax purposes. The Company agrees that, during such time as Purchaser is an owner of Shares, the Company may only change the tax classification of the Company with advance written notice to each Purchaser of at least thirty (30) days and permit each Purchaser to assign its Shares to a wholly owned subsidiary of Purchaser.</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3</w:t>
      </w:r>
    </w:p>
    <w:p>
      <w:pPr>
        <w:pStyle w:val="TextBody"/>
        <w:bidi w:val="0"/>
        <w:spacing w:before="0" w:after="240"/>
        <w:jc w:val="center"/>
        <w:rPr/>
      </w:pPr>
      <w:r>
        <w:rPr>
          <w:rFonts w:ascii="Times New Roman" w:hAnsi="Times New Roman"/>
          <w:color w:val="000000"/>
          <w:sz w:val="22"/>
        </w:rPr>
        <w:br/>
        <w:br/>
      </w:r>
      <w:r>
        <w:rPr>
          <w:rFonts w:ascii="Times New Roman" w:hAnsi="Times New Roman"/>
          <w:b/>
          <w:color w:val="000000"/>
          <w:sz w:val="22"/>
        </w:rPr>
        <w:t>PURCHASER’S REPRESENTATIONS AND WARRANTIES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Purchaser represents and warrants to the Company, with respect solely to itself and its purchase hereunder, that as of the Closing (or, in the case of Section 3.1, as of the date of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3.1</w:t>
      </w:r>
    </w:p>
    <w:p>
      <w:pPr>
        <w:pStyle w:val="TextBody"/>
        <w:bidi w:val="0"/>
        <w:spacing w:before="0" w:after="240"/>
        <w:jc w:val="both"/>
        <w:rPr/>
      </w:pPr>
      <w:r>
        <w:rPr>
          <w:rFonts w:ascii="Times New Roman" w:hAnsi="Times New Roman"/>
          <w:b/>
          <w:color w:val="000000"/>
          <w:sz w:val="22"/>
        </w:rPr>
        <w:t>Investment Purpose.</w:t>
      </w:r>
      <w:r>
        <w:rPr>
          <w:color w:val="000000"/>
        </w:rPr>
        <w:t xml:space="preserve"> </w:t>
      </w:r>
      <w:r>
        <w:rPr>
          <w:rFonts w:ascii="Times New Roman" w:hAnsi="Times New Roman"/>
          <w:color w:val="000000"/>
          <w:sz w:val="22"/>
        </w:rPr>
        <w:t xml:space="preserve">The Purchaser is purchasing the Shares for its own account and not with a present view, toward the public sale or distribution thereof and has no intention of selling or distributing any of such Shares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or any arrangement or understanding with any other Persons regarding the sale or distribution of such Shares except as would not result in a violation of the Securities Act. The Purchaser will not, directly or indirectly, offer, sell, pledge, transfer or otherwise dispose of (or solicit any offers to buy, purchase or otherwise acquire or take a pledge of) any of the Shares except pursuant to and in accordance with the Securities Act.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3.2</w:t>
      </w:r>
    </w:p>
    <w:p>
      <w:pPr>
        <w:pStyle w:val="TextBody"/>
        <w:bidi w:val="0"/>
        <w:spacing w:before="0" w:after="240"/>
        <w:jc w:val="both"/>
        <w:rPr/>
      </w:pPr>
      <w:r>
        <w:rPr>
          <w:rFonts w:ascii="Times New Roman" w:hAnsi="Times New Roman"/>
          <w:b/>
          <w:color w:val="000000"/>
          <w:sz w:val="22"/>
        </w:rPr>
        <w:t xml:space="preserve">Information. </w:t>
      </w:r>
      <w:r>
        <w:rPr>
          <w:rFonts w:ascii="Times New Roman" w:hAnsi="Times New Roman"/>
          <w:color w:val="000000"/>
          <w:sz w:val="22"/>
        </w:rPr>
        <w:t>The Purchaser has been furnished with all relevant materials relating to the business, finances and operations of the Company necessary to make an investment decision, and materials relating to the offer and sale of the Shares, that have been requested by the Purchaser, including, without limitation, the SEC Documents, and the Purchaser has had the opportunity to review the SEC Documents. The Purchaser has been afforded the opportunity to ask questions of the Company. Neither such inquiries nor any other investigation conducted by or on behalf of such Purchaser or its representatives or counsel shall modify, amend or affect such Purchaser’s right to rely on the truth, accuracy and completeness of the SEC Documents and the Company’s representations and warranties contained in the Agreement. The Purchaser also specifically acknowledges that the Company would not enter into this Agreement or any related documents in the absence of such Purchaser’s representations and acknowledgments set out in this Agreement, and that this Agreement, including such representations and acknowledgments, are a fundamental inducement to the Company, and a substantial portion of the consideration provided by such Purchaser, in this transaction, and that the Company would not enter into this transaction but for this inducement.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3.3</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Acknowledgement of Risk.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Purchaser acknowledges and understands that its investment in the Shares involves a significant degree of risk, including, without limitation, (i) the Company remains a development stage business with limited operating history and requires substantial funds in addition to the proceeds from the sale of the Shares; (ii) an investment in the Company is speculative, and only Purchasers who can afford the loss of their entire investment should consider investing in the Company and the Shares; (iii) the Purchaser may not be able to liquidate its investment; (iv) transferability of the Shares is extremely limited; (v) in the event of a disposition of the Shares, the Purchaser could sustain the loss of its entire investment; and (vi) the Company has not paid any dividends on its Common Stock since inception and does not anticipate the payment of dividends in the foreseeable future. Such risks are more fully set forth in the SEC Documents;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Purchaser is able to bear the economic risk of holding the Shares for an indefinite period, and has knowledge and experience in financial and business matters such that it is capable of evaluating the risks of the investment in the Shares; and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Purchaser has, in connection with the Purchaser’s decision to purchase the Shares, not relied upon any representations or other information (whether oral or written) other than as set forth in the representations and warranties of the Company contained herein and the information disclosed in the SEC Documents, and the Purchaser has, with respect to all matters relating to this Agreement and the offer and sale of the Shares, relied solely upon the advice of such Purchaser’s own counsel and has not relied upon or consulted any counsel to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3.4</w:t>
      </w:r>
    </w:p>
    <w:p>
      <w:pPr>
        <w:pStyle w:val="TextBody"/>
        <w:bidi w:val="0"/>
        <w:spacing w:before="0" w:after="240"/>
        <w:jc w:val="both"/>
        <w:rPr/>
      </w:pPr>
      <w:r>
        <w:rPr>
          <w:rFonts w:ascii="Times New Roman" w:hAnsi="Times New Roman"/>
          <w:b/>
          <w:color w:val="000000"/>
          <w:sz w:val="22"/>
        </w:rPr>
        <w:t xml:space="preserve">Governmental Review. </w:t>
      </w:r>
      <w:r>
        <w:rPr>
          <w:rFonts w:ascii="Times New Roman" w:hAnsi="Times New Roman"/>
          <w:color w:val="000000"/>
          <w:sz w:val="22"/>
        </w:rPr>
        <w:t>The Purchaser understands that no United States federal or state agency or any other government or governmental agency has passed upon or made any recommendation or endorsement of the Shares or an investment therein.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3.5</w:t>
      </w:r>
    </w:p>
    <w:p>
      <w:pPr>
        <w:pStyle w:val="TextBody"/>
        <w:bidi w:val="0"/>
        <w:spacing w:before="0" w:after="240"/>
        <w:jc w:val="both"/>
        <w:rPr/>
      </w:pPr>
      <w:r>
        <w:rPr>
          <w:rFonts w:ascii="Times New Roman" w:hAnsi="Times New Roman"/>
          <w:b/>
          <w:color w:val="000000"/>
          <w:sz w:val="22"/>
        </w:rPr>
        <w:t>Transfer or Resale.</w:t>
      </w:r>
      <w:r>
        <w:rPr>
          <w:color w:val="000000"/>
        </w:rPr>
        <w:t xml:space="preserve"> </w:t>
      </w:r>
      <w:r>
        <w:rPr>
          <w:rFonts w:ascii="Times New Roman" w:hAnsi="Times New Roman"/>
          <w:color w:val="000000"/>
          <w:sz w:val="22"/>
        </w:rPr>
        <w:t>The Purchaser understands that: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offer and sale of the Shares has not been and is not being registered under the Securities Act or any applicable state securities laws and, consequently, the Purchaser may have to bear the risk of owning the Shares for an indefinite period of time because the Shares may not be transferred unless (i) the resale of the Shares is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registered pursuant to an effective registration statement under the Securities Act; or (ii) the Shares are sold or transferred pursuant to Rule 144 or another available exemption from the registration requirements of the Securities Act;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sale of the Shares made in reliance on Rule 144 may be made only in accordance with the terms of Rule 144 and, if Rule 144 is not applicable, any resale of the Shares under circumstances in which the seller (or the Person through whom the sale is made) is deemed to be an underwriter (as that term is defined in the Securities Act) may require compliance with some other exemption under the Securities Act or the rules and regulations of the SEC thereunder; and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Company nor any other Person is under any obligation to register the resale of the Shares under the Securities Act or any state securities laws or to comply with the terms and conditions of any exemption thereunder.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3.6</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Legends.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Purchaser understands the book entries representing the Shares will bear a restrictive legend in substantially the following form, in addition to any other legend required by applicable state securities laws or as may be appropriate to legend any restrictions on transfer set forth in this Agreement (and a stop-transfer order may be placed against transfer of the book entries for such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SECURITIES REPRESENTED HEREBY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color w:val="000000"/>
          <w:sz w:val="22"/>
        </w:rPr>
        <w:t>The Purchaser may request that the Company remove, and the Company agrees to authorize the removal of any legend from any Shares issued to such Purchaser (i) following any sale, or certification by a Purchaser of the expected sale, of such Shares pursuant to Rule 144, or (ii) if such Shares are eligible for sale under Rule 144 following the expiration of the one-year holding requirement under subparagraphs (b)(1)(i) and (d) thereof and the Purchaser is not an affiliate of the Company, in each case following receipt from the Purchaser of an appropriate certification to such effect. Following the time a legend is no longer required for the Shares under this Section 3.6(b), the Company will, no later than five Trading Days following the delivery by a Purchaser to the Company or the Company’s Transfer Agent of the appropriate certifications that the applicable requirements have been satisfied deliver or cause to be delivered to such Purchaser a certificate or evidence of book entry representing such securities that is free from all restrictive and other legends or, in the case of Shares, if requested by Purchaser, by crediting such Shares to the account of the Purchaser or its designee with The Depository Trust Company through its Deposit or Withdrawal at Custodian system (“</w:t>
      </w:r>
      <w:r>
        <w:rPr>
          <w:rFonts w:ascii="Times New Roman" w:hAnsi="Times New Roman"/>
          <w:b/>
          <w:i/>
          <w:color w:val="000000"/>
          <w:sz w:val="22"/>
        </w:rPr>
        <w:t>DWAC</w:t>
      </w:r>
      <w:r>
        <w:rPr>
          <w:color w:val="000000"/>
        </w:rPr>
        <w:t>”</w:t>
      </w:r>
      <w:r>
        <w:rPr>
          <w:rFonts w:ascii="Times New Roman" w:hAnsi="Times New Roman"/>
          <w:color w:val="000000"/>
          <w:sz w:val="22"/>
        </w:rPr>
        <w:t>) if the Company is then a participant in such system (“</w:t>
      </w:r>
      <w:r>
        <w:rPr>
          <w:rFonts w:ascii="Times New Roman" w:hAnsi="Times New Roman"/>
          <w:b/>
          <w:i/>
          <w:color w:val="000000"/>
          <w:sz w:val="22"/>
        </w:rPr>
        <w:t>DWAC Delivery</w:t>
      </w:r>
      <w:r>
        <w:rPr>
          <w:color w:val="000000"/>
        </w:rPr>
        <w:t>”</w:t>
      </w:r>
      <w:r>
        <w:rPr>
          <w:rFonts w:ascii="Times New Roman" w:hAnsi="Times New Roman"/>
          <w:color w:val="000000"/>
          <w:sz w:val="22"/>
        </w:rPr>
        <w:t>). The Company shall be responsible for the fees of its Transfer Agent and all DTC fees associated with such issuance.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3.7</w:t>
      </w:r>
    </w:p>
    <w:p>
      <w:pPr>
        <w:pStyle w:val="TextBody"/>
        <w:bidi w:val="0"/>
        <w:spacing w:before="0" w:after="240"/>
        <w:jc w:val="both"/>
        <w:rPr/>
      </w:pPr>
      <w:r>
        <w:rPr>
          <w:rFonts w:ascii="Times New Roman" w:hAnsi="Times New Roman"/>
          <w:b/>
          <w:color w:val="000000"/>
          <w:sz w:val="22"/>
        </w:rPr>
        <w:t>Authorization; Enforcement.</w:t>
      </w:r>
      <w:r>
        <w:rPr>
          <w:color w:val="000000"/>
        </w:rPr>
        <w:t xml:space="preserve"> </w:t>
      </w:r>
      <w:r>
        <w:rPr>
          <w:rFonts w:ascii="Times New Roman" w:hAnsi="Times New Roman"/>
          <w:color w:val="000000"/>
          <w:sz w:val="22"/>
        </w:rPr>
        <w:t xml:space="preserve">The Purchaser has the requisite power and authority to enter into this Agreement and to consummate the transactions contemplated hereby. The Purchaser has taken all necessary action to authorize the execution, delivery and performance of this Agreement. Upon the execution and delivery of this Agreement, this Agreement shall constitute a valid and binding obligation of the Purchaser enforceable in accordance with its terms, except as enforceability may be limited by applicable bankruptcy, insolvency, reorganization, moratorium or similar laws affecting creditors’ and contracting parties’ rights generally and except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enforceability may be subject to general principles of equity and except as rights to indemnity and contribution may be limited by state or federal securities laws or public policy underlying such laws.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3.8</w:t>
      </w:r>
    </w:p>
    <w:p>
      <w:pPr>
        <w:pStyle w:val="TextBody"/>
        <w:bidi w:val="0"/>
        <w:spacing w:before="0" w:after="240"/>
        <w:jc w:val="both"/>
        <w:rPr/>
      </w:pPr>
      <w:r>
        <w:rPr>
          <w:rFonts w:ascii="Times New Roman" w:hAnsi="Times New Roman"/>
          <w:b/>
          <w:color w:val="000000"/>
          <w:sz w:val="22"/>
        </w:rPr>
        <w:t>Residency.</w:t>
      </w:r>
      <w:r>
        <w:rPr>
          <w:color w:val="000000"/>
        </w:rPr>
        <w:t xml:space="preserve"> </w:t>
      </w:r>
      <w:r>
        <w:rPr>
          <w:rFonts w:ascii="Times New Roman" w:hAnsi="Times New Roman"/>
          <w:color w:val="000000"/>
          <w:sz w:val="22"/>
        </w:rPr>
        <w:t>Unless the Purchaser has otherwise notified the Company in writing, the Purchaser is a resident of the jurisdiction set forth immediately below such Purchaser’s name on the signature pages hereto.</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3.9</w:t>
      </w:r>
    </w:p>
    <w:p>
      <w:pPr>
        <w:pStyle w:val="TextBody"/>
        <w:bidi w:val="0"/>
        <w:spacing w:before="0" w:after="240"/>
        <w:jc w:val="both"/>
        <w:rPr/>
      </w:pPr>
      <w:r>
        <w:rPr>
          <w:rFonts w:ascii="Times New Roman" w:hAnsi="Times New Roman"/>
          <w:b/>
          <w:color w:val="000000"/>
          <w:sz w:val="22"/>
        </w:rPr>
        <w:t xml:space="preserve">Accredited Investor Status. </w:t>
      </w:r>
      <w:r>
        <w:rPr>
          <w:rFonts w:ascii="Times New Roman" w:hAnsi="Times New Roman"/>
          <w:color w:val="000000"/>
          <w:sz w:val="22"/>
        </w:rPr>
        <w:t>As of the date of this Agreement, the Purchaser is an “accredited investor” as that term is defined in Rule 501(a) of Regulation D of the Securities Act and has such knowledge and experience in financial and business matters as to be able to protect its own interests in connection with an investment in the Shares. The Purchaser further represents and warrants that (x) it is capable of evaluating the merits and risk of such investment, and (y) that it has not been organized for the purpose of acquiring the Shares.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4</w:t>
      </w:r>
    </w:p>
    <w:p>
      <w:pPr>
        <w:pStyle w:val="TextBody"/>
        <w:bidi w:val="0"/>
        <w:spacing w:before="0" w:after="240"/>
        <w:jc w:val="center"/>
        <w:rPr/>
      </w:pPr>
      <w:r>
        <w:rPr>
          <w:rFonts w:ascii="Times New Roman" w:hAnsi="Times New Roman"/>
          <w:color w:val="000000"/>
          <w:sz w:val="22"/>
        </w:rPr>
        <w:br/>
        <w:br/>
      </w:r>
      <w:r>
        <w:rPr>
          <w:rFonts w:ascii="Times New Roman" w:hAnsi="Times New Roman"/>
          <w:b/>
          <w:color w:val="000000"/>
          <w:sz w:val="22"/>
        </w:rPr>
        <w:t>CONDITIONS TO CLOSING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4.1</w:t>
      </w:r>
    </w:p>
    <w:p>
      <w:pPr>
        <w:pStyle w:val="TextBody"/>
        <w:bidi w:val="0"/>
        <w:spacing w:before="0" w:after="240"/>
        <w:jc w:val="both"/>
        <w:rPr/>
      </w:pPr>
      <w:r>
        <w:rPr>
          <w:rFonts w:ascii="Times New Roman" w:hAnsi="Times New Roman"/>
          <w:b/>
          <w:color w:val="000000"/>
          <w:sz w:val="22"/>
        </w:rPr>
        <w:t>Conditions to Obligations of the Company.</w:t>
      </w:r>
      <w:r>
        <w:rPr>
          <w:color w:val="000000"/>
        </w:rPr>
        <w:t xml:space="preserve"> </w:t>
      </w:r>
      <w:r>
        <w:rPr>
          <w:rFonts w:ascii="Times New Roman" w:hAnsi="Times New Roman"/>
          <w:color w:val="000000"/>
          <w:sz w:val="22"/>
        </w:rPr>
        <w:t>The Company’s obligation to complete the purchase and sale of the Shares to each Purchaser at the Closing is subject to the waiver by the Company or fulfillment as of the Closing Date, as the case may be, of the following conditions: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pPr>
      <w:r>
        <w:rPr>
          <w:rFonts w:ascii="Times New Roman" w:hAnsi="Times New Roman"/>
          <w:b/>
          <w:color w:val="000000"/>
          <w:sz w:val="22"/>
        </w:rPr>
        <w:t>Receipt of Funds.</w:t>
      </w:r>
      <w:r>
        <w:rPr>
          <w:color w:val="000000"/>
        </w:rPr>
        <w:t xml:space="preserve"> </w:t>
      </w:r>
      <w:r>
        <w:rPr>
          <w:rFonts w:ascii="Times New Roman" w:hAnsi="Times New Roman"/>
          <w:color w:val="000000"/>
          <w:sz w:val="22"/>
        </w:rPr>
        <w:t>The Company shall have received immediately available funds in the full amount of the Shares Subscription Amount for the Shares being purchased in the Closing hereunder as set forth opposite such Purchaser’s name on</w:t>
      </w:r>
      <w:r>
        <w:rPr>
          <w:color w:val="000000"/>
        </w:rPr>
        <w:t xml:space="preserve"> </w:t>
      </w:r>
      <w:r>
        <w:rPr>
          <w:rFonts w:ascii="Times New Roman" w:hAnsi="Times New Roman"/>
          <w:b/>
          <w:color w:val="000000"/>
          <w:sz w:val="22"/>
        </w:rPr>
        <w:t>Exhibit A</w:t>
      </w:r>
      <w:r>
        <w:rPr>
          <w:color w:val="00000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b/>
          <w:color w:val="000000"/>
          <w:sz w:val="22"/>
        </w:rPr>
        <w:t>Representations and Warranties.</w:t>
      </w:r>
      <w:r>
        <w:rPr>
          <w:color w:val="000000"/>
        </w:rPr>
        <w:t xml:space="preserve"> </w:t>
      </w:r>
      <w:r>
        <w:rPr>
          <w:rFonts w:ascii="Times New Roman" w:hAnsi="Times New Roman"/>
          <w:color w:val="000000"/>
          <w:sz w:val="22"/>
        </w:rPr>
        <w:t>The representations and warranties made by each Purchaser in Article 3 hereof shall be true and correct in all material respects (or, to the extent representations or warranties are qualified by materiality, in all respects) as of the Closing Date (unless made as of a specified date therein, which such representations and warranties shall be true and correct in all material respects (or, to the extent such representations and warranties are qualified by materiality, in all respects) as of such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rFonts w:ascii="Times New Roman" w:hAnsi="Times New Roman"/>
          <w:b/>
          <w:color w:val="000000"/>
          <w:sz w:val="22"/>
        </w:rPr>
        <w:t>Covenants.</w:t>
      </w:r>
      <w:r>
        <w:rPr>
          <w:color w:val="000000"/>
        </w:rPr>
        <w:t xml:space="preserve"> </w:t>
      </w:r>
      <w:r>
        <w:rPr>
          <w:rFonts w:ascii="Times New Roman" w:hAnsi="Times New Roman"/>
          <w:color w:val="000000"/>
          <w:sz w:val="22"/>
        </w:rPr>
        <w:t>All covenants, agreements and conditions contained in this Agreement to be performed by each Purchaser on or prior to the Closing Date shall have been performed or complied with in all material respects.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pPr>
      <w:r>
        <w:rPr>
          <w:rFonts w:ascii="Times New Roman" w:hAnsi="Times New Roman"/>
          <w:b/>
          <w:color w:val="000000"/>
          <w:sz w:val="22"/>
        </w:rPr>
        <w:t>Blue Sky.</w:t>
      </w:r>
      <w:r>
        <w:rPr>
          <w:color w:val="000000"/>
        </w:rPr>
        <w:t xml:space="preserve"> </w:t>
      </w:r>
      <w:r>
        <w:rPr>
          <w:rFonts w:ascii="Times New Roman" w:hAnsi="Times New Roman"/>
          <w:color w:val="000000"/>
          <w:sz w:val="22"/>
        </w:rPr>
        <w:t>The Company shall have obtained all necessary blue sky law permits and qualifications, or secured exemptions therefrom, required by any state for the offer and sale of the Shares.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pPr>
      <w:r>
        <w:rPr>
          <w:rFonts w:ascii="Times New Roman" w:hAnsi="Times New Roman"/>
          <w:b/>
          <w:color w:val="000000"/>
          <w:sz w:val="22"/>
        </w:rPr>
        <w:t>No Governmental Prohibition.</w:t>
      </w:r>
      <w:r>
        <w:rPr>
          <w:color w:val="000000"/>
        </w:rPr>
        <w:t xml:space="preserve"> </w:t>
      </w:r>
      <w:r>
        <w:rPr>
          <w:rFonts w:ascii="Times New Roman" w:hAnsi="Times New Roman"/>
          <w:color w:val="000000"/>
          <w:sz w:val="22"/>
        </w:rPr>
        <w:t>The sale of the Shares by the Company shall not be prohibited by any law or governmental order or regulation.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4.2</w:t>
      </w:r>
    </w:p>
    <w:p>
      <w:pPr>
        <w:pStyle w:val="TextBody"/>
        <w:bidi w:val="0"/>
        <w:spacing w:before="0" w:after="240"/>
        <w:jc w:val="both"/>
        <w:rPr/>
      </w:pPr>
      <w:r>
        <w:rPr>
          <w:rFonts w:ascii="Times New Roman" w:hAnsi="Times New Roman"/>
          <w:b/>
          <w:color w:val="000000"/>
          <w:sz w:val="22"/>
        </w:rPr>
        <w:t xml:space="preserve">Conditions to Purchasers’ Obligations. </w:t>
      </w:r>
      <w:r>
        <w:rPr>
          <w:rFonts w:ascii="Times New Roman" w:hAnsi="Times New Roman"/>
          <w:color w:val="000000"/>
          <w:sz w:val="22"/>
        </w:rPr>
        <w:t>Each Purchaser’s obligation to complete the purchase and sale of the Shares is subject to the waiver by such Purchaser or fulfillment as of the Closing Date, as the case may be, of the following conditions: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pPr>
      <w:r>
        <w:rPr>
          <w:rFonts w:ascii="Times New Roman" w:hAnsi="Times New Roman"/>
          <w:b/>
          <w:color w:val="000000"/>
          <w:sz w:val="22"/>
        </w:rPr>
        <w:t>Representations and Warranties</w:t>
      </w:r>
      <w:r>
        <w:rPr>
          <w:rFonts w:ascii="Times New Roman" w:hAnsi="Times New Roman"/>
          <w:color w:val="000000"/>
          <w:sz w:val="22"/>
        </w:rPr>
        <w:t>. The representations and warranties made by the Company in Article 2 hereof shall be true and correct in all material respects (or, to the extent representations or warranties are qualified by materiality or Material Adverse Effect, in all respects) as of the Closing Date (unless made as of a specified date therein, which such representations and warranties shall be true and correct in all material respects (or, to the extent such representations and warranties are qualified by materiality, in all respects) as of such date).</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b/>
          <w:color w:val="000000"/>
          <w:sz w:val="22"/>
        </w:rPr>
        <w:t>Covenants.</w:t>
      </w:r>
      <w:r>
        <w:rPr>
          <w:color w:val="000000"/>
        </w:rPr>
        <w:t xml:space="preserve"> </w:t>
      </w:r>
      <w:r>
        <w:rPr>
          <w:rFonts w:ascii="Times New Roman" w:hAnsi="Times New Roman"/>
          <w:color w:val="000000"/>
          <w:sz w:val="22"/>
        </w:rPr>
        <w:t>All covenants, agreements and conditions contained in this Agreement to be performed by the Company on or prior to the Closing Date shall have been performed or complied with in all material respects.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rFonts w:ascii="Times New Roman" w:hAnsi="Times New Roman"/>
          <w:b/>
          <w:color w:val="000000"/>
          <w:sz w:val="22"/>
        </w:rPr>
        <w:t>Blue Sky.</w:t>
      </w:r>
      <w:r>
        <w:rPr>
          <w:color w:val="000000"/>
        </w:rPr>
        <w:t xml:space="preserve"> </w:t>
      </w:r>
      <w:r>
        <w:rPr>
          <w:rFonts w:ascii="Times New Roman" w:hAnsi="Times New Roman"/>
          <w:color w:val="000000"/>
          <w:sz w:val="22"/>
        </w:rPr>
        <w:t>The Company shall have obtained all necessary blue sky law permits and qualifications, or secured exemptions therefrom, required by any state or foreign or other jurisdiction for the offer and sale of the Shares.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 xml:space="preserve">Nasdaq Qualification.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Common Stock shall be listed on the Nasdaq and shall not have been suspended, as of the Closing Date, by the SEC or Nasdaq from trading thereon nor shall suspension by the SEC or Nasdaq have been threatened, as of the Closing Date, either (i) by the SEC or Nasdaq or (ii) by falling below the minimum listing maintenance requirements of Nasdaq (with a reasonable prospect of delisting occurring after giving effect to all applicable notice, appeal, compliance and hearing periods).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Shares to be issued shall be duly authorized for listing by Nasdaq, subject to official notice of issuance, to the extent required by the rules of Nasdaq.</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pPr>
      <w:r>
        <w:rPr>
          <w:rFonts w:ascii="Times New Roman" w:hAnsi="Times New Roman"/>
          <w:b/>
          <w:color w:val="000000"/>
          <w:sz w:val="22"/>
        </w:rPr>
        <w:t>No Governmental Prohibition.</w:t>
      </w:r>
      <w:r>
        <w:rPr>
          <w:color w:val="000000"/>
        </w:rPr>
        <w:t xml:space="preserve"> </w:t>
      </w:r>
      <w:r>
        <w:rPr>
          <w:rFonts w:ascii="Times New Roman" w:hAnsi="Times New Roman"/>
          <w:color w:val="000000"/>
          <w:sz w:val="22"/>
        </w:rPr>
        <w:t>The sale of the Shares by the Company shall not be prohibited by any law or governmental order or regulation.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pPr>
      <w:r>
        <w:rPr>
          <w:rFonts w:ascii="Times New Roman" w:hAnsi="Times New Roman"/>
          <w:b/>
          <w:color w:val="000000"/>
          <w:sz w:val="22"/>
        </w:rPr>
        <w:t xml:space="preserve">No Material Adverse Effect. </w:t>
      </w:r>
      <w:r>
        <w:rPr>
          <w:rFonts w:ascii="Times New Roman" w:hAnsi="Times New Roman"/>
          <w:color w:val="000000"/>
          <w:sz w:val="22"/>
        </w:rPr>
        <w:t>There shall not have occurred any Material Adverse Effect, or any development that could reasonably be expected to result in a Material Adverse Effect, since the date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40"/>
        <w:jc w:val="both"/>
        <w:rPr/>
      </w:pPr>
      <w:r>
        <w:rPr>
          <w:rFonts w:ascii="Times New Roman" w:hAnsi="Times New Roman"/>
          <w:b/>
          <w:color w:val="000000"/>
          <w:sz w:val="22"/>
        </w:rPr>
        <w:t xml:space="preserve">Transfer Agent Instructions. </w:t>
      </w:r>
      <w:r>
        <w:rPr>
          <w:rFonts w:ascii="Times New Roman" w:hAnsi="Times New Roman"/>
          <w:color w:val="000000"/>
          <w:sz w:val="22"/>
        </w:rPr>
        <w:t xml:space="preserve">The Company shall have delivered to its Transfer Agent irrevocable instructions to issue to such Purchaser or in such nominee name(s) as designated by such Purchaser in writing such number of Shares set forth opposite such Purchaser’s name on </w:t>
      </w:r>
      <w:r>
        <w:rPr>
          <w:rFonts w:ascii="Times New Roman" w:hAnsi="Times New Roman"/>
          <w:b/>
          <w:color w:val="000000"/>
          <w:sz w:val="22"/>
        </w:rPr>
        <w:t>Exhibit A</w:t>
      </w:r>
      <w:r>
        <w:rPr>
          <w:color w:val="000000"/>
        </w:rPr>
        <w:t xml:space="preserve"> </w:t>
      </w:r>
      <w:r>
        <w:rPr>
          <w:rFonts w:ascii="Times New Roman" w:hAnsi="Times New Roman"/>
          <w:color w:val="000000"/>
          <w:sz w:val="22"/>
        </w:rPr>
        <w:t>hereto and a copy of such instructions shall have been delivered to Purchaser.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(h)</w:t>
      </w:r>
    </w:p>
    <w:p>
      <w:pPr>
        <w:pStyle w:val="TextBody"/>
        <w:bidi w:val="0"/>
        <w:spacing w:before="0" w:after="240"/>
        <w:jc w:val="both"/>
        <w:rPr/>
      </w:pPr>
      <w:r>
        <w:rPr>
          <w:rFonts w:ascii="Times New Roman" w:hAnsi="Times New Roman"/>
          <w:b/>
          <w:color w:val="000000"/>
          <w:sz w:val="22"/>
        </w:rPr>
        <w:t>Absence of Litigation</w:t>
      </w:r>
      <w:r>
        <w:rPr>
          <w:rFonts w:ascii="Times New Roman" w:hAnsi="Times New Roman"/>
          <w:color w:val="000000"/>
          <w:sz w:val="22"/>
        </w:rPr>
        <w:t>. No writ, order, stay, stipulation, determination, judgment or injunction (preliminary or permanent), award or decree of or by any court, or judge, justice or magistrate, including any bankruptcy court or judge, or any order, executive order, decree, statute, rule or regulation of or by any governmental authority, shall have been issued, and no action or proceeding shall have been instituted by any governmental authority, enjoining, preventing, or restraining, or seeking to enjoin, prevent or restrain, or which has effect of making the consummation of the transactions contemplated hereby illegal or otherwise prohibiting any of the transactions contemplated hereby, and no action or proceeding seeking to impose such injunction, prohibition or restrain shall have been, to the Company’s knowledge, threatened against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pPr>
      <w:r>
        <w:rPr>
          <w:rFonts w:ascii="Times New Roman" w:hAnsi="Times New Roman"/>
          <w:b/>
          <w:color w:val="000000"/>
          <w:sz w:val="22"/>
        </w:rPr>
        <w:t>Authorizations and Consents</w:t>
      </w:r>
      <w:r>
        <w:rPr>
          <w:rFonts w:ascii="Times New Roman" w:hAnsi="Times New Roman"/>
          <w:color w:val="000000"/>
          <w:sz w:val="22"/>
        </w:rPr>
        <w:t>. The Company shall have obtained any and all authorizations, consents, permits, approvals, registrations and waivers necessary for the consummation of the purchase and sale of the Shares and the consummation of the other transactions contemplated by this Agreement, all of which shall be in full force and effect.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(j)</w:t>
      </w:r>
    </w:p>
    <w:p>
      <w:pPr>
        <w:pStyle w:val="TextBody"/>
        <w:bidi w:val="0"/>
        <w:spacing w:before="0" w:after="240"/>
        <w:jc w:val="both"/>
        <w:rPr/>
      </w:pPr>
      <w:r>
        <w:rPr>
          <w:rFonts w:ascii="Times New Roman" w:hAnsi="Times New Roman"/>
          <w:b/>
          <w:color w:val="000000"/>
          <w:sz w:val="22"/>
        </w:rPr>
        <w:t xml:space="preserve">No Stop Orders. </w:t>
      </w:r>
      <w:r>
        <w:rPr>
          <w:rFonts w:ascii="Times New Roman" w:hAnsi="Times New Roman"/>
          <w:color w:val="000000"/>
          <w:sz w:val="22"/>
        </w:rPr>
        <w:t>No stop order shall have been imposed by Nasdaq, the SEC or any other governmental or regulatory body with respect to public trading in the Common Stock.</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5</w:t>
      </w:r>
    </w:p>
    <w:p>
      <w:pPr>
        <w:pStyle w:val="TextBody"/>
        <w:bidi w:val="0"/>
        <w:spacing w:before="0" w:after="240"/>
        <w:jc w:val="center"/>
        <w:rPr/>
      </w:pPr>
      <w:r>
        <w:rPr>
          <w:rFonts w:ascii="Times New Roman" w:hAnsi="Times New Roman"/>
          <w:color w:val="000000"/>
          <w:sz w:val="22"/>
        </w:rPr>
        <w:br/>
        <w:br/>
      </w:r>
      <w:r>
        <w:rPr>
          <w:rFonts w:ascii="Times New Roman" w:hAnsi="Times New Roman"/>
          <w:b/>
          <w:color w:val="000000"/>
          <w:sz w:val="22"/>
        </w:rPr>
        <w:t>DEFINITIONS</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w:t>
      </w:r>
    </w:p>
    <w:p>
      <w:pPr>
        <w:pStyle w:val="TextBody"/>
        <w:bidi w:val="0"/>
        <w:spacing w:before="0" w:after="240"/>
        <w:jc w:val="both"/>
        <w:rPr/>
      </w:pPr>
      <w:r>
        <w:rPr>
          <w:color w:val="000000"/>
        </w:rPr>
        <w:t>“</w:t>
      </w:r>
      <w:r>
        <w:rPr>
          <w:rFonts w:ascii="Times New Roman" w:hAnsi="Times New Roman"/>
          <w:b/>
          <w:i/>
          <w:color w:val="000000"/>
          <w:sz w:val="22"/>
        </w:rPr>
        <w:t>Administration Kits</w:t>
      </w:r>
      <w:r>
        <w:rPr>
          <w:color w:val="000000"/>
        </w:rPr>
        <w:t xml:space="preserve">” </w:t>
      </w:r>
      <w:r>
        <w:rPr>
          <w:rFonts w:ascii="Times New Roman" w:hAnsi="Times New Roman"/>
          <w:color w:val="000000"/>
          <w:sz w:val="22"/>
        </w:rPr>
        <w:t xml:space="preserve">means </w:t>
      </w:r>
      <w:r>
        <w:rPr>
          <w:rFonts w:ascii="Times New Roman" w:hAnsi="Times New Roman"/>
          <w:color w:val="212121"/>
          <w:sz w:val="22"/>
        </w:rPr>
        <w:t>kits that provide all necessary equipment and information for the enzyme replacement administration.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w:t>
      </w:r>
    </w:p>
    <w:p>
      <w:pPr>
        <w:pStyle w:val="TextBody"/>
        <w:bidi w:val="0"/>
        <w:spacing w:before="0" w:after="240"/>
        <w:jc w:val="both"/>
        <w:rPr/>
      </w:pPr>
      <w:r>
        <w:rPr>
          <w:color w:val="000000"/>
        </w:rPr>
        <w:t>“</w:t>
      </w:r>
      <w:r>
        <w:rPr>
          <w:rFonts w:ascii="Times New Roman" w:hAnsi="Times New Roman"/>
          <w:b/>
          <w:i/>
          <w:color w:val="000000"/>
          <w:sz w:val="22"/>
        </w:rPr>
        <w:t>Affiliate</w:t>
      </w:r>
      <w:r>
        <w:rPr>
          <w:color w:val="000000"/>
        </w:rPr>
        <w:t xml:space="preserve">” </w:t>
      </w:r>
      <w:r>
        <w:rPr>
          <w:rFonts w:ascii="Times New Roman" w:hAnsi="Times New Roman"/>
          <w:color w:val="000000"/>
          <w:sz w:val="22"/>
        </w:rPr>
        <w:t>means, with respect to any Person (as defined below), any other Person controlling, controlled by or under direct or indirect common control with such Person (for the purposes of this definition</w:t>
      </w:r>
      <w:r>
        <w:rPr>
          <w:color w:val="000000"/>
        </w:rPr>
        <w:t xml:space="preserve"> “</w:t>
      </w:r>
      <w:r>
        <w:rPr>
          <w:rFonts w:ascii="Times New Roman" w:hAnsi="Times New Roman"/>
          <w:b/>
          <w:i/>
          <w:color w:val="000000"/>
          <w:sz w:val="22"/>
        </w:rPr>
        <w:t>control</w:t>
      </w:r>
      <w:r>
        <w:rPr>
          <w:rFonts w:ascii="Times New Roman" w:hAnsi="Times New Roman"/>
          <w:color w:val="000000"/>
          <w:sz w:val="22"/>
        </w:rPr>
        <w:t>,” when used with respect to any specified Person, shall mean the power to direct the management and policies of such Person, directly or indirectly, whether through ownership of voting securities, by contract or otherwise; and the terms</w:t>
      </w:r>
      <w:r>
        <w:rPr>
          <w:color w:val="000000"/>
        </w:rPr>
        <w:t xml:space="preserve"> “</w:t>
      </w:r>
      <w:r>
        <w:rPr>
          <w:rFonts w:ascii="Times New Roman" w:hAnsi="Times New Roman"/>
          <w:b/>
          <w:i/>
          <w:color w:val="000000"/>
          <w:sz w:val="22"/>
        </w:rPr>
        <w:t>controlling</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b/>
          <w:i/>
          <w:color w:val="000000"/>
          <w:sz w:val="22"/>
        </w:rPr>
        <w:t>controlled</w:t>
      </w:r>
      <w:r>
        <w:rPr>
          <w:color w:val="000000"/>
        </w:rPr>
        <w:t xml:space="preserve">” </w:t>
      </w:r>
      <w:r>
        <w:rPr>
          <w:rFonts w:ascii="Times New Roman" w:hAnsi="Times New Roman"/>
          <w:color w:val="000000"/>
          <w:sz w:val="22"/>
        </w:rPr>
        <w:t>shall have meanings correlative to the foregoing).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5.3</w:t>
      </w:r>
    </w:p>
    <w:p>
      <w:pPr>
        <w:pStyle w:val="TextBody"/>
        <w:bidi w:val="0"/>
        <w:spacing w:before="0" w:after="240"/>
        <w:jc w:val="both"/>
        <w:rPr/>
      </w:pPr>
      <w:r>
        <w:rPr>
          <w:color w:val="000000"/>
        </w:rPr>
        <w:t>“</w:t>
      </w:r>
      <w:r>
        <w:rPr>
          <w:rFonts w:ascii="Times New Roman" w:hAnsi="Times New Roman"/>
          <w:b/>
          <w:i/>
          <w:color w:val="000000"/>
          <w:sz w:val="22"/>
        </w:rPr>
        <w:t>Agreement</w:t>
      </w:r>
      <w:r>
        <w:rPr>
          <w:color w:val="000000"/>
        </w:rPr>
        <w:t xml:space="preserve">” </w:t>
      </w:r>
      <w:r>
        <w:rPr>
          <w:rFonts w:ascii="Times New Roman" w:hAnsi="Times New Roman"/>
          <w:color w:val="000000"/>
          <w:sz w:val="22"/>
        </w:rPr>
        <w:t>has the meaning set forth in the preamble.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5.4</w:t>
      </w:r>
    </w:p>
    <w:p>
      <w:pPr>
        <w:pStyle w:val="TextBody"/>
        <w:bidi w:val="0"/>
        <w:spacing w:before="0" w:after="240"/>
        <w:jc w:val="both"/>
        <w:rPr/>
      </w:pPr>
      <w:r>
        <w:rPr>
          <w:color w:val="000000"/>
        </w:rPr>
        <w:t>“</w:t>
      </w:r>
      <w:r>
        <w:rPr>
          <w:rFonts w:ascii="Times New Roman" w:hAnsi="Times New Roman"/>
          <w:b/>
          <w:i/>
          <w:color w:val="000000"/>
          <w:sz w:val="22"/>
        </w:rPr>
        <w:t>Business Day</w:t>
      </w:r>
      <w:r>
        <w:rPr>
          <w:color w:val="000000"/>
        </w:rPr>
        <w:t xml:space="preserve">” </w:t>
      </w:r>
      <w:r>
        <w:rPr>
          <w:rFonts w:ascii="Times New Roman" w:hAnsi="Times New Roman"/>
          <w:color w:val="000000"/>
          <w:sz w:val="22"/>
        </w:rPr>
        <w:t>means any day other than Saturday, Sunday or other day on which commercial banks in the City of New York are authorized or required by law to remain closed.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5.5</w:t>
      </w:r>
    </w:p>
    <w:p>
      <w:pPr>
        <w:pStyle w:val="TextBody"/>
        <w:bidi w:val="0"/>
        <w:spacing w:before="0" w:after="240"/>
        <w:jc w:val="both"/>
        <w:rPr/>
      </w:pPr>
      <w:r>
        <w:rPr>
          <w:color w:val="000000"/>
        </w:rPr>
        <w:t>“</w:t>
      </w:r>
      <w:r>
        <w:rPr>
          <w:rFonts w:ascii="Times New Roman" w:hAnsi="Times New Roman"/>
          <w:b/>
          <w:i/>
          <w:color w:val="000000"/>
          <w:sz w:val="22"/>
        </w:rPr>
        <w:t>Closing</w:t>
      </w:r>
      <w:r>
        <w:rPr>
          <w:color w:val="000000"/>
        </w:rPr>
        <w:t xml:space="preserve">” </w:t>
      </w:r>
      <w:r>
        <w:rPr>
          <w:rFonts w:ascii="Times New Roman" w:hAnsi="Times New Roman"/>
          <w:color w:val="000000"/>
          <w:sz w:val="22"/>
        </w:rPr>
        <w:t>has the meaning set forth in Section 1.1(a).</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5.6</w:t>
      </w:r>
    </w:p>
    <w:p>
      <w:pPr>
        <w:pStyle w:val="TextBody"/>
        <w:bidi w:val="0"/>
        <w:spacing w:before="0" w:after="240"/>
        <w:jc w:val="both"/>
        <w:rPr/>
      </w:pPr>
      <w:r>
        <w:rPr>
          <w:color w:val="000000"/>
        </w:rPr>
        <w:t>“</w:t>
      </w:r>
      <w:r>
        <w:rPr>
          <w:rFonts w:ascii="Times New Roman" w:hAnsi="Times New Roman"/>
          <w:b/>
          <w:i/>
          <w:color w:val="000000"/>
          <w:sz w:val="22"/>
        </w:rPr>
        <w:t>Closing Date</w:t>
      </w:r>
      <w:r>
        <w:rPr>
          <w:color w:val="000000"/>
        </w:rPr>
        <w:t xml:space="preserve">” </w:t>
      </w:r>
      <w:r>
        <w:rPr>
          <w:rFonts w:ascii="Times New Roman" w:hAnsi="Times New Roman"/>
          <w:color w:val="000000"/>
          <w:sz w:val="22"/>
        </w:rPr>
        <w:t>has the meaning set forth in Section 1.1(c).</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5.7</w:t>
      </w:r>
    </w:p>
    <w:p>
      <w:pPr>
        <w:pStyle w:val="TextBody"/>
        <w:bidi w:val="0"/>
        <w:spacing w:before="0" w:after="240"/>
        <w:jc w:val="both"/>
        <w:rPr/>
      </w:pPr>
      <w:r>
        <w:rPr>
          <w:color w:val="000000"/>
        </w:rPr>
        <w:t>“</w:t>
      </w:r>
      <w:r>
        <w:rPr>
          <w:rFonts w:ascii="Times New Roman" w:hAnsi="Times New Roman"/>
          <w:b/>
          <w:i/>
          <w:color w:val="000000"/>
          <w:sz w:val="22"/>
        </w:rPr>
        <w:t>Common Stock</w:t>
      </w:r>
      <w:r>
        <w:rPr>
          <w:color w:val="000000"/>
        </w:rPr>
        <w:t xml:space="preserve">” </w:t>
      </w:r>
      <w:r>
        <w:rPr>
          <w:rFonts w:ascii="Times New Roman" w:hAnsi="Times New Roman"/>
          <w:color w:val="000000"/>
          <w:sz w:val="22"/>
        </w:rPr>
        <w:t>has the meaning set forth in Recital B to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5.8</w:t>
      </w:r>
    </w:p>
    <w:p>
      <w:pPr>
        <w:pStyle w:val="TextBody"/>
        <w:bidi w:val="0"/>
        <w:spacing w:before="0" w:after="240"/>
        <w:jc w:val="both"/>
        <w:rPr/>
      </w:pPr>
      <w:r>
        <w:rPr>
          <w:color w:val="000000"/>
        </w:rPr>
        <w:t>“</w:t>
      </w:r>
      <w:r>
        <w:rPr>
          <w:rFonts w:ascii="Times New Roman" w:hAnsi="Times New Roman"/>
          <w:b/>
          <w:i/>
          <w:color w:val="000000"/>
          <w:sz w:val="22"/>
        </w:rPr>
        <w:t>Computer Systems</w:t>
      </w:r>
      <w:r>
        <w:rPr>
          <w:color w:val="000000"/>
        </w:rPr>
        <w:t xml:space="preserve">” </w:t>
      </w:r>
      <w:r>
        <w:rPr>
          <w:rFonts w:ascii="Times New Roman" w:hAnsi="Times New Roman"/>
          <w:color w:val="000000"/>
          <w:sz w:val="22"/>
        </w:rPr>
        <w:t>has the meaning set forth in Section 2.12.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5.9</w:t>
      </w:r>
    </w:p>
    <w:p>
      <w:pPr>
        <w:pStyle w:val="TextBody"/>
        <w:bidi w:val="0"/>
        <w:spacing w:before="0" w:after="240"/>
        <w:jc w:val="both"/>
        <w:rPr/>
      </w:pPr>
      <w:r>
        <w:rPr>
          <w:color w:val="000000"/>
        </w:rPr>
        <w:t>“</w:t>
      </w:r>
      <w:r>
        <w:rPr>
          <w:rFonts w:ascii="Times New Roman" w:hAnsi="Times New Roman"/>
          <w:b/>
          <w:i/>
          <w:color w:val="000000"/>
          <w:sz w:val="22"/>
        </w:rPr>
        <w:t>Drug Product</w:t>
      </w:r>
      <w:r>
        <w:rPr>
          <w:color w:val="000000"/>
        </w:rPr>
        <w:t xml:space="preserve">” </w:t>
      </w:r>
      <w:r>
        <w:rPr>
          <w:rFonts w:ascii="Times New Roman" w:hAnsi="Times New Roman"/>
          <w:color w:val="000000"/>
          <w:sz w:val="22"/>
        </w:rPr>
        <w:t>means the final enzyme replacement drug to use in humans.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5.10</w:t>
      </w:r>
    </w:p>
    <w:p>
      <w:pPr>
        <w:pStyle w:val="TextBody"/>
        <w:bidi w:val="0"/>
        <w:spacing w:before="0" w:after="240"/>
        <w:jc w:val="both"/>
        <w:rPr/>
      </w:pPr>
      <w:r>
        <w:rPr>
          <w:color w:val="000000"/>
        </w:rPr>
        <w:t>“</w:t>
      </w:r>
      <w:r>
        <w:rPr>
          <w:rFonts w:ascii="Times New Roman" w:hAnsi="Times New Roman"/>
          <w:b/>
          <w:i/>
          <w:color w:val="000000"/>
          <w:sz w:val="22"/>
        </w:rPr>
        <w:t>Drug Substance</w:t>
      </w:r>
      <w:r>
        <w:rPr>
          <w:color w:val="000000"/>
        </w:rPr>
        <w:t xml:space="preserve">” </w:t>
      </w:r>
      <w:r>
        <w:rPr>
          <w:rFonts w:ascii="Times New Roman" w:hAnsi="Times New Roman"/>
          <w:color w:val="000000"/>
          <w:sz w:val="22"/>
        </w:rPr>
        <w:t>means the active ingredients that go into making the final Drug Product.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5.11</w:t>
      </w:r>
    </w:p>
    <w:p>
      <w:pPr>
        <w:pStyle w:val="TextBody"/>
        <w:bidi w:val="0"/>
        <w:spacing w:before="0" w:after="240"/>
        <w:jc w:val="both"/>
        <w:rPr/>
      </w:pPr>
      <w:r>
        <w:rPr>
          <w:color w:val="000000"/>
        </w:rPr>
        <w:t>“</w:t>
      </w:r>
      <w:r>
        <w:rPr>
          <w:rFonts w:ascii="Times New Roman" w:hAnsi="Times New Roman"/>
          <w:b/>
          <w:i/>
          <w:color w:val="000000"/>
          <w:sz w:val="22"/>
        </w:rPr>
        <w:t>Exchange Act</w:t>
      </w:r>
      <w:r>
        <w:rPr>
          <w:color w:val="000000"/>
        </w:rPr>
        <w:t xml:space="preserve">” </w:t>
      </w:r>
      <w:r>
        <w:rPr>
          <w:rFonts w:ascii="Times New Roman" w:hAnsi="Times New Roman"/>
          <w:color w:val="000000"/>
          <w:sz w:val="22"/>
        </w:rPr>
        <w:t>means the Securities Exchange Act of 1934, as amended.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5.12</w:t>
      </w:r>
    </w:p>
    <w:p>
      <w:pPr>
        <w:pStyle w:val="TextBody"/>
        <w:bidi w:val="0"/>
        <w:spacing w:before="0" w:after="240"/>
        <w:jc w:val="both"/>
        <w:rPr/>
      </w:pPr>
      <w:r>
        <w:rPr>
          <w:color w:val="000000"/>
        </w:rPr>
        <w:t>“</w:t>
      </w:r>
      <w:r>
        <w:rPr>
          <w:rFonts w:ascii="Times New Roman" w:hAnsi="Times New Roman"/>
          <w:b/>
          <w:i/>
          <w:color w:val="000000"/>
          <w:sz w:val="22"/>
        </w:rPr>
        <w:t>Expanded Access</w:t>
      </w:r>
      <w:r>
        <w:rPr>
          <w:color w:val="000000"/>
        </w:rPr>
        <w:t xml:space="preserve">” </w:t>
      </w:r>
      <w:r>
        <w:rPr>
          <w:rFonts w:ascii="Times New Roman" w:hAnsi="Times New Roman"/>
          <w:color w:val="212121"/>
          <w:sz w:val="22"/>
        </w:rPr>
        <w:t>means the enzyme replacement treatment for children that do not qualify for the planned Phase III clinical trial.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5.13</w:t>
      </w:r>
    </w:p>
    <w:p>
      <w:pPr>
        <w:pStyle w:val="TextBody"/>
        <w:bidi w:val="0"/>
        <w:spacing w:before="0" w:after="240"/>
        <w:jc w:val="both"/>
        <w:rPr/>
      </w:pPr>
      <w:r>
        <w:rPr>
          <w:color w:val="000000"/>
        </w:rPr>
        <w:t>“</w:t>
      </w:r>
      <w:r>
        <w:rPr>
          <w:rFonts w:ascii="Times New Roman" w:hAnsi="Times New Roman"/>
          <w:b/>
          <w:i/>
          <w:color w:val="000000"/>
          <w:sz w:val="22"/>
        </w:rPr>
        <w:t>FDA</w:t>
      </w:r>
      <w:r>
        <w:rPr>
          <w:color w:val="000000"/>
        </w:rPr>
        <w:t xml:space="preserve">” </w:t>
      </w:r>
      <w:r>
        <w:rPr>
          <w:rFonts w:ascii="Times New Roman" w:hAnsi="Times New Roman"/>
          <w:color w:val="000000"/>
          <w:sz w:val="22"/>
        </w:rPr>
        <w:t xml:space="preserve">means the United States Food and Drug Administration.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5.14</w:t>
      </w:r>
    </w:p>
    <w:p>
      <w:pPr>
        <w:pStyle w:val="TextBody"/>
        <w:bidi w:val="0"/>
        <w:spacing w:before="0" w:after="240"/>
        <w:jc w:val="both"/>
        <w:rPr/>
      </w:pPr>
      <w:r>
        <w:rPr>
          <w:color w:val="000000"/>
        </w:rPr>
        <w:t>“</w:t>
      </w:r>
      <w:r>
        <w:rPr>
          <w:rFonts w:ascii="Times New Roman" w:hAnsi="Times New Roman"/>
          <w:b/>
          <w:i/>
          <w:color w:val="000000"/>
          <w:sz w:val="22"/>
        </w:rPr>
        <w:t>Financial Statements</w:t>
      </w:r>
      <w:r>
        <w:rPr>
          <w:color w:val="000000"/>
        </w:rPr>
        <w:t xml:space="preserve">” </w:t>
      </w:r>
      <w:r>
        <w:rPr>
          <w:rFonts w:ascii="Times New Roman" w:hAnsi="Times New Roman"/>
          <w:color w:val="000000"/>
          <w:sz w:val="22"/>
        </w:rPr>
        <w:t>means the financial statements of the Company included in the SEC Documents.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5.15</w:t>
      </w:r>
    </w:p>
    <w:p>
      <w:pPr>
        <w:pStyle w:val="TextBody"/>
        <w:bidi w:val="0"/>
        <w:spacing w:before="0" w:after="240"/>
        <w:jc w:val="both"/>
        <w:rPr/>
      </w:pPr>
      <w:r>
        <w:rPr>
          <w:color w:val="000000"/>
        </w:rPr>
        <w:t>“</w:t>
      </w:r>
      <w:r>
        <w:rPr>
          <w:rFonts w:ascii="Times New Roman" w:hAnsi="Times New Roman"/>
          <w:b/>
          <w:i/>
          <w:color w:val="000000"/>
          <w:sz w:val="22"/>
        </w:rPr>
        <w:t>Market Price</w:t>
      </w:r>
      <w:r>
        <w:rPr>
          <w:color w:val="000000"/>
        </w:rPr>
        <w:t xml:space="preserve">” </w:t>
      </w:r>
      <w:r>
        <w:rPr>
          <w:rFonts w:ascii="Times New Roman" w:hAnsi="Times New Roman"/>
          <w:color w:val="000000"/>
          <w:sz w:val="22"/>
        </w:rPr>
        <w:t>means a price per share of Common Stock equal to the lower of (i) the Nasdaq Official Closing Price of the Common Stock (as reflected on Nasdaq.com) on the Trading Day immediately preceding the date of this Agreement and (ii) the average Nasdaq Official Closing Price of the Common Stock (as reflected on Nasdaq.com) for the five (5) consecutive Trading Days ending on (and including) the Trading Day immediately preceding the date of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5.16</w:t>
      </w:r>
    </w:p>
    <w:p>
      <w:pPr>
        <w:pStyle w:val="TextBody"/>
        <w:bidi w:val="0"/>
        <w:spacing w:before="0" w:after="240"/>
        <w:jc w:val="both"/>
        <w:rPr/>
      </w:pPr>
      <w:r>
        <w:rPr>
          <w:color w:val="000000"/>
        </w:rPr>
        <w:t>“</w:t>
      </w:r>
      <w:r>
        <w:rPr>
          <w:rFonts w:ascii="Times New Roman" w:hAnsi="Times New Roman"/>
          <w:b/>
          <w:i/>
          <w:color w:val="000000"/>
          <w:sz w:val="22"/>
        </w:rPr>
        <w:t>Material Adverse Effect</w:t>
      </w:r>
      <w:r>
        <w:rPr>
          <w:color w:val="000000"/>
        </w:rPr>
        <w:t xml:space="preserve">” </w:t>
      </w:r>
      <w:r>
        <w:rPr>
          <w:rFonts w:ascii="Times New Roman" w:hAnsi="Times New Roman"/>
          <w:color w:val="000000"/>
          <w:sz w:val="22"/>
        </w:rPr>
        <w:t>means a change, event, development, occurrence, condition, state of fact or effect (each an “</w:t>
      </w:r>
      <w:r>
        <w:rPr>
          <w:rFonts w:ascii="Times New Roman" w:hAnsi="Times New Roman"/>
          <w:b/>
          <w:i/>
          <w:color w:val="000000"/>
          <w:sz w:val="22"/>
        </w:rPr>
        <w:t>Effect</w:t>
      </w:r>
      <w:r>
        <w:rPr>
          <w:color w:val="000000"/>
        </w:rPr>
        <w:t>”</w:t>
      </w:r>
      <w:r>
        <w:rPr>
          <w:rFonts w:ascii="Times New Roman" w:hAnsi="Times New Roman"/>
          <w:color w:val="000000"/>
          <w:sz w:val="22"/>
        </w:rPr>
        <w:t>) which, individually or in the aggregate with all other Effects that have occurred through the date of determination, has had or would reasonably be expected to have (a) a material adverse effect on the business, operations, prospects, assets and liabilities or condition (financial or otherwise) of the Company, taken as a whole, (b) has had or would reasonably be expected to have a material adverse effect on, or otherwise prevent or materially impair, the ability of the Company to perform its obligations pursuant to the transactions contemplated by this Agreement, or (c) has had or would reasonably be expected to have a material adverse effect on, or otherwise prevent or materially impair, the legality or enforceability of this Agreement or the Shares.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5.17</w:t>
      </w:r>
    </w:p>
    <w:p>
      <w:pPr>
        <w:pStyle w:val="TextBody"/>
        <w:bidi w:val="0"/>
        <w:spacing w:before="0" w:after="240"/>
        <w:jc w:val="both"/>
        <w:rPr/>
      </w:pPr>
      <w:r>
        <w:rPr>
          <w:color w:val="000000"/>
        </w:rPr>
        <w:t>“</w:t>
      </w:r>
      <w:r>
        <w:rPr>
          <w:rFonts w:ascii="Times New Roman" w:hAnsi="Times New Roman"/>
          <w:b/>
          <w:i/>
          <w:color w:val="000000"/>
          <w:sz w:val="22"/>
        </w:rPr>
        <w:t>Nasdaq</w:t>
      </w:r>
      <w:r>
        <w:rPr>
          <w:color w:val="000000"/>
        </w:rPr>
        <w:t xml:space="preserve">” </w:t>
      </w:r>
      <w:r>
        <w:rPr>
          <w:rFonts w:ascii="Times New Roman" w:hAnsi="Times New Roman"/>
          <w:color w:val="000000"/>
          <w:sz w:val="22"/>
        </w:rPr>
        <w:t>means the Nasdaq Stock Market LLC.</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5.18</w:t>
      </w:r>
    </w:p>
    <w:p>
      <w:pPr>
        <w:pStyle w:val="TextBody"/>
        <w:bidi w:val="0"/>
        <w:spacing w:before="0" w:after="240"/>
        <w:jc w:val="both"/>
        <w:rPr/>
      </w:pPr>
      <w:r>
        <w:rPr>
          <w:color w:val="000000"/>
        </w:rPr>
        <w:t>“</w:t>
      </w:r>
      <w:r>
        <w:rPr>
          <w:rFonts w:ascii="Times New Roman" w:hAnsi="Times New Roman"/>
          <w:b/>
          <w:i/>
          <w:color w:val="000000"/>
          <w:sz w:val="22"/>
        </w:rPr>
        <w:t>Person</w:t>
      </w:r>
      <w:r>
        <w:rPr>
          <w:color w:val="000000"/>
        </w:rPr>
        <w:t xml:space="preserve">” </w:t>
      </w:r>
      <w:r>
        <w:rPr>
          <w:rFonts w:ascii="Times New Roman" w:hAnsi="Times New Roman"/>
          <w:color w:val="000000"/>
          <w:sz w:val="22"/>
        </w:rPr>
        <w:t>means any person, individual, corporation, limited liability company, partnership, trust or other nongovernmental entity or any governmental agency, court, authority or other body (whether foreign, federal, state, local or otherwise).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5.19</w:t>
      </w:r>
    </w:p>
    <w:p>
      <w:pPr>
        <w:pStyle w:val="TextBody"/>
        <w:bidi w:val="0"/>
        <w:spacing w:before="0" w:after="240"/>
        <w:jc w:val="both"/>
        <w:rPr/>
      </w:pPr>
      <w:r>
        <w:rPr>
          <w:color w:val="000000"/>
        </w:rPr>
        <w:t>“</w:t>
      </w:r>
      <w:r>
        <w:rPr>
          <w:rFonts w:ascii="Times New Roman" w:hAnsi="Times New Roman"/>
          <w:b/>
          <w:i/>
          <w:color w:val="000000"/>
          <w:sz w:val="22"/>
        </w:rPr>
        <w:t>Preferred Stock</w:t>
      </w:r>
      <w:r>
        <w:rPr>
          <w:color w:val="000000"/>
        </w:rPr>
        <w:t xml:space="preserve">” </w:t>
      </w:r>
      <w:r>
        <w:rPr>
          <w:rFonts w:ascii="Times New Roman" w:hAnsi="Times New Roman"/>
          <w:color w:val="000000"/>
          <w:sz w:val="22"/>
        </w:rPr>
        <w:t>means the preferred stock, par value $0.0001 per share,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5.20</w:t>
      </w:r>
    </w:p>
    <w:p>
      <w:pPr>
        <w:pStyle w:val="TextBody"/>
        <w:bidi w:val="0"/>
        <w:spacing w:before="0" w:after="240"/>
        <w:jc w:val="both"/>
        <w:rPr/>
      </w:pPr>
      <w:r>
        <w:rPr>
          <w:color w:val="000000"/>
        </w:rPr>
        <w:t>“</w:t>
      </w:r>
      <w:r>
        <w:rPr>
          <w:rFonts w:ascii="Times New Roman" w:hAnsi="Times New Roman"/>
          <w:b/>
          <w:i/>
          <w:color w:val="000000"/>
          <w:sz w:val="22"/>
        </w:rPr>
        <w:t>Privacy Laws</w:t>
      </w:r>
      <w:r>
        <w:rPr>
          <w:color w:val="000000"/>
        </w:rPr>
        <w:t xml:space="preserve">” </w:t>
      </w:r>
      <w:r>
        <w:rPr>
          <w:rFonts w:ascii="Times New Roman" w:hAnsi="Times New Roman"/>
          <w:color w:val="000000"/>
          <w:sz w:val="22"/>
        </w:rPr>
        <w:t>means all applicable laws and regulations concerning the privacy, security, or processing of personal information. Without limiting the foregoing, Privacy Laws include: the Federal Trade Commission Act, the California Consumer Privacy Act of 2018, as amended by the California Privacy Rights Act of 2020, the California Online Privacy Protection Act, the Health Insurance Portability and Accountability Act of 1996, as amended and supplemented by the Health Information Technology for Economic and Clinical Health Act of the American Recovery and Reinvestment Act of 2009, the General Data Protection Regulation (Regulation (EU) 2016/679), the UK General Data Protection Regulation and the Data Protection Act 2018, and all other similar international, federal, state, provincial, and local laws.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5.21</w:t>
      </w:r>
    </w:p>
    <w:p>
      <w:pPr>
        <w:pStyle w:val="TextBody"/>
        <w:bidi w:val="0"/>
        <w:spacing w:before="0" w:after="240"/>
        <w:jc w:val="both"/>
        <w:rPr/>
      </w:pPr>
      <w:r>
        <w:rPr>
          <w:color w:val="000000"/>
        </w:rPr>
        <w:t>“</w:t>
      </w:r>
      <w:r>
        <w:rPr>
          <w:rFonts w:ascii="Times New Roman" w:hAnsi="Times New Roman"/>
          <w:b/>
          <w:i/>
          <w:color w:val="000000"/>
          <w:sz w:val="22"/>
        </w:rPr>
        <w:t>Purchasers</w:t>
      </w:r>
      <w:r>
        <w:rPr>
          <w:color w:val="000000"/>
        </w:rPr>
        <w:t xml:space="preserve">” </w:t>
      </w:r>
      <w:r>
        <w:rPr>
          <w:rFonts w:ascii="Times New Roman" w:hAnsi="Times New Roman"/>
          <w:color w:val="000000"/>
          <w:sz w:val="22"/>
        </w:rPr>
        <w:t>has the meaning set forth in the preamble.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5.22</w:t>
      </w:r>
    </w:p>
    <w:p>
      <w:pPr>
        <w:pStyle w:val="TextBody"/>
        <w:bidi w:val="0"/>
        <w:spacing w:before="0" w:after="240"/>
        <w:jc w:val="both"/>
        <w:rPr/>
      </w:pPr>
      <w:r>
        <w:rPr>
          <w:color w:val="000000"/>
        </w:rPr>
        <w:t>“</w:t>
      </w:r>
      <w:r>
        <w:rPr>
          <w:rFonts w:ascii="Times New Roman" w:hAnsi="Times New Roman"/>
          <w:b/>
          <w:i/>
          <w:color w:val="000000"/>
          <w:sz w:val="22"/>
        </w:rPr>
        <w:t>QP Release</w:t>
      </w:r>
      <w:r>
        <w:rPr>
          <w:color w:val="000000"/>
        </w:rPr>
        <w:t xml:space="preserve">” </w:t>
      </w:r>
      <w:r>
        <w:rPr>
          <w:rFonts w:ascii="Times New Roman" w:hAnsi="Times New Roman"/>
          <w:color w:val="000000"/>
          <w:sz w:val="22"/>
        </w:rPr>
        <w:t xml:space="preserve">means </w:t>
      </w:r>
      <w:r>
        <w:rPr>
          <w:rFonts w:ascii="Times New Roman" w:hAnsi="Times New Roman"/>
          <w:color w:val="212121"/>
          <w:sz w:val="22"/>
        </w:rPr>
        <w:t>the requirement to confirm that the active substance has been manufactured in accordance with good manufacturing practice for medicinal products.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5.23</w:t>
      </w:r>
    </w:p>
    <w:p>
      <w:pPr>
        <w:pStyle w:val="TextBody"/>
        <w:bidi w:val="0"/>
        <w:spacing w:before="0" w:after="240"/>
        <w:jc w:val="both"/>
        <w:rPr/>
      </w:pPr>
      <w:r>
        <w:rPr>
          <w:rFonts w:ascii="Times New Roman" w:hAnsi="Times New Roman"/>
          <w:color w:val="000000"/>
          <w:sz w:val="22"/>
        </w:rPr>
        <w:t>The terms</w:t>
      </w:r>
      <w:r>
        <w:rPr>
          <w:color w:val="000000"/>
        </w:rPr>
        <w:t xml:space="preserve"> “</w:t>
      </w:r>
      <w:r>
        <w:rPr>
          <w:rFonts w:ascii="Times New Roman" w:hAnsi="Times New Roman"/>
          <w:b/>
          <w:i/>
          <w:color w:val="000000"/>
          <w:sz w:val="22"/>
        </w:rPr>
        <w:t>register,</w:t>
      </w:r>
      <w:r>
        <w:rPr>
          <w:color w:val="000000"/>
        </w:rPr>
        <w:t>” “</w:t>
      </w:r>
      <w:r>
        <w:rPr>
          <w:rFonts w:ascii="Times New Roman" w:hAnsi="Times New Roman"/>
          <w:b/>
          <w:i/>
          <w:color w:val="000000"/>
          <w:sz w:val="22"/>
        </w:rPr>
        <w:t>registered</w:t>
      </w:r>
      <w:r>
        <w:rPr>
          <w:color w:val="000000"/>
        </w:rPr>
        <w:t xml:space="preserve">” </w:t>
      </w:r>
      <w:r>
        <w:rPr>
          <w:rFonts w:ascii="Times New Roman" w:hAnsi="Times New Roman"/>
          <w:color w:val="000000"/>
          <w:sz w:val="22"/>
        </w:rPr>
        <w:t>and</w:t>
      </w:r>
      <w:r>
        <w:rPr>
          <w:color w:val="000000"/>
        </w:rPr>
        <w:t xml:space="preserve"> “</w:t>
      </w:r>
      <w:r>
        <w:rPr>
          <w:rFonts w:ascii="Times New Roman" w:hAnsi="Times New Roman"/>
          <w:b/>
          <w:i/>
          <w:color w:val="000000"/>
          <w:sz w:val="22"/>
        </w:rPr>
        <w:t>registration</w:t>
      </w:r>
      <w:r>
        <w:rPr>
          <w:color w:val="000000"/>
        </w:rPr>
        <w:t xml:space="preserve">” </w:t>
      </w:r>
      <w:r>
        <w:rPr>
          <w:rFonts w:ascii="Times New Roman" w:hAnsi="Times New Roman"/>
          <w:color w:val="000000"/>
          <w:sz w:val="22"/>
        </w:rPr>
        <w:t>refer to the registration effected by preparing and filing a registration statement in compliance with the Securities Act, and the declaration or ordering of the effectiveness of such registration statement.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5.24</w:t>
      </w:r>
    </w:p>
    <w:p>
      <w:pPr>
        <w:pStyle w:val="TextBody"/>
        <w:bidi w:val="0"/>
        <w:spacing w:before="0" w:after="240"/>
        <w:jc w:val="both"/>
        <w:rPr/>
      </w:pPr>
      <w:r>
        <w:rPr>
          <w:color w:val="000000"/>
        </w:rPr>
        <w:t>“</w:t>
      </w:r>
      <w:r>
        <w:rPr>
          <w:rFonts w:ascii="Times New Roman" w:hAnsi="Times New Roman"/>
          <w:b/>
          <w:i/>
          <w:color w:val="000000"/>
          <w:sz w:val="22"/>
        </w:rPr>
        <w:t>Rule 144</w:t>
      </w:r>
      <w:r>
        <w:rPr>
          <w:color w:val="000000"/>
        </w:rPr>
        <w:t xml:space="preserve">” </w:t>
      </w:r>
      <w:r>
        <w:rPr>
          <w:rFonts w:ascii="Times New Roman" w:hAnsi="Times New Roman"/>
          <w:color w:val="000000"/>
          <w:sz w:val="22"/>
        </w:rPr>
        <w:t>means Rule 144 promulgated under the Securities Act, or any successor rule.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5.25</w:t>
      </w:r>
    </w:p>
    <w:p>
      <w:pPr>
        <w:pStyle w:val="TextBody"/>
        <w:bidi w:val="0"/>
        <w:spacing w:before="0" w:after="240"/>
        <w:jc w:val="both"/>
        <w:rPr/>
      </w:pPr>
      <w:r>
        <w:rPr>
          <w:color w:val="000000"/>
        </w:rPr>
        <w:t>“</w:t>
      </w:r>
      <w:r>
        <w:rPr>
          <w:rFonts w:ascii="Times New Roman" w:hAnsi="Times New Roman"/>
          <w:b/>
          <w:i/>
          <w:color w:val="000000"/>
          <w:sz w:val="22"/>
        </w:rPr>
        <w:t>SEC</w:t>
      </w:r>
      <w:r>
        <w:rPr>
          <w:color w:val="000000"/>
        </w:rPr>
        <w:t xml:space="preserve">” </w:t>
      </w:r>
      <w:r>
        <w:rPr>
          <w:rFonts w:ascii="Times New Roman" w:hAnsi="Times New Roman"/>
          <w:color w:val="000000"/>
          <w:sz w:val="22"/>
        </w:rPr>
        <w:t>means the United States Securities and Exchange Commission.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5.26</w:t>
      </w:r>
    </w:p>
    <w:p>
      <w:pPr>
        <w:pStyle w:val="TextBody"/>
        <w:bidi w:val="0"/>
        <w:spacing w:before="0" w:after="240"/>
        <w:jc w:val="both"/>
        <w:rPr/>
      </w:pPr>
      <w:r>
        <w:rPr>
          <w:color w:val="000000"/>
        </w:rPr>
        <w:t>“</w:t>
      </w:r>
      <w:r>
        <w:rPr>
          <w:rFonts w:ascii="Times New Roman" w:hAnsi="Times New Roman"/>
          <w:b/>
          <w:i/>
          <w:color w:val="000000"/>
          <w:sz w:val="22"/>
        </w:rPr>
        <w:t>SEC Documents</w:t>
      </w:r>
      <w:r>
        <w:rPr>
          <w:color w:val="000000"/>
        </w:rPr>
        <w:t xml:space="preserve">” </w:t>
      </w:r>
      <w:r>
        <w:rPr>
          <w:rFonts w:ascii="Times New Roman" w:hAnsi="Times New Roman"/>
          <w:color w:val="000000"/>
          <w:sz w:val="22"/>
        </w:rPr>
        <w:t>has the meaning set forth in Section 2.1.</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5.27</w:t>
      </w:r>
    </w:p>
    <w:p>
      <w:pPr>
        <w:pStyle w:val="TextBody"/>
        <w:bidi w:val="0"/>
        <w:spacing w:before="0" w:after="240"/>
        <w:jc w:val="both"/>
        <w:rPr/>
      </w:pPr>
      <w:r>
        <w:rPr>
          <w:color w:val="000000"/>
        </w:rPr>
        <w:t>“</w:t>
      </w:r>
      <w:r>
        <w:rPr>
          <w:rFonts w:ascii="Times New Roman" w:hAnsi="Times New Roman"/>
          <w:b/>
          <w:i/>
          <w:color w:val="000000"/>
          <w:sz w:val="22"/>
        </w:rPr>
        <w:t>Securities Act</w:t>
      </w:r>
      <w:r>
        <w:rPr>
          <w:color w:val="000000"/>
        </w:rPr>
        <w:t xml:space="preserve">” </w:t>
      </w:r>
      <w:r>
        <w:rPr>
          <w:rFonts w:ascii="Times New Roman" w:hAnsi="Times New Roman"/>
          <w:color w:val="000000"/>
          <w:sz w:val="22"/>
        </w:rPr>
        <w:t>means the Securities Act of 1933, as amended, and the rules and regulations thereunder, or any similar successor statute.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5.28</w:t>
      </w:r>
    </w:p>
    <w:p>
      <w:pPr>
        <w:pStyle w:val="TextBody"/>
        <w:bidi w:val="0"/>
        <w:spacing w:before="0" w:after="240"/>
        <w:jc w:val="both"/>
        <w:rPr/>
      </w:pPr>
      <w:r>
        <w:rPr>
          <w:color w:val="000000"/>
        </w:rPr>
        <w:t>“</w:t>
      </w:r>
      <w:r>
        <w:rPr>
          <w:rFonts w:ascii="Times New Roman" w:hAnsi="Times New Roman"/>
          <w:b/>
          <w:i/>
          <w:color w:val="000000"/>
          <w:sz w:val="22"/>
        </w:rPr>
        <w:t>Shares</w:t>
      </w:r>
      <w:r>
        <w:rPr>
          <w:color w:val="000000"/>
        </w:rPr>
        <w:t xml:space="preserve">” </w:t>
      </w:r>
      <w:r>
        <w:rPr>
          <w:rFonts w:ascii="Times New Roman" w:hAnsi="Times New Roman"/>
          <w:color w:val="000000"/>
          <w:sz w:val="22"/>
        </w:rPr>
        <w:t>has the meaning set forth in Recital B to this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5.29</w:t>
      </w:r>
    </w:p>
    <w:p>
      <w:pPr>
        <w:pStyle w:val="TextBody"/>
        <w:bidi w:val="0"/>
        <w:spacing w:before="0" w:after="240"/>
        <w:jc w:val="both"/>
        <w:rPr/>
      </w:pPr>
      <w:r>
        <w:rPr>
          <w:color w:val="000000"/>
        </w:rPr>
        <w:t>“</w:t>
      </w:r>
      <w:r>
        <w:rPr>
          <w:rFonts w:ascii="Times New Roman" w:hAnsi="Times New Roman"/>
          <w:b/>
          <w:i/>
          <w:color w:val="000000"/>
          <w:sz w:val="22"/>
        </w:rPr>
        <w:t>Shares Subscription Amount</w:t>
      </w:r>
      <w:r>
        <w:rPr>
          <w:color w:val="000000"/>
        </w:rPr>
        <w:t xml:space="preserve">” </w:t>
      </w:r>
      <w:r>
        <w:rPr>
          <w:rFonts w:ascii="Times New Roman" w:hAnsi="Times New Roman"/>
          <w:color w:val="000000"/>
          <w:sz w:val="22"/>
        </w:rPr>
        <w:t>has the meaning set forth in Section 1.1(a).</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5.30</w:t>
      </w:r>
    </w:p>
    <w:p>
      <w:pPr>
        <w:pStyle w:val="TextBody"/>
        <w:bidi w:val="0"/>
        <w:spacing w:before="0" w:after="240"/>
        <w:jc w:val="both"/>
        <w:rPr/>
      </w:pPr>
      <w:r>
        <w:rPr>
          <w:color w:val="000000"/>
        </w:rPr>
        <w:t>“</w:t>
      </w:r>
      <w:r>
        <w:rPr>
          <w:rFonts w:ascii="Times New Roman" w:hAnsi="Times New Roman"/>
          <w:b/>
          <w:i/>
          <w:color w:val="000000"/>
          <w:sz w:val="22"/>
        </w:rPr>
        <w:t>Trading Day</w:t>
      </w:r>
      <w:r>
        <w:rPr>
          <w:color w:val="000000"/>
        </w:rPr>
        <w:t xml:space="preserve">” </w:t>
      </w:r>
      <w:r>
        <w:rPr>
          <w:rFonts w:ascii="Times New Roman" w:hAnsi="Times New Roman"/>
          <w:color w:val="000000"/>
          <w:sz w:val="22"/>
        </w:rPr>
        <w:t xml:space="preserve">means a day on which the principal Trading Market is open for trading.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5.31</w:t>
      </w:r>
    </w:p>
    <w:p>
      <w:pPr>
        <w:pStyle w:val="TextBody"/>
        <w:bidi w:val="0"/>
        <w:spacing w:before="0" w:after="240"/>
        <w:jc w:val="both"/>
        <w:rPr/>
      </w:pPr>
      <w:r>
        <w:rPr>
          <w:color w:val="000000"/>
        </w:rPr>
        <w:t>“</w:t>
      </w:r>
      <w:r>
        <w:rPr>
          <w:rFonts w:ascii="Times New Roman" w:hAnsi="Times New Roman"/>
          <w:b/>
          <w:i/>
          <w:color w:val="000000"/>
          <w:sz w:val="22"/>
        </w:rPr>
        <w:t>Trading Market</w:t>
      </w:r>
      <w:r>
        <w:rPr>
          <w:color w:val="000000"/>
        </w:rPr>
        <w:t xml:space="preserve">” </w:t>
      </w:r>
      <w:r>
        <w:rPr>
          <w:rFonts w:ascii="Times New Roman" w:hAnsi="Times New Roman"/>
          <w:color w:val="000000"/>
          <w:sz w:val="22"/>
        </w:rPr>
        <w:t>means any of the following markets or exchanges on which the Common Stock is listed or quoted for trading on the date in question: the NYSE American, Nasdaq, or the New York Stock Exchange (or any successors to any of the foregoing).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5.32</w:t>
      </w:r>
    </w:p>
    <w:p>
      <w:pPr>
        <w:pStyle w:val="TextBody"/>
        <w:bidi w:val="0"/>
        <w:spacing w:before="0" w:after="240"/>
        <w:jc w:val="both"/>
        <w:rPr/>
      </w:pPr>
      <w:r>
        <w:rPr>
          <w:color w:val="000000"/>
        </w:rPr>
        <w:t>“</w:t>
      </w:r>
      <w:r>
        <w:rPr>
          <w:rFonts w:ascii="Times New Roman" w:hAnsi="Times New Roman"/>
          <w:b/>
          <w:i/>
          <w:color w:val="000000"/>
          <w:sz w:val="22"/>
        </w:rPr>
        <w:t>Transaction Documents</w:t>
      </w:r>
      <w:r>
        <w:rPr>
          <w:color w:val="000000"/>
        </w:rPr>
        <w:t xml:space="preserve">” </w:t>
      </w:r>
      <w:r>
        <w:rPr>
          <w:rFonts w:ascii="Times New Roman" w:hAnsi="Times New Roman"/>
          <w:color w:val="000000"/>
          <w:sz w:val="22"/>
        </w:rPr>
        <w:t>means this Agreement, all exhibits and schedules hereto and any other documents or agreements executed in connection with the transactions contemplated hereunder.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5.33</w:t>
      </w:r>
    </w:p>
    <w:p>
      <w:pPr>
        <w:pStyle w:val="TextBody"/>
        <w:bidi w:val="0"/>
        <w:spacing w:before="0" w:after="240"/>
        <w:jc w:val="both"/>
        <w:rPr/>
      </w:pPr>
      <w:r>
        <w:rPr>
          <w:color w:val="000000"/>
        </w:rPr>
        <w:t>“</w:t>
      </w:r>
      <w:r>
        <w:rPr>
          <w:rFonts w:ascii="Times New Roman" w:hAnsi="Times New Roman"/>
          <w:b/>
          <w:i/>
          <w:color w:val="000000"/>
          <w:sz w:val="22"/>
        </w:rPr>
        <w:t>Transfer Agent</w:t>
      </w:r>
      <w:r>
        <w:rPr>
          <w:color w:val="000000"/>
        </w:rPr>
        <w:t xml:space="preserve">” </w:t>
      </w:r>
      <w:r>
        <w:rPr>
          <w:rFonts w:ascii="Times New Roman" w:hAnsi="Times New Roman"/>
          <w:color w:val="000000"/>
          <w:sz w:val="22"/>
        </w:rPr>
        <w:t>has the meaning set forth in Section 1.1(b).</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6</w:t>
      </w:r>
    </w:p>
    <w:p>
      <w:pPr>
        <w:pStyle w:val="TextBody"/>
        <w:bidi w:val="0"/>
        <w:spacing w:before="0" w:after="240"/>
        <w:jc w:val="center"/>
        <w:rPr/>
      </w:pPr>
      <w:r>
        <w:rPr>
          <w:rFonts w:ascii="Times New Roman" w:hAnsi="Times New Roman"/>
          <w:color w:val="000000"/>
          <w:sz w:val="22"/>
        </w:rPr>
        <w:br/>
        <w:br/>
      </w:r>
      <w:r>
        <w:rPr>
          <w:rFonts w:ascii="Times New Roman" w:hAnsi="Times New Roman"/>
          <w:b/>
          <w:color w:val="000000"/>
          <w:sz w:val="22"/>
        </w:rPr>
        <w:t>GOVERNING LAW; MISCELLANEOUS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6.1</w:t>
      </w:r>
    </w:p>
    <w:p>
      <w:pPr>
        <w:pStyle w:val="TextBody"/>
        <w:bidi w:val="0"/>
        <w:spacing w:before="0" w:after="240"/>
        <w:jc w:val="both"/>
        <w:rPr/>
      </w:pPr>
      <w:r>
        <w:rPr>
          <w:rFonts w:ascii="Times New Roman" w:hAnsi="Times New Roman"/>
          <w:b/>
          <w:color w:val="000000"/>
          <w:sz w:val="22"/>
        </w:rPr>
        <w:t>Governing Law; Jurisdiction; Attorney’s Fees; Waiver of Jury Trial.</w:t>
      </w:r>
      <w:r>
        <w:rPr>
          <w:color w:val="000000"/>
        </w:rPr>
        <w:t xml:space="preserve"> </w:t>
      </w:r>
      <w:r>
        <w:rPr>
          <w:rFonts w:ascii="Times New Roman" w:hAnsi="Times New Roman"/>
          <w:color w:val="000000"/>
          <w:sz w:val="22"/>
        </w:rPr>
        <w:t>This Agreement will be governed by and interpreted in accordance with the laws of the State of Delaware. Each of the parties hereto irrevocably submits to the exclusive jurisdiction of the courts of the State of Delaware located in New Castle County and the United States District Court for the District of Delaware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To the extent that the Company has or hereafter may acquire any immunity (on the grounds of sovereignty or otherwise) from the jurisdiction of any court or from any legal process with respect to itself or its property, the Company irrevocably waives, to the fullest extent permitted by law, such immunity in respect of any suit, action or proceeding. In any dispute arising out of this Agreement, the prevailing party shall be entitled to recover its reasonable attorneys’ fees and costs only if the court determines that the non-prevailing party brought its claims or defenses without substantial legal or factual basis or in bad faith. TO THE EXTENT ALLOWABLE UNDER APPLICABLE LAW, EACH PARTY HEREBY WAIVES ITS RIGHTS TO A JURY TRIAL OF ANY CLAIM OR CAUSE OF ACTION BASED UPON OR ARISING OUT OF THIS AGREEMENT OR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6.2</w:t>
      </w:r>
    </w:p>
    <w:p>
      <w:pPr>
        <w:pStyle w:val="TextBody"/>
        <w:bidi w:val="0"/>
        <w:spacing w:before="0" w:after="240"/>
        <w:jc w:val="both"/>
        <w:rPr/>
      </w:pPr>
      <w:r>
        <w:rPr>
          <w:rFonts w:ascii="Times New Roman" w:hAnsi="Times New Roman"/>
          <w:b/>
          <w:color w:val="000000"/>
          <w:sz w:val="22"/>
        </w:rPr>
        <w:t>Counterparts; Signatures by Facsimile.</w:t>
      </w:r>
      <w:r>
        <w:rPr>
          <w:color w:val="000000"/>
        </w:rPr>
        <w:t xml:space="preserve"> </w:t>
      </w:r>
      <w:r>
        <w:rPr>
          <w:rFonts w:ascii="Times New Roman" w:hAnsi="Times New Roman"/>
          <w:color w:val="000000"/>
          <w:sz w:val="22"/>
        </w:rPr>
        <w:t>This Agreement may be executed in counterparts, all of which are considered one and the same agreement and will become effective when counterparts have been signed by each party and delivered to the other parties. This Agreement may also be executed and delivered by facsimile signature, PDF or any electronic signature complying with the U.S. federal ESIGN Act of 2000 (e.g., www.docusign.com).</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6.3</w:t>
      </w:r>
    </w:p>
    <w:p>
      <w:pPr>
        <w:pStyle w:val="TextBody"/>
        <w:bidi w:val="0"/>
        <w:spacing w:before="0" w:after="240"/>
        <w:jc w:val="both"/>
        <w:rPr/>
      </w:pPr>
      <w:r>
        <w:rPr>
          <w:rFonts w:ascii="Times New Roman" w:hAnsi="Times New Roman"/>
          <w:b/>
          <w:color w:val="000000"/>
          <w:sz w:val="22"/>
        </w:rPr>
        <w:t>Headings.</w:t>
      </w:r>
      <w:r>
        <w:rPr>
          <w:color w:val="000000"/>
        </w:rPr>
        <w:t xml:space="preserve"> </w:t>
      </w:r>
      <w:r>
        <w:rPr>
          <w:rFonts w:ascii="Times New Roman" w:hAnsi="Times New Roman"/>
          <w:color w:val="000000"/>
          <w:sz w:val="22"/>
        </w:rPr>
        <w:t>The headings of this Agreement are for convenience of reference only, are not part of this Agreement and do not affect its interpretation.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6.4</w:t>
      </w:r>
    </w:p>
    <w:p>
      <w:pPr>
        <w:pStyle w:val="TextBody"/>
        <w:bidi w:val="0"/>
        <w:spacing w:before="0" w:after="240"/>
        <w:jc w:val="both"/>
        <w:rPr/>
      </w:pPr>
      <w:r>
        <w:rPr>
          <w:rFonts w:ascii="Times New Roman" w:hAnsi="Times New Roman"/>
          <w:b/>
          <w:color w:val="000000"/>
          <w:sz w:val="22"/>
        </w:rPr>
        <w:t>Severability.</w:t>
      </w:r>
      <w:r>
        <w:rPr>
          <w:color w:val="000000"/>
        </w:rPr>
        <w:t xml:space="preserve"> </w:t>
      </w:r>
      <w:r>
        <w:rPr>
          <w:rFonts w:ascii="Times New Roman" w:hAnsi="Times New Roman"/>
          <w:color w:val="000000"/>
          <w:sz w:val="22"/>
        </w:rPr>
        <w:t>If any provision of this Agreement is invalid or unenforceable under any applicable statute or rule of law, then such provision will be deemed modified in order to conform with such statute or rule of law. Any provision hereof that may prove invalid or unenforceable under any law will not affect the validity or enforceability of any other provision 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6.5</w:t>
      </w:r>
    </w:p>
    <w:p>
      <w:pPr>
        <w:pStyle w:val="TextBody"/>
        <w:bidi w:val="0"/>
        <w:spacing w:before="0" w:after="240"/>
        <w:jc w:val="both"/>
        <w:rPr/>
      </w:pPr>
      <w:r>
        <w:rPr>
          <w:rFonts w:ascii="Times New Roman" w:hAnsi="Times New Roman"/>
          <w:b/>
          <w:color w:val="000000"/>
          <w:sz w:val="22"/>
        </w:rPr>
        <w:t>Survival.</w:t>
      </w:r>
      <w:r>
        <w:rPr>
          <w:color w:val="000000"/>
        </w:rPr>
        <w:t xml:space="preserve"> </w:t>
      </w:r>
      <w:r>
        <w:rPr>
          <w:rFonts w:ascii="Times New Roman" w:hAnsi="Times New Roman"/>
          <w:color w:val="000000"/>
          <w:sz w:val="22"/>
        </w:rPr>
        <w:t>The representations and warranties contained herein shall survive the Closing and each delivery of the Shares.</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6.6</w:t>
      </w:r>
    </w:p>
    <w:p>
      <w:pPr>
        <w:pStyle w:val="TextBody"/>
        <w:bidi w:val="0"/>
        <w:spacing w:before="0" w:after="240"/>
        <w:jc w:val="both"/>
        <w:rPr/>
      </w:pPr>
      <w:r>
        <w:rPr>
          <w:rFonts w:ascii="Times New Roman" w:hAnsi="Times New Roman"/>
          <w:b/>
          <w:color w:val="000000"/>
          <w:sz w:val="22"/>
        </w:rPr>
        <w:t>Entire Agreement; Amendments.</w:t>
      </w:r>
      <w:r>
        <w:rPr>
          <w:color w:val="000000"/>
        </w:rPr>
        <w:t xml:space="preserve"> </w:t>
      </w:r>
      <w:r>
        <w:rPr>
          <w:rFonts w:ascii="Times New Roman" w:hAnsi="Times New Roman"/>
          <w:color w:val="000000"/>
          <w:sz w:val="22"/>
        </w:rPr>
        <w:t>This Agreement (including all schedules and exhibits hereto) constitutes the entire agreement among the parties hereto with respect to the subject matter hereof and thereof. There are no restrictions, promises, warranties or undertakings, other than those set forth or referred to herein or therein. This Agreement supersedes all prior agreements and understandings among the parties hereto with respect to the subject matter hereof. No provision of this Agreement may be waived, modified, supplemented or amended except in a written instrument signed, in the case of an amendment, by the Company and Purchasers which purchased at least 50.1% in interest of the Shares based on the Shares Subscription Amount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or waiver effected in accordance with this Section 6.6 shall be binding upon each Purchaser and holder of Shares and the Company.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6.7</w:t>
      </w:r>
    </w:p>
    <w:p>
      <w:pPr>
        <w:pStyle w:val="TextBody"/>
        <w:bidi w:val="0"/>
        <w:spacing w:before="0" w:after="240"/>
        <w:jc w:val="both"/>
        <w:rPr/>
      </w:pPr>
      <w:r>
        <w:rPr>
          <w:rFonts w:ascii="Times New Roman" w:hAnsi="Times New Roman"/>
          <w:b/>
          <w:color w:val="000000"/>
          <w:sz w:val="22"/>
        </w:rPr>
        <w:t>Notices.</w:t>
      </w:r>
      <w:r>
        <w:rPr>
          <w:color w:val="000000"/>
        </w:rPr>
        <w:t xml:space="preserve"> </w:t>
      </w:r>
      <w:r>
        <w:rPr>
          <w:rFonts w:ascii="Times New Roman" w:hAnsi="Times New Roman"/>
          <w:color w:val="000000"/>
          <w:sz w:val="22"/>
        </w:rPr>
        <w:t>All notices required or permitted hereunder shall be in writing and shall be deemed effectively given: (a) upon personal delivery to the party to be notified, (b) when sent by email or facsimile if sent during normal business hours of the recipient, and if sent at a time other than during normal business hours of the recipient, then on the next Business Day (provided, with respect to notices sent by email so long as such sent email is kept on file by the sending party and the sending party does not receive an automatically generated message that such email could not be delivered to such recipient), (c) five days after having been sent by registered or certified mail, return receipt requested, postage prepaid, or (d) one Business Day after deposit with a nationally recognized overnight courier, specifying next day delivery, with written verification of receipt. The addresses for such communications are:</w:t>
      </w:r>
    </w:p>
    <w:p>
      <w:pPr>
        <w:pStyle w:val="TextBody"/>
        <w:bidi w:val="0"/>
        <w:jc w:val="both"/>
        <w:rPr>
          <w:rFonts w:ascii="Times New Roman" w:hAnsi="Times New Roman"/>
          <w:color w:val="000000"/>
          <w:sz w:val="22"/>
        </w:rPr>
      </w:pPr>
      <w:r>
        <w:rPr>
          <w:rFonts w:ascii="Times New Roman" w:hAnsi="Times New Roman"/>
          <w:color w:val="000000"/>
          <w:sz w:val="22"/>
        </w:rPr>
        <w:t>If to the Company: Spruce Biosciences, Inc.</w:t>
      </w:r>
    </w:p>
    <w:p>
      <w:pPr>
        <w:pStyle w:val="TextBody"/>
        <w:bidi w:val="0"/>
        <w:jc w:val="both"/>
        <w:rPr>
          <w:rFonts w:ascii="Times New Roman" w:hAnsi="Times New Roman"/>
          <w:color w:val="000000"/>
          <w:sz w:val="22"/>
        </w:rPr>
      </w:pPr>
      <w:r>
        <w:rPr>
          <w:rFonts w:ascii="Times New Roman" w:hAnsi="Times New Roman"/>
          <w:color w:val="000000"/>
          <w:sz w:val="22"/>
        </w:rPr>
        <w:t>611 Gateway Boulevard, Suite 740</w:t>
      </w:r>
    </w:p>
    <w:p>
      <w:pPr>
        <w:pStyle w:val="TextBody"/>
        <w:bidi w:val="0"/>
        <w:jc w:val="both"/>
        <w:rPr>
          <w:rFonts w:ascii="Times New Roman" w:hAnsi="Times New Roman"/>
          <w:color w:val="000000"/>
          <w:sz w:val="22"/>
        </w:rPr>
      </w:pPr>
      <w:r>
        <w:rPr>
          <w:rFonts w:ascii="Times New Roman" w:hAnsi="Times New Roman"/>
          <w:color w:val="000000"/>
          <w:sz w:val="22"/>
        </w:rPr>
        <w:t>South San Francisco, CA 94080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Attn: Samir Gharib</w:t>
      </w:r>
    </w:p>
    <w:p>
      <w:pPr>
        <w:pStyle w:val="TextBody"/>
        <w:bidi w:val="0"/>
        <w:jc w:val="both"/>
        <w:rPr>
          <w:rFonts w:ascii="Times New Roman" w:hAnsi="Times New Roman"/>
          <w:color w:val="000000"/>
          <w:sz w:val="22"/>
        </w:rPr>
      </w:pPr>
      <w:r>
        <w:rPr>
          <w:rFonts w:ascii="Times New Roman" w:hAnsi="Times New Roman"/>
          <w:color w:val="000000"/>
          <w:sz w:val="22"/>
        </w:rPr>
        <w:t>With a copy to: Cooley LLP</w:t>
      </w:r>
    </w:p>
    <w:p>
      <w:pPr>
        <w:pStyle w:val="TextBody"/>
        <w:bidi w:val="0"/>
        <w:jc w:val="both"/>
        <w:rPr>
          <w:rFonts w:ascii="Times New Roman" w:hAnsi="Times New Roman"/>
          <w:color w:val="000000"/>
          <w:sz w:val="22"/>
        </w:rPr>
      </w:pPr>
      <w:r>
        <w:rPr>
          <w:rFonts w:ascii="Times New Roman" w:hAnsi="Times New Roman"/>
          <w:color w:val="000000"/>
          <w:sz w:val="22"/>
        </w:rPr>
        <w:t>55 Hudson Yards</w:t>
      </w:r>
    </w:p>
    <w:p>
      <w:pPr>
        <w:pStyle w:val="TextBody"/>
        <w:bidi w:val="0"/>
        <w:jc w:val="both"/>
        <w:rPr>
          <w:rFonts w:ascii="Times New Roman" w:hAnsi="Times New Roman"/>
          <w:color w:val="000000"/>
          <w:sz w:val="22"/>
        </w:rPr>
      </w:pPr>
      <w:r>
        <w:rPr>
          <w:rFonts w:ascii="Times New Roman" w:hAnsi="Times New Roman"/>
          <w:color w:val="000000"/>
          <w:sz w:val="22"/>
        </w:rPr>
        <w:t>New York, NY 10001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Attn: Jason Kent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a Purchaser: To the address set forth immediately below such Purchaser’s name on the signature pages hereto. Each party will provide prompt written notice to the other parties of any change in its address.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6.8</w:t>
      </w:r>
    </w:p>
    <w:p>
      <w:pPr>
        <w:pStyle w:val="TextBody"/>
        <w:bidi w:val="0"/>
        <w:spacing w:before="0" w:after="240"/>
        <w:jc w:val="both"/>
        <w:rPr/>
      </w:pPr>
      <w:r>
        <w:rPr>
          <w:rFonts w:ascii="Times New Roman" w:hAnsi="Times New Roman"/>
          <w:b/>
          <w:color w:val="000000"/>
          <w:sz w:val="22"/>
        </w:rPr>
        <w:t>Successors and Assigns.</w:t>
      </w:r>
      <w:r>
        <w:rPr>
          <w:color w:val="000000"/>
        </w:rPr>
        <w:t xml:space="preserve"> </w:t>
      </w:r>
      <w:r>
        <w:rPr>
          <w:rFonts w:ascii="Times New Roman" w:hAnsi="Times New Roman"/>
          <w:color w:val="000000"/>
          <w:sz w:val="22"/>
        </w:rPr>
        <w:t xml:space="preserve">This Agreement is binding upon and inures to the benefit of the parties and their successors and assigns. The Company will not assign this Agreement or any rights or obligations hereunder without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prior written consent of the Purchasers, and no Purchaser may assign this Agreement or any rights or obligations hereunder without the prior written consent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6.9</w:t>
      </w:r>
    </w:p>
    <w:p>
      <w:pPr>
        <w:pStyle w:val="TextBody"/>
        <w:bidi w:val="0"/>
        <w:spacing w:before="0" w:after="240"/>
        <w:jc w:val="both"/>
        <w:rPr/>
      </w:pPr>
      <w:r>
        <w:rPr>
          <w:rFonts w:ascii="Times New Roman" w:hAnsi="Times New Roman"/>
          <w:b/>
          <w:color w:val="000000"/>
          <w:sz w:val="22"/>
        </w:rPr>
        <w:t>Third Party Beneficiaries.</w:t>
      </w:r>
      <w:r>
        <w:rPr>
          <w:color w:val="000000"/>
        </w:rPr>
        <w:t xml:space="preserve"> </w:t>
      </w:r>
      <w:r>
        <w:rPr>
          <w:rFonts w:ascii="Times New Roman" w:hAnsi="Times New Roman"/>
          <w:color w:val="000000"/>
          <w:sz w:val="22"/>
        </w:rPr>
        <w:t>This Agreement is intended for the benefit of the parties hereto, their respective permitted successors and assigns, and is not for the benefit of, nor may any provision hereof be enforced by, any other Person.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6.10</w:t>
      </w:r>
    </w:p>
    <w:p>
      <w:pPr>
        <w:pStyle w:val="TextBody"/>
        <w:bidi w:val="0"/>
        <w:spacing w:before="0" w:after="240"/>
        <w:jc w:val="both"/>
        <w:rPr/>
      </w:pPr>
      <w:r>
        <w:rPr>
          <w:rFonts w:ascii="Times New Roman" w:hAnsi="Times New Roman"/>
          <w:b/>
          <w:color w:val="000000"/>
          <w:sz w:val="22"/>
        </w:rPr>
        <w:t>Further Assurances.</w:t>
      </w:r>
      <w:r>
        <w:rPr>
          <w:color w:val="000000"/>
        </w:rPr>
        <w:t xml:space="preserve"> </w:t>
      </w:r>
      <w:r>
        <w:rPr>
          <w:rFonts w:ascii="Times New Roman" w:hAnsi="Times New Roman"/>
          <w:color w:val="000000"/>
          <w:sz w:val="22"/>
        </w:rPr>
        <w:t>Each party will do and perform, or cause to be done and performed, all such further acts and things, and will execute and deliver all other agreements, certificates, instruments and documents, as another party may reasonably request in order to carry out the intent and accomplish the purposes of this Agreement and the consummation of the transactions contemplated hereby.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6.11</w:t>
      </w:r>
    </w:p>
    <w:p>
      <w:pPr>
        <w:pStyle w:val="TextBody"/>
        <w:bidi w:val="0"/>
        <w:spacing w:before="0" w:after="240"/>
        <w:jc w:val="both"/>
        <w:rPr/>
      </w:pPr>
      <w:r>
        <w:rPr>
          <w:rFonts w:ascii="Times New Roman" w:hAnsi="Times New Roman"/>
          <w:b/>
          <w:color w:val="000000"/>
          <w:sz w:val="22"/>
        </w:rPr>
        <w:t xml:space="preserve">Remedies Cumulative. </w:t>
      </w:r>
      <w:r>
        <w:rPr>
          <w:rFonts w:ascii="Times New Roman" w:hAnsi="Times New Roman"/>
          <w:color w:val="000000"/>
          <w:sz w:val="22"/>
        </w:rPr>
        <w:t>The rights and remedies of the parties are cumulative and not alternative.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6.12</w:t>
      </w:r>
    </w:p>
    <w:p>
      <w:pPr>
        <w:pStyle w:val="TextBody"/>
        <w:bidi w:val="0"/>
        <w:spacing w:before="0" w:after="240"/>
        <w:jc w:val="both"/>
        <w:rPr/>
      </w:pPr>
      <w:r>
        <w:rPr>
          <w:rFonts w:ascii="Times New Roman" w:hAnsi="Times New Roman"/>
          <w:b/>
          <w:color w:val="000000"/>
          <w:sz w:val="22"/>
        </w:rPr>
        <w:t>Equitable Relief.</w:t>
      </w:r>
      <w:r>
        <w:rPr>
          <w:color w:val="000000"/>
        </w:rPr>
        <w:t xml:space="preserve"> </w:t>
      </w:r>
      <w:r>
        <w:rPr>
          <w:rFonts w:ascii="Times New Roman" w:hAnsi="Times New Roman"/>
          <w:color w:val="000000"/>
          <w:sz w:val="22"/>
        </w:rPr>
        <w:t>The Company acknowledges and agrees that the Company’s failure to perform or discharge any of its obligations under this Agreement will result in irreparable damage to the Purchasers and that monetary damages, even if available, would provide inadequate relief to the Purchasers. The Company therefore agrees that the Purchasers are entitled to seek temporary and permanent injunctive relief, including specific performance, in any such case and waives any requirement for the posting of a bond. Each Purchaser also acknowledges and agrees that its failure to perform or discharge any of its obligations under this Agreement will result in irreparable damage to the Company and that monetary damages, even if available, would provide inadequate relief to the Company. Each Purchaser therefore agrees that the Company is entitled to seek temporary and permanent injunctive relief, including specific performance, in any such case and waives any requirement for the posting of a bond.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6.13</w:t>
      </w:r>
    </w:p>
    <w:p>
      <w:pPr>
        <w:pStyle w:val="TextBody"/>
        <w:bidi w:val="0"/>
        <w:spacing w:before="0" w:after="240"/>
        <w:jc w:val="both"/>
        <w:rPr/>
      </w:pPr>
      <w:r>
        <w:rPr>
          <w:rFonts w:ascii="Times New Roman" w:hAnsi="Times New Roman"/>
          <w:b/>
          <w:color w:val="000000"/>
          <w:sz w:val="22"/>
        </w:rPr>
        <w:t>Independent Nature of Purchasers’ Obligations and Rights.</w:t>
      </w:r>
      <w:r>
        <w:rPr>
          <w:color w:val="000000"/>
        </w:rPr>
        <w:t xml:space="preserve"> </w:t>
      </w:r>
      <w:r>
        <w:rPr>
          <w:rFonts w:ascii="Times New Roman" w:hAnsi="Times New Roman"/>
          <w:color w:val="000000"/>
          <w:sz w:val="22"/>
        </w:rPr>
        <w:t>The obligations of each Purchaser under this Agreement are several and not joint with the obligations of any other Purchaser, and no Purchaser shall be responsible in any way for any liability or the performance of the obligations of any other Purchaser under this Agreement. Nothing contained herein and no action taken by any Purchaser pursuant hereto, shall be deemed to constitute the Purchasers as a partnership, an association, a joint venture or any other kind of entity, or create a presumption that the Purchasers are in any way acting in concert or as a group (within the meaning of Section 13(d)(3) of the Exchange Act), or are deemed affiliates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 It is expressly understood and agreed that each provision contained in this Agreement is between the Company and a Purchaser, solely, and not between the Company and the Purchasers collectively and not between and among the Purchasers. Notwithstanding anything to the contrary in the foregoing, each of the Purchasers has been advised, and is being advised by this Agreement, to consult with an attorney before executing this Agreement, and each Purchaser has consulted (or had an opportunity to consult) with counsel of such Purchaser’s choice concerning the terms and conditions of this Agreement for a reasonable period of time prior to the execution hereof and thereof.</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6.14</w:t>
      </w:r>
    </w:p>
    <w:p>
      <w:pPr>
        <w:pStyle w:val="TextBody"/>
        <w:bidi w:val="0"/>
        <w:spacing w:before="0" w:after="240"/>
        <w:jc w:val="both"/>
        <w:rPr/>
      </w:pPr>
      <w:r>
        <w:rPr>
          <w:rFonts w:ascii="Times New Roman" w:hAnsi="Times New Roman"/>
          <w:b/>
          <w:color w:val="000000"/>
          <w:sz w:val="22"/>
        </w:rPr>
        <w:t>No Waiver of Rights.</w:t>
      </w:r>
      <w:r>
        <w:rPr>
          <w:color w:val="000000"/>
        </w:rPr>
        <w:t xml:space="preserve"> </w:t>
      </w:r>
      <w:r>
        <w:rPr>
          <w:rFonts w:ascii="Times New Roman" w:hAnsi="Times New Roman"/>
          <w:color w:val="000000"/>
          <w:sz w:val="22"/>
        </w:rPr>
        <w:t>All waivers hereunder must be made in writing and executed by the party against whom enforcement of such waiver is sought, and the failure of any party at any time to require another party’s performance of any obligation under this Agreement shall not affect the right subsequently to require performance of that obligation. Any waiver of any breach of any provision of this Agreement shall not be construed as a waiver of any continuing or succeeding breach of such provision or a waiver or modification of any other provision.</w:t>
      </w:r>
    </w:p>
    <w:p>
      <w:pPr>
        <w:pStyle w:val="TextBody"/>
        <w:bidi w:val="0"/>
        <w:spacing w:before="0" w:after="720"/>
        <w:jc w:val="both"/>
        <w:rPr>
          <w:rFonts w:ascii="Times New Roman" w:hAnsi="Times New Roman"/>
          <w:b/>
          <w:color w:val="000000"/>
          <w:sz w:val="22"/>
        </w:rPr>
      </w:pPr>
      <w:r>
        <w:rPr>
          <w:rFonts w:ascii="Times New Roman" w:hAnsi="Times New Roman"/>
          <w:b/>
          <w:color w:val="000000"/>
          <w:sz w:val="22"/>
        </w:rPr>
        <w:t>6.15</w:t>
      </w:r>
    </w:p>
    <w:p>
      <w:pPr>
        <w:pStyle w:val="TextBody"/>
        <w:bidi w:val="0"/>
        <w:spacing w:before="0" w:after="720"/>
        <w:jc w:val="both"/>
        <w:rPr/>
      </w:pPr>
      <w:r>
        <w:rPr>
          <w:rFonts w:ascii="Times New Roman" w:hAnsi="Times New Roman"/>
          <w:b/>
          <w:color w:val="000000"/>
          <w:sz w:val="22"/>
        </w:rPr>
        <w:t>Payments.</w:t>
      </w:r>
      <w:r>
        <w:rPr>
          <w:color w:val="000000"/>
        </w:rPr>
        <w:t xml:space="preserve"> </w:t>
      </w:r>
      <w:r>
        <w:rPr>
          <w:rFonts w:ascii="Times New Roman" w:hAnsi="Times New Roman"/>
          <w:color w:val="000000"/>
          <w:sz w:val="22"/>
        </w:rPr>
        <w:t>All payments made by or on behalf of the Company or any of their Affiliates to any Purchaser or its assigns, successors or designees pursuant to this Agreement shall be without withholding, set-off, counterclaim or deduction of any kind.</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Pages Follow]</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undersigned has caused this Stock Purchase Agreement to be duly executed as of the date first above written.</w:t>
      </w:r>
    </w:p>
    <w:p>
      <w:pPr>
        <w:pStyle w:val="TextBody"/>
        <w:bidi w:val="0"/>
        <w:spacing w:before="0" w:after="480"/>
        <w:jc w:val="both"/>
        <w:rPr>
          <w:rFonts w:ascii="Times New Roman" w:hAnsi="Times New Roman"/>
          <w:b/>
          <w:smallCaps/>
          <w:color w:val="000000"/>
          <w:sz w:val="22"/>
        </w:rPr>
      </w:pPr>
      <w:r>
        <w:rPr>
          <w:rFonts w:ascii="Times New Roman" w:hAnsi="Times New Roman"/>
          <w:b/>
          <w:smallCaps/>
          <w:color w:val="000000"/>
          <w:sz w:val="22"/>
        </w:rPr>
        <w:t>Spruce Biosciences,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_________________________________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Name: _________________________________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Title: _________________________________</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undersigned has caused this Stock Purchase Agreement to be duly executed as of the date first above written.</w:t>
      </w:r>
    </w:p>
    <w:p>
      <w:pPr>
        <w:pStyle w:val="TextBody"/>
        <w:bidi w:val="0"/>
        <w:spacing w:before="0" w:after="600"/>
        <w:jc w:val="both"/>
        <w:rPr>
          <w:rFonts w:ascii="Times New Roman" w:hAnsi="Times New Roman"/>
          <w:sz w:val="20"/>
        </w:rPr>
      </w:pPr>
      <w:r>
        <w:rPr>
          <w:rFonts w:ascii="Times New Roman" w:hAnsi="Times New Roman"/>
          <w:b/>
          <w:smallCaps/>
          <w:color w:val="000000"/>
          <w:sz w:val="22"/>
        </w:rPr>
        <w:t>Purchasers:</w:t>
      </w:r>
      <w:r>
        <w:rPr>
          <w:rFonts w:ascii="Times New Roman" w:hAnsi="Times New Roman"/>
          <w:smallCaps/>
          <w:color w:val="000000"/>
          <w:sz w:val="20"/>
        </w:rPr>
        <w:t xml:space="preserve"> </w:t>
      </w:r>
    </w:p>
    <w:p>
      <w:pPr>
        <w:pStyle w:val="TextBody"/>
        <w:bidi w:val="0"/>
        <w:spacing w:before="0" w:after="600"/>
        <w:jc w:val="both"/>
        <w:rPr>
          <w:rFonts w:ascii="Times New Roman" w:hAnsi="Times New Roman"/>
          <w:smallCaps/>
          <w:color w:val="000000"/>
          <w:sz w:val="22"/>
          <w:u w:val="single"/>
        </w:rPr>
      </w:pPr>
      <w:r>
        <w:rPr>
          <w:rFonts w:ascii="Times New Roman" w:hAnsi="Times New Roman"/>
          <w:smallCaps/>
          <w:color w:val="000000"/>
          <w:sz w:val="22"/>
          <w:u w:val="single"/>
        </w:rPr>
        <w:t>Cure Sanfilippo Foundation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_________________________________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Name: _________________________________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Title: _________________________________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Address: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_________________________________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_________________________________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Email: _________________________________</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600"/>
        <w:jc w:val="both"/>
        <w:rPr>
          <w:rFonts w:ascii="Times New Roman" w:hAnsi="Times New Roman"/>
          <w:smallCaps/>
          <w:color w:val="000000"/>
          <w:sz w:val="20"/>
          <w:u w:val="single"/>
        </w:rPr>
      </w:pPr>
      <w:r>
        <w:rPr>
          <w:rFonts w:ascii="Times New Roman" w:hAnsi="Times New Roman"/>
          <w:smallCaps/>
          <w:color w:val="000000"/>
          <w:sz w:val="20"/>
          <w:u w:val="single"/>
        </w:rPr>
        <w:t>National MPS Society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_________________________________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Name: _________________________________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Title: _________________________________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Address: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_________________________________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_________________________________</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Email: _________________________________</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EXHIBIT A</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SCHEDULE OF PURCHASERS</w:t>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prb-ex31_1.htm"/>
      <w:bookmarkStart w:id="28" w:name="kssprbex31_1"/>
      <w:bookmarkEnd w:id="27"/>
      <w:bookmarkEnd w:id="28"/>
      <w:r>
        <w:rPr/>
        <w:t> </w:t>
      </w:r>
      <w:r>
        <w:br w:type="page"/>
      </w:r>
    </w:p>
    <w:p>
      <w:pPr>
        <w:pStyle w:val="TextBody"/>
        <w:bidi w:val="0"/>
        <w:jc w:val="right"/>
        <w:rPr>
          <w:rFonts w:ascii="Times New Roman" w:hAnsi="Times New Roman"/>
          <w:b/>
          <w:color w:val="000000"/>
          <w:sz w:val="20"/>
        </w:rPr>
      </w:pPr>
      <w:bookmarkStart w:id="29" w:name="exhibit_index"/>
      <w:bookmarkEnd w:id="29"/>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Javier Szwarcberg,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Spruce Biosciences,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1951"/>
        <w:gridCol w:w="109"/>
        <w:gridCol w:w="406"/>
        <w:gridCol w:w="28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Javier Szwarcberg, M.D., MPH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sprb-ex31_2.htm"/>
      <w:bookmarkStart w:id="31" w:name="kssprb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Samir Gharib,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Spruce Biosciences,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Samir Gharib</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sprb-ex32_1.htm"/>
      <w:bookmarkStart w:id="33" w:name="kssprbex32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1951"/>
        <w:gridCol w:w="109"/>
        <w:gridCol w:w="406"/>
        <w:gridCol w:w="28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Javier Szwarcberg, M.D., MPH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Javier Szwarcberg, M.D., MPH</w:t>
            </w:r>
          </w:p>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sprb-ex32_2.htm"/>
      <w:bookmarkStart w:id="35" w:name="kssprbex32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Spruce Biosciences,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Samir Gharib</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Samir Gharib</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3553/000119312526167332/sprb-ex1_1.htm" TargetMode="External"/><Relationship Id="rId3" Type="http://schemas.openxmlformats.org/officeDocument/2006/relationships/hyperlink" Target="https://www.sec.gov/Archives/edgar/data/1683553/000119312520269344/d12372dex31.htm" TargetMode="External"/><Relationship Id="rId4" Type="http://schemas.openxmlformats.org/officeDocument/2006/relationships/hyperlink" Target="https://www.sec.gov/Archives/edgar/data/1683553/000095017025098340/sprb-ex3_1.htm" TargetMode="External"/><Relationship Id="rId5" Type="http://schemas.openxmlformats.org/officeDocument/2006/relationships/hyperlink" Target="https://www.sec.gov/Archives/edgar/data/1683553/000119312520269344/d12372dex32.htm" TargetMode="External"/><Relationship Id="rId6" Type="http://schemas.openxmlformats.org/officeDocument/2006/relationships/hyperlink" Target="https://www.sec.gov/Archives/edgar/data/1683553/000119312520269344/d12372dex32.htm" TargetMode="External"/><Relationship Id="rId7" Type="http://schemas.openxmlformats.org/officeDocument/2006/relationships/hyperlink" Target="https://www.sec.gov/Archives/edgar/data/1683553/000119312526167332/sprb-ex4_1.htm" TargetMode="External"/><Relationship Id="rId8" Type="http://schemas.openxmlformats.org/officeDocument/2006/relationships/hyperlink" Target="https://www.sec.gov/Archives/edgar/data/1683553/000119312526221651/sprb-ex99_1.htm" TargetMode="External"/><Relationship Id="rId9" Type="http://schemas.openxmlformats.org/officeDocument/2006/relationships/hyperlink" Target="https://www.sec.gov/Archives/edgar/data/1683553/000119312526221651/sprb-ex99_2.htm" TargetMode="External"/><Relationship Id="rId10" Type="http://schemas.openxmlformats.org/officeDocument/2006/relationships/hyperlink" Target="https://www.sec.gov/Archives/edgar/data/1683553/000119312526221651/sprb-ex99_3.htm" TargetMode="External"/><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image" Target="media/image1.gif"/><Relationship Id="rId14" Type="http://schemas.openxmlformats.org/officeDocument/2006/relationships/image" Target="media/image1.gif"/><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76133</Words>
  <Characters>421071</Characters>
  <CharactersWithSpaces>496748</CharactersWithSpaces>
  <Paragraphs>5244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