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660" w:right="1620" w:hanging="3652"/>
        <w:spacing w:after="0" w:line="219" w:lineRule="auto"/>
        <w:tabs>
          <w:tab w:leader="none" w:pos="472"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-327025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3280" w:right="1620" w:hanging="3272"/>
        <w:spacing w:after="0" w:line="219" w:lineRule="auto"/>
        <w:tabs>
          <w:tab w:leader="none" w:pos="463" w:val="left"/>
        </w:tabs>
        <w:numPr>
          <w:ilvl w:val="0"/>
          <w:numId w:val="2"/>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____________</w:t>
      </w:r>
    </w:p>
    <w:p>
      <w:pPr>
        <w:spacing w:after="0" w:line="36" w:lineRule="exact"/>
        <w:rPr>
          <w:rFonts w:ascii="MS PGothic" w:cs="MS PGothic" w:eastAsia="MS PGothic" w:hAnsi="MS PGothic"/>
          <w:sz w:val="36"/>
          <w:szCs w:val="36"/>
          <w:color w:val="auto"/>
          <w:vertAlign w:val="superscript"/>
        </w:rPr>
      </w:pPr>
    </w:p>
    <w:p>
      <w:pPr>
        <w:ind w:left="4200"/>
        <w:spacing w:after="0"/>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Commission File Number: 001-39594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-481330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Spruce Biosciences,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5" w:lineRule="exact"/>
        <w:rPr>
          <w:sz w:val="24"/>
          <w:szCs w:val="24"/>
          <w:color w:val="auto"/>
        </w:rPr>
      </w:pPr>
    </w:p>
    <w:tbl>
      <w:tblPr>
        <w:tblLayout w:type="fixed"/>
        <w:tblInd w:w="1220" w:type="dxa"/>
        <w:tblCellMar>
          <w:top w:w="0" w:type="dxa"/>
          <w:left w:w="0" w:type="dxa"/>
          <w:bottom w:w="0" w:type="dxa"/>
          <w:right w:w="0" w:type="dxa"/>
        </w:tblCellMar>
      </w:tblPr>
      <w:tr>
        <w:trPr>
          <w:trHeight w:val="216"/>
        </w:trPr>
        <w:tc>
          <w:tcPr>
            <w:tcW w:w="4960" w:type="dxa"/>
            <w:vAlign w:val="bottom"/>
          </w:tcPr>
          <w:p>
            <w:pPr>
              <w:jc w:val="center"/>
              <w:ind w:right="1684"/>
              <w:spacing w:after="0"/>
              <w:rPr>
                <w:sz w:val="20"/>
                <w:szCs w:val="20"/>
                <w:color w:val="auto"/>
              </w:rPr>
            </w:pPr>
            <w:r>
              <w:rPr>
                <w:rFonts w:ascii="Arial" w:cs="Arial" w:eastAsia="Arial" w:hAnsi="Arial"/>
                <w:sz w:val="18"/>
                <w:szCs w:val="18"/>
                <w:b w:val="1"/>
                <w:bCs w:val="1"/>
                <w:color w:val="auto"/>
                <w:w w:val="91"/>
              </w:rPr>
              <w:t>Delaware</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81-2154263</w:t>
            </w:r>
          </w:p>
        </w:tc>
      </w:tr>
      <w:tr>
        <w:trPr>
          <w:trHeight w:val="135"/>
        </w:trPr>
        <w:tc>
          <w:tcPr>
            <w:tcW w:w="4960" w:type="dxa"/>
            <w:vAlign w:val="bottom"/>
          </w:tcPr>
          <w:p>
            <w:pPr>
              <w:jc w:val="center"/>
              <w:ind w:right="170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740" w:type="dxa"/>
            <w:vAlign w:val="bottom"/>
          </w:tcPr>
          <w:p>
            <w:pPr>
              <w:jc w:val="center"/>
              <w:ind w:left="168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960" w:type="dxa"/>
            <w:vAlign w:val="bottom"/>
          </w:tcPr>
          <w:p>
            <w:pPr>
              <w:jc w:val="center"/>
              <w:ind w:right="168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2740" w:type="dxa"/>
            <w:vAlign w:val="bottom"/>
          </w:tcPr>
          <w:p>
            <w:pPr>
              <w:jc w:val="center"/>
              <w:ind w:left="168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960" w:type="dxa"/>
            <w:vAlign w:val="bottom"/>
          </w:tcPr>
          <w:p>
            <w:pPr>
              <w:jc w:val="center"/>
              <w:ind w:right="1684"/>
              <w:spacing w:after="0"/>
              <w:rPr>
                <w:sz w:val="20"/>
                <w:szCs w:val="20"/>
                <w:color w:val="auto"/>
              </w:rPr>
            </w:pPr>
            <w:r>
              <w:rPr>
                <w:rFonts w:ascii="Arial" w:cs="Arial" w:eastAsia="Arial" w:hAnsi="Arial"/>
                <w:sz w:val="18"/>
                <w:szCs w:val="18"/>
                <w:b w:val="1"/>
                <w:bCs w:val="1"/>
                <w:color w:val="auto"/>
                <w:w w:val="90"/>
              </w:rPr>
              <w:t>2001 Junipero Serra Boulevard, Suite 640</w:t>
            </w:r>
          </w:p>
        </w:tc>
        <w:tc>
          <w:tcPr>
            <w:tcW w:w="2740" w:type="dxa"/>
            <w:vAlign w:val="bottom"/>
          </w:tcPr>
          <w:p>
            <w:pPr>
              <w:spacing w:after="0"/>
              <w:rPr>
                <w:sz w:val="18"/>
                <w:szCs w:val="18"/>
                <w:color w:val="auto"/>
              </w:rPr>
            </w:pPr>
          </w:p>
        </w:tc>
      </w:tr>
      <w:tr>
        <w:trPr>
          <w:trHeight w:val="216"/>
        </w:trPr>
        <w:tc>
          <w:tcPr>
            <w:tcW w:w="4960" w:type="dxa"/>
            <w:vAlign w:val="bottom"/>
          </w:tcPr>
          <w:p>
            <w:pPr>
              <w:jc w:val="center"/>
              <w:ind w:right="1684"/>
              <w:spacing w:after="0"/>
              <w:rPr>
                <w:sz w:val="20"/>
                <w:szCs w:val="20"/>
                <w:color w:val="auto"/>
              </w:rPr>
            </w:pPr>
            <w:r>
              <w:rPr>
                <w:rFonts w:ascii="Arial" w:cs="Arial" w:eastAsia="Arial" w:hAnsi="Arial"/>
                <w:sz w:val="18"/>
                <w:szCs w:val="18"/>
                <w:b w:val="1"/>
                <w:bCs w:val="1"/>
                <w:color w:val="auto"/>
                <w:w w:val="94"/>
              </w:rPr>
              <w:t>Daly City, California</w:t>
            </w:r>
          </w:p>
        </w:tc>
        <w:tc>
          <w:tcPr>
            <w:tcW w:w="2740" w:type="dxa"/>
            <w:vAlign w:val="bottom"/>
          </w:tcPr>
          <w:p>
            <w:pPr>
              <w:jc w:val="right"/>
              <w:ind w:right="186"/>
              <w:spacing w:after="0"/>
              <w:rPr>
                <w:sz w:val="20"/>
                <w:szCs w:val="20"/>
                <w:color w:val="auto"/>
              </w:rPr>
            </w:pPr>
            <w:r>
              <w:rPr>
                <w:rFonts w:ascii="Arial" w:cs="Arial" w:eastAsia="Arial" w:hAnsi="Arial"/>
                <w:sz w:val="18"/>
                <w:szCs w:val="18"/>
                <w:b w:val="1"/>
                <w:bCs w:val="1"/>
                <w:color w:val="auto"/>
              </w:rPr>
              <w:t>94014</w:t>
            </w:r>
          </w:p>
        </w:tc>
      </w:tr>
      <w:tr>
        <w:trPr>
          <w:trHeight w:val="164"/>
        </w:trPr>
        <w:tc>
          <w:tcPr>
            <w:tcW w:w="4960" w:type="dxa"/>
            <w:vAlign w:val="bottom"/>
          </w:tcPr>
          <w:p>
            <w:pPr>
              <w:jc w:val="center"/>
              <w:ind w:right="168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40" w:type="dxa"/>
            <w:vAlign w:val="bottom"/>
          </w:tcPr>
          <w:p>
            <w:pPr>
              <w:jc w:val="center"/>
              <w:ind w:left="1686"/>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(415) 655-4168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3"/>
          </w:tcPr>
          <w:p>
            <w:pPr>
              <w:ind w:left="520"/>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65"/>
        </w:trPr>
        <w:tc>
          <w:tcPr>
            <w:tcW w:w="4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3"/>
              </w:rPr>
              <w:t>Trading</w:t>
            </w:r>
          </w:p>
        </w:tc>
        <w:tc>
          <w:tcPr>
            <w:tcW w:w="4380" w:type="dxa"/>
            <w:vAlign w:val="bottom"/>
          </w:tcPr>
          <w:p>
            <w:pPr>
              <w:spacing w:after="0"/>
              <w:rPr>
                <w:sz w:val="23"/>
                <w:szCs w:val="23"/>
                <w:color w:val="auto"/>
              </w:rPr>
            </w:pPr>
          </w:p>
        </w:tc>
      </w:tr>
      <w:tr>
        <w:trPr>
          <w:trHeight w:val="234"/>
        </w:trPr>
        <w:tc>
          <w:tcPr>
            <w:tcW w:w="496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7"/>
              </w:rPr>
              <w:t>Title of each class</w:t>
            </w:r>
          </w:p>
        </w:tc>
        <w:tc>
          <w:tcPr>
            <w:tcW w:w="19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7"/>
              </w:rPr>
              <w:t>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center"/>
              <w:ind w:right="350"/>
              <w:spacing w:after="0"/>
              <w:rPr>
                <w:sz w:val="20"/>
                <w:szCs w:val="20"/>
                <w:color w:val="auto"/>
              </w:rPr>
            </w:pPr>
            <w:r>
              <w:rPr>
                <w:rFonts w:ascii="Arial" w:cs="Arial" w:eastAsia="Arial" w:hAnsi="Arial"/>
                <w:sz w:val="18"/>
                <w:szCs w:val="18"/>
                <w:color w:val="auto"/>
                <w:w w:val="89"/>
              </w:rPr>
              <w:t>SPRB</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06"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4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00" w:type="dxa"/>
            <w:vAlign w:val="bottom"/>
          </w:tcPr>
          <w:p>
            <w:pPr>
              <w:ind w:left="278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160"/>
        <w:spacing w:after="0" w:line="26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9, 2020, the registrant had 23,214,041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660" w:type="dxa"/>
            <w:vAlign w:val="bottom"/>
            <w:vMerge w:val="restart"/>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920" w:type="dxa"/>
            <w:vAlign w:val="bottom"/>
            <w:vMerge w:val="continue"/>
          </w:tcPr>
          <w:p>
            <w:pPr>
              <w:spacing w:after="0"/>
              <w:rPr>
                <w:sz w:val="19"/>
                <w:szCs w:val="19"/>
                <w:color w:val="auto"/>
              </w:rPr>
            </w:pPr>
          </w:p>
        </w:tc>
        <w:tc>
          <w:tcPr>
            <w:tcW w:w="966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660" w:type="dxa"/>
            <w:vAlign w:val="bottom"/>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Financial Statements for the Three and Nine Months Ended September 30, 2020 and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9660" w:type="dxa"/>
            <w:vAlign w:val="bottom"/>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Balance Sheets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9660" w:type="dxa"/>
            <w:vAlign w:val="bottom"/>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Statements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9660" w:type="dxa"/>
            <w:vAlign w:val="bottom"/>
          </w:tcPr>
          <w:p>
            <w:pPr>
              <w:ind w:left="2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Statements of Redeemable Convertible Preferred Stock and Stockholders’ Equity (Deficit)</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9660" w:type="dxa"/>
            <w:vAlign w:val="bottom"/>
          </w:tcPr>
          <w:p>
            <w:pPr>
              <w:ind w:left="2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Statements of Cash Flows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9660" w:type="dxa"/>
            <w:vAlign w:val="bottom"/>
          </w:tcPr>
          <w:p>
            <w:pPr>
              <w:ind w:left="2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the Condensed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660" w:type="dxa"/>
            <w:vAlign w:val="bottom"/>
          </w:tcPr>
          <w:p>
            <w:pPr>
              <w:ind w:left="2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660" w:type="dxa"/>
            <w:vAlign w:val="bottom"/>
          </w:tcPr>
          <w:p>
            <w:pPr>
              <w:ind w:left="2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Quantitative and Qualitative Disclosures About Market Risk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660" w:type="dxa"/>
            <w:vAlign w:val="bottom"/>
          </w:tcPr>
          <w:p>
            <w:pPr>
              <w:ind w:left="2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9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6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OTHER INFORMATION</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66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66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660" w:type="dxa"/>
            <w:vAlign w:val="bottom"/>
          </w:tcPr>
          <w:p>
            <w:pPr>
              <w:ind w:left="2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660" w:type="dxa"/>
            <w:vAlign w:val="bottom"/>
          </w:tcPr>
          <w:p>
            <w:pPr>
              <w:ind w:left="2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Defaults Upon Senior Securities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660" w:type="dxa"/>
            <w:vAlign w:val="bottom"/>
          </w:tcPr>
          <w:p>
            <w:pPr>
              <w:ind w:left="2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Mine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660" w:type="dxa"/>
            <w:vAlign w:val="bottom"/>
          </w:tcPr>
          <w:p>
            <w:pPr>
              <w:ind w:left="2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660" w:type="dxa"/>
            <w:vAlign w:val="bottom"/>
          </w:tcPr>
          <w:p>
            <w:pPr>
              <w:ind w:left="22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9660" w:type="dxa"/>
            <w:vAlign w:val="bottom"/>
          </w:tcPr>
          <w:p>
            <w:pPr>
              <w:ind w:left="22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Signatures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9"/>
        </w:trPr>
        <w:tc>
          <w:tcPr>
            <w:tcW w:w="92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72,158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73,600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Right-of-use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offering costs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78,485</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40"/>
              <w:spacing w:after="0"/>
              <w:rPr>
                <w:sz w:val="20"/>
                <w:szCs w:val="20"/>
                <w:color w:val="auto"/>
              </w:rPr>
            </w:pPr>
            <w:r>
              <w:rPr>
                <w:rFonts w:ascii="Arial" w:cs="Arial" w:eastAsia="Arial" w:hAnsi="Arial"/>
                <w:sz w:val="18"/>
                <w:szCs w:val="18"/>
                <w:b w:val="1"/>
                <w:bCs w:val="1"/>
                <w:color w:val="auto"/>
              </w:rPr>
              <w:t>STOCKHOLDERS’ EQUITY (DEFICIT)</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4,002</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Term loan, current portion</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10,086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Term loan, net of current portion</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Lease liability, net of current portion</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1,738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14,480</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Series A redeemable convertible preferred stock, $0.0001 par value, 28,000,000</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shares authorized, issued, and outstanding as of September 30, 2020 and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December 31, 2019; liquidation preference of $28,000 as of September 30, 2020</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and December 31, 2019</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27,813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27,813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Series B redeemable convertible preferred stock, $0.0001 par value, 73,333,330 shares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issued, and outstanding as of September 30, 2020 and 0 shares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issued and outstanding as of December 31, 2019; liquidation value of</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$88,000 as of September 30, 2020 and $0 as of December 31, 2019</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87,633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130,518,922 and 41,000,000 shares authorized as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of September 30, 2020 and December 31, 2019, respectively; 822,022 and 764,408</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issued and outstanding as of September 30, 2020 and December 31, 2019,</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(52,503)</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(31,302)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(51,441)</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78,485</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7,769</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2,107</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18,040</w:t>
            </w:r>
          </w:p>
        </w:tc>
        <w:tc>
          <w:tcPr>
            <w:tcW w:w="160" w:type="dxa"/>
            <w:vAlign w:val="bottom"/>
          </w:tcPr>
          <w:p>
            <w:pPr>
              <w:spacing w:after="0"/>
              <w:rPr>
                <w:sz w:val="19"/>
                <w:szCs w:val="19"/>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1,790</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9,559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(9,559)</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(2,564)</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(21,081)</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(9,973)</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(9,587)</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(21,201)</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Weighted-average shares of common stock outstanding, basic and</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776,159</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764,408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769,766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764,408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STATEMENTS OF REDEEMABLE CONVERTIBLE PREFERRED STOCK AND STOCKHOLDERS’ EQUITY (DEFICIT)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86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86588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31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Redeemable Convertible Preferred Stock</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00" w:type="dxa"/>
            <w:vAlign w:val="bottom"/>
          </w:tcPr>
          <w:p>
            <w:pPr>
              <w:spacing w:after="0"/>
              <w:rPr>
                <w:sz w:val="13"/>
                <w:szCs w:val="13"/>
                <w:color w:val="auto"/>
              </w:rPr>
            </w:pPr>
          </w:p>
        </w:tc>
        <w:tc>
          <w:tcPr>
            <w:tcW w:w="1920" w:type="dxa"/>
            <w:vAlign w:val="bottom"/>
            <w:gridSpan w:val="4"/>
          </w:tcPr>
          <w:p>
            <w:pPr>
              <w:ind w:left="600"/>
              <w:spacing w:after="0" w:line="155" w:lineRule="exact"/>
              <w:rPr>
                <w:sz w:val="20"/>
                <w:szCs w:val="20"/>
                <w:color w:val="auto"/>
              </w:rPr>
            </w:pPr>
            <w:r>
              <w:rPr>
                <w:rFonts w:ascii="Arial" w:cs="Arial" w:eastAsia="Arial" w:hAnsi="Arial"/>
                <w:sz w:val="14"/>
                <w:szCs w:val="14"/>
                <w:b w:val="1"/>
                <w:bCs w:val="1"/>
                <w:color w:val="auto"/>
              </w:rPr>
              <w:t>Series A</w:t>
            </w:r>
          </w:p>
        </w:tc>
        <w:tc>
          <w:tcPr>
            <w:tcW w:w="1100" w:type="dxa"/>
            <w:vAlign w:val="bottom"/>
            <w:gridSpan w:val="2"/>
          </w:tcPr>
          <w:p>
            <w:pPr>
              <w:ind w:left="600"/>
              <w:spacing w:after="0" w:line="155" w:lineRule="exact"/>
              <w:rPr>
                <w:sz w:val="20"/>
                <w:szCs w:val="20"/>
                <w:color w:val="auto"/>
              </w:rPr>
            </w:pPr>
            <w:r>
              <w:rPr>
                <w:rFonts w:ascii="Arial" w:cs="Arial" w:eastAsia="Arial" w:hAnsi="Arial"/>
                <w:sz w:val="14"/>
                <w:szCs w:val="14"/>
                <w:b w:val="1"/>
                <w:bCs w:val="1"/>
                <w:color w:val="auto"/>
                <w:w w:val="85"/>
              </w:rPr>
              <w:t>Series B</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January 1, 2020</w:t>
            </w:r>
          </w:p>
        </w:tc>
        <w:tc>
          <w:tcPr>
            <w:tcW w:w="110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110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2"/>
        </w:trPr>
        <w:tc>
          <w:tcPr>
            <w:tcW w:w="2600" w:type="dxa"/>
            <w:vAlign w:val="bottom"/>
            <w:vMerge w:val="continue"/>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28,000,000</w:t>
            </w:r>
          </w:p>
        </w:tc>
        <w:tc>
          <w:tcPr>
            <w:tcW w:w="1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$27,813</w:t>
            </w:r>
          </w:p>
        </w:tc>
        <w:tc>
          <w:tcPr>
            <w:tcW w:w="2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tcPr>
          <w:p>
            <w:pPr>
              <w:ind w:left="260"/>
              <w:spacing w:after="0"/>
              <w:rPr>
                <w:sz w:val="20"/>
                <w:szCs w:val="20"/>
                <w:color w:val="auto"/>
              </w:rPr>
            </w:pPr>
            <w:r>
              <w:rPr>
                <w:rFonts w:ascii="Arial" w:cs="Arial" w:eastAsia="Arial" w:hAnsi="Arial"/>
                <w:sz w:val="18"/>
                <w:szCs w:val="18"/>
                <w:color w:val="auto"/>
              </w:rPr>
              <w:t>Issuance of Series B</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260"/>
              <w:spacing w:after="0"/>
              <w:rPr>
                <w:sz w:val="20"/>
                <w:szCs w:val="20"/>
                <w:color w:val="auto"/>
              </w:rPr>
            </w:pPr>
            <w:r>
              <w:rPr>
                <w:rFonts w:ascii="Arial" w:cs="Arial" w:eastAsia="Arial" w:hAnsi="Arial"/>
                <w:sz w:val="18"/>
                <w:szCs w:val="18"/>
                <w:color w:val="auto"/>
              </w:rPr>
              <w:t>redeemable convertible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380"/>
              <w:spacing w:after="0"/>
              <w:rPr>
                <w:sz w:val="20"/>
                <w:szCs w:val="20"/>
                <w:color w:val="auto"/>
              </w:rPr>
            </w:pPr>
            <w:r>
              <w:rPr>
                <w:rFonts w:ascii="Arial" w:cs="Arial" w:eastAsia="Arial" w:hAnsi="Arial"/>
                <w:sz w:val="18"/>
                <w:szCs w:val="18"/>
                <w:color w:val="auto"/>
              </w:rPr>
              <w:t>preferred stock, net of</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260"/>
              <w:spacing w:after="0"/>
              <w:rPr>
                <w:sz w:val="20"/>
                <w:szCs w:val="20"/>
                <w:color w:val="auto"/>
              </w:rPr>
            </w:pPr>
            <w:r>
              <w:rPr>
                <w:rFonts w:ascii="Arial" w:cs="Arial" w:eastAsia="Arial" w:hAnsi="Arial"/>
                <w:sz w:val="18"/>
                <w:szCs w:val="18"/>
                <w:color w:val="auto"/>
              </w:rPr>
              <w:t>issuance costs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380"/>
              <w:spacing w:after="0"/>
              <w:rPr>
                <w:sz w:val="20"/>
                <w:szCs w:val="20"/>
                <w:color w:val="auto"/>
              </w:rPr>
            </w:pPr>
            <w:r>
              <w:rPr>
                <w:rFonts w:ascii="Arial" w:cs="Arial" w:eastAsia="Arial" w:hAnsi="Arial"/>
                <w:sz w:val="18"/>
                <w:szCs w:val="18"/>
                <w:color w:val="auto"/>
              </w:rPr>
              <w:t>of $352</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36,666,665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43,648</w:t>
            </w:r>
          </w:p>
        </w:tc>
        <w:tc>
          <w:tcPr>
            <w:tcW w:w="0" w:type="dxa"/>
            <w:vAlign w:val="bottom"/>
          </w:tcPr>
          <w:p>
            <w:pPr>
              <w:spacing w:after="0"/>
              <w:rPr>
                <w:sz w:val="1"/>
                <w:szCs w:val="1"/>
                <w:color w:val="auto"/>
              </w:rPr>
            </w:pPr>
          </w:p>
        </w:tc>
      </w:tr>
      <w:tr>
        <w:trPr>
          <w:trHeight w:val="230"/>
        </w:trPr>
        <w:tc>
          <w:tcPr>
            <w:tcW w:w="2600" w:type="dxa"/>
            <w:vAlign w:val="bottom"/>
          </w:tcPr>
          <w:p>
            <w:pPr>
              <w:ind w:left="260"/>
              <w:spacing w:after="0"/>
              <w:rPr>
                <w:sz w:val="20"/>
                <w:szCs w:val="20"/>
                <w:color w:val="auto"/>
              </w:rPr>
            </w:pPr>
            <w:r>
              <w:rPr>
                <w:rFonts w:ascii="Arial" w:cs="Arial" w:eastAsia="Arial" w:hAnsi="Arial"/>
                <w:sz w:val="18"/>
                <w:szCs w:val="18"/>
                <w:color w:val="auto"/>
              </w:rPr>
              <w:t>Exercise of stock options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8"/>
                <w:szCs w:val="18"/>
                <w:b w:val="1"/>
                <w:bCs w:val="1"/>
                <w:color w:val="auto"/>
              </w:rPr>
              <w:t>Balance as of March 31, 2020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28,000,000</w:t>
            </w:r>
          </w:p>
        </w:tc>
        <w:tc>
          <w:tcPr>
            <w:tcW w:w="1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27,813</w:t>
            </w:r>
          </w:p>
        </w:tc>
        <w:tc>
          <w:tcPr>
            <w:tcW w:w="2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36,666,665</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43,648</w:t>
            </w:r>
          </w:p>
        </w:tc>
        <w:tc>
          <w:tcPr>
            <w:tcW w:w="0" w:type="dxa"/>
            <w:vAlign w:val="bottom"/>
          </w:tcPr>
          <w:p>
            <w:pPr>
              <w:spacing w:after="0"/>
              <w:rPr>
                <w:sz w:val="1"/>
                <w:szCs w:val="1"/>
                <w:color w:val="auto"/>
              </w:rPr>
            </w:pPr>
          </w:p>
        </w:tc>
      </w:tr>
      <w:tr>
        <w:trPr>
          <w:trHeight w:val="230"/>
        </w:trPr>
        <w:tc>
          <w:tcPr>
            <w:tcW w:w="2600" w:type="dxa"/>
            <w:vAlign w:val="bottom"/>
          </w:tcPr>
          <w:p>
            <w:pPr>
              <w:ind w:left="260"/>
              <w:spacing w:after="0"/>
              <w:rPr>
                <w:sz w:val="20"/>
                <w:szCs w:val="20"/>
                <w:color w:val="auto"/>
              </w:rPr>
            </w:pPr>
            <w:r>
              <w:rPr>
                <w:rFonts w:ascii="Arial" w:cs="Arial" w:eastAsia="Arial" w:hAnsi="Arial"/>
                <w:sz w:val="18"/>
                <w:szCs w:val="18"/>
                <w:color w:val="auto"/>
              </w:rPr>
              <w:t>Exercise of stock options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8"/>
                <w:szCs w:val="18"/>
                <w:b w:val="1"/>
                <w:bCs w:val="1"/>
                <w:color w:val="auto"/>
              </w:rPr>
              <w:t>Balance as of June 30, 2020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28,000,000</w:t>
            </w:r>
          </w:p>
        </w:tc>
        <w:tc>
          <w:tcPr>
            <w:tcW w:w="1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27,813</w:t>
            </w:r>
          </w:p>
        </w:tc>
        <w:tc>
          <w:tcPr>
            <w:tcW w:w="2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36,666,665</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43,648</w:t>
            </w:r>
          </w:p>
        </w:tc>
        <w:tc>
          <w:tcPr>
            <w:tcW w:w="0" w:type="dxa"/>
            <w:vAlign w:val="bottom"/>
          </w:tcPr>
          <w:p>
            <w:pPr>
              <w:spacing w:after="0"/>
              <w:rPr>
                <w:sz w:val="1"/>
                <w:szCs w:val="1"/>
                <w:color w:val="auto"/>
              </w:rPr>
            </w:pPr>
          </w:p>
        </w:tc>
      </w:tr>
      <w:tr>
        <w:trPr>
          <w:trHeight w:val="216"/>
        </w:trPr>
        <w:tc>
          <w:tcPr>
            <w:tcW w:w="2600" w:type="dxa"/>
            <w:vAlign w:val="bottom"/>
          </w:tcPr>
          <w:p>
            <w:pPr>
              <w:ind w:left="260"/>
              <w:spacing w:after="0"/>
              <w:rPr>
                <w:sz w:val="20"/>
                <w:szCs w:val="20"/>
                <w:color w:val="auto"/>
              </w:rPr>
            </w:pPr>
            <w:r>
              <w:rPr>
                <w:rFonts w:ascii="Arial" w:cs="Arial" w:eastAsia="Arial" w:hAnsi="Arial"/>
                <w:sz w:val="18"/>
                <w:szCs w:val="18"/>
                <w:color w:val="auto"/>
              </w:rPr>
              <w:t>Issuance of Series B</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260"/>
              <w:spacing w:after="0"/>
              <w:rPr>
                <w:sz w:val="20"/>
                <w:szCs w:val="20"/>
                <w:color w:val="auto"/>
              </w:rPr>
            </w:pPr>
            <w:r>
              <w:rPr>
                <w:rFonts w:ascii="Arial" w:cs="Arial" w:eastAsia="Arial" w:hAnsi="Arial"/>
                <w:sz w:val="18"/>
                <w:szCs w:val="18"/>
                <w:color w:val="auto"/>
              </w:rPr>
              <w:t>redeemable convertible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380"/>
              <w:spacing w:after="0"/>
              <w:rPr>
                <w:sz w:val="20"/>
                <w:szCs w:val="20"/>
                <w:color w:val="auto"/>
              </w:rPr>
            </w:pPr>
            <w:r>
              <w:rPr>
                <w:rFonts w:ascii="Arial" w:cs="Arial" w:eastAsia="Arial" w:hAnsi="Arial"/>
                <w:sz w:val="18"/>
                <w:szCs w:val="18"/>
                <w:color w:val="auto"/>
              </w:rPr>
              <w:t>preferred stock, net of</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260"/>
              <w:spacing w:after="0"/>
              <w:rPr>
                <w:sz w:val="20"/>
                <w:szCs w:val="20"/>
                <w:color w:val="auto"/>
              </w:rPr>
            </w:pPr>
            <w:r>
              <w:rPr>
                <w:rFonts w:ascii="Arial" w:cs="Arial" w:eastAsia="Arial" w:hAnsi="Arial"/>
                <w:sz w:val="18"/>
                <w:szCs w:val="18"/>
                <w:color w:val="auto"/>
              </w:rPr>
              <w:t>issuance costs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380"/>
              <w:spacing w:after="0"/>
              <w:rPr>
                <w:sz w:val="20"/>
                <w:szCs w:val="20"/>
                <w:color w:val="auto"/>
              </w:rPr>
            </w:pPr>
            <w:r>
              <w:rPr>
                <w:rFonts w:ascii="Arial" w:cs="Arial" w:eastAsia="Arial" w:hAnsi="Arial"/>
                <w:sz w:val="18"/>
                <w:szCs w:val="18"/>
                <w:color w:val="auto"/>
              </w:rPr>
              <w:t>of $15</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36,666,665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43,985</w:t>
            </w:r>
          </w:p>
        </w:tc>
        <w:tc>
          <w:tcPr>
            <w:tcW w:w="0" w:type="dxa"/>
            <w:vAlign w:val="bottom"/>
          </w:tcPr>
          <w:p>
            <w:pPr>
              <w:spacing w:after="0"/>
              <w:rPr>
                <w:sz w:val="1"/>
                <w:szCs w:val="1"/>
                <w:color w:val="auto"/>
              </w:rPr>
            </w:pPr>
          </w:p>
        </w:tc>
      </w:tr>
      <w:tr>
        <w:trPr>
          <w:trHeight w:val="230"/>
        </w:trPr>
        <w:tc>
          <w:tcPr>
            <w:tcW w:w="2600" w:type="dxa"/>
            <w:vAlign w:val="bottom"/>
          </w:tcPr>
          <w:p>
            <w:pPr>
              <w:ind w:left="260"/>
              <w:spacing w:after="0"/>
              <w:rPr>
                <w:sz w:val="20"/>
                <w:szCs w:val="20"/>
                <w:color w:val="auto"/>
              </w:rPr>
            </w:pPr>
            <w:r>
              <w:rPr>
                <w:rFonts w:ascii="Arial" w:cs="Arial" w:eastAsia="Arial" w:hAnsi="Arial"/>
                <w:sz w:val="18"/>
                <w:szCs w:val="18"/>
                <w:color w:val="auto"/>
              </w:rPr>
              <w:t>Exercise of stock options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600" w:type="dxa"/>
            <w:vAlign w:val="bottom"/>
          </w:tcPr>
          <w:p>
            <w:pPr>
              <w:spacing w:after="0" w:line="205" w:lineRule="exact"/>
              <w:rPr>
                <w:sz w:val="20"/>
                <w:szCs w:val="20"/>
                <w:color w:val="auto"/>
              </w:rPr>
            </w:pPr>
            <w:r>
              <w:rPr>
                <w:rFonts w:ascii="Arial" w:cs="Arial" w:eastAsia="Arial" w:hAnsi="Arial"/>
                <w:sz w:val="18"/>
                <w:szCs w:val="18"/>
                <w:b w:val="1"/>
                <w:bCs w:val="1"/>
                <w:color w:val="auto"/>
              </w:rPr>
              <w:t>Balance as of September 30,</w:t>
            </w: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28,000,000</w:t>
            </w:r>
          </w:p>
        </w:tc>
        <w:tc>
          <w:tcPr>
            <w:tcW w:w="18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27,813</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73,333,330</w:t>
            </w:r>
          </w:p>
        </w:tc>
        <w:tc>
          <w:tcPr>
            <w:tcW w:w="1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87,633</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12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Paid-In</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9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Shares</w:t>
            </w: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104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3"/>
              </w:rPr>
              <w:t>Deficit</w:t>
            </w:r>
          </w:p>
        </w:tc>
        <w:tc>
          <w:tcPr>
            <w:tcW w:w="1020" w:type="dxa"/>
            <w:vAlign w:val="bottom"/>
            <w:gridSpan w:val="3"/>
          </w:tcPr>
          <w:p>
            <w:pPr>
              <w:jc w:val="center"/>
              <w:ind w:right="60"/>
              <w:spacing w:after="0" w:line="155" w:lineRule="exact"/>
              <w:rPr>
                <w:sz w:val="20"/>
                <w:szCs w:val="20"/>
                <w:color w:val="auto"/>
              </w:rPr>
            </w:pPr>
            <w:r>
              <w:rPr>
                <w:rFonts w:ascii="Arial" w:cs="Arial" w:eastAsia="Arial" w:hAnsi="Arial"/>
                <w:sz w:val="14"/>
                <w:szCs w:val="14"/>
                <w:b w:val="1"/>
                <w:bCs w:val="1"/>
                <w:color w:val="auto"/>
                <w:w w:val="97"/>
              </w:rPr>
              <w:t>Equity (Deficit)</w:t>
            </w:r>
          </w:p>
        </w:tc>
      </w:tr>
      <w:tr>
        <w:trPr>
          <w:trHeight w:val="224"/>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764,408</w:t>
            </w:r>
          </w:p>
        </w:tc>
        <w:tc>
          <w:tcPr>
            <w:tcW w:w="200" w:type="dxa"/>
            <w:vAlign w:val="bottom"/>
          </w:tcPr>
          <w:p>
            <w:pPr>
              <w:spacing w:after="0"/>
              <w:rPr>
                <w:sz w:val="19"/>
                <w:szCs w:val="19"/>
                <w:color w:val="auto"/>
              </w:rPr>
            </w:pPr>
          </w:p>
        </w:tc>
        <w:tc>
          <w:tcPr>
            <w:tcW w:w="380" w:type="dxa"/>
            <w:vAlign w:val="bottom"/>
            <w:tcBorders>
              <w:top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  (31,302)</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(30,637)</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r>
      <w:tr>
        <w:trPr>
          <w:trHeight w:val="230"/>
        </w:trPr>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(5,168)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(5,168)</w:t>
            </w:r>
          </w:p>
        </w:tc>
      </w:tr>
      <w:tr>
        <w:trPr>
          <w:trHeight w:val="222"/>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764,408</w:t>
            </w: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(36,470)</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(35,773)</w:t>
            </w:r>
          </w:p>
        </w:tc>
        <w:tc>
          <w:tcPr>
            <w:tcW w:w="60" w:type="dxa"/>
            <w:vAlign w:val="bottom"/>
          </w:tcPr>
          <w:p>
            <w:pPr>
              <w:spacing w:after="0"/>
              <w:rPr>
                <w:sz w:val="19"/>
                <w:szCs w:val="19"/>
                <w:color w:val="auto"/>
              </w:rPr>
            </w:pPr>
          </w:p>
        </w:tc>
      </w:tr>
      <w:tr>
        <w:trPr>
          <w:trHeight w:val="230"/>
        </w:trPr>
        <w:tc>
          <w:tcPr>
            <w:tcW w:w="700" w:type="dxa"/>
            <w:vAlign w:val="bottom"/>
          </w:tcPr>
          <w:p>
            <w:pPr>
              <w:jc w:val="right"/>
              <w:spacing w:after="0"/>
              <w:rPr>
                <w:sz w:val="20"/>
                <w:szCs w:val="20"/>
                <w:color w:val="auto"/>
              </w:rPr>
            </w:pPr>
            <w:r>
              <w:rPr>
                <w:rFonts w:ascii="Arial" w:cs="Arial" w:eastAsia="Arial" w:hAnsi="Arial"/>
                <w:sz w:val="18"/>
                <w:szCs w:val="18"/>
                <w:color w:val="auto"/>
              </w:rPr>
              <w:t>7,166</w:t>
            </w:r>
          </w:p>
        </w:tc>
        <w:tc>
          <w:tcPr>
            <w:tcW w:w="2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r>
      <w:tr>
        <w:trPr>
          <w:trHeight w:val="229"/>
        </w:trPr>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9"/>
                <w:szCs w:val="19"/>
                <w:color w:val="auto"/>
              </w:rPr>
            </w:pPr>
          </w:p>
        </w:tc>
      </w:tr>
      <w:tr>
        <w:trPr>
          <w:trHeight w:val="230"/>
        </w:trPr>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(6,446)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(6,446)</w:t>
            </w:r>
          </w:p>
        </w:tc>
      </w:tr>
      <w:tr>
        <w:trPr>
          <w:trHeight w:val="224"/>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771,574</w:t>
            </w: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(42,916)</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(42,115)</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spacing w:after="0"/>
              <w:rPr>
                <w:sz w:val="20"/>
                <w:szCs w:val="20"/>
                <w:color w:val="auto"/>
              </w:rPr>
            </w:pPr>
            <w:r>
              <w:rPr>
                <w:rFonts w:ascii="Arial" w:cs="Arial" w:eastAsia="Arial" w:hAnsi="Arial"/>
                <w:sz w:val="18"/>
                <w:szCs w:val="18"/>
                <w:color w:val="auto"/>
              </w:rPr>
              <w:t>50,448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128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r>
      <w:tr>
        <w:trPr>
          <w:trHeight w:val="229"/>
        </w:trPr>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9"/>
                <w:szCs w:val="19"/>
                <w:color w:val="auto"/>
              </w:rPr>
            </w:pPr>
          </w:p>
        </w:tc>
        <w:tc>
          <w:tcPr>
            <w:tcW w:w="128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9"/>
                <w:szCs w:val="19"/>
                <w:color w:val="auto"/>
              </w:rPr>
            </w:pPr>
          </w:p>
        </w:tc>
      </w:tr>
      <w:tr>
        <w:trPr>
          <w:trHeight w:val="230"/>
        </w:trPr>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(9,587)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(9,587)</w:t>
            </w:r>
          </w:p>
        </w:tc>
      </w:tr>
      <w:tr>
        <w:trPr>
          <w:trHeight w:val="20"/>
        </w:trPr>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700" w:type="dxa"/>
            <w:vAlign w:val="bottom"/>
          </w:tcPr>
          <w:p>
            <w:pPr>
              <w:jc w:val="right"/>
              <w:spacing w:after="0"/>
              <w:rPr>
                <w:sz w:val="20"/>
                <w:szCs w:val="20"/>
                <w:color w:val="auto"/>
              </w:rPr>
            </w:pPr>
            <w:r>
              <w:rPr>
                <w:rFonts w:ascii="Arial" w:cs="Arial" w:eastAsia="Arial" w:hAnsi="Arial"/>
                <w:sz w:val="18"/>
                <w:szCs w:val="18"/>
                <w:color w:val="auto"/>
              </w:rPr>
              <w:t>822,022</w:t>
            </w:r>
          </w:p>
        </w:tc>
        <w:tc>
          <w:tcPr>
            <w:tcW w:w="200" w:type="dxa"/>
            <w:vAlign w:val="bottom"/>
          </w:tcPr>
          <w:p>
            <w:pPr>
              <w:spacing w:after="0"/>
              <w:rPr>
                <w:sz w:val="24"/>
                <w:szCs w:val="24"/>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1,061</w:t>
            </w:r>
          </w:p>
        </w:tc>
        <w:tc>
          <w:tcPr>
            <w:tcW w:w="220" w:type="dxa"/>
            <w:vAlign w:val="bottom"/>
          </w:tcPr>
          <w:p>
            <w:pPr>
              <w:spacing w:after="0"/>
              <w:rPr>
                <w:sz w:val="24"/>
                <w:szCs w:val="24"/>
                <w:color w:val="auto"/>
              </w:rPr>
            </w:pP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  (52,503)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(51,441)</w:t>
            </w: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40" w:space="300"/>
            <w:col w:w="4680"/>
          </w:cols>
          <w:pgMar w:left="320" w:top="121" w:right="35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See accompanying notes to the condensed financial statements.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STATEMENTS OF REDEEMABLE CONVERTIBLE PREFERRED STOCK AND STOCKHOLDERS’ EQUITY (DEFICIT)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amounts)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3680"/>
        <w:spacing w:after="0"/>
        <w:rPr>
          <w:sz w:val="20"/>
          <w:szCs w:val="20"/>
          <w:color w:val="auto"/>
        </w:rPr>
      </w:pPr>
      <w:r>
        <w:rPr>
          <w:rFonts w:ascii="Arial" w:cs="Arial" w:eastAsia="Arial" w:hAnsi="Arial"/>
          <w:sz w:val="14"/>
          <w:szCs w:val="14"/>
          <w:b w:val="1"/>
          <w:bCs w:val="1"/>
          <w:color w:val="auto"/>
        </w:rPr>
        <w:t>Redeemable Convertible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2640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40330"/>
                    </a:xfrm>
                    <a:prstGeom prst="rect">
                      <a:avLst/>
                    </a:prstGeom>
                    <a:noFill/>
                  </pic:spPr>
                </pic:pic>
              </a:graphicData>
            </a:graphic>
          </wp:anchor>
        </w:drawing>
      </w:r>
    </w:p>
    <w:p>
      <w:pPr>
        <w:jc w:val="center"/>
        <w:ind w:left="3680"/>
        <w:spacing w:after="0" w:line="236" w:lineRule="auto"/>
        <w:rPr>
          <w:sz w:val="20"/>
          <w:szCs w:val="20"/>
          <w:color w:val="auto"/>
        </w:rPr>
      </w:pPr>
      <w:r>
        <w:rPr>
          <w:rFonts w:ascii="Arial" w:cs="Arial" w:eastAsia="Arial" w:hAnsi="Arial"/>
          <w:sz w:val="14"/>
          <w:szCs w:val="14"/>
          <w:b w:val="1"/>
          <w:bCs w:val="1"/>
          <w:color w:val="auto"/>
        </w:rPr>
        <w:t>Preferred Stock</w:t>
      </w:r>
    </w:p>
    <w:tbl>
      <w:tblPr>
        <w:tblLayout w:type="fixed"/>
        <w:tblInd w:w="0" w:type="dxa"/>
        <w:tblCellMar>
          <w:top w:w="0" w:type="dxa"/>
          <w:left w:w="0" w:type="dxa"/>
          <w:bottom w:w="0" w:type="dxa"/>
          <w:right w:w="0" w:type="dxa"/>
        </w:tblCellMar>
      </w:tblPr>
      <w:tr>
        <w:trPr>
          <w:trHeight w:val="155"/>
        </w:trPr>
        <w:tc>
          <w:tcPr>
            <w:tcW w:w="3700" w:type="dxa"/>
            <w:vAlign w:val="bottom"/>
          </w:tcPr>
          <w:p>
            <w:pPr>
              <w:spacing w:after="0"/>
              <w:rPr>
                <w:sz w:val="13"/>
                <w:szCs w:val="13"/>
                <w:color w:val="auto"/>
              </w:rPr>
            </w:pPr>
          </w:p>
        </w:tc>
        <w:tc>
          <w:tcPr>
            <w:tcW w:w="12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Series A</w:t>
            </w:r>
          </w:p>
        </w:tc>
        <w:tc>
          <w:tcPr>
            <w:tcW w:w="66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January 1, 2019</w:t>
            </w:r>
          </w:p>
        </w:tc>
        <w:tc>
          <w:tcPr>
            <w:tcW w:w="116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660" w:type="dxa"/>
            <w:vAlign w:val="bottom"/>
          </w:tcPr>
          <w:p>
            <w:pPr>
              <w:jc w:val="right"/>
              <w:ind w:right="51"/>
              <w:spacing w:after="0" w:line="155"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2"/>
        </w:trPr>
        <w:tc>
          <w:tcPr>
            <w:tcW w:w="3700" w:type="dxa"/>
            <w:vAlign w:val="bottom"/>
            <w:vMerge w:val="continue"/>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20,000,000</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19,872</w:t>
            </w:r>
          </w:p>
        </w:tc>
        <w:tc>
          <w:tcPr>
            <w:tcW w:w="0" w:type="dxa"/>
            <w:vAlign w:val="bottom"/>
          </w:tcPr>
          <w:p>
            <w:pPr>
              <w:spacing w:after="0"/>
              <w:rPr>
                <w:sz w:val="1"/>
                <w:szCs w:val="1"/>
                <w:color w:val="auto"/>
              </w:rPr>
            </w:pPr>
          </w:p>
        </w:tc>
      </w:tr>
      <w:tr>
        <w:trPr>
          <w:trHeight w:val="216"/>
        </w:trPr>
        <w:tc>
          <w:tcPr>
            <w:tcW w:w="3700" w:type="dxa"/>
            <w:vAlign w:val="bottom"/>
          </w:tcPr>
          <w:p>
            <w:pPr>
              <w:ind w:left="260"/>
              <w:spacing w:after="0"/>
              <w:rPr>
                <w:sz w:val="20"/>
                <w:szCs w:val="20"/>
                <w:color w:val="auto"/>
              </w:rPr>
            </w:pPr>
            <w:r>
              <w:rPr>
                <w:rFonts w:ascii="Arial" w:cs="Arial" w:eastAsia="Arial" w:hAnsi="Arial"/>
                <w:sz w:val="18"/>
                <w:szCs w:val="18"/>
                <w:color w:val="auto"/>
                <w:w w:val="95"/>
              </w:rPr>
              <w:t>Issuance of Series A redeemable convertible</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380"/>
              <w:spacing w:after="0"/>
              <w:rPr>
                <w:sz w:val="20"/>
                <w:szCs w:val="20"/>
                <w:color w:val="auto"/>
              </w:rPr>
            </w:pPr>
            <w:r>
              <w:rPr>
                <w:rFonts w:ascii="Arial" w:cs="Arial" w:eastAsia="Arial" w:hAnsi="Arial"/>
                <w:sz w:val="18"/>
                <w:szCs w:val="18"/>
                <w:color w:val="auto"/>
              </w:rPr>
              <w:t>preferred stock, net of issuance costs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380"/>
              <w:spacing w:after="0"/>
              <w:rPr>
                <w:sz w:val="20"/>
                <w:szCs w:val="20"/>
                <w:color w:val="auto"/>
              </w:rPr>
            </w:pPr>
            <w:r>
              <w:rPr>
                <w:rFonts w:ascii="Arial" w:cs="Arial" w:eastAsia="Arial" w:hAnsi="Arial"/>
                <w:sz w:val="18"/>
                <w:szCs w:val="18"/>
                <w:color w:val="auto"/>
              </w:rPr>
              <w:t>of $60</w:t>
            </w:r>
          </w:p>
        </w:tc>
        <w:tc>
          <w:tcPr>
            <w:tcW w:w="920" w:type="dxa"/>
            <w:vAlign w:val="bottom"/>
          </w:tcPr>
          <w:p>
            <w:pPr>
              <w:jc w:val="right"/>
              <w:spacing w:after="0"/>
              <w:rPr>
                <w:sz w:val="20"/>
                <w:szCs w:val="20"/>
                <w:color w:val="auto"/>
              </w:rPr>
            </w:pPr>
            <w:r>
              <w:rPr>
                <w:rFonts w:ascii="Arial" w:cs="Arial" w:eastAsia="Arial" w:hAnsi="Arial"/>
                <w:sz w:val="18"/>
                <w:szCs w:val="18"/>
                <w:color w:val="auto"/>
              </w:rPr>
              <w:t>8,000,000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7,941</w:t>
            </w: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700" w:type="dxa"/>
            <w:vAlign w:val="bottom"/>
          </w:tcPr>
          <w:p>
            <w:pPr>
              <w:spacing w:after="0"/>
              <w:rPr>
                <w:sz w:val="20"/>
                <w:szCs w:val="20"/>
                <w:color w:val="auto"/>
              </w:rPr>
            </w:pPr>
            <w:r>
              <w:rPr>
                <w:rFonts w:ascii="Arial" w:cs="Arial" w:eastAsia="Arial" w:hAnsi="Arial"/>
                <w:sz w:val="18"/>
                <w:szCs w:val="18"/>
                <w:b w:val="1"/>
                <w:bCs w:val="1"/>
                <w:color w:val="auto"/>
              </w:rPr>
              <w:t>Balance as of March 31,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28,000,000</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27,813</w:t>
            </w:r>
          </w:p>
        </w:tc>
        <w:tc>
          <w:tcPr>
            <w:tcW w:w="0" w:type="dxa"/>
            <w:vAlign w:val="bottom"/>
          </w:tcPr>
          <w:p>
            <w:pPr>
              <w:spacing w:after="0"/>
              <w:rPr>
                <w:sz w:val="1"/>
                <w:szCs w:val="1"/>
                <w:color w:val="auto"/>
              </w:rPr>
            </w:pPr>
          </w:p>
        </w:tc>
      </w:tr>
      <w:tr>
        <w:trPr>
          <w:trHeight w:val="229"/>
        </w:trPr>
        <w:tc>
          <w:tcPr>
            <w:tcW w:w="37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700" w:type="dxa"/>
            <w:vAlign w:val="bottom"/>
          </w:tcPr>
          <w:p>
            <w:pPr>
              <w:spacing w:after="0"/>
              <w:rPr>
                <w:sz w:val="20"/>
                <w:szCs w:val="20"/>
                <w:color w:val="auto"/>
              </w:rPr>
            </w:pPr>
            <w:r>
              <w:rPr>
                <w:rFonts w:ascii="Arial" w:cs="Arial" w:eastAsia="Arial" w:hAnsi="Arial"/>
                <w:sz w:val="18"/>
                <w:szCs w:val="18"/>
                <w:b w:val="1"/>
                <w:bCs w:val="1"/>
                <w:color w:val="auto"/>
              </w:rPr>
              <w:t>Balance as of June 30,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28,000,000</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27,813</w:t>
            </w:r>
          </w:p>
        </w:tc>
        <w:tc>
          <w:tcPr>
            <w:tcW w:w="0" w:type="dxa"/>
            <w:vAlign w:val="bottom"/>
          </w:tcPr>
          <w:p>
            <w:pPr>
              <w:spacing w:after="0"/>
              <w:rPr>
                <w:sz w:val="1"/>
                <w:szCs w:val="1"/>
                <w:color w:val="auto"/>
              </w:rPr>
            </w:pPr>
          </w:p>
        </w:tc>
      </w:tr>
      <w:tr>
        <w:trPr>
          <w:trHeight w:val="229"/>
        </w:trPr>
        <w:tc>
          <w:tcPr>
            <w:tcW w:w="37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ind w:left="260"/>
              <w:spacing w:after="0"/>
              <w:rPr>
                <w:sz w:val="20"/>
                <w:szCs w:val="20"/>
                <w:color w:val="auto"/>
              </w:rPr>
            </w:pPr>
            <w:r>
              <w:rPr>
                <w:rFonts w:ascii="Arial" w:cs="Arial" w:eastAsia="Arial" w:hAnsi="Arial"/>
                <w:sz w:val="18"/>
                <w:szCs w:val="18"/>
                <w:color w:val="auto"/>
              </w:rPr>
              <w:t>Issuance of warrant to purchase common</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60"/>
              <w:spacing w:after="0"/>
              <w:rPr>
                <w:sz w:val="20"/>
                <w:szCs w:val="20"/>
                <w:color w:val="auto"/>
              </w:rPr>
            </w:pPr>
            <w:r>
              <w:rPr>
                <w:rFonts w:ascii="Arial" w:cs="Arial" w:eastAsia="Arial" w:hAnsi="Arial"/>
                <w:sz w:val="18"/>
                <w:szCs w:val="18"/>
                <w:color w:val="auto"/>
              </w:rPr>
              <w:t>stock</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b w:val="1"/>
                <w:bCs w:val="1"/>
                <w:color w:val="auto"/>
              </w:rPr>
              <w:t>Balance as of September 30,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28,000,000</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27,813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Total</w:t>
            </w:r>
          </w:p>
        </w:tc>
      </w:tr>
      <w:tr>
        <w:trPr>
          <w:trHeight w:val="171"/>
        </w:trPr>
        <w:tc>
          <w:tcPr>
            <w:tcW w:w="172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w w:val="93"/>
              </w:rPr>
              <w:t>Stockholders'</w:t>
            </w:r>
          </w:p>
        </w:tc>
      </w:tr>
      <w:tr>
        <w:trPr>
          <w:trHeight w:val="156"/>
        </w:trPr>
        <w:tc>
          <w:tcPr>
            <w:tcW w:w="98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64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980" w:type="dxa"/>
            <w:vAlign w:val="bottom"/>
            <w:gridSpan w:val="2"/>
          </w:tcPr>
          <w:p>
            <w:pPr>
              <w:jc w:val="right"/>
              <w:ind w:right="421"/>
              <w:spacing w:after="0" w:line="155" w:lineRule="exact"/>
              <w:rPr>
                <w:sz w:val="20"/>
                <w:szCs w:val="20"/>
                <w:color w:val="auto"/>
              </w:rPr>
            </w:pPr>
            <w:r>
              <w:rPr>
                <w:rFonts w:ascii="Arial" w:cs="Arial" w:eastAsia="Arial" w:hAnsi="Arial"/>
                <w:sz w:val="14"/>
                <w:szCs w:val="14"/>
                <w:b w:val="1"/>
                <w:bCs w:val="1"/>
                <w:color w:val="auto"/>
              </w:rPr>
              <w:t>Deficit</w:t>
            </w:r>
          </w:p>
        </w:tc>
        <w:tc>
          <w:tcPr>
            <w:tcW w:w="102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Equity (Deficit)</w:t>
            </w:r>
          </w:p>
        </w:tc>
      </w:tr>
      <w:tr>
        <w:trPr>
          <w:trHeight w:val="224"/>
        </w:trPr>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764,408</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(18,214)</w:t>
            </w:r>
          </w:p>
        </w:tc>
        <w:tc>
          <w:tcPr>
            <w:tcW w:w="240" w:type="dxa"/>
            <w:vAlign w:val="bottom"/>
          </w:tcPr>
          <w:p>
            <w:pPr>
              <w:spacing w:after="0"/>
              <w:rPr>
                <w:sz w:val="19"/>
                <w:szCs w:val="19"/>
                <w:color w:val="auto"/>
              </w:rPr>
            </w:pPr>
          </w:p>
        </w:tc>
        <w:tc>
          <w:tcPr>
            <w:tcW w:w="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(17,802)</w:t>
            </w:r>
          </w:p>
        </w:tc>
        <w:tc>
          <w:tcPr>
            <w:tcW w:w="60" w:type="dxa"/>
            <w:vAlign w:val="bottom"/>
          </w:tcPr>
          <w:p>
            <w:pPr>
              <w:spacing w:after="0"/>
              <w:rPr>
                <w:sz w:val="19"/>
                <w:szCs w:val="19"/>
                <w:color w:val="auto"/>
              </w:rPr>
            </w:pPr>
          </w:p>
        </w:tc>
      </w:tr>
      <w:tr>
        <w:trPr>
          <w:trHeight w:val="660"/>
        </w:trPr>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r>
      <w:tr>
        <w:trPr>
          <w:trHeight w:val="230"/>
        </w:trPr>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01"/>
              <w:spacing w:after="0"/>
              <w:rPr>
                <w:sz w:val="20"/>
                <w:szCs w:val="20"/>
                <w:color w:val="auto"/>
              </w:rPr>
            </w:pPr>
            <w:r>
              <w:rPr>
                <w:rFonts w:ascii="Arial" w:cs="Arial" w:eastAsia="Arial" w:hAnsi="Arial"/>
                <w:sz w:val="18"/>
                <w:szCs w:val="18"/>
                <w:color w:val="auto"/>
              </w:rPr>
              <w:t>(4,119)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(4,119)</w:t>
            </w:r>
          </w:p>
        </w:tc>
      </w:tr>
      <w:tr>
        <w:trPr>
          <w:trHeight w:val="222"/>
        </w:trPr>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764,408</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(22,333)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(21,906)</w:t>
            </w:r>
          </w:p>
        </w:tc>
        <w:tc>
          <w:tcPr>
            <w:tcW w:w="60" w:type="dxa"/>
            <w:vAlign w:val="bottom"/>
          </w:tcPr>
          <w:p>
            <w:pPr>
              <w:spacing w:after="0"/>
              <w:rPr>
                <w:sz w:val="19"/>
                <w:szCs w:val="19"/>
                <w:color w:val="auto"/>
              </w:rPr>
            </w:pPr>
          </w:p>
        </w:tc>
      </w:tr>
      <w:tr>
        <w:trPr>
          <w:trHeight w:val="229"/>
        </w:trPr>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9"/>
                <w:szCs w:val="19"/>
                <w:color w:val="auto"/>
              </w:rPr>
            </w:pPr>
          </w:p>
        </w:tc>
      </w:tr>
      <w:tr>
        <w:trPr>
          <w:trHeight w:val="230"/>
        </w:trPr>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01"/>
              <w:spacing w:after="0"/>
              <w:rPr>
                <w:sz w:val="20"/>
                <w:szCs w:val="20"/>
                <w:color w:val="auto"/>
              </w:rPr>
            </w:pPr>
            <w:r>
              <w:rPr>
                <w:rFonts w:ascii="Arial" w:cs="Arial" w:eastAsia="Arial" w:hAnsi="Arial"/>
                <w:sz w:val="18"/>
                <w:szCs w:val="18"/>
                <w:color w:val="auto"/>
              </w:rPr>
              <w:t>(3,236)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(3,236)</w:t>
            </w:r>
          </w:p>
        </w:tc>
      </w:tr>
      <w:tr>
        <w:trPr>
          <w:trHeight w:val="222"/>
        </w:trPr>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764,408</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(25,569)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(25,065)</w:t>
            </w:r>
          </w:p>
        </w:tc>
        <w:tc>
          <w:tcPr>
            <w:tcW w:w="60" w:type="dxa"/>
            <w:vAlign w:val="bottom"/>
          </w:tcPr>
          <w:p>
            <w:pPr>
              <w:spacing w:after="0"/>
              <w:rPr>
                <w:sz w:val="19"/>
                <w:szCs w:val="19"/>
                <w:color w:val="auto"/>
              </w:rPr>
            </w:pPr>
          </w:p>
        </w:tc>
      </w:tr>
      <w:tr>
        <w:trPr>
          <w:trHeight w:val="230"/>
        </w:trPr>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0"/>
                <w:szCs w:val="20"/>
                <w:color w:val="auto"/>
              </w:rPr>
            </w:pPr>
          </w:p>
        </w:tc>
      </w:tr>
      <w:tr>
        <w:trPr>
          <w:trHeight w:val="445"/>
        </w:trPr>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4"/>
                <w:szCs w:val="24"/>
                <w:color w:val="auto"/>
              </w:rPr>
            </w:pPr>
          </w:p>
        </w:tc>
      </w:tr>
      <w:tr>
        <w:trPr>
          <w:trHeight w:val="230"/>
        </w:trPr>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01"/>
              <w:spacing w:after="0"/>
              <w:rPr>
                <w:sz w:val="20"/>
                <w:szCs w:val="20"/>
                <w:color w:val="auto"/>
              </w:rPr>
            </w:pPr>
            <w:r>
              <w:rPr>
                <w:rFonts w:ascii="Arial" w:cs="Arial" w:eastAsia="Arial" w:hAnsi="Arial"/>
                <w:sz w:val="18"/>
                <w:szCs w:val="18"/>
                <w:color w:val="auto"/>
              </w:rPr>
              <w:t>(2,551)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(2,551)</w:t>
            </w:r>
          </w:p>
        </w:tc>
      </w:tr>
      <w:tr>
        <w:trPr>
          <w:trHeight w:val="223"/>
        </w:trPr>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764,408</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(28,120</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20" w:space="320"/>
            <w:col w:w="528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(21,201)</w:t>
            </w: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(9,906)</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Non-cash lease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(905)</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Accrued compensation and benefits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(161)</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liabilities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(18,253)</w:t>
            </w:r>
          </w:p>
        </w:tc>
        <w:tc>
          <w:tcPr>
            <w:tcW w:w="2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(9,710)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issuance of Series A redeemable convertible preferred stock, net of</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issuance costs</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Series B redeemable convertible preferred stock, net of</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issuance costs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87,633</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 of deferred offering costs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(931)</w:t>
            </w:r>
          </w:p>
        </w:tc>
        <w:tc>
          <w:tcPr>
            <w:tcW w:w="10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issuance of term loan, net of issuance costs of $8</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86,753</w:t>
            </w:r>
          </w:p>
        </w:tc>
        <w:tc>
          <w:tcPr>
            <w:tcW w:w="2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10,433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68,450</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3,924</w:t>
            </w:r>
          </w:p>
        </w:tc>
        <w:tc>
          <w:tcPr>
            <w:tcW w:w="2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72,374</w:t>
            </w:r>
          </w:p>
        </w:tc>
        <w:tc>
          <w:tcPr>
            <w:tcW w:w="28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data:</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2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23"/>
                <w:szCs w:val="23"/>
                <w:color w:val="auto"/>
              </w:rPr>
            </w:pP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Right-of-use assets recognized in exchange for lease liabilities</w:t>
            </w:r>
          </w:p>
        </w:tc>
        <w:tc>
          <w:tcPr>
            <w:tcW w:w="9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280" w:type="dxa"/>
            <w:vAlign w:val="bottom"/>
            <w:tcBorders>
              <w:bottom w:val="single" w:sz="8" w:color="CFF0FC"/>
            </w:tcBorders>
          </w:tcPr>
          <w:p>
            <w:pPr>
              <w:spacing w:after="0"/>
              <w:rPr>
                <w:sz w:val="23"/>
                <w:szCs w:val="23"/>
                <w:color w:val="auto"/>
              </w:rPr>
            </w:pPr>
          </w:p>
        </w:tc>
        <w:tc>
          <w:tcPr>
            <w:tcW w:w="100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Deferred offering costs included in accounts payable and accrued expenses</w:t>
            </w: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w:t>
            </w:r>
          </w:p>
        </w:tc>
        <w:tc>
          <w:tcPr>
            <w:tcW w:w="2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8"/>
                <w:szCs w:val="18"/>
                <w:color w:val="auto"/>
              </w:rPr>
              <w:t>Property and equipment included in accounts payable</w:t>
            </w: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960" w:type="dxa"/>
            <w:vAlign w:val="bottom"/>
            <w:tcBorders>
              <w:top w:val="single" w:sz="8" w:color="auto"/>
              <w:bottom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Fair value of warrant issued in connection with term loan</w:t>
            </w: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8160" w:firstLine="8"/>
        <w:spacing w:after="0" w:line="377"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Description of Business</w:t>
      </w:r>
    </w:p>
    <w:p>
      <w:pPr>
        <w:spacing w:after="0" w:line="2"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Spruce Biosciences, Inc. (the Company) is a late-stage biopharmaceutical company focused on developing and commercializing novel therapies for rare endocrine disorders with significant unmet medical need. The Company is initially developing its wholly-owned product candidate, tildacerfont, as the potential first non-steroidal therapy to offer markedly improved disease control and reduce steroid burden for adult patients suffering from classic congenital adrenal hyperplasia (CAH). The Company is located in Daly City, California and was incorporated in the state of Delaware in April 2016.</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In October 2020, the Company filed an amendment to the Company’s amended and restated certificate of incorporation to effect a reverse split of shares of the Company’s common stock on a 1-for-6.541 basis (Reverse Stock Split). Adjustments corresponding to the Reverse Stock Split were made to the ratio at which the Company’s redeemable convertible preferred stock converted into common stock in connection with the closing of the Company’s initial public offering (IPO). The par value of the common stock and number of shares authorized were not adjusted as a result of the Reverse Stock Split. All references to common stock, options to purchase common stock, warrants, share data, per share data, and related information contained in the financial statements and related footnotes have been retrospectively adjusted to reflect the effect of the Reverse Stock Split for all periods presented.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In October 2020, the Company consummated its IPO and issued a total of 6,900,000 shares of common stock, which includes 900,000 shares issued pursuant to the exercise of the underwriters’ option to purchase additional shares, at an offering price of $15.00 per share. In aggregate, the Company received net proceeds of approximately $96.3 million, after deducting underwriting discounts and commissions of approximately $7.2 million and before deducting offering related expenses. Upon the closing of the IPO, all outstanding shares of the Company’s redeemable convertible preferred stock automatically converted into 15,492,019 shares of common stock. See Note 11 to these condensed financial statements for additional details.</w:t>
      </w:r>
    </w:p>
    <w:p>
      <w:pPr>
        <w:spacing w:after="0" w:line="16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As of September 30, 2020, the Company had cash and cash equivalents of $72.2 million, which together with the net proceeds from the IPO of $96.3 million, will be sufficient to fund its planned operations for a period of at least twelve months following the issuance of the accompanying condensed financial statements.</w:t>
      </w:r>
    </w:p>
    <w:p>
      <w:pPr>
        <w:spacing w:after="0" w:line="184"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The Company has incurred significant losses and negative cash flows from operations. During the nine months ended September 30, 2020, the Company incurred a net loss of $21.2 million and used $18.3 million of cash in operations. As of September 30, 2020, the Company had an accumulated deficit of $52.5 million and does not expect positive cash flows from operations in the foreseeable future. In recent years, the Company has funded its operations primarily through the issuance and sale of redeemable convertible preferred stock and debt. In February 2020, the Company issued and sold 36,666,665 shares of Series B redeemable convertible preferred stock (Series B preferred stock) for approximately $43.6 million in net proceeds. In August 2020, the Company issued and sold an additional 36,666,665 shares of Series B preferred stock for approximately $44.0 million in net proceeds.</w:t>
      </w:r>
    </w:p>
    <w:p>
      <w:pPr>
        <w:spacing w:after="0" w:line="164"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Company anticipates that it will need to raise substantial additional financing in the future to fund its operations. In order to meet these additional cash requirements, the Company may seek to sell additional equity or issue debt, convertible debt or other securities that may result in dilution to its stockholders. If the Company raises additional funds through the issuance of debt or convertible debt securities, these securities could have rights senior to those of its shares of common stock and could contain covenants that restrict its operations. There can be no assurance that the Company will be able to obtain additional equity or debt financing on terms acceptable to it, if at all. Debt financing, if available, would result in increased fixed payment obligations and may involve agreements that include covenants limiting or restricting the Company’s ability to take specific actions such as incurring debt, making capital expenditures or declaring dividends. The Company’s failure to obtain sufficient funds on acceptable terms when needed could have a material adverse effect on its business, results of operations, and financial condition.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680" w:firstLine="8"/>
        <w:spacing w:after="0" w:line="425"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Interim Condensed Financial Statements</w:t>
      </w:r>
    </w:p>
    <w:p>
      <w:pPr>
        <w:ind w:right="80" w:firstLine="510"/>
        <w:spacing w:after="0" w:line="287" w:lineRule="auto"/>
        <w:rPr>
          <w:sz w:val="20"/>
          <w:szCs w:val="20"/>
          <w:color w:val="auto"/>
        </w:rPr>
      </w:pPr>
      <w:r>
        <w:rPr>
          <w:rFonts w:ascii="Arial" w:cs="Arial" w:eastAsia="Arial" w:hAnsi="Arial"/>
          <w:sz w:val="16"/>
          <w:szCs w:val="16"/>
          <w:color w:val="auto"/>
        </w:rPr>
        <w:t>The financial statements have been prepared in accordance with accounting principles generally accepted in the United States of America (U.S. GAAP) and applicable rules and regulations of the U.S. Securities and Exchange Commission (SEC) for interim reporting. As permitted under those rules and regulations, certain footnotes or other financial information normally included in financial statements prepared in accordance with U.S. GAAP have been condensed or omitted. The condensed balance sheet as of September 30, 2020, the condensed statements of operations for the three and nine months ended September 30, 2020 and 2019, the condensed statements of redeemable convertible preferred stock and stockholders’ equity (deficit) for the three and nine months ended September 30, 2020 and 2019, and the condensed statement of cash flows for the nine months ended September 30, 2020 and 2019 are unaudited. The interim condensed financial statements have been prepared on the same basis as the annual financial statements and, in the opinion of management, reflect all adjustments, which include only normal, recurring adjustments that are necessary to present fairly the Company’s results for the interim periods presented. The condensed balance sheet as of December 31, 2019, is derived from the Company’s audited financial statements. The results of operations for the three and nine months ended September 30, 2020, are not necessarily indicative of the results to be expected for the year ending December 31, 2020, or for any other future annual or interim period.</w:t>
      </w:r>
    </w:p>
    <w:p>
      <w:pPr>
        <w:spacing w:after="0" w:line="172"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These interim condensed financial statements should be read in conjunction with the Company’s audited financial statements and the related notes thereto for the year ended December 31, 2019, which are included in the Company’s prospectus, dated October 8, 2020 that forms a part of the Company’s Registration Statement on Form S-1 (File. Nos. 333-248924 and 333-249397) as filed with the SEC pursuant to Rule 424(b) under the Securities Act of 1933, as amended, on October 9,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 development expenses, valuation of common stock and stock-based compensation, valuation of warrants and income tax and uncertain tax positions. The Company bases its estimates on its historical experience and on assumptions that it believes are reasonable; however, actual results could significantly differ from those estimates.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Any product candidates developed by the Company will require approvals from the U.S. Food and Drug Administration (FDA)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w:t>
      </w:r>
    </w:p>
    <w:p>
      <w:pPr>
        <w:spacing w:after="0" w:line="18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Company is subject to a number of risks similar to other late-stage biopharmaceutical companies including, but not limited to, dependency on the clinical and commercial success of the Company’s product candidate, tildacerfont, ability to obtain regulatory approval of tildacerfont, the need for substantial additional financing to achieve its goals, uncertainty of broad adoption of its approved products, if any, by physicians and consumers, significant competition and untested manufacturing capabilities, and dependence on key individuals and sole source suppliers.</w:t>
      </w:r>
    </w:p>
    <w:p>
      <w:pPr>
        <w:spacing w:after="0" w:line="171" w:lineRule="exact"/>
        <w:rPr>
          <w:sz w:val="20"/>
          <w:szCs w:val="20"/>
          <w:color w:val="auto"/>
        </w:rPr>
      </w:pPr>
    </w:p>
    <w:p>
      <w:pPr>
        <w:ind w:right="160" w:firstLine="510"/>
        <w:spacing w:after="0" w:line="260" w:lineRule="auto"/>
        <w:rPr>
          <w:sz w:val="20"/>
          <w:szCs w:val="20"/>
          <w:color w:val="auto"/>
        </w:rPr>
      </w:pPr>
      <w:r>
        <w:rPr>
          <w:rFonts w:ascii="Arial" w:cs="Arial" w:eastAsia="Arial" w:hAnsi="Arial"/>
          <w:sz w:val="18"/>
          <w:szCs w:val="18"/>
          <w:color w:val="auto"/>
        </w:rPr>
        <w:t>The Company’s business has been and could continue to be adversely affected by the evolving COVID-19 pandemic. For example, the COVID-19 pandemic has resulted in and could result in delays to the Company’s clinical trials for numerous reasons including additional delays or difficulties in enrolling patients, diversion of healthcare resources away from the conduct of clinical trials, interruption or delays in the operations of the FDA or other regulatory authorities, and delays in clinical sites receiving the supplies and materials to conduct our clinical trials. At this time, the extent to which the COVID-19 pandemic impacts the Company’s business will depend on future developments, which are highly uncertain and cannot be predicted. The Company will continue to evaluate the impact that these events could have on its operations, financial position, and results of operations and cash flows during fiscal year 2020 and beyond.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860" w:firstLine="510"/>
        <w:spacing w:after="0" w:line="277" w:lineRule="auto"/>
        <w:rPr>
          <w:sz w:val="20"/>
          <w:szCs w:val="20"/>
          <w:color w:val="auto"/>
        </w:rPr>
      </w:pPr>
      <w:r>
        <w:rPr>
          <w:rFonts w:ascii="Arial" w:cs="Arial" w:eastAsia="Arial" w:hAnsi="Arial"/>
          <w:sz w:val="18"/>
          <w:szCs w:val="18"/>
          <w:color w:val="auto"/>
        </w:rPr>
        <w:t>The Company considers all highly liquid investments with remaining maturities at the date of purchase of three months or less to be cash equivalents. Cash equivalents consist of amounts invested in money market funds.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The Company has cash in a collateral account related to a letter of credit issued on behalf of the Company for the security deposit on the non-cancelable operating lease for an office facility. The collateralized cash in connection with the letter of credit was classified as restricted cash on the balance sheet as of September 30, 2020 based on the terms of the lease agreement, which expires in 2025, unless extended.</w:t>
      </w:r>
    </w:p>
    <w:p>
      <w:pPr>
        <w:spacing w:after="0" w:line="165"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statements of cash flows (in thousands):</w:t>
      </w:r>
    </w:p>
    <w:p>
      <w:pPr>
        <w:spacing w:after="0" w:line="27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72,158</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4,832</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72,374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18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Company determined the fair value of financial assets and liabilities using the fair value hierarchy that describes three levels of inputs that may be used to measure fair value, as follows:</w:t>
      </w:r>
    </w:p>
    <w:p>
      <w:pPr>
        <w:spacing w:after="0" w:line="62"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117" w:lineRule="exact"/>
        <w:rPr>
          <w:rFonts w:ascii="Arial" w:cs="Arial" w:eastAsia="Arial" w:hAnsi="Arial"/>
          <w:sz w:val="18"/>
          <w:szCs w:val="18"/>
          <w:color w:val="auto"/>
        </w:rPr>
      </w:pPr>
    </w:p>
    <w:p>
      <w:pPr>
        <w:ind w:left="1000" w:right="440" w:hanging="493"/>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7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70" w:lineRule="exact"/>
        <w:rPr>
          <w:sz w:val="20"/>
          <w:szCs w:val="20"/>
          <w:color w:val="auto"/>
        </w:rPr>
      </w:pPr>
    </w:p>
    <w:p>
      <w:pPr>
        <w:ind w:right="280" w:firstLine="510"/>
        <w:spacing w:after="0" w:line="290" w:lineRule="auto"/>
        <w:rPr>
          <w:sz w:val="20"/>
          <w:szCs w:val="20"/>
          <w:color w:val="auto"/>
        </w:rPr>
      </w:pPr>
      <w:r>
        <w:rPr>
          <w:rFonts w:ascii="Arial" w:cs="Arial" w:eastAsia="Arial" w:hAnsi="Arial"/>
          <w:sz w:val="17"/>
          <w:szCs w:val="17"/>
          <w:color w:val="auto"/>
        </w:rPr>
        <w:t>The Company’s financial instruments primarily consist of cash and cash equivalents, prepaid expenses, accounts payable, term loan, and accrued expenses. The carrying value of cash and cash equivalents, prepaid expenses, accounts payable, and accrued expenses are generally considered to be representative of their respective fair values because of the short-term nature of those instruments. The estimated fair value of the term loan is based on estimated interest rates currently available to the Company for debt with similar terms.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Financial instruments, which potentially subject the Company to significant concentration of credit risk, consist primarily of cash and cash equivalents. The Company maintains deposits in federally insured financial institutions in excess of federally insured limits. The Company is exposed to credit risk in the event of default by the financial institutions holding its cash and cash equivalents to the extent recorded in the balance sheet. The Company has not experienced any losses in such accounts and management believes that the Company is not exposed to significant credit risk due to the financial position of the depository institutions in which those deposits are held.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 Company capitalizes within other assets certain legal, accounting, and other third-party fees that are directly related to the Company’s in-process equity financings, including the IPO, until such financings are consummated. After consummation of the equity financing, these costs are recorded in stockholders’ equity (deficit) as a reduction of the proceeds received from the offering. As of September 30, 2020, $2.3 million of deferred offering costs were capitalized and recorded on the condensed balance sheet. The deferred offering costs were reclassified to additional paid-in-capital upon the consummation of the IPO in October 2020. See Note 11 to these condensed financial statements for additional details.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adopted Accounting Standards Update (ASU), No. 2016-02, Leases (Topic 842) effective January 1, 2020.</w:t>
      </w:r>
    </w:p>
    <w:p>
      <w:pPr>
        <w:spacing w:after="0" w:line="2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Company determines if an arrangement includes a lease at inception. Right-of-use assets and lease liabilities are recognized based on the present value of the future minimum lease payments over the lease term at the commencement date. The right-of-use asset includes any lease payments made and excludes lease incentives. The incremental borrowing rate is used in determining the present value of future payments. The Company utilizes its incremental borrowing rate, which is the rate incurred to borrow on a collateralized basis over a similar term an amount equal to the lease payments in a similar economic environment. The lease terms may include options to extend or terminate the lease. Lease expense for minimum lease payments is recognized on a straight-line basis over the non-cancelable lease term. The Company has elected not to recognize a right-of-use asset and lease liability for short-term leases. A short-term lease is a lease with an expected lease term of 12 months or less and which does not include an option to purchase the underlying asset that the lessee is reasonably certain to exercise. The Company also elected the package of practical expedients under the transition guidance that will retain the historical lease classification and initial direct costs for any leases that exist prior to adoption of the new guidance and the practical expedient to not separate lease and non-lease components. Prior period amounts have not been adjusted and continue to be reported in accordance with the Company’s historical accounting under previous lease guidance, Accounting Standards Codification (ASC) 840, Leases (Topic 840). See Note 8 to these condensed financial statements for additional detail.</w:t>
      </w:r>
    </w:p>
    <w:p>
      <w:pPr>
        <w:spacing w:after="0" w:line="179"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During 2019, leases were accounted for under ASC 840, Leases, and classified as operating leases. The Company’s operating lease agreements include scheduled rent escalations over the lease term. During 2019, rent expense was charged ratably on a straight-line basis over the life of the lease from the date the Company obtains the legal right to use and control the leased space.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121"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Company records redeemable convertible preferred stock at fair value on the dates of issuance, net of issuance costs. Upon the occurrence of certain events that are outside the Company’s control, including a deemed liquidation event such as a merger, acquisition and sale of all or substantially all of the Company’s assets, holders of the redeemable convertible preferred stock can cause redemption for cash. Therefore, redeemable convertible preferred stock is classified as temporary equity (mezzanine) on the balance sheet as events triggering the liquidation preferences are not solely within the Company’s control. The carrying values of the redeemable convertible preferred stock are adjusted to their liquidation preferences if and when it becomes probable that such a liquidation event will occur. Upon the consummation of the IPO in October 2020, all shares of redeemable convertible preferred stock outstanding were automatically converted into 15,492,019 shares of common stock. See Note 11 to these condensed financial statements for additional details.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expenses include, but are not limited to, personnel costs, fees paid to external entities that conduct certain nonclinical and clinical development activities on our behalf, manufacturing costs, outside service and consulting costs, and allocated overhead, including rent. Assets acquired that are utilized in research and development that have no alternative future use are also expensed as incurred.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Expenses</w:t>
      </w:r>
    </w:p>
    <w:p>
      <w:pPr>
        <w:spacing w:after="0" w:line="121"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Clinical trial costs are charged to research and development expense as incurred. The Company accrues for expenses resulting from contracts with clinical research organizations (CROs),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 contracts. The Company’s policy is to reflect the appropriate expense in the financial statements by matching the appropriate expenses with the period in which services and efforts are expended.</w:t>
      </w:r>
    </w:p>
    <w:p>
      <w:pPr>
        <w:spacing w:after="0" w:line="176"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The CRO contracts generally include pass-through fees including, but not limited to, regulatory expenses, investigator fees, laboratory fees and other miscellaneous costs. The Company determines accrual estimates through reports from and discussion with clinical personnel and outside services providers as to the progress or state of completion of trials, or the services completed. The Company estimates accrued expenses as of each balance sheet date based on the facts and circumstances known at that time. The clinical trial accrual is dependent, in part, upon the receipt of timely and accurate reporting from the CROs and other third-party vendors.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If the actual timing of the performance of services or the level of effort varies from the original estimates, the Company will adjust the accrual accordingly. Payments associated with licensing agreements to acquire exclusive licenses to develop, use, manufacture and commercialize products that have not reached technological feasibility and do not have alternate commercial use are expensed as incurred. Payments made to third parties under these arrangements in advance of the performance of the related services by the third parties are recorded as prepaid expenses until the services are rendered.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These costs are included in general and administrative expenses and were immaterial for each of the periods presented.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The Company has an equity incentive plan under which various types of equity-based awards including, but not limited to, incentive stock options, non-qualified stock options, and restricted stock awards, may be granted to employees, non-employee directors, and non-employee consultants.</w:t>
      </w:r>
    </w:p>
    <w:p>
      <w:pPr>
        <w:spacing w:after="0" w:line="124"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For equity awards granted to employees and directors, the Company recognizes compensation expense based on the estimated grant-date fair values. The fair value of stock options is determined using the Black-Scholes option pricing model. The Company recognizes compensation expense for stock option awards on a straight-line basis over the requisite service period of the award, generally four years. Forfeitures are recorded as they occur.</w:t>
      </w:r>
    </w:p>
    <w:p>
      <w:pPr>
        <w:spacing w:after="0" w:line="149" w:lineRule="exact"/>
        <w:rPr>
          <w:sz w:val="20"/>
          <w:szCs w:val="20"/>
          <w:color w:val="auto"/>
        </w:rPr>
      </w:pPr>
    </w:p>
    <w:p>
      <w:pPr>
        <w:ind w:right="220" w:firstLine="510"/>
        <w:spacing w:after="0" w:line="286" w:lineRule="auto"/>
        <w:rPr>
          <w:sz w:val="20"/>
          <w:szCs w:val="20"/>
          <w:color w:val="auto"/>
        </w:rPr>
      </w:pPr>
      <w:r>
        <w:rPr>
          <w:rFonts w:ascii="Arial" w:cs="Arial" w:eastAsia="Arial" w:hAnsi="Arial"/>
          <w:sz w:val="17"/>
          <w:szCs w:val="17"/>
          <w:color w:val="auto"/>
        </w:rPr>
        <w:t>Stock-based compensation expense related to stock options granted to nonemployees is recognized based on the fair value of the stock options, determined using the Black-Scholes option pricing model, as they are earned. The awards generally vest over the period the Company expects to receive services from the nonemployee. Non-employee stock-based compensation expense was not material in any period presented.</w:t>
      </w:r>
    </w:p>
    <w:p>
      <w:pPr>
        <w:spacing w:after="0" w:line="165"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The Company’s determination of the fair value of stock options with time-based vesting on the date of grant utilizes the Black-Scholes option-pricing model, and is impacted by its common stock price as well as other variables including, but not limited to, expected term that options will remain outstanding, expected common stock price volatility over the term of the option awards, risk-free interest rates and expected dividends. The fair value of a stock-based award is recognized over the period during which an optionee is required to provide services in exchange for the option award, known as the requisite service period (usually the vesting period) on a straight-line basis. Stock-based compensation expense is recognized based on the fair value determined on the date of grant and is reduced for forfeitures as they occur.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The Company operates and manages its business as one operating segment, which is the business of designing and developing novel therapies for rare endocrine disorders. The Company’s chief executive officer, who is the chief operating decision maker, reviews financial information on an aggregate basis for allocating and evaluating financial performance. All long-lived assets are maintained in the United States of America.</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stock options, and common stock warrants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because it participates in dividends with common stock. The holders of all series of redeemable convertible preferred stock do not have a contractual obligation to share in the Company’s losses. As such, the net loss was attributed entirely to common stockholders. Because the Company has reported a net loss for all periods presented, diluted net loss per share is the same as basic net loss per share for those periods.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June 2016, the Financial Accounting Standards Board (FASB) issued ASU 2016-13, Measurement of Credit Losses on Financial Instruments (Topic 326): Measurement of Credit Losses on Financial Instruments (ASU 2016-13). ASU 2016-13 requires companies to measure credit losses utilizing a methodology that reflects expected credit losses and requires a consideration of a broader range of reasonable and supportable information to inform credit loss estimates. ASU 2016-13 is effective for non-EGC’s electing to use the extended transition period for complying with new or revised accounting standards for fiscal years beginning after December 15, 2019, and for EGC’s for fiscal years beginning after December 15, 2022, with early adoption permitted. The Company expects to adopt this ASU on January 1, 2023. The Company is currently assessing the impact of adopting this standard, but based on a preliminary assessment, does not expect the adoption of this guidance to have a material impact on its financial statements.</w:t>
      </w:r>
    </w:p>
    <w:p>
      <w:pPr>
        <w:spacing w:after="0" w:line="166"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December 2019, the FASB issued Accounting Standards Update (ASU) 2019-12, Income Taxes (Topic 740): Simplifying the Accounting for Income Taxes. The amendments in ASU 2019-12 are intended to simplify various aspects related to accounting for income taxes. ASU 2019-12 removes certain exceptions to the general principles in Topic 740 and also clarifies and amends existing guidance to improve consistent application. ASU 2019-12 is effective for public business entities for fiscal years beginning after December 15, 2020 and the Company will adopt on January 1, 2021. The Company is currently evaluating the effect this standard will have on its financial statements and disclosures.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In February 2016, the FASB issued ASU 2016-02, Leases. ASU 2016-02 requires a lessee to recognize right of use asset and lease liability for all leases with lease terms of more than 12 months, along with additional qualitative and quantitative disclosures. ASU 2016-02 is effective for the Company beginning January 1, 2022, with early adoption permitted. The Company elected the modified retrospective approach and adopted ASC 842 on January 1, 2020. The Company also elected the package of practical expedients under the transition guidance that will retain the historical lease classification and initial direct costs for any leases that exist prior to adoption of the new guidance and the practical expedient to not separate lease and non-lease components. As of the date of adoption, the Company did not have any leases subject to capitalization under ASC 842, and as such, there was no impact to the financial statements. Since adoption, the Company entered into a new lease and recorded a $1.9 million right-of-use asset and $1.9 million lease liability upon commencement of the lease in September 2020. See Note 8 for further disclosure.</w:t>
      </w:r>
    </w:p>
    <w:p>
      <w:pPr>
        <w:spacing w:after="0" w:line="178"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color w:val="auto"/>
        </w:rPr>
        <w:t>In August 2018, the FASB issued ASU No. 2018-13, Fair Value Measurement (Topic 820). This new guidance removes, modifies and adds to certain disclosure requirements on fair value measurements in Topic 820. This new guidance became effective for all entities for fiscal years beginning after December 15, 2019. Accordingly, the Company adopted ASU 2018-13 as of January 1, 2020. The adoption did not have any impact on the Company’s financial statements as of and for the periods ended September 30,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The carrying amounts of cash equivalents approximate their fair value based upon quoted market prices. Certain of the Company’s financial instruments are not measured at fair value on a recurring basis but are recorded at amounts that approximate their fair value due to their liquid or short-term nature, such as cash, prepaid expenses, accounts payable and accrued expenses. The Company did not have any financial assets measured nor liabilities recorded at fair value on a recurring or non-recurring basis as of September 30, 2020 and December 31, 2019.</w:t>
      </w:r>
    </w:p>
    <w:p>
      <w:pPr>
        <w:spacing w:after="0" w:line="17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estimated fair value of the term loan was $4.8 million as of September 30, 2020 and was based on estimated interest rates currently available to the Company for debt with similar terms, a Level 3 input.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Term Loan</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September 2019, the Company entered into a Loan and Security Agreement (the Loan Agreement) with Silicon Valley Bank (SVB) providing for a term loan (the Term Loan). In April 2020, the Company and SVB entered into an agreement (the Deferral Agreement) whereby the parties agreed to extend the Interest-Only Period (defined below), repayment dates of all monthly payments of principal due and the maturity date with respect to the Term Loan by six months. All other terms of the Term Loan remained unchanged. The Deferral Agreement was determined to be a debt modification, resulting in a prospective yield adjustment based on the revised terms.</w:t>
      </w:r>
    </w:p>
    <w:p>
      <w:pPr>
        <w:spacing w:after="0" w:line="188"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Pursuant to the Loan Agreement, the Company had the ability to request up to $4.5 million of borrowings in two tranches of term loans. In September 2019, the Company requested $2.5 million from the first tranche (the First Tranche) in connection with the entry into the Loan Agreement. The Loan Agreement provided the option to request an additional $2.0 million (the Second Tranche), after the Company reached certain borrowing conditions as stipulated in the Loan Agreement. The Company satisfied these conditions and drew the Second Tranche of $2.0 million in December 2019. Pursuant to the Deferral Agreement, principal payments shall commence in January 2021 and the Term Loan will mature in September 2022.</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Outstanding principal balances under the Term Loan bear interest at a floating per annum rate equal to the greatest of: (i) 1% below the prime rate,</w:t>
      </w:r>
    </w:p>
    <w:p>
      <w:pPr>
        <w:spacing w:after="0" w:line="46" w:lineRule="exact"/>
        <w:rPr>
          <w:sz w:val="20"/>
          <w:szCs w:val="20"/>
          <w:color w:val="auto"/>
        </w:rPr>
      </w:pPr>
    </w:p>
    <w:p>
      <w:pPr>
        <w:ind w:right="180" w:firstLine="8"/>
        <w:spacing w:after="0" w:line="287" w:lineRule="auto"/>
        <w:tabs>
          <w:tab w:leader="none" w:pos="265" w:val="left"/>
        </w:tabs>
        <w:numPr>
          <w:ilvl w:val="0"/>
          <w:numId w:val="6"/>
        </w:numPr>
        <w:rPr>
          <w:rFonts w:ascii="Arial" w:cs="Arial" w:eastAsia="Arial" w:hAnsi="Arial"/>
          <w:sz w:val="16"/>
          <w:szCs w:val="16"/>
          <w:color w:val="auto"/>
        </w:rPr>
      </w:pPr>
      <w:r>
        <w:rPr>
          <w:rFonts w:ascii="Arial" w:cs="Arial" w:eastAsia="Arial" w:hAnsi="Arial"/>
          <w:sz w:val="16"/>
          <w:szCs w:val="16"/>
          <w:color w:val="auto"/>
        </w:rPr>
        <w:t>4.25%, or (iii) 1% below the prime rate as of September 23, 2019. Under the Term Loan, as amended by the Deferral Agreement, the Company is required to make monthly payments of interest only commencing on the first day of the month following the funding date of each respective tranche and continuing thereafter through December 31, 2020 (the Interest-Only Period). Following the Interest-Only Period, the outstanding Term Loan balance will be payable in (i) 21 consecutive equal monthly payments of principal beginning on the first day of the calendar month after the end of the Interest-Only Period and continuing on the same day of each month thereafter, in amounts that would fully amortize such note balance, as of January 1, 2021, over the repayment period, plus (ii) monthly payments of accrued but unpaid interest. The final payment due on the maturity date shall include all outstanding principal and all accrued unpaid interest and an End of Term Payment totaling 6% of the combined principal amount of the First and Second Tranches, or $0.3 million. The End of Term Payment is being accrued through interest expense using the effective interest method.</w:t>
      </w:r>
    </w:p>
    <w:p>
      <w:pPr>
        <w:spacing w:after="0" w:line="170"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Company may prepay amounts outstanding under the Term Loan at any time provided certain notification conditions are met, in which case, all outstanding principal plus accrued and unpaid interest, the End of Term Payment, a prepayment fee between 1% and 3% of the principal amount of the First and Second Tranches, and any bank expenses become due and payable.</w:t>
      </w:r>
    </w:p>
    <w:p>
      <w:pPr>
        <w:spacing w:after="0" w:line="184"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In connection with the First and Second Tranches under the Loan Agreement, the Company issued a warrant to purchase up to an aggregate of 49,609 shares of common stock at $1.44 per share. The Company determined the initial fair value of the warrant to be $0.1 million using the Black-Scholes option-pricing model. The fair value of the warrant was recorded to equity and as a debt discount, which is being amortized to interest expense using the effective interest method over the term of the Term Loan. See Note 11 to these condensed financial statements for additional details.</w:t>
      </w:r>
    </w:p>
    <w:p>
      <w:pPr>
        <w:spacing w:after="0" w:line="157"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The Company incurred $8 thousand of debt issuance costs in connection with the Term Loan, which is being amortized using the effective interest method over the life of the Term Loan. The unamortized debt issuance costs and debt discount balance was $31 thousand as of September 30, 2020.</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Term Loan and unamortized discount and debt issuance costs balances as of September 30, 2020 are shown below (in thousands):</w:t>
      </w:r>
    </w:p>
    <w:p>
      <w:pPr>
        <w:spacing w:after="0" w:line="229"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September 30,</w:t>
            </w:r>
          </w:p>
        </w:tc>
      </w:tr>
      <w:tr>
        <w:trPr>
          <w:trHeight w:val="171"/>
        </w:trPr>
        <w:tc>
          <w:tcPr>
            <w:tcW w:w="472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Total Term Loan debt</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FF0FC"/>
          </w:tcPr>
          <w:p>
            <w:pPr>
              <w:spacing w:after="0"/>
              <w:rPr>
                <w:sz w:val="19"/>
                <w:szCs w:val="19"/>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18"/>
                <w:szCs w:val="18"/>
                <w:color w:val="auto"/>
              </w:rPr>
              <w:t>Less: unamortized discount and debt issuance costs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Term Loan, net</w:t>
            </w:r>
          </w:p>
        </w:tc>
        <w:tc>
          <w:tcPr>
            <w:tcW w:w="7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18"/>
                <w:szCs w:val="18"/>
                <w:color w:val="auto"/>
              </w:rPr>
              <w:t>Less: Term Loan, current portion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(1,908)</w:t>
            </w:r>
          </w:p>
        </w:tc>
      </w:tr>
      <w:tr>
        <w:trPr>
          <w:trHeight w:val="223"/>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loan, net of current portion</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20" w:firstLine="510"/>
        <w:spacing w:after="0" w:line="286" w:lineRule="auto"/>
        <w:rPr>
          <w:sz w:val="20"/>
          <w:szCs w:val="20"/>
          <w:color w:val="auto"/>
        </w:rPr>
      </w:pPr>
      <w:r>
        <w:rPr>
          <w:rFonts w:ascii="Arial" w:cs="Arial" w:eastAsia="Arial" w:hAnsi="Arial"/>
          <w:sz w:val="17"/>
          <w:szCs w:val="17"/>
          <w:color w:val="auto"/>
        </w:rPr>
        <w:t>The Company is subject to customary affirmative and restrictive covenants under the Loan Agreement. The Company’s obligations under the Loan Agreement are secured by a first priority security interest in substantially all of its current and future assets, other than intellectual property. The Company also agreed not to encumber its intellectual property assets, except as permitted by the Loan Agreement.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The Loan Agreement also contains customary indemnification obligations and customary events of default, including, among other things, the Company’s failure to fulfill certain obligations under the Loan Agreement and the occurrence of a material adverse change in its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the Company under the Loan Agreement, the lender would be entitled to exercise their remedies thereunder, including the right to accelerate the debt, upon which the Company may be required to repay all amounts then outstanding under the Loan Agreement. As of September 30, 2020, management believes that the Company was in compliance with all financial covenants under the Loan Agreement and there had been no material adverse change.</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2020, future principal payments per year under the Term Loan were as follows (in thousands):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42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2,571</w:t>
            </w:r>
          </w:p>
        </w:tc>
        <w:tc>
          <w:tcPr>
            <w:tcW w:w="6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1,929</w:t>
            </w:r>
          </w:p>
        </w:tc>
        <w:tc>
          <w:tcPr>
            <w:tcW w:w="60" w:type="dxa"/>
            <w:vAlign w:val="bottom"/>
            <w:shd w:val="clear" w:color="auto" w:fill="CFF0FC"/>
          </w:tcPr>
          <w:p>
            <w:pPr>
              <w:spacing w:after="0"/>
              <w:rPr>
                <w:sz w:val="19"/>
                <w:szCs w:val="19"/>
                <w:color w:val="auto"/>
              </w:rPr>
            </w:pPr>
          </w:p>
        </w:tc>
      </w:tr>
      <w:tr>
        <w:trPr>
          <w:trHeight w:val="223"/>
        </w:trPr>
        <w:tc>
          <w:tcPr>
            <w:tcW w:w="5500" w:type="dxa"/>
            <w:vAlign w:val="bottom"/>
          </w:tcPr>
          <w:p>
            <w:pPr>
              <w:ind w:left="2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6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Company made interest payments on the Term Loan of $49 thousand and $0.1 million during the three and nine months ended September 30, 2020, respectively.</w:t>
      </w:r>
    </w:p>
    <w:p>
      <w:pPr>
        <w:spacing w:after="0" w:line="274" w:lineRule="exact"/>
        <w:rPr>
          <w:sz w:val="20"/>
          <w:szCs w:val="20"/>
          <w:color w:val="auto"/>
        </w:rPr>
      </w:pPr>
    </w:p>
    <w:p>
      <w:pPr>
        <w:ind w:right="9720" w:firstLine="8"/>
        <w:spacing w:after="0" w:line="425" w:lineRule="auto"/>
        <w:tabs>
          <w:tab w:leader="none" w:pos="1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Common Stock</w:t>
      </w:r>
    </w:p>
    <w:p>
      <w:pPr>
        <w:ind w:right="120" w:firstLine="510"/>
        <w:spacing w:after="0" w:line="259" w:lineRule="auto"/>
        <w:rPr>
          <w:sz w:val="20"/>
          <w:szCs w:val="20"/>
          <w:color w:val="auto"/>
        </w:rPr>
      </w:pPr>
      <w:r>
        <w:rPr>
          <w:rFonts w:ascii="Arial" w:cs="Arial" w:eastAsia="Arial" w:hAnsi="Arial"/>
          <w:sz w:val="18"/>
          <w:szCs w:val="18"/>
          <w:color w:val="auto"/>
        </w:rPr>
        <w:t>As of September 30, 2020 and December 31, 2019, the Company was authorized to issue 130,518,922 and 41,000,000 shares of $0.0001 par value common stock, respectively. Holders of the Company’s common stock are entitled to dividends if and when declared by the Board of Directors of the Company (Board of Directors) and after any redeemable convertible preferred share dividends are fully paid. The holder of each share of common stock is entitled to one vote. As of September 30, 2020, no dividends were declared.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reserved for future issuance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reserved for future issuance, on an as converted basis, consisted of the following:</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Series A redeemable convertible preferred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4,280,690</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4,280,690</w:t>
            </w:r>
          </w:p>
        </w:tc>
        <w:tc>
          <w:tcPr>
            <w:tcW w:w="80" w:type="dxa"/>
            <w:vAlign w:val="bottom"/>
            <w:shd w:val="clear" w:color="auto" w:fill="CFF0FC"/>
          </w:tcPr>
          <w:p>
            <w:pPr>
              <w:spacing w:after="0"/>
              <w:rPr>
                <w:sz w:val="19"/>
                <w:szCs w:val="19"/>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11,211,329</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2,402,539</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859,322</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warrant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49,609</w:t>
            </w:r>
          </w:p>
        </w:tc>
        <w:tc>
          <w:tcPr>
            <w:tcW w:w="2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49,609</w:t>
            </w:r>
          </w:p>
        </w:tc>
        <w:tc>
          <w:tcPr>
            <w:tcW w:w="80" w:type="dxa"/>
            <w:vAlign w:val="bottom"/>
            <w:tcBorders>
              <w:bottom w:val="single" w:sz="8" w:color="CFF0FC"/>
            </w:tcBorders>
          </w:tcPr>
          <w:p>
            <w:pPr>
              <w:spacing w:after="0"/>
              <w:rPr>
                <w:sz w:val="19"/>
                <w:szCs w:val="19"/>
                <w:color w:val="auto"/>
              </w:rPr>
            </w:pPr>
          </w:p>
        </w:tc>
      </w:tr>
      <w:tr>
        <w:trPr>
          <w:trHeight w:val="223"/>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shares reserved</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17,944,167</w:t>
            </w:r>
          </w:p>
        </w:tc>
        <w:tc>
          <w:tcPr>
            <w:tcW w:w="2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5,189,621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Issued and outstanding redeemable convertible preferred stock as of September 30, 2020, and its principal terms during the year then ended were as follows (in thousands, except share and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As of September 30, 2020</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8"/>
              </w:rPr>
              <w:t>Original</w:t>
            </w:r>
          </w:p>
        </w:tc>
        <w:tc>
          <w:tcPr>
            <w:tcW w:w="100" w:type="dxa"/>
            <w:vAlign w:val="bottom"/>
          </w:tcPr>
          <w:p>
            <w:pPr>
              <w:spacing w:after="0"/>
              <w:rPr>
                <w:sz w:val="11"/>
                <w:szCs w:val="11"/>
                <w:color w:val="auto"/>
              </w:rPr>
            </w:pPr>
          </w:p>
        </w:tc>
        <w:tc>
          <w:tcPr>
            <w:tcW w:w="90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Series</w:t>
            </w:r>
          </w:p>
        </w:tc>
        <w:tc>
          <w:tcPr>
            <w:tcW w:w="124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Issue Price</w:t>
            </w:r>
          </w:p>
        </w:tc>
        <w:tc>
          <w:tcPr>
            <w:tcW w:w="100" w:type="dxa"/>
            <w:vAlign w:val="bottom"/>
          </w:tcPr>
          <w:p>
            <w:pPr>
              <w:spacing w:after="0"/>
              <w:rPr>
                <w:sz w:val="12"/>
                <w:szCs w:val="12"/>
                <w:color w:val="auto"/>
              </w:rPr>
            </w:pPr>
          </w:p>
        </w:tc>
        <w:tc>
          <w:tcPr>
            <w:tcW w:w="9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8"/>
              </w:rPr>
              <w:t>Liquidation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vMerge w:val="continue"/>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Authorized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4"/>
                <w:szCs w:val="14"/>
                <w:color w:val="auto"/>
              </w:rPr>
            </w:pPr>
          </w:p>
        </w:tc>
        <w:tc>
          <w:tcPr>
            <w:tcW w:w="90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A redeemable convertible preferred stock</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28,000,000</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28,000,000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27,813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Series B redeemable convertible preferred stock</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73,333,330</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73,333,330</w:t>
            </w:r>
          </w:p>
        </w:tc>
        <w:tc>
          <w:tcPr>
            <w:tcW w:w="3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1.2000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87,633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101,333,330</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101,333,330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116,000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115,446</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180" w:type="dxa"/>
            <w:vAlign w:val="bottom"/>
          </w:tcPr>
          <w:p>
            <w:pPr>
              <w:spacing w:after="0"/>
              <w:rPr>
                <w:sz w:val="24"/>
                <w:szCs w:val="24"/>
                <w:color w:val="auto"/>
              </w:rPr>
            </w:pPr>
          </w:p>
        </w:tc>
        <w:tc>
          <w:tcPr>
            <w:tcW w:w="1020" w:type="dxa"/>
            <w:vAlign w:val="bottom"/>
          </w:tcPr>
          <w:p>
            <w:pPr>
              <w:jc w:val="right"/>
              <w:ind w:right="396"/>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0"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Issued and outstanding redeemable convertible preferred stock as of December 31, 2019, and its principal terms during the year then ended were as follows (in thousands, except share and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As of December 31, 2019</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12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1"/>
                <w:szCs w:val="11"/>
                <w:color w:val="auto"/>
              </w:rPr>
            </w:pPr>
          </w:p>
        </w:tc>
        <w:tc>
          <w:tcPr>
            <w:tcW w:w="880" w:type="dxa"/>
            <w:vAlign w:val="bottom"/>
          </w:tcPr>
          <w:p>
            <w:pPr>
              <w:jc w:val="center"/>
              <w:ind w:right="84"/>
              <w:spacing w:after="0" w:line="133" w:lineRule="exact"/>
              <w:rPr>
                <w:sz w:val="20"/>
                <w:szCs w:val="20"/>
                <w:color w:val="auto"/>
              </w:rPr>
            </w:pPr>
            <w:r>
              <w:rPr>
                <w:rFonts w:ascii="Arial" w:cs="Arial" w:eastAsia="Arial" w:hAnsi="Arial"/>
                <w:sz w:val="14"/>
                <w:szCs w:val="14"/>
                <w:b w:val="1"/>
                <w:bCs w:val="1"/>
                <w:color w:val="auto"/>
                <w:w w:val="98"/>
              </w:rPr>
              <w:t>Original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Aggregate</w:t>
            </w:r>
          </w:p>
        </w:tc>
        <w:tc>
          <w:tcPr>
            <w:tcW w:w="160" w:type="dxa"/>
            <w:vAlign w:val="bottom"/>
          </w:tcPr>
          <w:p>
            <w:pPr>
              <w:spacing w:after="0"/>
              <w:rPr>
                <w:sz w:val="11"/>
                <w:szCs w:val="11"/>
                <w:color w:val="auto"/>
              </w:rPr>
            </w:pPr>
          </w:p>
        </w:tc>
        <w:tc>
          <w:tcPr>
            <w:tcW w:w="880" w:type="dxa"/>
            <w:vAlign w:val="bottom"/>
          </w:tcPr>
          <w:p>
            <w:pPr>
              <w:jc w:val="center"/>
              <w:ind w:right="104"/>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Series</w:t>
            </w:r>
          </w:p>
        </w:tc>
        <w:tc>
          <w:tcPr>
            <w:tcW w:w="1220" w:type="dxa"/>
            <w:vAlign w:val="bottom"/>
            <w:gridSpan w:val="2"/>
            <w:vMerge w:val="continue"/>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Issued and</w:t>
            </w:r>
          </w:p>
        </w:tc>
        <w:tc>
          <w:tcPr>
            <w:tcW w:w="140" w:type="dxa"/>
            <w:vAlign w:val="bottom"/>
          </w:tcPr>
          <w:p>
            <w:pPr>
              <w:spacing w:after="0"/>
              <w:rPr>
                <w:sz w:val="12"/>
                <w:szCs w:val="12"/>
                <w:color w:val="auto"/>
              </w:rPr>
            </w:pPr>
          </w:p>
        </w:tc>
        <w:tc>
          <w:tcPr>
            <w:tcW w:w="88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9"/>
              </w:rPr>
              <w:t>Issue Price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5200" w:type="dxa"/>
            <w:vAlign w:val="bottom"/>
            <w:vMerge w:val="continue"/>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Authorized</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880" w:type="dxa"/>
            <w:vAlign w:val="bottom"/>
          </w:tcPr>
          <w:p>
            <w:pPr>
              <w:jc w:val="center"/>
              <w:ind w:right="64"/>
              <w:spacing w:after="0"/>
              <w:rPr>
                <w:sz w:val="20"/>
                <w:szCs w:val="20"/>
                <w:color w:val="auto"/>
              </w:rPr>
            </w:pPr>
            <w:r>
              <w:rPr>
                <w:rFonts w:ascii="Arial" w:cs="Arial" w:eastAsia="Arial" w:hAnsi="Arial"/>
                <w:sz w:val="14"/>
                <w:szCs w:val="14"/>
                <w:b w:val="1"/>
                <w:bCs w:val="1"/>
                <w:color w:val="auto"/>
                <w:w w:val="94"/>
              </w:rPr>
              <w:t>Per Share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A redeemable convertible preferred stock</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28,000,000</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28,000,000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6220" w:firstLine="8"/>
        <w:spacing w:after="0" w:line="378" w:lineRule="auto"/>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 and Stock-Based Compensation Expense Equity Incentive Plan</w:t>
      </w:r>
    </w:p>
    <w:p>
      <w:pPr>
        <w:ind w:right="100" w:firstLine="510"/>
        <w:spacing w:after="0" w:line="271" w:lineRule="auto"/>
        <w:rPr>
          <w:sz w:val="20"/>
          <w:szCs w:val="20"/>
          <w:color w:val="auto"/>
        </w:rPr>
      </w:pPr>
      <w:r>
        <w:rPr>
          <w:rFonts w:ascii="Arial" w:cs="Arial" w:eastAsia="Arial" w:hAnsi="Arial"/>
          <w:sz w:val="17"/>
          <w:szCs w:val="17"/>
          <w:color w:val="auto"/>
        </w:rPr>
        <w:t>In October 2020, the Company adopted the 2020 Equity Incentive Plan (the 2020 Plan), which is a successor to and continuation of the Company’s Amended and Restated 2016 Equity Incentive Plan (the 2016 Plan). Total shares reserved under the 2020 Plan was 2,647,684, inclusive of the shares that remained available for issuance under the 2016 Plan at the time the 2020 Plan became effective. Following the effectiveness of the 2020 Plan, no further grants will be made under the 2016 Plan; however, shares subject to awards granted under the 2016 Plan will continue to be governed by the 2016 Plan. Any shares subject to outstanding stock options or other stock awards that were granted under the 2016 Plan that terminate or expire prior to exercise or settlement; are settled in cash; are forfeited or repurchased because of the failure to vest; or are reacquired or withheld to satisfy a tax withholding obligation or the purchase or exercise price in accordance with the terms of the 2016 Plan will also be reserved for issuance under the 2020 Plan. See Note 11 to these condensed financial statements for additional details.</w:t>
      </w:r>
    </w:p>
    <w:p>
      <w:pPr>
        <w:spacing w:after="0" w:line="178"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Under the 2020 Plan and the 2016 Plan, individuals can be granted the ability to early exercise their options. There were no shares, related to the early exercise of options, subject to repurchase by the Company as of September 30, 2020.</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summary of the Company’s stock option activity and related information is as follows (in thousands, except share and per share amounts):</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Life (Years)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859,322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1,765,200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(57,614)</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Forfeited/Cancelled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(164,369)</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30,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2,402,539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11,738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Vested and expected to vest as of September 30, 2020</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11,096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2,256,494</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88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exercisable as of September 30, 2020</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545,011</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Stock options vested and expected to vest differs from total stock options outstanding as it excludes performance-based stock options for which the performance criteria has not been achieved and achievement is not expected as of September 30, 2020. In October 2020, the performance criteria for 127,042 of the performance-based stock options was achieved and vesting commenced upon the completion of the IPO.</w:t>
      </w:r>
    </w:p>
    <w:p>
      <w:pPr>
        <w:spacing w:after="0" w:line="165"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The aggregate intrinsic values of options outstanding and exercisable were calculated as the difference between the exercise price of the options and the estimated fair value of the Company’s common stock as determined by the Board of Directors as of September 30, 2020 and December 31, 2019. The total intrinsic value of options exercised was $0.3 million for both the three and nine months ended September 30, 2020.</w:t>
      </w:r>
    </w:p>
    <w:p>
      <w:pPr>
        <w:spacing w:after="0" w:line="165"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Total shares authorized for issuance as of September 30, 2020 was 2,697,738 shares and 237,585 shares remained available for issuance under the 2016 Plan, which were incorporated into the 2020 Plan that became effective immediately prior to the execution of the underwriting agreement for the Company’s IPO.</w:t>
      </w:r>
    </w:p>
    <w:p>
      <w:pPr>
        <w:spacing w:after="0" w:line="184"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For the three and nine months ended September 30, 2020, the weighted-average fair value of options granted was $5.01 and $3.45 per share,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expense recognized in the Company’s statement of operations and comprehensive loss during the three and nine months ended September 30, 2020 and 2019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980" w:type="dxa"/>
            <w:vAlign w:val="bottom"/>
            <w:gridSpan w:val="4"/>
          </w:tcPr>
          <w:p>
            <w:pPr>
              <w:jc w:val="right"/>
              <w:ind w:right="127"/>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347"/>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4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660" w:type="dxa"/>
            <w:vAlign w:val="bottom"/>
            <w:tcBorders>
              <w:bottom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Unrecognized stock-based compensation expense as of September 30, 2020 was approximately $5.5 million, which is expected to be recognized over a weighted-average vesting term of 3.7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License Agreement</w:t>
      </w:r>
    </w:p>
    <w:p>
      <w:pPr>
        <w:spacing w:after="0" w:line="121" w:lineRule="exact"/>
        <w:rPr>
          <w:sz w:val="20"/>
          <w:szCs w:val="20"/>
          <w:color w:val="auto"/>
        </w:rPr>
      </w:pPr>
    </w:p>
    <w:p>
      <w:pPr>
        <w:jc w:val="both"/>
        <w:ind w:right="100" w:firstLine="510"/>
        <w:spacing w:after="0" w:line="311" w:lineRule="auto"/>
        <w:rPr>
          <w:sz w:val="20"/>
          <w:szCs w:val="20"/>
          <w:color w:val="auto"/>
        </w:rPr>
      </w:pPr>
      <w:r>
        <w:rPr>
          <w:rFonts w:ascii="Arial" w:cs="Arial" w:eastAsia="Arial" w:hAnsi="Arial"/>
          <w:sz w:val="16"/>
          <w:szCs w:val="16"/>
          <w:color w:val="auto"/>
        </w:rPr>
        <w:t>In May 2016, the Company entered into a license agreement (the License Agreement), with Eli Lilly and Company (Lilly). Pursuant to the terms of the License Agreement, Lilly granted the Company an exclusive, worldwide, royalty bearing, sublicensable license under certain technology, patent rights, know-how and proprietary materials related to certain compounds, to research, develop, and commercialize such compounds for all pharmaceutical uses.</w:t>
      </w:r>
    </w:p>
    <w:p>
      <w:pPr>
        <w:spacing w:after="0" w:line="149"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As partial consideration for the rights granted to the Company under the License Agreement, the Company made a one-time upfront payment to Lilly of $0.8 million during the year ended December 31, 2016, which was recorded as research and development expense as there was no alternative use due to the early stage of the technology. The Company is also required to pay Lilly up to an aggregate of $23.0 million upon the achievement, during the time the License Agreement remains in effect, of certain milestones relating to the clinical development and commercial sales of products licensed under the License Agreement. Such payments are for predetermined fixed amounts, are paid only upon the first occurrence of each event, and are due shortly after achieving the applicable milestone. In addition, the Company is required to pay Lilly tiered royalties on annual worldwide net sales with rates ranging from mid-single-digits to sub-teens. No additional amounts were paid by the Company to Lilly during any of the periods presented, nor were due as of such dates pursuant to the License Agreement.</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License Agreement will remain in effect, unless earlier terminated, until the expiration of the royalty payment obligations. Royalties are payable on a product-by-product and country-by-country basis from the first commercial sale of the product until the later of (i) the tenth anniversary of the date of first commercial sale in such country, (ii) the expiration in such country of the last-to-expire licensed patent having a valid claim covering the manufacture, use or sale of the licensed product as commercialized in such country, and (iii) the expiration of any data or regulatory exclusivity period for the licensed product in such country.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evaluates the likelihood of an unfavorable outcome in legal or regulatory proceedings to 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The Company leases space under non-cancelable operating leases which require the Company to pay base rent, real estate taxes, insurance, general repairs, and maintenance. The Company does not have finance leases. As described in Note 2, the Company adopted ASC Topic 842 as of January 1, 2020.</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120" w:firstLine="510"/>
        <w:spacing w:after="0" w:line="275" w:lineRule="auto"/>
        <w:rPr>
          <w:sz w:val="20"/>
          <w:szCs w:val="20"/>
          <w:color w:val="auto"/>
        </w:rPr>
      </w:pPr>
      <w:r>
        <w:rPr>
          <w:rFonts w:ascii="Arial" w:cs="Arial" w:eastAsia="Arial" w:hAnsi="Arial"/>
          <w:sz w:val="17"/>
          <w:szCs w:val="17"/>
          <w:color w:val="auto"/>
        </w:rPr>
        <w:t>In February 2020, the Company entered into a non-cancelable operating lease for office space with a commencement date of September 2020. The monthly payments escalate over the 63-month term with total gross commitments of $2.3 million. The lease includes an option to renew the lease term for an additional period of 60 months. The renewal option is not included in the lease term or minimum lease payments disclosures below as the Company is not reasonably certain to exercise the option. Lease incentives, which relate to rent abatement, were considered in the calculation of the lease liability and right-of-use asset. Lease expense for the three and nine months ended September 30, 2020 was $37 thousand.</w:t>
      </w:r>
    </w:p>
    <w:p>
      <w:pPr>
        <w:spacing w:after="0" w:line="176"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In February 2019, the Company entered into a short-term lease for office space with a commencement date of March 2019. Total gross commitments over the 12-month term were $0.2 million. In February 2020, the Company extended the lease for an additional three months for a total of $42 thousand in additional commitments. The lease was terminated in May 2020.</w:t>
      </w:r>
    </w:p>
    <w:p>
      <w:pPr>
        <w:spacing w:after="0" w:line="184"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color w:val="auto"/>
        </w:rPr>
        <w:t>Short-term lease expense for the three and nine months ended September 30, 2020 was nil and $66 thousand, respectively. Rent expense for the three and nine months ended September 30, 2019 was $40 thousand and $108 thousand, respectively, and was recognized under prior Topic 840.</w:t>
      </w:r>
    </w:p>
    <w:p>
      <w:pPr>
        <w:spacing w:after="0" w:line="124" w:lineRule="exact"/>
        <w:rPr>
          <w:sz w:val="20"/>
          <w:szCs w:val="20"/>
          <w:color w:val="auto"/>
        </w:rPr>
      </w:pPr>
    </w:p>
    <w:p>
      <w:pPr>
        <w:ind w:right="240" w:firstLine="510"/>
        <w:spacing w:after="0" w:line="296" w:lineRule="auto"/>
        <w:rPr>
          <w:sz w:val="20"/>
          <w:szCs w:val="20"/>
          <w:color w:val="auto"/>
        </w:rPr>
      </w:pPr>
      <w:r>
        <w:rPr>
          <w:rFonts w:ascii="Arial" w:cs="Arial" w:eastAsia="Arial" w:hAnsi="Arial"/>
          <w:sz w:val="16"/>
          <w:szCs w:val="16"/>
          <w:color w:val="auto"/>
        </w:rPr>
        <w:t>Lease right-of-use assets and liabilities are recognized at the commencement date based on the present value of the remaining minimum lease payments over the lease term, with certain adjustments as described in Note 2. As the leases do not provide an implicit rate, the Company uses a collateralized incremental borrowing rate based on the information available at the commencement date to determine the lease liability. As of September 30, 2020, the weighted-average remaining lease term for operating leases was 5.2 years and the weighted-average discount rate was 7.0%. Cash paid for amounts included in the measurement of lease liabilities was $37 thousand for the three and nine months ended September 30, 2020.</w:t>
      </w:r>
    </w:p>
    <w:p>
      <w:pPr>
        <w:spacing w:after="0" w:line="161"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The Company recognizes monthly operating lease expense on a straight-line basis over the term of the lease. Variable lease expense relates primarily to office lease common area maintenance, insurance, and property taxes, is expensed as incurred, and is excluded from the calculation of the lease liability and right-of-use-asset. Variable lease expense for the three and nine months ended September 30, 2020 was minimal.</w:t>
      </w:r>
    </w:p>
    <w:p>
      <w:pPr>
        <w:spacing w:after="0" w:line="206"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Future minimum annual lease commitments under the Company’s non-cancelable operating leases as of September 30, 2020 were as follows (in thousands):</w:t>
      </w:r>
    </w:p>
    <w:p>
      <w:pPr>
        <w:spacing w:after="0" w:line="270"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 (remaining three months)</w:t>
            </w:r>
          </w:p>
        </w:tc>
        <w:tc>
          <w:tcPr>
            <w:tcW w:w="5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2021</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9"/>
                <w:szCs w:val="19"/>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9"/>
                <w:szCs w:val="19"/>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2024 and thereafter</w:t>
            </w:r>
          </w:p>
        </w:tc>
        <w:tc>
          <w:tcPr>
            <w:tcW w:w="5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80" w:type="dxa"/>
            <w:vAlign w:val="bottom"/>
            <w:shd w:val="clear" w:color="auto" w:fill="CFF0FC"/>
          </w:tcPr>
          <w:p>
            <w:pPr>
              <w:spacing w:after="0"/>
              <w:rPr>
                <w:sz w:val="19"/>
                <w:szCs w:val="19"/>
                <w:color w:val="auto"/>
              </w:rPr>
            </w:pPr>
          </w:p>
        </w:tc>
      </w:tr>
      <w:tr>
        <w:trPr>
          <w:trHeight w:val="223"/>
        </w:trPr>
        <w:tc>
          <w:tcPr>
            <w:tcW w:w="5000" w:type="dxa"/>
            <w:vAlign w:val="bottom"/>
          </w:tcPr>
          <w:p>
            <w:pPr>
              <w:ind w:left="240"/>
              <w:spacing w:after="0"/>
              <w:rPr>
                <w:sz w:val="20"/>
                <w:szCs w:val="20"/>
                <w:color w:val="auto"/>
              </w:rPr>
            </w:pPr>
            <w:r>
              <w:rPr>
                <w:rFonts w:ascii="Arial" w:cs="Arial" w:eastAsia="Arial" w:hAnsi="Arial"/>
                <w:sz w:val="18"/>
                <w:szCs w:val="18"/>
                <w:color w:val="auto"/>
              </w:rPr>
              <w:t>Total undiscounted future minimum lease payments</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2,276</w:t>
            </w:r>
          </w:p>
        </w:tc>
        <w:tc>
          <w:tcPr>
            <w:tcW w:w="80" w:type="dxa"/>
            <w:vAlign w:val="bottom"/>
          </w:tcPr>
          <w:p>
            <w:pPr>
              <w:spacing w:after="0"/>
              <w:rPr>
                <w:sz w:val="19"/>
                <w:szCs w:val="19"/>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Less: present value discount</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(371)</w:t>
            </w:r>
          </w:p>
        </w:tc>
      </w:tr>
      <w:tr>
        <w:trPr>
          <w:trHeight w:val="263"/>
        </w:trPr>
        <w:tc>
          <w:tcPr>
            <w:tcW w:w="5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discounted future minimum lease payments</w:t>
            </w:r>
          </w:p>
        </w:tc>
        <w:tc>
          <w:tcPr>
            <w:tcW w:w="5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80" w:type="dxa"/>
            <w:vAlign w:val="bottom"/>
            <w:tcBorders>
              <w:bottom w:val="single" w:sz="8" w:color="CFF0FC"/>
            </w:tcBorders>
          </w:tcPr>
          <w:p>
            <w:pPr>
              <w:spacing w:after="0"/>
              <w:rPr>
                <w:sz w:val="22"/>
                <w:szCs w:val="22"/>
                <w:color w:val="auto"/>
              </w:rPr>
            </w:pPr>
          </w:p>
        </w:tc>
      </w:tr>
      <w:tr>
        <w:trPr>
          <w:trHeight w:val="196"/>
        </w:trPr>
        <w:tc>
          <w:tcPr>
            <w:tcW w:w="50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Lease liability, current portion (included in "accrued expenses</w:t>
            </w: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0"/>
        </w:trPr>
        <w:tc>
          <w:tcPr>
            <w:tcW w:w="50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and other current liabilities" on the condensed balance sheet)</w:t>
            </w:r>
          </w:p>
        </w:tc>
        <w:tc>
          <w:tcPr>
            <w:tcW w:w="7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FF0FC"/>
          </w:tcPr>
          <w:p>
            <w:pPr>
              <w:spacing w:after="0"/>
              <w:rPr>
                <w:sz w:val="20"/>
                <w:szCs w:val="20"/>
                <w:color w:val="auto"/>
              </w:rPr>
            </w:pPr>
          </w:p>
        </w:tc>
      </w:tr>
      <w:tr>
        <w:trPr>
          <w:trHeight w:val="230"/>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 liability, net of current portion</w:t>
            </w:r>
          </w:p>
        </w:tc>
        <w:tc>
          <w:tcPr>
            <w:tcW w:w="5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80" w:type="dxa"/>
            <w:vAlign w:val="bottom"/>
            <w:tcBorders>
              <w:bottom w:val="single" w:sz="8" w:color="CFF0FC"/>
            </w:tcBorders>
          </w:tcPr>
          <w:p>
            <w:pPr>
              <w:spacing w:after="0"/>
              <w:rPr>
                <w:sz w:val="19"/>
                <w:szCs w:val="19"/>
                <w:color w:val="auto"/>
              </w:rPr>
            </w:pPr>
          </w:p>
        </w:tc>
      </w:tr>
      <w:tr>
        <w:trPr>
          <w:trHeight w:val="223"/>
        </w:trPr>
        <w:tc>
          <w:tcPr>
            <w:tcW w:w="50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lease liability</w:t>
            </w:r>
          </w:p>
        </w:tc>
        <w:tc>
          <w:tcPr>
            <w:tcW w:w="5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right="560" w:firstLine="510"/>
        <w:spacing w:after="0" w:line="257" w:lineRule="auto"/>
        <w:rPr>
          <w:sz w:val="20"/>
          <w:szCs w:val="20"/>
          <w:color w:val="auto"/>
        </w:rPr>
      </w:pPr>
      <w:r>
        <w:rPr>
          <w:rFonts w:ascii="Arial" w:cs="Arial" w:eastAsia="Arial" w:hAnsi="Arial"/>
          <w:sz w:val="18"/>
          <w:szCs w:val="18"/>
          <w:color w:val="auto"/>
        </w:rPr>
        <w:t>The Company’s industry is characterized by frequent claims and litigation, including claims regarding intellectual property. As a result, the Company may be subject to various legal proceedings from time to time. The results of any future litigation cannot be predicted with certainty, and regardless of the outcome, litigation can have an adverse impact on the Company because of defense and settlement costs, diversion of management resources and other factors. The Company was not subject to any material legal proceedings during the nine months ended September 30, 2020 and management is not aware of any pending or threatened litigation.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a history of losses and expects to record a net loss in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accounts for income taxes under ASC Topic 740, Income Taxes. Under this standard, deferred tax assets and liabilities are recognized for future tax benefits or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w:t>
      </w:r>
    </w:p>
    <w:p>
      <w:pPr>
        <w:spacing w:after="0" w:line="18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 valuation allowance is provided for significant deferred tax assets when it is more likely than not that such assets will not be realized through future operations. No provision for income taxes has been recorded due to the available net operating loss carry forwards. Future tax benefits which may arise as a result of these losses have not been recognized in these financial statements, as their realization is determined not likely to occur and accordingly, the Company has recorded a valuation allowance for the future deferred tax assets.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the computation of the basic and diluted net loss per share (in thousands, except share and per share amounts):</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1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9"/>
        </w:trPr>
        <w:tc>
          <w:tcPr>
            <w:tcW w:w="52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(9,587)</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(2,551)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(21,201)</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(9,906)</w:t>
            </w:r>
          </w:p>
        </w:tc>
      </w:tr>
      <w:tr>
        <w:trPr>
          <w:trHeight w:val="210"/>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70"/>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776,159</w:t>
            </w:r>
          </w:p>
        </w:tc>
        <w:tc>
          <w:tcPr>
            <w:tcW w:w="22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764,408</w:t>
            </w:r>
          </w:p>
        </w:tc>
        <w:tc>
          <w:tcPr>
            <w:tcW w:w="22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769,766</w:t>
            </w:r>
          </w:p>
        </w:tc>
        <w:tc>
          <w:tcPr>
            <w:tcW w:w="22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764,408</w:t>
            </w:r>
          </w:p>
        </w:tc>
        <w:tc>
          <w:tcPr>
            <w:tcW w:w="100" w:type="dxa"/>
            <w:vAlign w:val="bottom"/>
            <w:tcBorders>
              <w:bottom w:val="single" w:sz="8" w:color="CFF0FC"/>
            </w:tcBorders>
          </w:tcPr>
          <w:p>
            <w:pPr>
              <w:spacing w:after="0"/>
              <w:rPr>
                <w:sz w:val="23"/>
                <w:szCs w:val="23"/>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(27.54)</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6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89"/>
              </w:rPr>
              <w:t>September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4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3"/>
                <w:szCs w:val="13"/>
                <w:color w:val="auto"/>
              </w:rPr>
            </w:pPr>
          </w:p>
        </w:tc>
      </w:tr>
      <w:tr>
        <w:trPr>
          <w:trHeight w:val="20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Series A redeemable convertible preferred stock (on an</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if-converted basis)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4,280,690</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4,280,690</w:t>
            </w:r>
          </w:p>
        </w:tc>
        <w:tc>
          <w:tcPr>
            <w:tcW w:w="80" w:type="dxa"/>
            <w:vAlign w:val="bottom"/>
            <w:shd w:val="clear" w:color="auto" w:fill="CFF0FC"/>
          </w:tcPr>
          <w:p>
            <w:pPr>
              <w:spacing w:after="0"/>
              <w:rPr>
                <w:sz w:val="20"/>
                <w:szCs w:val="20"/>
                <w:color w:val="auto"/>
              </w:rPr>
            </w:pPr>
          </w:p>
        </w:tc>
      </w:tr>
      <w:tr>
        <w:trPr>
          <w:trHeight w:val="215"/>
        </w:trPr>
        <w:tc>
          <w:tcPr>
            <w:tcW w:w="5420" w:type="dxa"/>
            <w:vAlign w:val="bottom"/>
          </w:tcPr>
          <w:p>
            <w:pPr>
              <w:spacing w:after="0"/>
              <w:rPr>
                <w:sz w:val="20"/>
                <w:szCs w:val="20"/>
                <w:color w:val="auto"/>
              </w:rPr>
            </w:pPr>
            <w:r>
              <w:rPr>
                <w:rFonts w:ascii="Arial" w:cs="Arial" w:eastAsia="Arial" w:hAnsi="Arial"/>
                <w:sz w:val="18"/>
                <w:szCs w:val="18"/>
                <w:color w:val="auto"/>
              </w:rPr>
              <w:t>Series B redeemable convertible preferred stock (on 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20" w:type="dxa"/>
            <w:vAlign w:val="bottom"/>
          </w:tcPr>
          <w:p>
            <w:pPr>
              <w:ind w:left="140"/>
              <w:spacing w:after="0"/>
              <w:rPr>
                <w:sz w:val="20"/>
                <w:szCs w:val="20"/>
                <w:color w:val="auto"/>
              </w:rPr>
            </w:pPr>
            <w:r>
              <w:rPr>
                <w:rFonts w:ascii="Arial" w:cs="Arial" w:eastAsia="Arial" w:hAnsi="Arial"/>
                <w:sz w:val="18"/>
                <w:szCs w:val="18"/>
                <w:color w:val="auto"/>
              </w:rPr>
              <w:t>if-converted basis)</w:t>
            </w:r>
          </w:p>
        </w:tc>
        <w:tc>
          <w:tcPr>
            <w:tcW w:w="1080" w:type="dxa"/>
            <w:vAlign w:val="bottom"/>
          </w:tcPr>
          <w:p>
            <w:pPr>
              <w:jc w:val="right"/>
              <w:spacing w:after="0"/>
              <w:rPr>
                <w:sz w:val="20"/>
                <w:szCs w:val="20"/>
                <w:color w:val="auto"/>
              </w:rPr>
            </w:pPr>
            <w:r>
              <w:rPr>
                <w:rFonts w:ascii="Arial" w:cs="Arial" w:eastAsia="Arial" w:hAnsi="Arial"/>
                <w:sz w:val="18"/>
                <w:szCs w:val="18"/>
                <w:color w:val="auto"/>
              </w:rPr>
              <w:t>11,211,329</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subject to outstanding common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2,402,539</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685,946</w:t>
            </w:r>
          </w:p>
        </w:tc>
        <w:tc>
          <w:tcPr>
            <w:tcW w:w="80" w:type="dxa"/>
            <w:vAlign w:val="bottom"/>
            <w:shd w:val="clear" w:color="auto" w:fill="CFF0FC"/>
          </w:tcPr>
          <w:p>
            <w:pPr>
              <w:spacing w:after="0"/>
              <w:rPr>
                <w:sz w:val="19"/>
                <w:szCs w:val="19"/>
                <w:color w:val="auto"/>
              </w:rPr>
            </w:pPr>
          </w:p>
        </w:tc>
      </w:tr>
      <w:tr>
        <w:trPr>
          <w:trHeight w:val="229"/>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subject to common stock warrants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49,609</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32,129</w:t>
            </w:r>
          </w:p>
        </w:tc>
        <w:tc>
          <w:tcPr>
            <w:tcW w:w="80" w:type="dxa"/>
            <w:vAlign w:val="bottom"/>
            <w:tcBorders>
              <w:bottom w:val="single" w:sz="8" w:color="CFF0FC"/>
            </w:tcBorders>
          </w:tcPr>
          <w:p>
            <w:pPr>
              <w:spacing w:after="0"/>
              <w:rPr>
                <w:sz w:val="19"/>
                <w:szCs w:val="19"/>
                <w:color w:val="auto"/>
              </w:rPr>
            </w:pPr>
          </w:p>
        </w:tc>
      </w:tr>
      <w:tr>
        <w:trPr>
          <w:trHeight w:val="223"/>
        </w:trPr>
        <w:tc>
          <w:tcPr>
            <w:tcW w:w="5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17,944,167</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4,998,765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Amended and Restated Certificate of Incorporation</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In October 2020, the Company filed an amendment to the Company’s amended and restated certificate of incorporation to effect the Reverse Stock Split (see Note 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Automatic Conversion of Redeemable Convertible Preferred Stock</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October 2020, the holders of Series A and Series B redeemable convertible preferred stock elected to automatically convert all outstanding shares of Series A and Series B redeemable convertible preferred stock into the Company’s common stock, at the then-effective and applicable conversion rate, contingent and effective upon the closing of the IPO.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Equity Incentive Plan and Employee Stock Purchase Plan</w:t>
      </w:r>
    </w:p>
    <w:p>
      <w:pPr>
        <w:spacing w:after="0" w:line="117"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In September 2020, the Board of Directors adopted the 2020 Plan. The stockholders approved the 2020 Plan in October 2020 and it became effective immediately prior to the execution of the underwriting agreement for the IPO. Under the 2020 Plan,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Company may grant stock options, stock appreciation rights, restricted stock, restricted stock units, and other stock or cash-based awards to individuals who are then employees, officers, directors or consultants of the Company. A total of 2,647,684 shares of common stock were approved to be initially reserved for issuance under the 2020 Plan, which includes (i) 2,410,133 new shares of common stock, plus (ii) the number of shares that remain available for issuance under our 2016 Plan at the time the 2020 Plan becomes effective, plus (iii) any shares subject to outstanding stock options or other stock awards that were granted under the 2016 Plan that terminate or expire prior to exercise or settlement; are settled in cash; are forfeited or repurchased because of the failure to vest; or are reacquired or withheld to satisfy a tax withholding obligation or the purchase or exercise price in accordance with the terms of the 2016 Plan. In addition, the number of shares of common stock available for issuance under the 2020 Plan will be automatically increased on the first day of each calendar year during the ten-year term of the 2020 Plan, beginning with January 1, 2021 and ending with January 1, 2030, by an amount equal to 5% of the outstanding number of shares of the Company’s common stock on December 31st of the preceding calendar year or such lesser amount as determined by the Company’s Board of Directors.</w:t>
      </w:r>
    </w:p>
    <w:p>
      <w:pPr>
        <w:spacing w:after="0" w:line="185"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In September 2020, the Board of Directors adopted the 2020 Employee Stock Purchase Plan (the ESPP). The stockholders approved the ESPP in October 2020 and it became effective immediately prior to the execution of the underwriting agreement for the IPO. A total of 220,640 shares of common stock were approved to be initially reserved for issuance under the ESPP. In addition, the number of shares of common stock available for issuance under the ESPP will be automatically increased on the first day of each calendar year during the first ten-years of the term of the ESPP, beginning with January 1, 2021 and ending with January 1, 2030, by an amount equal to the lessor of (i) 1% of the outstanding number of shares of the Company’s common stock on December 31st of the preceding calendar year, (ii) 441,280 shares of common stock or (iii) such lesser amount as determined by the Board of Directors.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In October 2020, the Company consummated its IPO and issued a total of 6,900,000 shares of common stock, which includes 900,000 shares issued pursuant to the exercise of the underwriters’ option to purchase additional shares at an offering price of $15.00 per share. In aggregate, the Company received net proceeds of approximately $96.3 million, after deducting underwriting discounts and commissions of approximately $7.2 million and before deducting offering-related expenses. In connection with the IPO, the following events occurred subsequent to September 30, 2020:</w:t>
      </w:r>
    </w:p>
    <w:p>
      <w:pPr>
        <w:spacing w:after="0" w:line="15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In October 2020, upon the closing of the IPO, 101,333,330 outstanding shares of redeemable convertible preferred stock automatically converted into an aggregate of 15,492,019 shares of common stock;</w:t>
      </w:r>
    </w:p>
    <w:p>
      <w:pPr>
        <w:spacing w:after="0" w:line="17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October 2020, upon the closing of the IPO, total shares of common stock outstanding were 23,214,041, which includes shares of common stock outstanding as of September 30, 2020, shares of common stock issued in the IPO and redeemable convertible preferred stock converted into common stock; and</w:t>
      </w:r>
    </w:p>
    <w:p>
      <w:pPr>
        <w:spacing w:after="0" w:line="184"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In October 2020, upon the closing of the IPO, the Company’s amended and restated certificate of incorporation became effective, authorizing 200,000,000 shares of common stock and 10,000,000 shares of undesignated preferred stock.</w:t>
      </w:r>
    </w:p>
    <w:p>
      <w:pPr>
        <w:spacing w:after="0" w:line="170"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table below shows, on a pro forma basis, the impact of the Company’s IPO on certain condensed balance sheet items as if all of the transactions occurred on September 30, 2020 (in thousands):</w:t>
      </w:r>
    </w:p>
    <w:p>
      <w:pPr>
        <w:spacing w:after="0" w:line="27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Pro Forma</w:t>
            </w:r>
          </w:p>
        </w:tc>
      </w:tr>
      <w:tr>
        <w:trPr>
          <w:trHeight w:val="148"/>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5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72,158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168,413</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115,446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210,413</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(51,441)</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157,911</w:t>
            </w:r>
          </w:p>
        </w:tc>
        <w:tc>
          <w:tcPr>
            <w:tcW w:w="80" w:type="dxa"/>
            <w:vAlign w:val="bottom"/>
          </w:tcPr>
          <w:p>
            <w:pPr>
              <w:spacing w:after="0"/>
              <w:rPr>
                <w:sz w:val="20"/>
                <w:szCs w:val="20"/>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Common Stock Warrant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November 2020, a warrant to purchase 49,609 shares of common stock was net-exercised for 46,358 shares of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financial statements and related notes included elsewhere in this Quarterly Report on Form 10-Q and our audited financial statements and notes thereto and the related Management’s Discussion and Analysis of Financial Condition and Results of Operations included in our prospectus dated October 8, 2020 that forms a part of our Registration Statement on Form S-1 (File Nos. 333-248924 and 333-249397), as filed with the Securities and Exchange Commission (“SEC”) pursuant to Rule 424(b) under the Securities Act of 1933, as amended (the “Securities Act”), on October 9, 2020 (“Prospectus”). Unless otherwise indicated, all references in this prospectus to “Spruce,” the “company,” “we,” “our,” “us” or similar terms refer to Spruce Biosciences, Inc.</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firstLine="578"/>
        <w:spacing w:after="0" w:line="257" w:lineRule="auto"/>
        <w:rPr>
          <w:sz w:val="20"/>
          <w:szCs w:val="20"/>
          <w:color w:val="auto"/>
        </w:rPr>
      </w:pPr>
      <w:r>
        <w:rPr>
          <w:rFonts w:ascii="Arial" w:cs="Arial" w:eastAsia="Arial" w:hAnsi="Arial"/>
          <w:sz w:val="18"/>
          <w:szCs w:val="18"/>
          <w:i w:val="1"/>
          <w:iCs w:val="1"/>
          <w:color w:val="auto"/>
        </w:rPr>
        <w:t>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spacing w:after="0" w:line="188"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Arial" w:cs="Arial" w:eastAsia="Arial" w:hAnsi="Arial"/>
          <w:sz w:val="18"/>
          <w:szCs w:val="18"/>
          <w:i w:val="1"/>
          <w:iCs w:val="1"/>
          <w:color w:val="32406B"/>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are a late-stage biopharmaceutical company focused on developing and commercializing novel therapies for rare endocrine disorders with significant unmet medical need. We are initially developing our wholly-owned product candidate, tildacerfont, as the potential first non-steroidal therapy to offer markedly improved disease control and reduce steroid burden for patients suffering from classic congenital adrenal hyperplasia, or CAH. Classic CAH is a serious and life-threatening disease with no known novel therapies approved in approximately 50 years. In a 12-week Phase 2a proof-of-concept clinical trial, tildacerfont-treated adult patients suffering from classic CAH who had poor disease control despite being on standard of care therapy achieved approximately 80% reductions in hormones that are key indicators of poor disease control. Furthermore, 163 subjects across six clinical trials to date have been administered tildacerfont with no drug-related SAEs reported.</w:t>
      </w:r>
    </w:p>
    <w:p>
      <w:pPr>
        <w:spacing w:after="0" w:line="177"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We have initiated a placebo-controlled, double-blind Phase 2b clinical trial in adult patients with classic CAH with poor disease control and anticipate topline results in the fourth quarter of 2021 or the first quarter of 2022. We have also initiated a second Phase 2b clinical trial in adult patients with classic CAH with good disease control focused on glucocorticoid reduction and anticipate topline results in the first half of 2022. Based on post-hoc analyses of our clinical data to date, we have chosen to target two distinct groups of classic CAH patients with either good disease control or poor disease control.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may enable us to observe clinically meaningful outcomes with fewer total patients studied. Additionally, we believe these two clinical trials will provide sufficient patient exposures for our registrational safety database. Assuming positive results in the glucocorticoid reduction trial, we plan to meet with the FDA and comparable foreign regulatory authorities in 2022 to discuss registration.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Since our inception in November 2014, we have focused primarily on raising capital, establishing and protecting our intellectual property portfolio, organizing and staffing our company, business planning, and conducting preclinical and clinical development of, and manufacturing development for, our product candidate, tildacerfont. We have no products approved for commercial sale and have not generated any revenue to date, and we continue to incur significant research and development and other expenses related to our ongoing operations. Our ability to generate product revenue sufficient to achieve profitability, if ever, will depend on the successful development of tildacerfont and any future product candidates. We intend to build a highly specialized commercial organization to support the commercialization of tildacerfont, if approved, in the United States and Europe. Given a relatively small number of endocrinologists and specialists treat patients with classic CAH, we believe this market can be effectively addressed with a modest-sized targeted commercial sales force, alongside various high-touch patient initiatives. If tildacerfont is approved for additional indications, we plan to leverage our rare disorder commercial infrastructure and expertise to efficiently address those patient populations. We may also either build a commercial infrastructure or opportunistically seek strategic collaborations to benefit from the resources of biopharmaceutical companies specialized in either relevant disease areas or geographies.</w:t>
      </w:r>
    </w:p>
    <w:p>
      <w:pPr>
        <w:spacing w:after="0" w:line="182"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We rely, and expect to continue to rely, on third parties for the manufacture of tildacerfont for preclinical studies and clinical trials, as well as for commercial manufacture if tildacerfont obtains marketing approval. We also rely, and expect to continue to rely, on third parties to package, label, store, and distribute tildacerfont,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tildacerfont.</w:t>
      </w:r>
    </w:p>
    <w:p>
      <w:pPr>
        <w:spacing w:after="0" w:line="188"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Since inception, we have incurred significant losses and negative cash flows from operations. During the nine months ended September 30, 2020, we incurred a net loss of $21.2 million and used $18.3 million of cash in operations. As of September 30, 2020, we had an accumulated deficit of $52.5 million, and we do not expect positive cash flows from operations for the foreseeable future. We expect to continue to incur significant and increasing losses for the foreseeable future, and our net losses may fluctuate significantly from period to period, depending on the timing of expenditures on our planned research and development activities.</w:t>
      </w:r>
    </w:p>
    <w:p>
      <w:pPr>
        <w:spacing w:after="0" w:line="188"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Since inception through September 30, 2020, we have raised aggregate gross financing proceeds of $120.5 million, including $116.0 million from the sale of our redeemable convertible preferred stock and $4.5 million from the issuance of debt. As of September 30, 2020, we had cash and cash equivalents of $72.2 million. In October 2020, we consummated our initial public offering, or IPO, and issued 6,900,000 shares of common stock for net proceeds of approximately $96.3 million, after deducting underwriting discounts and commissions of approximately $7.2 million and before deducting offering related expenses. We believe, based on our current operating plan, that the net proceeds from the IPO, together with our cash and cash equivalents as of September 30, 2020, will be sufficient to fund our operations for at least the next 12 months. We have based this projection on assumptions that may be inaccurate and as a result, we may utilize our capital resources sooner than we expect. We expect our expenses will increase significantly in connection with our ongoing activities, as we:</w:t>
      </w:r>
    </w:p>
    <w:p>
      <w:pPr>
        <w:spacing w:after="0" w:line="70"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tildacerfont through our ongoing Phase 2b clinical trials in adult patients with classic CAH;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pursue regulatory approvals of tildacerfont in adult patients with classic CAH;</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clinical development of tildacerfont in additional indications, including pediatric classic CAH and a subpopulation of females with a rare form of polycystic ovary syndrome, or PCOS;</w:t>
      </w:r>
    </w:p>
    <w:p>
      <w:pPr>
        <w:spacing w:after="0" w:line="62"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 a highly specialized commercial organization to support the commercialization of tildacerfont, if approved, in the United States and Europe;</w:t>
      </w:r>
    </w:p>
    <w:p>
      <w:pPr>
        <w:spacing w:after="0" w:line="62" w:lineRule="exact"/>
        <w:rPr>
          <w:rFonts w:ascii="Arial" w:cs="Arial" w:eastAsia="Arial" w:hAnsi="Arial"/>
          <w:sz w:val="18"/>
          <w:szCs w:val="18"/>
          <w:color w:val="auto"/>
        </w:rPr>
      </w:pPr>
    </w:p>
    <w:p>
      <w:pPr>
        <w:ind w:left="1000" w:right="540" w:hanging="493"/>
        <w:spacing w:after="0" w:line="342"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build a commercial infrastructure or opportunistically seek strategic collaborations to benefit from the resources of biopharmaceutical companies specialized in either relevant disease areas or geographies, if tildacerfont is approved for additional indications;</w:t>
      </w:r>
    </w:p>
    <w:p>
      <w:pPr>
        <w:spacing w:after="0" w:line="15" w:lineRule="exact"/>
        <w:rPr>
          <w:rFonts w:ascii="Arial" w:cs="Arial" w:eastAsia="Arial" w:hAnsi="Arial"/>
          <w:sz w:val="16"/>
          <w:szCs w:val="16"/>
          <w:color w:val="auto"/>
        </w:rPr>
      </w:pPr>
    </w:p>
    <w:p>
      <w:pPr>
        <w:ind w:left="1000" w:right="62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identify additional indications and formulations for which to investigate tildacerfont in the future and expand our pipeline of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operate as a public company;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Our business has been and could continue to be adversely affected by the evolving COVID-19 pandemic. For example, the COVID-19 pandemic has resulted in and could result in delays to our clinical trials for numerous reasons including additional delays or difficulties in enrolling patients, diversion of healthcare resources away from the conduct of clinical trials, interruption or delays in the operations of the FDA or other regulatory authorities, and delays in clinical sites receiving the supplies and materials to conduct our clinical trials. At this time, the extent to which the COVID-19 pandemic impacts our business will depend on future developments, which are highly uncertain and cannot be predicted.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Eli Lilly and Company</w:t>
      </w:r>
    </w:p>
    <w:p>
      <w:pPr>
        <w:spacing w:after="0" w:line="121" w:lineRule="exact"/>
        <w:rPr>
          <w:sz w:val="20"/>
          <w:szCs w:val="20"/>
          <w:color w:val="auto"/>
        </w:rPr>
      </w:pPr>
    </w:p>
    <w:p>
      <w:pPr>
        <w:ind w:right="360" w:firstLine="510"/>
        <w:spacing w:after="0" w:line="308" w:lineRule="auto"/>
        <w:rPr>
          <w:sz w:val="20"/>
          <w:szCs w:val="20"/>
          <w:color w:val="auto"/>
        </w:rPr>
      </w:pPr>
      <w:r>
        <w:rPr>
          <w:rFonts w:ascii="Arial" w:cs="Arial" w:eastAsia="Arial" w:hAnsi="Arial"/>
          <w:sz w:val="17"/>
          <w:szCs w:val="17"/>
          <w:color w:val="auto"/>
        </w:rPr>
        <w:t>Below is a summary of the key terms for our license agreement, or the License Agreement, with Eli Lilly and Company, or Lilly. For additional details, see Note 7 to our interim condensed financial statements, included elsewhere in this Quarterly Report on Form 10-Q.</w:t>
      </w:r>
    </w:p>
    <w:p>
      <w:pPr>
        <w:spacing w:after="0" w:line="146"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In May 2016, we entered into the License Agreement with Lilly. Pursuant to the terms of the License Agreement, Lilly granted us an exclusive, worldwide, royalty bearing, sublicensable license under certain technology, patent rights, know-how, and proprietary materials, which we refer to collectively as the Lilly IP, and such patents, the Lilly Licensed Patents, relating to the CRF1 receptor antagonist compounds either listed in the License Agreement or covered by patent rights controlled by Lilly, which we refer to collectively as the Lilly Compounds, to research, develop, commercialize, make, have made, use, sell, offer to sell, and import the Lilly Compounds and any products containing a Lilly Compound, including any products containing a Lilly Compound and one or more additional APIs other than a Lilly Compound, which we refer to collectively as the Lilly Licensed Products, for all pharmaceutical uses, including all diagnostic, therapeutic, and prophylactic uses, for human or animal administration. Lilly retained rights under the Lilly IP and the Lilly Licensed Patents for internal research purposes.</w:t>
      </w:r>
    </w:p>
    <w:p>
      <w:pPr>
        <w:spacing w:after="0" w:line="17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As partial consideration for the rights granted to us under the License Agreement, we made a one-time upfront payment to Lilly of $0.8 million. We are also required to pay Lilly up to an aggregate of $23.0 million upon the achievement, during the time the License Agreement remains in effect, of certain milestones relating to the clinical development and commercial sales of the Lilly Licensed Products. Such payments are for predetermined fixed amounts, are paid only upon the first occurrence of each such event, and are due shortly after achieving the applicable milestone. In addition, we are required to pay Lilly tiered royalties on annual worldwide net sales of Lilly Licensed Products, with rates ranging from mid-single-digits to sub-teens, or the Lilly Royalties. The Lilly Royalties shall commence on a country-by-country basis on the date of the first commercial sale of Lilly Licensed Product in such country, and shall expire on a country-by-country basis on the latest of the following dates: (i) the tenth anniversary of the date of first commercial sale in such country, (ii) the expiration in such country of the last-to-expire Lilly Licensed Patent having a valid claim covering the manufacture, use, or sale of the Lilly Licensed Product as commercialized in such country, and (iii) the expiration of any data or regulatory exclusivity period for the Lilly Licensed Product in such country. Upon such expiration, the license granted to us with respect to such country shall become fully paid-up, royalty-free, perpetual and irrevocable. In addition, the Lilly Royalties may be reduced upon the occurrence of certain events.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classify operating expenses into two main categories: (i) research and development expenses and (ii) general and administrative expenses.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880" w:firstLine="510"/>
        <w:spacing w:after="0" w:line="277" w:lineRule="auto"/>
        <w:rPr>
          <w:sz w:val="20"/>
          <w:szCs w:val="20"/>
          <w:color w:val="auto"/>
        </w:rPr>
      </w:pPr>
      <w:r>
        <w:rPr>
          <w:rFonts w:ascii="Arial" w:cs="Arial" w:eastAsia="Arial" w:hAnsi="Arial"/>
          <w:sz w:val="18"/>
          <w:szCs w:val="18"/>
          <w:color w:val="auto"/>
        </w:rPr>
        <w:t>Our research and development expenses consist of external and internal expenses incurred in connection with our research activities and development programs.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expenses include:</w:t>
      </w:r>
    </w:p>
    <w:p>
      <w:pPr>
        <w:spacing w:after="0" w:line="117"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external expenses, consisting of:</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clinical trials—expenses associated with clinical research organizations, or CROs, engaged to manage and conduct clinical trials;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preclinical studies—expenses associated with preclinical studies performed by vendors;</w:t>
      </w:r>
    </w:p>
    <w:p>
      <w:pPr>
        <w:spacing w:after="0" w:line="117"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research and development—expenses associated with contract manufacturing; labeling, packaging, and distribution of clinical trial supplies; and consulting;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right="8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internal expenses, consisting of personnel, including expenses for salaries, bonuses, benefits, stock-based compensation, as well as allocation of certain expenses.</w:t>
      </w:r>
    </w:p>
    <w:p>
      <w:pPr>
        <w:spacing w:after="0" w:line="170"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To date, most of these expenses have been incurred to advance tildacerfont. We expect that significant additional spending will be required to progress tildacerfont through clinical development and regulatory approval. These expenses will primarily consist of expenses for the administration of clinical trials as well as manufacturing costs for clinical material supply.</w:t>
      </w:r>
    </w:p>
    <w:p>
      <w:pPr>
        <w:spacing w:after="0" w:line="184" w:lineRule="exact"/>
        <w:rPr>
          <w:sz w:val="20"/>
          <w:szCs w:val="20"/>
          <w:color w:val="auto"/>
        </w:rPr>
      </w:pPr>
    </w:p>
    <w:p>
      <w:pPr>
        <w:ind w:right="420" w:firstLine="510"/>
        <w:spacing w:after="0" w:line="342" w:lineRule="auto"/>
        <w:rPr>
          <w:sz w:val="20"/>
          <w:szCs w:val="20"/>
          <w:color w:val="auto"/>
        </w:rPr>
      </w:pPr>
      <w:r>
        <w:rPr>
          <w:rFonts w:ascii="Arial" w:cs="Arial" w:eastAsia="Arial" w:hAnsi="Arial"/>
          <w:sz w:val="16"/>
          <w:szCs w:val="16"/>
          <w:color w:val="auto"/>
        </w:rPr>
        <w:t>Research and development expenses are recognized as they are incurred. If deposits are required by external vendors, a portion of the deposit is included as a prepaid expense until sufficient progress has occurred to amortize the deposit to expense in the statement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General and administrative expenses consist primarily of personnel-related costs (including salaries, bonuses, benefits, and stock-based compensation expense) for personnel in executive, finance, and other administrative functions. General and administrative expenses also include legal fees, professional fees paid for accounting, auditing, consulting, tax, and investor relations services, insurance costs, facility costs not otherwise included in research and development expenses, and public company expenses such as costs associated with compliance with the rules and regulations of the U.S. Securities and Exchange Commission , or the SEC, and those of the Nasdaq Stock Market, Inc., or Nasdaq, listing rules.</w:t>
      </w:r>
    </w:p>
    <w:p>
      <w:pPr>
        <w:spacing w:after="0" w:line="176" w:lineRule="exact"/>
        <w:rPr>
          <w:sz w:val="20"/>
          <w:szCs w:val="20"/>
          <w:color w:val="auto"/>
        </w:rPr>
      </w:pPr>
    </w:p>
    <w:p>
      <w:pPr>
        <w:jc w:val="both"/>
        <w:ind w:right="60" w:firstLine="510"/>
        <w:spacing w:after="0" w:line="311" w:lineRule="auto"/>
        <w:rPr>
          <w:sz w:val="20"/>
          <w:szCs w:val="20"/>
          <w:color w:val="auto"/>
        </w:rPr>
      </w:pPr>
      <w:r>
        <w:rPr>
          <w:rFonts w:ascii="Arial" w:cs="Arial" w:eastAsia="Arial" w:hAnsi="Arial"/>
          <w:sz w:val="16"/>
          <w:szCs w:val="16"/>
          <w:color w:val="auto"/>
        </w:rPr>
        <w:t>We expect that our general and administrative expenses will continue to increase in the foreseeable future as additional administrative personnel and services are required to manage these functions of a public company, as we advance tildacerfont through our ongoing and planned clinical trials, and as we identify additional indications and formulations for which to investigate tildacerfont in the future and expand our pipeline of product candidates.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Interest expense consists of interest incurred and non-cash amortization of debt discount and issuance costs in connection with the Term Loan with Silicon Valley Bank.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primarily consists of interest income earned on our cash and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of the Three Months Ended September 30,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1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7,769</w:t>
            </w:r>
          </w:p>
        </w:tc>
        <w:tc>
          <w:tcPr>
            <w:tcW w:w="120" w:type="dxa"/>
            <w:vAlign w:val="bottom"/>
          </w:tcPr>
          <w:p>
            <w:pPr>
              <w:spacing w:after="0"/>
              <w:rPr>
                <w:sz w:val="19"/>
                <w:szCs w:val="19"/>
                <w:color w:val="auto"/>
              </w:rPr>
            </w:pPr>
          </w:p>
        </w:tc>
        <w:tc>
          <w:tcPr>
            <w:tcW w:w="4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2,107</w:t>
            </w:r>
          </w:p>
        </w:tc>
        <w:tc>
          <w:tcPr>
            <w:tcW w:w="140" w:type="dxa"/>
            <w:vAlign w:val="bottom"/>
          </w:tcPr>
          <w:p>
            <w:pPr>
              <w:spacing w:after="0"/>
              <w:rPr>
                <w:sz w:val="19"/>
                <w:szCs w:val="19"/>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5,662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9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6,995</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(6,995)</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net</w:t>
            </w:r>
          </w:p>
        </w:tc>
        <w:tc>
          <w:tcPr>
            <w:tcW w:w="19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19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60" w:type="dxa"/>
            <w:vAlign w:val="bottom"/>
            <w:vMerge w:val="restart"/>
          </w:tcPr>
          <w:p>
            <w:pPr>
              <w:jc w:val="right"/>
              <w:ind w:right="63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Research and development expenses were $7.8 million for the three months ended September 30, 2020, compared to $2.1 million for the three months ended September 30, 2019. The overall increase in research and development expenses was primarily related to an increase in clinical development, manufacturing, and personnel costs, associated with our personnel growth and progressing clinical development. The following table sets forth the primary external and internal research and development expenses for the periods presented below (in thousands).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External expenses:</w:t>
            </w:r>
          </w:p>
        </w:tc>
        <w:tc>
          <w:tcPr>
            <w:tcW w:w="1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40"/>
              <w:spacing w:after="0"/>
              <w:rPr>
                <w:sz w:val="20"/>
                <w:szCs w:val="20"/>
                <w:color w:val="auto"/>
              </w:rPr>
            </w:pPr>
            <w:r>
              <w:rPr>
                <w:rFonts w:ascii="Arial" w:cs="Arial" w:eastAsia="Arial" w:hAnsi="Arial"/>
                <w:sz w:val="18"/>
                <w:szCs w:val="18"/>
                <w:color w:val="auto"/>
              </w:rPr>
              <w:t>Clinical development</w:t>
            </w:r>
          </w:p>
        </w:tc>
        <w:tc>
          <w:tcPr>
            <w:tcW w:w="1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4,445</w:t>
            </w:r>
          </w:p>
        </w:tc>
        <w:tc>
          <w:tcPr>
            <w:tcW w:w="5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478</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Manufacturing</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40"/>
              <w:spacing w:after="0"/>
              <w:rPr>
                <w:sz w:val="20"/>
                <w:szCs w:val="20"/>
                <w:color w:val="auto"/>
              </w:rPr>
            </w:pPr>
            <w:r>
              <w:rPr>
                <w:rFonts w:ascii="Arial" w:cs="Arial" w:eastAsia="Arial" w:hAnsi="Arial"/>
                <w:sz w:val="18"/>
                <w:szCs w:val="18"/>
                <w:color w:val="auto"/>
              </w:rPr>
              <w:t>Non-clinical</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research and development</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Internal expenses: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Personnel</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40"/>
              <w:spacing w:after="0"/>
              <w:rPr>
                <w:sz w:val="20"/>
                <w:szCs w:val="20"/>
                <w:color w:val="auto"/>
              </w:rPr>
            </w:pPr>
            <w:r>
              <w:rPr>
                <w:rFonts w:ascii="Arial" w:cs="Arial" w:eastAsia="Arial" w:hAnsi="Arial"/>
                <w:sz w:val="18"/>
                <w:szCs w:val="18"/>
                <w:color w:val="auto"/>
              </w:rPr>
              <w:t>Allocated overhead</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460" w:firstLine="510"/>
        <w:spacing w:after="0" w:line="286" w:lineRule="auto"/>
        <w:rPr>
          <w:sz w:val="20"/>
          <w:szCs w:val="20"/>
          <w:color w:val="auto"/>
        </w:rPr>
      </w:pPr>
      <w:r>
        <w:rPr>
          <w:rFonts w:ascii="Arial" w:cs="Arial" w:eastAsia="Arial" w:hAnsi="Arial"/>
          <w:sz w:val="17"/>
          <w:szCs w:val="17"/>
          <w:color w:val="auto"/>
        </w:rPr>
        <w:t>General and administrative expenses were $1.8 million for the three months ended September 30, 2020, compared to $0.5 million for the three months ended September 30, 2019. The overall increase in general and administrative expenses was primarily related to an increase of $1.0 million in professional fees primarily related to our IPO and an increase of $0.3 million in personnel related expenses.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Interest expense was $0.1 million for the three months ended September 30, 2020, compared to minimal interest expense for the three months ended September 30, 2019. The increase was due to interest expense incurred in 2020 on the Term Loan with Silicon Valley Bank.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was minimal for the three months ended September 30, 2020 and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Comparisons of the Nine Months Ended September 30, 2020 and 2019</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1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18,040</w:t>
            </w:r>
          </w:p>
        </w:tc>
        <w:tc>
          <w:tcPr>
            <w:tcW w:w="120" w:type="dxa"/>
            <w:vAlign w:val="bottom"/>
          </w:tcPr>
          <w:p>
            <w:pPr>
              <w:spacing w:after="0"/>
              <w:rPr>
                <w:sz w:val="19"/>
                <w:szCs w:val="19"/>
                <w:color w:val="auto"/>
              </w:rPr>
            </w:pPr>
          </w:p>
        </w:tc>
        <w:tc>
          <w:tcPr>
            <w:tcW w:w="4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7,969</w:t>
            </w:r>
          </w:p>
        </w:tc>
        <w:tc>
          <w:tcPr>
            <w:tcW w:w="140" w:type="dxa"/>
            <w:vAlign w:val="bottom"/>
          </w:tcPr>
          <w:p>
            <w:pPr>
              <w:spacing w:after="0"/>
              <w:rPr>
                <w:sz w:val="19"/>
                <w:szCs w:val="19"/>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10,071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9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11,108</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(11,108)</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net</w:t>
            </w:r>
          </w:p>
        </w:tc>
        <w:tc>
          <w:tcPr>
            <w:tcW w:w="19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19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60" w:type="dxa"/>
            <w:vAlign w:val="bottom"/>
            <w:vMerge w:val="restart"/>
          </w:tcPr>
          <w:p>
            <w:pPr>
              <w:jc w:val="right"/>
              <w:ind w:right="63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7"/>
          <w:szCs w:val="17"/>
          <w:color w:val="auto"/>
        </w:rPr>
        <w:t>Research and development expenses were $18.0 million for the nine months ended September 30, 2020, compared to $8.0 million for the nine months ended September 30, 2019. The overall increase in research and development expenses was primarily related to an increase in clinical development, manufacturing, and personnel costs, associated with our personnel growth and progressing clinical development. The following table sets forth the primary external and internal research and development expenses for the periods presented below (in thousands).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External expenses:</w:t>
            </w:r>
          </w:p>
        </w:tc>
        <w:tc>
          <w:tcPr>
            <w:tcW w:w="1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Clinical development</w:t>
            </w:r>
          </w:p>
        </w:tc>
        <w:tc>
          <w:tcPr>
            <w:tcW w:w="1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9,939</w:t>
            </w:r>
          </w:p>
        </w:tc>
        <w:tc>
          <w:tcPr>
            <w:tcW w:w="5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3,293</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Manufacturing</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40"/>
              <w:spacing w:after="0"/>
              <w:rPr>
                <w:sz w:val="20"/>
                <w:szCs w:val="20"/>
                <w:color w:val="auto"/>
              </w:rPr>
            </w:pPr>
            <w:r>
              <w:rPr>
                <w:rFonts w:ascii="Arial" w:cs="Arial" w:eastAsia="Arial" w:hAnsi="Arial"/>
                <w:sz w:val="18"/>
                <w:szCs w:val="18"/>
                <w:color w:val="auto"/>
              </w:rPr>
              <w:t>Non-clinical</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research and development</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Internal expenses: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Personnel</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40" w:type="dxa"/>
            <w:vAlign w:val="bottom"/>
          </w:tcPr>
          <w:p>
            <w:pPr>
              <w:ind w:left="240"/>
              <w:spacing w:after="0"/>
              <w:rPr>
                <w:sz w:val="20"/>
                <w:szCs w:val="20"/>
                <w:color w:val="auto"/>
              </w:rPr>
            </w:pPr>
            <w:r>
              <w:rPr>
                <w:rFonts w:ascii="Arial" w:cs="Arial" w:eastAsia="Arial" w:hAnsi="Arial"/>
                <w:sz w:val="18"/>
                <w:szCs w:val="18"/>
                <w:color w:val="auto"/>
              </w:rPr>
              <w:t>Allocated overhead</w:t>
            </w: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16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18,040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10,071</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General and administrative expenses were $3.0 million for the nine months ended September 30, 2020, compared to $2.0 million for the nine months ended September 30, 2019. The overall increase in general and administrative expenses was driven by an increase of $1.0 million in professional fees primarily related to our IPO.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Interest expense was $0.2 million for the nine months ended September 30, 2020, compared to minimal interest expense for the nine months ended September 30, 2019. The increase was due to interest expense incurred in 2020 on the Term Loan with Silicon Valley Bank.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was comparable for the nine months ended September 30, 2020 and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and negative cash flows from operations. We anticipate that we will continue to incur net losses for the foreseeable future. As of September 30, 2020, we had an accumulated deficit of $52.5 million. As of September 30, 2020, we had cash and cash equivalents of $72.2 million. In October 2020, we consummated our initial public offering, or IPO, and issued 6,900,000 shares of common stock for net proceeds of approximately $96.3 million, after deducting underwriting discounts and commissions of approximately $7.2 million and before deducting offering related expenses. We believe, based on our current operating plan, that the net proceeds from the IPO, together with our cash and cash equivalents as of September 30, 2020, will be sufficient to fund our operations for at least the next 12 months.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w:t>
      </w:r>
    </w:p>
    <w:p>
      <w:pPr>
        <w:spacing w:after="0" w:line="117"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In September 2019, we entered into the Loan Agreement with Silicon Valley Bank providing for the Term Loan. Pursuant to the Loan Agreement, we requested $2.5 million from the first tranche in connection with the entry into the Loan Agreement, which is currently outstanding, and we drew the second tranche of $2.0 million in December 2019, which is currently outstanding. As of September 30, 2020, we had $4.5 million outstanding under the Loan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00" w:firstLine="510"/>
        <w:spacing w:after="0" w:line="286" w:lineRule="auto"/>
        <w:rPr>
          <w:sz w:val="20"/>
          <w:szCs w:val="20"/>
          <w:color w:val="auto"/>
        </w:rPr>
      </w:pPr>
      <w:r>
        <w:rPr>
          <w:rFonts w:ascii="Arial" w:cs="Arial" w:eastAsia="Arial" w:hAnsi="Arial"/>
          <w:sz w:val="17"/>
          <w:szCs w:val="17"/>
          <w:color w:val="auto"/>
        </w:rPr>
        <w:t>In April 2020, we and Silicon Valley Bank entered into the Deferral Agreement whereby we and Silicon Valley Bank agreed to extend the repayment dates of all monthly payments of principal due and the maturity date with respect to the Term Loan by six months. Pursuant to the Deferral Agreement, principal payments will commence in January 2021 and the Term Loan will mature in September 2022.</w:t>
      </w:r>
    </w:p>
    <w:p>
      <w:pPr>
        <w:spacing w:after="0" w:line="165"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The Loan Agreement, as amended by the Deferral Agreement, provides for monthly cash interest-only payments through December 31, 2020. On the first day of the end of the interest-only period, we will be required to repay the Term Loan in equal monthly installments of principal plus interest through maturity. Outstanding principal balances under the Term Loan bear interest at a floating per annum rate equal to the greatest of: (i) 1% below the prime rate, (ii) 4.25%, or (iii) 1% below the prime rate as of September 23, 2019.</w:t>
      </w:r>
    </w:p>
    <w:p>
      <w:pPr>
        <w:spacing w:after="0" w:line="18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may prepay amounts outstanding under the Term Loan at any time provided certain notification conditions are met, in which case, all outstanding principal plus accrued and unpaid interest, the end of term payment, a prepayment fee between 1% and 3% of the principal amount of the first and second tranches, and any bank expenses become due and payable.</w:t>
      </w:r>
    </w:p>
    <w:p>
      <w:pPr>
        <w:spacing w:after="0" w:line="18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 from third parties not permitted under the Loan 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Silicon Valley Bank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Silicon Valley Bank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spacing w:after="0" w:line="182" w:lineRule="exact"/>
        <w:rPr>
          <w:sz w:val="20"/>
          <w:szCs w:val="20"/>
          <w:color w:val="auto"/>
        </w:rPr>
      </w:pPr>
    </w:p>
    <w:p>
      <w:pPr>
        <w:jc w:val="both"/>
        <w:ind w:right="60" w:firstLine="510"/>
        <w:spacing w:after="0" w:line="279" w:lineRule="auto"/>
        <w:rPr>
          <w:sz w:val="20"/>
          <w:szCs w:val="20"/>
          <w:color w:val="auto"/>
        </w:rPr>
      </w:pPr>
      <w:r>
        <w:rPr>
          <w:rFonts w:ascii="Arial" w:cs="Arial" w:eastAsia="Arial" w:hAnsi="Arial"/>
          <w:sz w:val="17"/>
          <w:szCs w:val="17"/>
          <w:color w:val="auto"/>
        </w:rPr>
        <w:t>In connection with the first and second tranches under the Loan Agreement, we issued a warrant to purchase up to an aggregate of 49,609 shares of common stock at $1.44 per share. We determined the initial fair value of the warrant to be $0.1 million using the Black-Scholes option-pricing model. The fair value of the warrant was recorded to equity and also as a debt discount, which is amortized to interest expense using the effective interest method over the term of the Term Loan. The warrant was net-exercised for 46,358 shares of common stock in November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To date, we have not generated any revenue. We do not expect to generate any meaningful revenue unless and until we obtain regulatory approval and commercialize tildacerfont or any future product candidates, and we do not know when, or if at all, that will occur. We will continue to require additional capital to develop tildacerfont and fund operations for the foreseeable future. Our primary uses of cash are to fund our operations, which consist primarily of research and development expenses related to our clinical development programs, and to a lesser extent, general and administrative expenses.</w:t>
      </w:r>
    </w:p>
    <w:p>
      <w:pPr>
        <w:spacing w:after="0" w:line="15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the development of, and obtain regulatory approval for, tildacerfont or any of our future product candidates. We expect our research and development expenses to increase significantly in the foreseeable future as we continue to invest in research and development activities related to developing tildacerfont, as tildacerfont continues to advance into later stages of development for the treatment of classic CAH in adult patients, as we conduct clinical trials of tildacerfont in additional indications beyond classic CAH in adult patients, as we seek regulatory approvals for tildacerfont, and incur expenses associated with hiring additional personnel to support our research and development efforts. The process of conducting the necessary clinical research to obtain regulatory approval is costly and time-consuming, the successful development of tildacerfont is highly uncertain, and we may never succeed in achieving regulatory approval for tildacerfont in classic CAH in adult patients or other indications. In addition, we expect to incur additional costs associated with operating as a public company.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260" w:firstLine="510"/>
        <w:spacing w:after="0" w:line="279" w:lineRule="auto"/>
        <w:rPr>
          <w:sz w:val="20"/>
          <w:szCs w:val="20"/>
          <w:color w:val="auto"/>
        </w:rPr>
      </w:pPr>
      <w:r>
        <w:rPr>
          <w:rFonts w:ascii="Arial" w:cs="Arial" w:eastAsia="Arial" w:hAnsi="Arial"/>
          <w:sz w:val="17"/>
          <w:szCs w:val="17"/>
          <w:color w:val="auto"/>
        </w:rPr>
        <w:t>We may seek to raise capital through equity or debt financings, collaborative agreements or other arrangements with other companies,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spacing w:after="0" w:line="63"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ongoing and planned clinical trials of tildacerfont;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may pursue;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tildacerfont;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plan to expand our research and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costs associated with manufacturing tildacerfont and establishing commercial supplies and sales, marketing, and distribution capabilities;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commercialization;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acquiring, licensing, or investing in product candidates;</w:t>
      </w:r>
    </w:p>
    <w:p>
      <w:pPr>
        <w:spacing w:after="0" w:line="117" w:lineRule="exact"/>
        <w:rPr>
          <w:rFonts w:ascii="Arial" w:cs="Arial" w:eastAsia="Arial" w:hAnsi="Arial"/>
          <w:sz w:val="18"/>
          <w:szCs w:val="18"/>
          <w:color w:val="auto"/>
        </w:rPr>
      </w:pPr>
    </w:p>
    <w:p>
      <w:pPr>
        <w:ind w:left="1000" w:right="6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medical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competing products and product candidates and other market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receipt, and amount of sales from tildacerfont and any future product candidates, if approved;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62"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the disruptions to and volatility in the credit and financial markets in the United States and worldwide from the COVID-19 pandemic.</w:t>
      </w:r>
    </w:p>
    <w:p>
      <w:pPr>
        <w:spacing w:after="0" w:line="170" w:lineRule="exact"/>
        <w:rPr>
          <w:sz w:val="20"/>
          <w:szCs w:val="20"/>
          <w:color w:val="auto"/>
        </w:rPr>
      </w:pPr>
    </w:p>
    <w:p>
      <w:pPr>
        <w:ind w:right="220" w:firstLine="510"/>
        <w:spacing w:after="0" w:line="279" w:lineRule="auto"/>
        <w:rPr>
          <w:sz w:val="20"/>
          <w:szCs w:val="20"/>
          <w:color w:val="auto"/>
        </w:rPr>
      </w:pPr>
      <w:r>
        <w:rPr>
          <w:rFonts w:ascii="Arial" w:cs="Arial" w:eastAsia="Arial" w:hAnsi="Arial"/>
          <w:sz w:val="17"/>
          <w:szCs w:val="17"/>
          <w:color w:val="auto"/>
        </w:rPr>
        <w:t>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7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the COVID-19 pandemic and actions taken to slow its spread,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amount and timing of our future funding requirements will depend on many factors including the pace and results of our development efforts.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you that we will ever be profitable or generate positive cash flow from operating activities.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17"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The following table sets forth the primary sources and uses of cash, cash equivalents, and restricted cash for the periods presented below (in thousands):</w:t>
      </w:r>
    </w:p>
    <w:p>
      <w:pPr>
        <w:spacing w:after="0" w:line="175"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Nine Months Ended</w:t>
      </w:r>
    </w:p>
    <w:p>
      <w:pPr>
        <w:jc w:val="center"/>
        <w:ind w:left="526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700" w:type="dxa"/>
        <w:tblCellMar>
          <w:top w:w="0" w:type="dxa"/>
          <w:left w:w="0" w:type="dxa"/>
          <w:bottom w:w="0" w:type="dxa"/>
          <w:right w:w="0" w:type="dxa"/>
        </w:tblCellMar>
      </w:tblPr>
      <w:tr>
        <w:trPr>
          <w:trHeight w:val="156"/>
        </w:trPr>
        <w:tc>
          <w:tcPr>
            <w:tcW w:w="53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(9,710)</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86,753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10,433</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68,450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For the nine months ended September 30, 2020, net cash used in operating activities was $18.3 million, which consisted of a net loss of $21.2 million, partially offset by and a net change of $2.5 million in our net operating assets and liabilities and by $0.4 million in non-cash charges. The net change in our operating assets and liabilities was primarily due to a net increase in accounts payable and accrued expenses of $3.7 million, partially offset by a net increase in prepaid expenses and other current assets of $0.9 million and a $0.3 net decrease in accrued compensation and noncurrent assets and liabilities. The non-cash charges of $0.4 million consisted of stock-based compensation expense, non-cash lease expense and depreciation and amortization expense.</w:t>
      </w:r>
    </w:p>
    <w:p>
      <w:pPr>
        <w:spacing w:after="0" w:line="192"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For the nine months ended September 30, 2019, net cash used in operating activities was $9.7 million, which consisted of a net loss of $9.9 million, partially offset by $0.2 million in non-cash charges primarily consisting of stock-based compensation expense.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For the nine months ended September 30, 2020 and 2019, cash used in investing activities was less than $0.1 million and related to the purchase of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For the nine months ended September 30, 2020, cash provided by financing activities was $86.8 million, consisting primarily of net proceeds from the issuance and sale of Series B redeemable convertible preferred stock.</w:t>
      </w:r>
    </w:p>
    <w:p>
      <w:pPr>
        <w:spacing w:after="0" w:line="170"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For the nine months ended September 30, 2019, cash provided by financing activities was $10.4 million, consisting primarily of net proceeds of $7.9 million from the issuance and sale of Series A redeemable convertible preferred stock and net proceeds of $2.5 million from the issuance of a term loan.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5" w:lineRule="exact"/>
        <w:rPr>
          <w:sz w:val="20"/>
          <w:szCs w:val="20"/>
          <w:color w:val="auto"/>
        </w:rPr>
      </w:pPr>
    </w:p>
    <w:p>
      <w:pPr>
        <w:ind w:right="280" w:firstLine="510"/>
        <w:spacing w:after="0" w:line="342" w:lineRule="auto"/>
        <w:rPr>
          <w:sz w:val="20"/>
          <w:szCs w:val="20"/>
          <w:color w:val="auto"/>
        </w:rPr>
      </w:pPr>
      <w:r>
        <w:rPr>
          <w:rFonts w:ascii="Arial" w:cs="Arial" w:eastAsia="Arial" w:hAnsi="Arial"/>
          <w:sz w:val="16"/>
          <w:szCs w:val="16"/>
          <w:color w:val="auto"/>
        </w:rPr>
        <w:t>Except as indicated below, during the nine months ended September 30, 2020, there were no material changes to our contractual obligations and commitments from those described under "Management's Discussion and Analysis of Financial Condition and Results of Operations" in our Prospectus.</w:t>
      </w:r>
    </w:p>
    <w:p>
      <w:pPr>
        <w:spacing w:after="0" w:line="124"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In February 2020, we entered into a non-cancelable operating lease for office space with a commencement date of September 2020 and total gross commitments of $2.3 million over a 63 month term.</w:t>
      </w:r>
    </w:p>
    <w:p>
      <w:pPr>
        <w:spacing w:after="0" w:line="170"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We enter into contracts in the normal course of business with third-party contract manufacturing organizations and CROs for clinical trials, non-clinical studies and testing, drug substance and product manufacturing and other services for operating purposes. These contracts are generally cancelable by us upon prior written notice after a certain period. Payments due upon cancellation consist only of payments for services provided or expenses incurred, including noncancelable obligations of our service providers, up to the date of cancellation.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320" w:firstLine="510"/>
        <w:spacing w:after="0" w:line="301" w:lineRule="auto"/>
        <w:rPr>
          <w:sz w:val="20"/>
          <w:szCs w:val="20"/>
          <w:color w:val="auto"/>
        </w:rPr>
      </w:pPr>
      <w:r>
        <w:rPr>
          <w:rFonts w:ascii="Arial" w:cs="Arial" w:eastAsia="Arial" w:hAnsi="Arial"/>
          <w:sz w:val="16"/>
          <w:szCs w:val="16"/>
          <w:color w:val="auto"/>
        </w:rPr>
        <w:t>We have also entered into the License Agreement under which we are obligated to make aggregate milestone payments upon the achievement of specified milestones as well as royalty payments. The payment obligations under the License Agreement are contingent upon future events, such as our achievement of specified milestones or generating product sales. As of September 30, 2020, we were unable to estimate the timing or likelihood of achieving these milestones or generating future product sales. See the section titled “License Agreement with Lilly and Company” above.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20" w:firstLine="51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Our condensed financial statements have been prepared in accordance with generally accepted accounting principles in the United States. The preparation of these condensed financial statements requires us to make estimates and assumptions that affect the reported amounts of assets, liabilities and expenses, as well as the related disclosure of contingent assets and liabilities as of the date of the financial statements.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Our actual results may differ from these estimates under different assumptions or conditions.</w:t>
      </w:r>
    </w:p>
    <w:p>
      <w:pPr>
        <w:spacing w:after="0" w:line="17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Our critical accounting policies are described in the section titled “Management’s Discussion and Analysis of Financial Condition and Results of Operations—Critical Accounting Policies, Significant Judgments and Use of Estimates” in the Prospectus and the notes to our condensed financial statements appearing elsewhere in this Quarterly Report on Form 10-Q. During the nine months ended September 30, 2020, there were no material changes to our critical accounting policies from those discussed in the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are an “emerging growth company” as defined in the JOBS Act. The JOBS Act permits emerging growth companies to take advantage of an extended transition period to comply with new or revised accounting standards, delaying the adoption of these accounting standards until they would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9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could be an emerging growth company until the last day of the fiscal year ending after the fifth anniversary of this offering, although circumstances could cause us to lose that status earlier, including if we become a “large accelerated filer” as defined in Rule 12b-2 under the Exchange Act or if we have total annual gross revenue of $1.07 billion or more during any fiscal year before that time, in which cases we would no longer be an emerging growth company as of the following December 31 or, if we issue more than $1.0 billion in non-convertible debt during any three year period before that time, we would cease to be an emerging growth company immediately.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cash and cash equivalents as of September 30, 2020 consisted of readily available checking and money market funds. Our primary exposure to market risk is interest income sensitivity, which is affected by changes in the general level of U.S. interest rates. However, because of the short-term nature of the instruments in our portfolio, a sudden change in market interest rates would not be expected to have a material impact on our financial condition and/or results of operations. We do not believe that our cash or cash equivalents have significant risk of default or illiquidity. While we believe our cash and cash equivalents do not contain excessive risk, we cannot provide absolute assurance that in the future our investments will not be subject to adverse changes in market value. In addition, we maintain significant amounts of cash and cash equivalents at one financial institution that is in excess of federally insured limits.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Additionally, the interest rate for borrowings under the Loan Agreement is variable. A hypothetical 10% relative change in interest rates during any of the periods presented would not have had a material impact on our financial statements. We do not currently engage in hedging transactions to manage our exposure to interest rate risk.</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Foreign Currency Rate Risk</w:t>
      </w:r>
    </w:p>
    <w:p>
      <w:pPr>
        <w:spacing w:after="0" w:line="12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Our operations include activities in the United States. In addition, we contract with vendors that are located outside of the United States and certain invoices are denominated in foreign currencies. While our operating results are exposed to changes in foreign currency exchange rates between the U.S. dollar and various foreign currencies, we do not believe that inflation, interest rate changes, or exchange rate fluctuations had a significant impact on our results of operations for any periods presented herein.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was no material foreign currency risk for the nine months ended September 30, 2020.</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and changing prices had a significant impact on our results of operations for any periods presented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As of September 30, 2020, our management, with the participation of our principal executive officer and principal financial officer, evaluated the effectiveness of our disclosure controls and procedures (as defined in Rules 13a-15(e) and 15d-15(e) under the Securities Exchange Act of 1934, as amended).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8"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Based upon the evaluation, our management concluded that, as of September 30, 2020, our disclosure controls and procedures were not effective at a reasonable assurance level as a result of the material weakness that existed in our internal control over financial reporting as described below, and which continues to exist as of September 30, 2020.</w:t>
      </w:r>
    </w:p>
    <w:p>
      <w:pPr>
        <w:spacing w:after="0" w:line="184"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Notwithstanding the identified material weakness, management believes the condensed financial statements included in this Quarterly Report on Form 10-Q fairly present, in all material respects, our financial condition, results of operations and cash flows as of and for the periods presented in accordance with U.S. generally accepted accounting principles.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in Internal Control over Financial Reporting</w:t>
      </w:r>
    </w:p>
    <w:p>
      <w:pPr>
        <w:spacing w:after="0" w:line="121"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In connection with the audit of our financial statements as of and for the years ended December 31, 2019 and 2018, we identified a material weakness in internal control over financial reporting primarily related to a lack of timely review over the financial statement close process. During the periods under audit, we did not have a sufficient complement of qualified personnel within the accounting function and had a lack of segregation of duties to adequately conduct review and analysis of certain routine transactions. We have undertaken specific remediation actions to address the control deficiencies in our financial reporting. We have added a Chief Financial Officer and Controller and have begun to implement new processes. We anticipate fully remediating the material weakness on or before the filing date of our Annual Report on Form 10-K for the fiscal year ending December 31, 2020.</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0" w:firstLine="510"/>
        <w:spacing w:after="0" w:line="259" w:lineRule="auto"/>
        <w:rPr>
          <w:sz w:val="20"/>
          <w:szCs w:val="20"/>
          <w:color w:val="auto"/>
        </w:rPr>
      </w:pPr>
      <w:r>
        <w:rPr>
          <w:rFonts w:ascii="Arial" w:cs="Arial" w:eastAsia="Arial" w:hAnsi="Arial"/>
          <w:sz w:val="18"/>
          <w:szCs w:val="18"/>
          <w:color w:val="auto"/>
        </w:rPr>
        <w:t>Due to a transition period established by SEC rules applicable to newly public companies, our management is not required to evaluate the effectiveness of our internal control over financial reporting until after the filing of our Annual Report on Form 10-K for the year ended December 31, 2020. As a result, this Quarterly Report on Form 10-Q does not address whether there have been any changes in our internal control over financial reporting.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i w:val="1"/>
          <w:iCs w:val="1"/>
          <w:color w:val="auto"/>
        </w:rPr>
        <w:t>An investment in shares of common stock involves a high degree of risk. You should carefully consider the risks described below, as well as the other information in this Quarterly Report on Form 10-Q, including our unaudited condensed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Quarterly Report on Form 10-Q and those we may make from time to time. You should consider all of the risk factors described when evaluating our business. We have marked with an asterisk (*) those risk factors that reflect changes from the similarly titled risk factors included in the Prospectus.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We face risks and uncertainties associated with our business, many of which are beyond our control. Some of the material risks associated with our business include the following:</w:t>
      </w:r>
    </w:p>
    <w:p>
      <w:pPr>
        <w:spacing w:after="0" w:line="62" w:lineRule="exact"/>
        <w:rPr>
          <w:sz w:val="20"/>
          <w:szCs w:val="20"/>
          <w:color w:val="auto"/>
        </w:rPr>
      </w:pPr>
    </w:p>
    <w:p>
      <w:pPr>
        <w:ind w:left="1000" w:right="40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net losses since our inception, and anticipate that we will continue to incur significant net losses for the foreseeable future. We expect these losses to increase as we continue our clinical development of, and seek regulatory approvals for, tildacerfont and any future product candidates.</w:t>
      </w:r>
    </w:p>
    <w:p>
      <w:pPr>
        <w:spacing w:after="0" w:line="75" w:lineRule="exact"/>
        <w:rPr>
          <w:rFonts w:ascii="Arial" w:cs="Arial" w:eastAsia="Arial" w:hAnsi="Arial"/>
          <w:sz w:val="18"/>
          <w:szCs w:val="18"/>
          <w:color w:val="auto"/>
        </w:rPr>
      </w:pPr>
    </w:p>
    <w:p>
      <w:pPr>
        <w:ind w:left="1000" w:right="6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need substantial additional financing to develop tildacerfont and any future product candidates and implement our operating plans. If we fail to obtain additional financing, we may be forced to delay, reduce or eliminate our product development programs or commercialization efforts.</w:t>
      </w:r>
    </w:p>
    <w:p>
      <w:pPr>
        <w:spacing w:after="0" w:line="75" w:lineRule="exact"/>
        <w:rPr>
          <w:rFonts w:ascii="Arial" w:cs="Arial" w:eastAsia="Arial" w:hAnsi="Arial"/>
          <w:sz w:val="18"/>
          <w:szCs w:val="18"/>
          <w:color w:val="auto"/>
        </w:rPr>
      </w:pPr>
    </w:p>
    <w:p>
      <w:pPr>
        <w:ind w:left="1000" w:right="8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75"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clinical trials may fail to adequately demonstrate the safety and efficacy of tildacerfont, which could prevent or delay regulatory approval and commercialization.</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62" w:lineRule="exact"/>
        <w:rPr>
          <w:rFonts w:ascii="Arial" w:cs="Arial" w:eastAsia="Arial" w:hAnsi="Arial"/>
          <w:sz w:val="18"/>
          <w:szCs w:val="18"/>
          <w:color w:val="auto"/>
        </w:rPr>
      </w:pPr>
    </w:p>
    <w:p>
      <w:pPr>
        <w:ind w:left="1000" w:right="180" w:hanging="493"/>
        <w:spacing w:after="0" w:line="311"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FDA and comparable foreign regulatory authorities may require us to initiate one or more additional clinical trials for tildacerfont in adult patients with classic CAH, including a Phase 3 clinical trial or trials. The estimated timing or scope of any such future clinical trials is not currently ascertainable. Even if regulatory approvals are obtained, we may never be able to successfully commercialize tildacerfont.</w:t>
      </w:r>
    </w:p>
    <w:p>
      <w:pPr>
        <w:spacing w:after="0" w:line="40"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75" w:lineRule="exact"/>
        <w:rPr>
          <w:rFonts w:ascii="Arial" w:cs="Arial" w:eastAsia="Arial" w:hAnsi="Arial"/>
          <w:sz w:val="18"/>
          <w:szCs w:val="18"/>
          <w:color w:val="auto"/>
        </w:rPr>
      </w:pPr>
    </w:p>
    <w:p>
      <w:pPr>
        <w:ind w:left="1000" w:right="20" w:hanging="493"/>
        <w:spacing w:after="0" w:line="259"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has been and could continue to be adversely affected by the evolving and ongoing COVID-19 global pandemic in regions where we or third parties on which we rely have significant manufacturing facilities, concentrations of clinical trial sites or other business operations. The COVID-19 pandemic could adversely affect our operations, as well as the business or operations of our manufacturers, CROs, or other third parties with whom we conduct business.</w:t>
      </w:r>
    </w:p>
    <w:p>
      <w:pPr>
        <w:spacing w:after="0" w:line="78" w:lineRule="exact"/>
        <w:rPr>
          <w:rFonts w:ascii="Arial" w:cs="Arial" w:eastAsia="Arial" w:hAnsi="Arial"/>
          <w:sz w:val="18"/>
          <w:szCs w:val="18"/>
          <w:color w:val="auto"/>
        </w:rPr>
      </w:pPr>
    </w:p>
    <w:p>
      <w:pPr>
        <w:ind w:left="1000" w:right="24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75"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market opportunities for tildacerfont and any future product candidates are smaller than we believe they are, our future revenue may be adversely affected, and our business may suffer.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right="60" w:hanging="493"/>
        <w:spacing w:after="0" w:line="311"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40" w:lineRule="exact"/>
        <w:rPr>
          <w:rFonts w:ascii="Arial" w:cs="Arial" w:eastAsia="Arial" w:hAnsi="Arial"/>
          <w:sz w:val="16"/>
          <w:szCs w:val="16"/>
          <w:color w:val="auto"/>
        </w:rPr>
      </w:pPr>
    </w:p>
    <w:p>
      <w:pPr>
        <w:ind w:left="1000" w:right="320" w:hanging="493"/>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currently have no marketing and sales organization and have no organizational experience in marketing products. If we are unable to establish marketing and sales capabilities or enter into agreements with third parties to market and sell tildacerfont and any future product candidates, we may not be able to generate product revenues.</w:t>
      </w:r>
    </w:p>
    <w:p>
      <w:pPr>
        <w:spacing w:after="0" w:line="75"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62" w:lineRule="exact"/>
        <w:rPr>
          <w:rFonts w:ascii="Arial" w:cs="Arial" w:eastAsia="Arial" w:hAnsi="Arial"/>
          <w:sz w:val="18"/>
          <w:szCs w:val="18"/>
          <w:color w:val="auto"/>
        </w:rPr>
      </w:pPr>
    </w:p>
    <w:p>
      <w:pPr>
        <w:ind w:left="1000" w:right="20" w:hanging="493"/>
        <w:spacing w:after="0" w:line="279"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and any future product candidates, and other proprietary technologies if approved, may be adversely affected.</w:t>
      </w:r>
    </w:p>
    <w:p>
      <w:pPr>
        <w:spacing w:after="0" w:line="63" w:lineRule="exact"/>
        <w:rPr>
          <w:rFonts w:ascii="Arial" w:cs="Arial" w:eastAsia="Arial" w:hAnsi="Arial"/>
          <w:sz w:val="17"/>
          <w:szCs w:val="17"/>
          <w:color w:val="auto"/>
        </w:rPr>
      </w:pPr>
    </w:p>
    <w:p>
      <w:pPr>
        <w:ind w:left="1000" w:right="52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 control over matters subject to stockholder approval.</w:t>
      </w:r>
    </w:p>
    <w:p>
      <w:pPr>
        <w:spacing w:after="0" w:line="62" w:lineRule="exact"/>
        <w:rPr>
          <w:rFonts w:ascii="Arial" w:cs="Arial" w:eastAsia="Arial" w:hAnsi="Arial"/>
          <w:sz w:val="18"/>
          <w:szCs w:val="18"/>
          <w:color w:val="auto"/>
        </w:rPr>
      </w:pPr>
    </w:p>
    <w:p>
      <w:pPr>
        <w:ind w:left="1000" w:right="120" w:hanging="493"/>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and may identify material weaknesses in the future or otherwise fail to maintain proper and effective internal controls, which may impair our ability to produce accurate financial statements on a timely basis.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net losses since our inception, and anticipate that we will continue to incur significant net losses for the foreseeable future.*</w:t>
      </w:r>
    </w:p>
    <w:p>
      <w:pPr>
        <w:spacing w:after="0" w:line="62"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We are a late-stage biopharmaceutical company founded in 2014,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only product candidate, tildacerfont.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spacing w:after="0" w:line="17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revenue to date, and we continue to incur significant research and development and other expenses related to our ongoing operations. As a result, we are not profitable and have incurred significant net losses since our inception. If tildacerfont is not successfully developed and approved in the United States or Europe, we may never generate any revenue. For the three and nine months ended September 30, 2020, we reported a net loss of $9.6 million and $21.2 million, respectively. As of September 30, 2020, we had an accumulated deficit of $52.5 million.</w:t>
      </w:r>
    </w:p>
    <w:p>
      <w:pPr>
        <w:spacing w:after="0" w:line="17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expect to continue to incur significant losses for the foreseeable future, and we expect these losses to increase as we continue our clinical development of, and seek regulatory approvals for, tildacerfont and any future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will need substantial additional financing to develop tildacerfont and any future product candidates and implement our operating plan. If we fail to obtain additional financing, we may be forced to delay, reduce or eliminate our product development programs or commercialization efforts.*</w:t>
      </w:r>
    </w:p>
    <w:p>
      <w:pPr>
        <w:spacing w:after="0" w:line="16"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Our operations have consumed substantial amounts of cash since our inception. We expect to continue to spend substantial amounts to continue the clinical development of, and seek regulatory approval for, tildacerfont and any future product candidates. We will require significant additional amounts in order to prepare for commercialization, and, if approved, to launch and commercialize tildacerfont.</w:t>
      </w:r>
    </w:p>
    <w:p>
      <w:pPr>
        <w:spacing w:after="0" w:line="184"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As of September 30, 2020, we had cash and cash equivalents of $72.2 million. In October 2020, we consummated our initial public offering, or IPO, and issued 6,900,000 shares of common stock for net proceeds of approximately $96.3 million, after deducting underwriting discounts and commissions of approximately $7.2 million and before deducting offering related expenses. We believe, based on our current operating plan, that such proceeds will be sufficient to fund our operations for at least the next 12 months. In particular, we expect that the net proceeds from the IPO, together with our existing cash and cash equivalents, will allow us to fund our two ongoing Phase 2b clinical trials of tildacerfont in adult patients with classic CAH, new drug application, or NDA, enabling, and pre-commercial readiness activities to market tildacerfont for adults with classic CAH in the United States and Europe, if approved, our initial research and development efforts for tildacerfont in children with classic CAH and other rare endocrine disorders, including in a subpopulation of females with a rare form of PCOS, as well as working capital and general corporate purposes.</w:t>
      </w:r>
    </w:p>
    <w:p>
      <w:pPr>
        <w:spacing w:after="0" w:line="17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However, changing circumstances may cause us to consume capital significantly faster than we currently anticipate, and we may need to spend more money than currently expected because of circumstances beyond our control. For example, as a result of the COVID-19 pandemic, we have amended our clinical trial protocols to enable remote visits to mitigate any potential impacts. As a result of this home health component, the overall costs of our Phase 2b clinical trials have increased and may continue to increase in the future.</w:t>
      </w:r>
    </w:p>
    <w:p>
      <w:pPr>
        <w:spacing w:after="0" w:line="18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We will require additional capital for the further development and commercialization of tildacerfont and any future product candidates and may need to raise additional funds sooner if we choose to expand more rapidly than we presently anticipate.</w:t>
      </w:r>
    </w:p>
    <w:p>
      <w:pPr>
        <w:spacing w:after="0" w:line="170"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Additional funding may not be available on acceptable terms, or at all. As a result of the COVID-19 pandemic and actions taken to slow its spread,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181"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Any of the above events could significantly harm our business, prospects, financial condition, and results of operations and cause the price of our common stock to decline.</w:t>
      </w:r>
    </w:p>
    <w:p>
      <w:pPr>
        <w:spacing w:after="0" w:line="27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currently only have one product candidate, tildacerfont, and our business and future success depends entirely on our ability to develop, obtain regulatory approval for, and then successfully commercialize, tildacerfont, which is currently in clinical development for adult patients with classic CAH. This may make an investment in our company riskier than similar companies that have multiple product candidates in active development that may be able to better sustain failure of a lead product candidate. We have initiated a placebo-controlled, double-blind Phase 2b clinical trial in adult patients with classic CAH with poor disease control and anticipate topline results in the fourth quarter of 2021 or the first quarter of 2022. We have also initiated a second Phase 2b clinical trial in adult patients with classic CAH with good disease control focused on glucocorticoid reduction and anticipate topline results in the first half of 2022.</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Assuming positive results in the glucocorticoid reduction trial, we plan to meet with the FDA and comparable foreign regulatory authorities in 2022 to discuss registration. While we believe these two clinical trials will provide sufficient patient exposures for our registrational safety database, the FDA and comparable foreign regulatory authorities may not agree and may require us to enroll additional patients or initiate one or more additional clinical trials, including a Phase 3 clinical trial or trials. If the FDA or comparable foreign regulatory authorities require us to conduct one or more clinical trials, including a Phase 3 clinical trial or trials, the design, duration, and scope of such clinical trials will be decided upon after further discussions with the FDA or comparable foreign regulatory authorities, and at this time are not ascertainable. As a result, we are unable to predict with certainty the estimated timing or scope of any future clinical trials of tildacerfont we may be required to conduct.</w:t>
      </w:r>
    </w:p>
    <w:p>
      <w:pPr>
        <w:spacing w:after="0" w:line="177"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In addition, we have received initial feedback from the FDA and European Medicines Agency, or EMA, on our planned Phase 2 clinical trial of tildacerfont in children as young as two years of age with classic CAH in order to initiate the clinical development program for tildacerfont in the pediatric classic CAH population in the second half of 2021. The COVID-19 pandemic continues to evolve and any impacts on these projected milestones for both the adult and pediatric classic CAH programs are highly uncertain and cannot be predicted with confidence.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tildacerfont will depend on several factors, including the following:</w:t>
      </w:r>
    </w:p>
    <w:p>
      <w:pPr>
        <w:spacing w:after="0" w:line="117"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enrollment in our ongoing and planned clinical trials and completion of such clinical trials with favorable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by the FDA and EMA of data from our ongoing Phase 2b clinical trials in adult patients with classic CAH;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comparable foreign regulatory authorities;</w:t>
      </w:r>
    </w:p>
    <w:p>
      <w:pPr>
        <w:spacing w:after="0" w:line="62"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one or more NDAs from the FDA, and maintaining such approvals;</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and receiving/importing commercial supplies approved by the FDA and other regulatory authorities from any future third-party manufacturer;</w:t>
      </w:r>
    </w:p>
    <w:p>
      <w:pPr>
        <w:spacing w:after="0" w:line="62"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commercializing tildacerfont, if approved, whether alone or in collaboration with others;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and maintaining patent and trade secret protection and regulatory exclusivity for tildacerfont;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an acceptable safety profile of tildacerfont following approval; and</w:t>
      </w:r>
    </w:p>
    <w:p>
      <w:pPr>
        <w:spacing w:after="0" w:line="117"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and, if approved, commercialize, market, and sell tildacerfont to physicians, patients, healthcare payors, and others in the medical community.</w:t>
      </w:r>
    </w:p>
    <w:p>
      <w:pPr>
        <w:spacing w:after="0" w:line="170" w:lineRule="exact"/>
        <w:rPr>
          <w:sz w:val="20"/>
          <w:szCs w:val="20"/>
          <w:color w:val="auto"/>
        </w:rPr>
      </w:pPr>
    </w:p>
    <w:p>
      <w:pPr>
        <w:ind w:right="720" w:firstLine="510"/>
        <w:spacing w:after="0" w:line="277" w:lineRule="auto"/>
        <w:rPr>
          <w:sz w:val="20"/>
          <w:szCs w:val="20"/>
          <w:color w:val="auto"/>
        </w:rPr>
      </w:pPr>
      <w:r>
        <w:rPr>
          <w:rFonts w:ascii="Arial" w:cs="Arial" w:eastAsia="Arial" w:hAnsi="Arial"/>
          <w:sz w:val="18"/>
          <w:szCs w:val="18"/>
          <w:color w:val="auto"/>
        </w:rPr>
        <w:t>If we do not achieve one or more of these factors, many of which are beyond our control, in a timely manner or at all, we could experience significant delays or an inability to obtain regulatory approvals or commercialize tildacerfont.</w:t>
      </w:r>
    </w:p>
    <w:p>
      <w:pPr>
        <w:spacing w:after="0" w:line="170"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Even if regulatory approvals are obtained, we may never be able to successfully commercialize tildacerfont.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tildacerfont to continue our business.</w:t>
      </w:r>
    </w:p>
    <w:p>
      <w:pPr>
        <w:spacing w:after="0" w:line="25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adequately demonstrate the safety and efficacy of tildacerfont, which could prevent or delay regulatory approval and commercialization.*</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product candidates that commence clinical trials are never approved by regulatory authorities for commercialization. We are seeking to develop treatments for rare endocrine disorders for which there is limited clinical experience, and our two ongoing Phase 2b clinical trials use novel endpoints that do not have regulatory precedent in classic CAH due to the lack of clinical trials in classic CAH, which add complexity to the conduct and analysis of data from our clinical trials and may delay or prevent regulatory approval. Additionally, any safety concerns observed in any one of our clinical trials in our targeted indications could limit the prospects for regulatory approval of tildacerfont in other indications.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57"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Preclinical and clinical testing is expensive and can take many years to complete, and its outcome is inherently uncertain. A failure of one or more preclinical or clinical trials can occur at any stage of testing. The results of preclinical studies and early clinical trials of tildacerfont may not be predictive of the results of later-stage clinical trials. However, product candidates in later stages of clinical trials may fail to show the desired safety and efficacy traits despite having progressed through preclinical studies and initial clinical trials. For example, tildacerfont has not yet been evaluated in pediatric patients with classic CAH, and the results may not be similar to the results observed in clinical trials of adult patients. In addition, we intend to use doses in our two Phase 2b clinical trials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We may face significant setbacks as we conduct our two Phase 2b clinical trials in adult patients with classic CAH, which may delay or prevent regulatory approval of tildacerfont.</w:t>
      </w:r>
    </w:p>
    <w:p>
      <w:pPr>
        <w:spacing w:after="0" w:line="194"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Further, if patients drop out of our clinical trials, miss scheduled doses or follow-up visits, or otherwise fail to follow clinical trial protocols, whether as a result of the COVID-19 pandemic, actions taken to slow the spread of COVID-19 or otherwise, the integrity of data from our clinical trials may be compromised or not accepted by the FDA or other regulatory authorities, which would represent a significant setback for the applicable program.</w:t>
      </w: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152"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We may not be able to initiate or continue our clinical trials for tildacerfont and any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and clinicians’ and patients’ perceptions as to the potential advantages of the product candidate being studied in relation to other available therapies, including any new drugs that may be approved for the indications we are investigating.</w:t>
      </w:r>
    </w:p>
    <w:p>
      <w:pPr>
        <w:spacing w:after="0" w:line="192"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In particular, each indication for which we are evaluating tildacerfont is a rare endocrine disorder with limited patient populations from which to draw participants in clinical trials. For example, we estimate the total classic CAH populations are approximately 20,000 to 30,000 people in the United States and approximately 50,000 people in the European Union, or EU. We will be required to identify and enroll a sufficient number of patients with the disorder under investigation for our clinical trials of tildacerfont.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endocrine disorders and are recruiting clinical trial patients from these patient populations, which may delay or make it more difficult to fully enroll our clinical trials. Our inability to enroll a sufficient number of patients for any of our current or future clinical trials would result in significant delays or may require us to abandon one or more clinical trials altogether.</w:t>
      </w:r>
    </w:p>
    <w:p>
      <w:pPr>
        <w:spacing w:after="0" w:line="165" w:lineRule="exact"/>
        <w:rPr>
          <w:sz w:val="20"/>
          <w:szCs w:val="20"/>
          <w:color w:val="auto"/>
        </w:rPr>
      </w:pPr>
    </w:p>
    <w:p>
      <w:pPr>
        <w:ind w:right="60" w:firstLine="510"/>
        <w:spacing w:after="0" w:line="285" w:lineRule="auto"/>
        <w:rPr>
          <w:sz w:val="20"/>
          <w:szCs w:val="20"/>
          <w:color w:val="auto"/>
        </w:rPr>
      </w:pPr>
      <w:r>
        <w:rPr>
          <w:rFonts w:ascii="Arial" w:cs="Arial" w:eastAsia="Arial" w:hAnsi="Arial"/>
          <w:sz w:val="16"/>
          <w:szCs w:val="16"/>
          <w:color w:val="auto"/>
        </w:rPr>
        <w:t>Our clinical trials have been, and may in the future be, affected by the COVID-19 pandemic. For example, the COVID-19 pandemic may impact patient enrollment in our two ongoing Phase 2b clinical trials. In particular, some sites may pause enrollment to focus on, and direct resources to, COVID-19, while at other sites, patients may choose not to enroll or continue participating in the clinical trial as a result of the pandemic. In addition, patient visits to endocrinologists in the United States have slowed as a result of the COVID-19 pandemic. Further, according to the Centers for Disease Control and Prevention, people who have serious chronic medical conditions, including those such as classic CAH, are at higher risk of getting very sick from COVID-</w:t>
      </w:r>
    </w:p>
    <w:p>
      <w:pPr>
        <w:spacing w:after="0" w:line="2" w:lineRule="exact"/>
        <w:rPr>
          <w:sz w:val="20"/>
          <w:szCs w:val="20"/>
          <w:color w:val="auto"/>
        </w:rPr>
      </w:pPr>
    </w:p>
    <w:p>
      <w:pPr>
        <w:ind w:right="200" w:firstLine="8"/>
        <w:spacing w:after="0" w:line="255"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 result, current or potential patients in our ongoing and planned clinical trials may choose to not enroll, not participate in follow-up clinical visits, or drop out of the trial as a precaution against contracting COVID-19. Further, some patients may not be able or willing to comply with clinical trial protocols if quarantines impede patient movement or interrupt healthcare services.</w:t>
      </w:r>
    </w:p>
    <w:p>
      <w:pPr>
        <w:spacing w:after="0" w:line="190"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We are unable to predict with confidence the likelihood or duration of such patient enrollment delays and difficulties, whether related to COVID-19 or otherwise. If patient enrollment is delayed for an extended period of time, our Phase 2b clinical trials could be delayed or otherwise adversely affected.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Before we can initiate clinical trials for tildacerfont or any future product candidates, we must submit the results of preclinical studies to the FDA, or comparable foreign regulatory authorities, along with other information, including information about chemistry, manufacturing and controls, and our proposed clinical trial protocol, as part of an IND or similar regulatory filing under which we must receive authorization to proceed with clinical development.</w:t>
      </w:r>
    </w:p>
    <w:p>
      <w:pPr>
        <w:spacing w:after="0" w:line="187"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Before obtaining marketing approval from regulatory authorities for the sale of tildacerfont or any future product candidates, we must conduct extensive clinical trials to demonstrate the safety and efficacy of tildacerfont and any future product candidates in humans. Clinical testing is expensive, time-consuming, and uncertain as to outcome. In addition, we may rely in part on preclinical, clinical and quality data generated by CROs and other third parties for regulatory submissions for tildacerfont and any future product candidates. While we have or will have agreements governing these third parties’ services, we have limited influence over their actual performance. If these third parties do not make data available to us, or, if applicable, do not make regulatory submissions in a timely manner, in each case pursuant to our agreements with them, our development programs may be significantly delayed, and we may need to conduct additional clinical trials or collect additional data independently. In either case, our development costs would increase.</w:t>
      </w:r>
    </w:p>
    <w:p>
      <w:pPr>
        <w:spacing w:after="0" w:line="166"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We do not know whether our current or any future clinical trials will begin on time or be completed on schedule, if at all. The commencement and completion of clinical trials can be delayed for a number of reasons, including delays related to:</w:t>
      </w:r>
    </w:p>
    <w:p>
      <w:pPr>
        <w:spacing w:after="0" w:line="62" w:lineRule="exact"/>
        <w:rPr>
          <w:sz w:val="20"/>
          <w:szCs w:val="20"/>
          <w:color w:val="auto"/>
        </w:rPr>
      </w:pPr>
    </w:p>
    <w:p>
      <w:pPr>
        <w:ind w:left="1000" w:right="780" w:hanging="493"/>
        <w:spacing w:after="0" w:line="342"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failure to accept our proposed manufacturing processes and suppliers and/or requirement to provide additional information regarding our manufacturing processes before providing marketing authorization;</w:t>
      </w:r>
    </w:p>
    <w:p>
      <w:pPr>
        <w:spacing w:after="0" w:line="15" w:lineRule="exact"/>
        <w:rPr>
          <w:rFonts w:ascii="Arial" w:cs="Arial" w:eastAsia="Arial" w:hAnsi="Arial"/>
          <w:sz w:val="16"/>
          <w:szCs w:val="16"/>
          <w:color w:val="auto"/>
        </w:rPr>
      </w:pPr>
    </w:p>
    <w:p>
      <w:pPr>
        <w:ind w:left="1000" w:right="1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clinical trial or reaching a consensus with regulatory authorities on clinical trial design or implementation;</w:t>
      </w:r>
    </w:p>
    <w:p>
      <w:pPr>
        <w:spacing w:after="0" w:line="62"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approval from one or more institutional review boards, or IRBs, or Ethics Committees, or ECs;</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IRBs or ECs refusing to approve, suspending or terminating the clinical trial at an investigational site, precluding enrollment of additional subjects, or withdrawing their approval of the clinical trial;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clinical trial protocols;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sites deviating from clinical trial protocol or dropping out of a clinical trial;</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manufacturing sufficient quantities of tildacerfont or any future product candidates or obtaining sufficient quantities of combination therapies for use in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subjects failing to enroll or remain in our trials at the rate we expect, or failing to return for post-treatment follow-up;</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tildacerfont and any future product candidates, or participating in competing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occurrence of SAEs in clinical trials of the same class of agents conducted by other companies;</w:t>
      </w:r>
    </w:p>
    <w:p>
      <w:pPr>
        <w:spacing w:after="0" w:line="117" w:lineRule="exact"/>
        <w:rPr>
          <w:rFonts w:ascii="Arial" w:cs="Arial" w:eastAsia="Arial" w:hAnsi="Arial"/>
          <w:sz w:val="18"/>
          <w:szCs w:val="18"/>
          <w:color w:val="auto"/>
        </w:rPr>
      </w:pPr>
    </w:p>
    <w:p>
      <w:pPr>
        <w:ind w:left="1000" w:right="340" w:hanging="493"/>
        <w:spacing w:after="0" w:line="286"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facility manufacturing tildacerfont or any of its components being ordered by the FDA or comparable foreign regulatory authorities to temporarily or permanently shut down due to violations of current good manufacturing practice, or cGMP, regulations or other applicable requirements, or infections or cross-contaminations of tildacerfont in the manufacturing process;</w:t>
      </w:r>
    </w:p>
    <w:p>
      <w:pPr>
        <w:spacing w:after="0" w:line="57" w:lineRule="exact"/>
        <w:rPr>
          <w:rFonts w:ascii="Arial" w:cs="Arial" w:eastAsia="Arial" w:hAnsi="Arial"/>
          <w:sz w:val="17"/>
          <w:szCs w:val="17"/>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changes to our manufacturing process, suppliers or formulation that may be necessary or desired;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vendors not performing manufacturing and distribution services in a timely manner or to sufficient quality standards;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hanging="493"/>
        <w:spacing w:after="0" w:line="308"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third-party clinical investigators losing the licenses or permits necessary to perform our clinical trials, not performing our clinical trials on our anticipated schedule or consistent with the clinical trial protocol, good clinical practice, or GCP, or other regulatory requirements;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w:t>
      </w:r>
    </w:p>
    <w:p>
      <w:pPr>
        <w:spacing w:after="0" w:line="117" w:lineRule="exact"/>
        <w:rPr>
          <w:rFonts w:ascii="Arial" w:cs="Arial" w:eastAsia="Arial" w:hAnsi="Arial"/>
          <w:sz w:val="18"/>
          <w:szCs w:val="18"/>
          <w:color w:val="auto"/>
        </w:rPr>
      </w:pPr>
    </w:p>
    <w:p>
      <w:pPr>
        <w:jc w:val="both"/>
        <w:ind w:left="1000" w:right="2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or</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impacts of the COVID-19 pandemic on our ongoing and planned clinical trials.</w:t>
      </w:r>
    </w:p>
    <w:p>
      <w:pPr>
        <w:spacing w:after="0" w:line="225"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or ECs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have amended, and may need to further amend, clinical trial protocols to comply with these changes. Amendments may require us to resubmit our clinical trial protocols to IRBs for reexamination, which may impact the costs, timing, or successful completion of a clinical trial.</w:t>
      </w:r>
    </w:p>
    <w:p>
      <w:pPr>
        <w:spacing w:after="0" w:line="194"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Further, conducting clinical trials in foreign countries, which we plan to do for tildacerfont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71"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tildacerfont.</w:t>
      </w:r>
    </w:p>
    <w:p>
      <w:pPr>
        <w:spacing w:after="0" w:line="17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If we experience delays in the completion of, or termination of, any clinical trial of tildacerfont or any future product candidates, the commercial prospect of tildacerfont or any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 may also ultimately lead to the denial of regulatory approval of tildacerfont or any future product candidates. Further, delays to our clinical trials that occur as a result could shorten any period during which we may have the exclusive right to commercialize tildacerfont and our competitors may be able to bring products to market before we do, and the commercial viability of tildacerfont could be significantly reduced. Any of these occurrences may harm our business, financial condition, and prospects significantly.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76"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The clinical development, manufacturing, labeling, storage, record-keeping, advertising, promotion, import, export, marketing, and distribution of tildacerfont is subject to extensive regulation by the FDA in the United States and by comparable foreign regulatory authorities in foreign markets. In the United States, we are not permitted to market tildacerfont and any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tildacerfont and any future product candidates in the United States until we receive approval of an NDA from the FDA. We have not previously submitted an NDA to the FDA, or similar drug approval filings to comparable foreign authorities.</w:t>
      </w:r>
    </w:p>
    <w:p>
      <w:pPr>
        <w:spacing w:after="0" w:line="194"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tildacerfont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tildacerfont and any future product candidates either prior to or post-approval, or may object to elements of our clinical development program.</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Tildacerfont and any future product candidates could fail to receive regulatory approval for many reasons, including the following:</w:t>
      </w:r>
    </w:p>
    <w:p>
      <w:pPr>
        <w:spacing w:after="0" w:line="117" w:lineRule="exact"/>
        <w:rPr>
          <w:sz w:val="20"/>
          <w:szCs w:val="20"/>
          <w:color w:val="auto"/>
        </w:rPr>
      </w:pPr>
    </w:p>
    <w:p>
      <w:pPr>
        <w:ind w:left="1000" w:right="16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serious and unexpected drug-related side effects may be experienced by participants in our clinical trials or by people using drugs similar to tildacerfont and any future product candidates;</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clinical data from trials which are conducted at clinical facilities or in countries where the standard of care is potentially different from that of the United States;</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of its proposed indications;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40" w:lineRule="exact"/>
        <w:rPr>
          <w:rFonts w:ascii="Arial" w:cs="Arial" w:eastAsia="Arial" w:hAnsi="Arial"/>
          <w:sz w:val="16"/>
          <w:szCs w:val="16"/>
          <w:color w:val="auto"/>
        </w:rPr>
      </w:pPr>
    </w:p>
    <w:p>
      <w:pPr>
        <w:ind w:left="1000" w:right="20" w:hanging="493"/>
        <w:spacing w:after="0" w:line="259"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data collected from clinical trials of tildacerfont and any future product candidates may not be sufficient to satisfy the FDA or comparable foreign regulatory authorities to support the submission of an NDA or other comparable submissions in foreign jurisdictions or to obtain regulatory approval in the United States or elsewhere, requiring, in the case of adult patients with classic CAH, additional clinical trials beyond our two ongoing Phase 2b clinical trials prior to any such approval;</w:t>
      </w:r>
    </w:p>
    <w:p>
      <w:pPr>
        <w:spacing w:after="0" w:line="78" w:lineRule="exact"/>
        <w:rPr>
          <w:rFonts w:ascii="Arial" w:cs="Arial" w:eastAsia="Arial" w:hAnsi="Arial"/>
          <w:sz w:val="18"/>
          <w:szCs w:val="18"/>
          <w:color w:val="auto"/>
        </w:rPr>
      </w:pPr>
    </w:p>
    <w:p>
      <w:pPr>
        <w:ind w:left="1000" w:right="94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Any of the above events could prevent us from achieving market approval of tildacerfont or any future product candidates and could substantially increase the costs of commercializing tildacerfont or any future product candidates. The demand for tildacerfont or any future product candidates could also be negatively impacted by any adverse effects of a competitor’s product or treatment.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60" w:firstLine="510"/>
        <w:spacing w:after="0" w:line="259"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tildacerfont and any future product candidates, which would significantly harm our business, financial condition, results of operations, and prospects.</w:t>
      </w:r>
    </w:p>
    <w:p>
      <w:pPr>
        <w:spacing w:after="0" w:line="18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Even if we eventually complete clinical trials and receive approval of an NDA or foreign marketing application for tildacerfont and any future product candidates, the FDA or comparable foreign regulatory authority may grant approval contingent on the performance of costly additional clinical trials, including Phase 4 clinical trials, and/or the implementation of a risk evaluation and mitigation strategy, or REMS,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spacing w:after="0" w:line="2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Our business has been and could continue to be adversely affected by the evolving and ongoing COVID-19 global pandemic in regions where we or third parties on which we rely have significant manufacturing facilities, concentrations of clinical trial sites or other business operations. The COVID-19 pandemic could adversely affect our operations, as well as the business or operations of our manufacturers, CROs, or other third parties with whom we conduct business.*</w:t>
      </w:r>
    </w:p>
    <w:p>
      <w:pPr>
        <w:spacing w:after="0" w:line="7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business has been and could continue to be adversely affected by the evolving COVID-19 pandemic, which was declared by the World Health Organization as a global pandemic. As COVID-19 continues to spread, we may experience ongoing disruptions that could severely impact our business and clinical trials, including:</w:t>
      </w:r>
    </w:p>
    <w:p>
      <w:pPr>
        <w:spacing w:after="0" w:line="76"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which may require us to change the ways in which our clinical trials are conducted, which may result in unexpected costs, or to discontinue the clinical trials altogether;</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jc w:val="both"/>
        <w:ind w:left="1000" w:right="400" w:hanging="493"/>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interruptions or delays in the operations of the FDA or other regulatory authorities, which may impact review and approval timelines;</w:t>
      </w:r>
    </w:p>
    <w:p>
      <w:pPr>
        <w:spacing w:after="0" w:line="12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costs relating to mitigating the impact of COVID-19 on any of the foregoing factors.</w:t>
      </w:r>
    </w:p>
    <w:p>
      <w:pPr>
        <w:spacing w:after="0" w:line="225"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These and other disruptions in our operations and the global economy could negatively impact our business, operating results and financial condition.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color w:val="auto"/>
        </w:rPr>
        <w:t>Our clinical trials have been, and may in the future be, affected by the COVID-19 pandemic. For example, the COVID-19 pandemic may impact patient enrollment in our two ongoing Phase 2b clinical trials. In particular, some sites may pause enrollment to focus on, and direct resources to, COVID-19, while at other sites, patients may choose not to enroll or continue participating in the clinical trial as a result of the pandemic. In addition, patient visits to endocrinologists in the United States have slowed as a result of the COVID-19 pandemic. Further, according to the Centers for Disease Control and Prevention, people who have serious chronic medical conditions, including those such as classic CAH, are at higher risk of getting very sick from COVID-</w:t>
      </w:r>
    </w:p>
    <w:p>
      <w:pPr>
        <w:spacing w:after="0" w:line="2" w:lineRule="exact"/>
        <w:rPr>
          <w:sz w:val="20"/>
          <w:szCs w:val="20"/>
          <w:color w:val="auto"/>
        </w:rPr>
      </w:pPr>
    </w:p>
    <w:p>
      <w:pPr>
        <w:ind w:right="180" w:firstLine="8"/>
        <w:spacing w:after="0" w:line="255"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a result, current or potential patients in our ongoing and planned clinical trials may choose to not enroll, not participate in follow-up clinical visits, or drop out of the trial as a precaution against contracting COVID-19. Further, some patients may not be able or willing to comply with clinical trial protocols if quarantines impede patient movement or interrupts healthcare services.</w:t>
      </w:r>
    </w:p>
    <w:p>
      <w:pPr>
        <w:spacing w:after="0" w:line="190"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If patient enrollment is delayed for an extended period of time, our ongoing and planned clinical trials could be delayed or otherwise adversely affected. Similarly, our ability to recruit and retain principal investigators and site staff who, as healthcare providers, may have heightened exposure to COVID-19, may be adversely impacted.</w:t>
      </w:r>
    </w:p>
    <w:p>
      <w:pPr>
        <w:spacing w:after="0" w:line="184"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addition, ongoing or planned clinical trials may also be impacted by interruptions or delays in the operations of the FDA and comparable foreign regulatory agencies. For example, we and our CROs have also made certain adjustments to the operation of our trials in an effort to ensure the monitoring and safety of patients and minimize risks to trial integrity during the pandemic in accordance with the guidance issued by the FDA, and may need to make further adjustments in the future. For example, we have amended our clinical trial protocols to enable remote visits to mitigate any potential impacts as a result of the COVID-19 pandemic. As a result of this home health component, the overall costs of our Phase 2b clinical trials have increased and may continue to increase in the future. Many of these adjustments are new and untested, may not be effective, may affect the integrity of data collected, and may have unforeseen effects on the progress and completion of our clinical trials and the findings from such clinical trials.</w:t>
      </w:r>
    </w:p>
    <w:p>
      <w:pPr>
        <w:spacing w:after="0" w:line="166"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In addition, we may encounter a shortage in supplies of, or in delays in shipping, our study drug or other components of the clinical trial vital for successful conduct of the trial. For example, in our two ongoing Phase 2b clinical trials, patients will continue to use their steroid regimen for the duration of the clinical trial. In particular, we have experienced a shortage of supply of hydrocortisone as a result of the COVID-19 pandemic, which if continued indefinitely, could adversely affect the timing and ultimately success of our clinical trials. Further, the successful conduct of our clinical trials depend on retrieving laboratory data from patients. Any failure by the laboratories with which we work to send us such data could impair the progress of such clinical trials. These events could delay our clinical trials, increase the cost of completing our clinical trials, and negatively impact the integrity, reliability, or robustness of the data from our clinical trials.</w:t>
      </w:r>
    </w:p>
    <w:p>
      <w:pPr>
        <w:spacing w:after="0" w:line="195"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or third-party manufacturing facilities upon which we rely, or the availability or cost of materials, which could disrupt the supply chain for tildacerfont. To the extent our suppliers and service providers are unable to comply with their obligations under our agreements with them or they are otherwise unable to deliver or are delayed in delivering goods and services to us due to the COVID-19 pandemic, our ability to continue meeting clinical supply demand for tildacerfont or otherwise advancing development of tildacerfont may become impaired.</w:t>
      </w:r>
    </w:p>
    <w:p>
      <w:pPr>
        <w:spacing w:after="0" w:line="19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 and financial position. In addition, the trading prices for other companies have been highly volatile as a result of the COVID-19 pandemic. As a result, we may face difficulties raising capital through sales of our common stock or such sales may be on unfavorable terms.</w:t>
      </w:r>
    </w:p>
    <w:p>
      <w:pPr>
        <w:spacing w:after="0" w:line="188" w:lineRule="exact"/>
        <w:rPr>
          <w:sz w:val="20"/>
          <w:szCs w:val="20"/>
          <w:color w:val="auto"/>
        </w:rPr>
      </w:pPr>
    </w:p>
    <w:p>
      <w:pPr>
        <w:jc w:val="both"/>
        <w:ind w:right="40" w:firstLine="510"/>
        <w:spacing w:after="0" w:line="286" w:lineRule="auto"/>
        <w:rPr>
          <w:sz w:val="20"/>
          <w:szCs w:val="20"/>
          <w:color w:val="auto"/>
        </w:rPr>
      </w:pPr>
      <w:r>
        <w:rPr>
          <w:rFonts w:ascii="Arial" w:cs="Arial" w:eastAsia="Arial" w:hAnsi="Arial"/>
          <w:sz w:val="17"/>
          <w:szCs w:val="17"/>
          <w:color w:val="auto"/>
        </w:rPr>
        <w:t>COVID-19 and actions taken to reduce its spread continue to evolve. The extent to which COVID-19 may impede the development of tildacerfont, reduce the productivity of our employees, disrupt our supply chains, delay our clinical trials, reduce our access to capital or limit our business development activities, will depend on future developments, which are highly uncertain and cannot be predicted with confidence.</w:t>
      </w:r>
    </w:p>
    <w:p>
      <w:pPr>
        <w:spacing w:after="0" w:line="165"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Adverse differences between preliminary, interim, or topline data and final data could significantly harm our business prospects.</w:t>
      </w:r>
    </w:p>
    <w:p>
      <w:pPr>
        <w:spacing w:after="0" w:line="16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approval for, and commercialize, tildacerfont and any future product candidates may be harmed, which could harm our business, operating results, prospects, or financial condition.</w:t>
      </w:r>
    </w:p>
    <w:p>
      <w:pPr>
        <w:spacing w:after="0" w:line="28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tildacerfont and any future product candidates are smaller than we believe they are, our future revenue may be adversely affected, and our business may suffer.*</w:t>
      </w:r>
    </w:p>
    <w:p>
      <w:pPr>
        <w:spacing w:after="0" w:line="62"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If the size of the market opportunities in each of our target indications for tildacerfont and any future product candidates is smaller than we anticipate, we may not be able to achieve profitability and growth. We focus our clinical development of tildacerfont on treatments for rare endocrine disorders with relatively small patient populations. For example, we believe that tildacerfont has the potential to bring therapeutic benefit to patients suffering from endocrine disorders where the underlying disease biology supports a need to reduce excess secretion of or hyperresponsiveness to ACTH, including, but not limited to, non-classic CAH in adults and a subpopulation of females with a rare form of PCOS. Given the relatively small number of patients who have the disorders that we are targeting and intend to target with tildacerfont, it is critical to our ability to grow and become profitable that we continue to successfully identify patients with these rare endocrine disorders. In particular, we anticipate that tildacerfont would be applicable in use for only a subpopulation of females with PCOS, those with primary adrenal androgen excess, representing 3-5% of females with PCOS (estimated to be 150,000 to 200,000 patients in the United States), and the identification of such females may be difficult. In addition, 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 prevalence of these disorders. The number of patients may turn out to be lower than expected. The effort to identify patients with diseases we seek to treat is in early stages, and we cannot accurately predict the number of patients for whom treatment might be possible. For example, while classic CAH is usually detected at birth through required newborn screening programs in most developed countries, new patients may become increasingly difficult to identify or gain access to, which would adversely affect our results of operations and our business. In addition, the potentially addressable patient population for classic CAH may be limited or may not be amenable to treatment with tildacerfont, if approved. Further, even if we obtain significant market share for tildacerfont in classic CAH, we may never achieve profitability despite obtaining such significant market share, as other pharmaceutical companies with more resources and greater experience in drug development and commercialization are targeting this same endocrine disorder.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b w:val="1"/>
          <w:bCs w:val="1"/>
          <w:i w:val="1"/>
          <w:iCs w:val="1"/>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41"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Because we have limited financial and managerial resources, we are focused on specific indications and formulations for tildacerfont. As a result, we may fail to generate additional clinical development opportunities for tildacerfont for a number of reasons, including, tildacerfont may in certain indications, on further study, be shown to have harmful side effects, limited to no efficacy, or other characteristics that suggest it is unlikely to receive marketing approval and achieve market acceptance in such additional indications.</w:t>
      </w:r>
    </w:p>
    <w:p>
      <w:pPr>
        <w:spacing w:after="0" w:line="187"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We plan to conduct several clinical trials for tildacerfont in parallel over the next several years, including multiple clinical trials in adult and pediatric patients with classic CAH. As a result, we may forgo or delay pursuit of opportunities with other indications that could have had greater commercial potential or likelihood of success. In addition, we plan to explore the use of tildacerfont in patients with pediatric classic CAH and a subpopulation of females with a rare form of PCOS. However, we may focus on or pursue one or more of our target indications over other potential indications and such development efforts may not be successful, which would cause us to delay the clinical development and approval of tildacerfont. Furthermore, research programs to identify additional indications for tildacerfont require substantial technical, financial, and human resources. We may also pursue additional formulations for tildacerfont, including transitioning from a tablet formulation to a granulate formulation. However, we may not successfully develop these additional formulations for chemistry-related, stability-related, or other reasons. Our resource allocation decisions may cause us to fail to capitalize on viable commercial products or profitable market opportunities. Our spending on current and future research and development programs for specific indications may not yield any commercially viable products.</w:t>
      </w:r>
    </w:p>
    <w:p>
      <w:pPr>
        <w:spacing w:after="0" w:line="18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w:t>
      </w:r>
    </w:p>
    <w:p>
      <w:pPr>
        <w:spacing w:after="0" w:line="18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2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6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tildacerfont is also subject to approval.</w:t>
      </w:r>
    </w:p>
    <w:p>
      <w:pPr>
        <w:spacing w:after="0" w:line="165"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We expect to submit a Marketing Authorization Application, or MAA, to the EMA for approval of tildacerfont in the EU for the treatment of CAH. As with the FDA, obtaining approval of an MAA from the EMA is a similarly lengthy and expensive process and the EMA has its own procedures for approval for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tildacerfont in certain countries. If we fail to comply with the regulatory requirements in international markets and/or receive applicable marketing approvals, our target market will be reduced and our ability to realize the full market potential of tildacerfont will be harmed, which would adversely affect our business, prospects, financial condition, and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organizational experience in marketing products. If we are unable to establish marketing and sales capabilities or enter into agreements with third parties to market and sell tildacerfont and any future product candidates, we may not be able to generate product revenues.</w:t>
      </w:r>
    </w:p>
    <w:p>
      <w:pPr>
        <w:spacing w:after="0" w:line="76"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We currently do not have a commercial organization for the marketing, sales, and distribution of pharmaceutical products. To commercialize tildacerfont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tildacerfont, if approved, in the United States and Europe.</w:t>
      </w:r>
    </w:p>
    <w:p>
      <w:pPr>
        <w:spacing w:after="0" w:line="187"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The establishment and development of our own sales force or the establishment of a contract sales force to market tildacerfont and any future product candidates will be expensive and time-consuming and could delay any commercial launch. Moreover, we may not be able to successfully develop this capability. We will have to compete with other pharmaceutical and biotechnology companies to recruit, hire, train, and retain marketing and sales personnel. We also face competition in our search for third parties to assist us with the sales and marketing efforts of tildacerfont. To the extent we rely on third parties to commercialize tildacerfont, if approved, we may have little or no control over the marketing and sales efforts of such third parties and our revenues from product sales may be lower than if we had commercialized tildacerfont and any future product candidates ourselves. In the event we are unable to develop our own marketing and sales force or collaborate with a third-party marketing and sales organization, we would not be able to commercialize tildacerfont or any future product candidates.</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Use of tildacerfont or any future product candidates could be associated with side effects, adverse events or other properties that could delay or prevent regulatory approval or result in significant negative consequences following marketing approval, if any.*</w:t>
      </w:r>
    </w:p>
    <w:p>
      <w:pPr>
        <w:spacing w:after="0" w:line="62"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As is the case with biopharmaceuticals generally, it is likely that there may be side effects and adverse events associated with the use of tildacerfont and any future product candidates. Results of our clinical trials could reveal a high and unacceptable severity and prevalence of side effects or unexpected characteristics. Undesirable side effects caused by tildacerfont and any future product candidates could cause us or regulatory authorities to interrupt, delay or halt clinical trials and could result in a more restrictive label or the delay or denial of regulatory approval by the FDA or other comparable foreign authorities. For example, although tildacerfont has been assessed in six clinical trials in which it has been well tolerated with no drug-related SAEs, in our proof-of-concept, dose-escalating Phase 2a clinical trial in adults with classic CAH, one patient experienced a grade one liver-related adverse event after 14 days of treatment at 1,000mg once daily. This patient had elevated levels of alanine transaminase, or ALT, between five and nine times the upper limit of normal, or ULN, elevations in aspartate aminotransferase, or AST, less than five times the ULN, and no increases in bilirubin. The event resolved on its own without additional medical intervention. No cases of liver enzyme elevations above three times the ULN were observed in any patient receiving total daily doses of 600mg, which is approximately three times the proposed therapeutic dose for adults with classic CAH, and below. If drug-related SAEs are observed, our trials could be suspended or terminated and the FDA or comparable foreign regulatory authorities could order us to cease further development of or deny approval for tildacerfont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84" w:lineRule="exact"/>
        <w:rPr>
          <w:sz w:val="20"/>
          <w:szCs w:val="20"/>
          <w:color w:val="auto"/>
        </w:rPr>
      </w:pPr>
    </w:p>
    <w:p>
      <w:pPr>
        <w:ind w:right="220" w:firstLine="510"/>
        <w:spacing w:after="0" w:line="308" w:lineRule="auto"/>
        <w:rPr>
          <w:sz w:val="20"/>
          <w:szCs w:val="20"/>
          <w:color w:val="auto"/>
        </w:rPr>
      </w:pPr>
      <w:r>
        <w:rPr>
          <w:rFonts w:ascii="Arial" w:cs="Arial" w:eastAsia="Arial" w:hAnsi="Arial"/>
          <w:sz w:val="17"/>
          <w:szCs w:val="17"/>
          <w:color w:val="auto"/>
        </w:rPr>
        <w:t>Furthermore, only adults have been treated with tildacerfont, and the safety profile in pediatric patients is unknown and may be different than that observed in previous clinical trials. Results of our trials could reveal a high and unacceptable severity and prevalence of side effects.</w:t>
      </w:r>
    </w:p>
    <w:p>
      <w:pPr>
        <w:spacing w:after="0" w:line="146" w:lineRule="exact"/>
        <w:rPr>
          <w:sz w:val="20"/>
          <w:szCs w:val="20"/>
          <w:color w:val="auto"/>
        </w:rPr>
      </w:pPr>
    </w:p>
    <w:p>
      <w:pPr>
        <w:ind w:right="260" w:firstLine="510"/>
        <w:spacing w:after="0" w:line="308" w:lineRule="auto"/>
        <w:rPr>
          <w:sz w:val="20"/>
          <w:szCs w:val="20"/>
          <w:color w:val="auto"/>
        </w:rPr>
      </w:pPr>
      <w:r>
        <w:rPr>
          <w:rFonts w:ascii="Arial" w:cs="Arial" w:eastAsia="Arial" w:hAnsi="Arial"/>
          <w:sz w:val="17"/>
          <w:szCs w:val="17"/>
          <w:color w:val="auto"/>
        </w:rPr>
        <w:t>Additionally, if tildacerfont and any future product candidates receive marketing approval, and we or others later identify undesirable side effects caused by such product candidate, a number of potentially significant negative consequences could result, including:</w:t>
      </w:r>
    </w:p>
    <w:p>
      <w:pPr>
        <w:spacing w:after="0" w:line="38"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forced to suspend marketing of that product, or decide to remove the product form the marketplace;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withdraw approvals or change their approvals of such product;</w:t>
      </w:r>
    </w:p>
    <w:p>
      <w:pPr>
        <w:spacing w:after="0" w:line="117" w:lineRule="exact"/>
        <w:rPr>
          <w:rFonts w:ascii="Arial" w:cs="Arial" w:eastAsia="Arial" w:hAnsi="Arial"/>
          <w:sz w:val="18"/>
          <w:szCs w:val="18"/>
          <w:color w:val="auto"/>
        </w:rPr>
      </w:pPr>
    </w:p>
    <w:p>
      <w:pPr>
        <w:ind w:left="1000" w:right="500" w:hanging="493"/>
        <w:spacing w:after="0" w:line="342"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subject to fines, injunctions, or the imposition of criminal or civil penalties, or to sued and held liable for harm caused to subjects or patients;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product may become less competitive, and our reputation may suffer.</w:t>
      </w:r>
    </w:p>
    <w:p>
      <w:pPr>
        <w:spacing w:after="0" w:line="225"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tildacerfont and any future product candidates, if approved, and could significantly harm our business, results of operations, and prospects.</w:t>
      </w:r>
    </w:p>
    <w:p>
      <w:pPr>
        <w:spacing w:after="0" w:line="278"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receive regulatory approval for tildacerfont and any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spacing w:after="0" w:line="76"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spacing w:after="0" w:line="192"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also requires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spacing w:after="0" w:line="56"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 or require other restrictions on the labeling or marketing of such products;</w:t>
      </w:r>
    </w:p>
    <w:p>
      <w:pPr>
        <w:spacing w:after="0" w:line="62"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withdraw or modify regulatory approval;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modify any ongoing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25"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The occurrence of any event or penalty described above may inhibit our ability to commercialize tildacerfont and any future product candidates and generate revenue and could require us to expend significant time and resources in response and could generate negative publicity.</w:t>
      </w:r>
    </w:p>
    <w:p>
      <w:pPr>
        <w:spacing w:after="0" w:line="146"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Advertising and promotion of any product candidate that obtains approval in the United States will be heavily scrutinized by the FDA, the U.S. Federal Trade Commission, the Department of Justice, or the DOJ, the Office of Inspector General of the U.S. Department of Health and Human Services, or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for tildacerfont and any future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296"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government agencies, which would adversely affect our business. For example, over the last several years, including for 35 days beginning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22, 2018, the U.S. government has shut down several times and certain regulatory agencies, such as the FDA, have had to furlough critical FDA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and stop critical activities. If a prolonged government shutdown occurs, it could significantly impact the ability of the FDA to timely review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process our regulatory submissions, which could have a material adverse effect on our business.</w:t>
      </w:r>
    </w:p>
    <w:p>
      <w:pPr>
        <w:spacing w:after="0" w:line="21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Separately, in response to the global COVID-19 pandemic, in March 2020 the FDA announced its intention to postpone most foreign inspections of manufacturing facilities and products and routine surveillance inspections of domestic manufacturing facilities. On July 10, 2020, the FDA announced its intention to restart routine pre-announced surveillance inspections of domestic manufacturing facilities on a risk-based basis.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tildacerfont and any future product candidates, tildacerfont and any future product candidates may not gain market acceptance among physicians, patients, healthcare payors and others in the medical community.</w:t>
      </w:r>
    </w:p>
    <w:p>
      <w:pPr>
        <w:spacing w:after="0" w:line="62" w:lineRule="exact"/>
        <w:rPr>
          <w:sz w:val="20"/>
          <w:szCs w:val="20"/>
          <w:color w:val="auto"/>
        </w:rPr>
      </w:pPr>
    </w:p>
    <w:p>
      <w:pPr>
        <w:jc w:val="both"/>
        <w:ind w:right="180" w:firstLine="510"/>
        <w:spacing w:after="0" w:line="286" w:lineRule="auto"/>
        <w:rPr>
          <w:sz w:val="20"/>
          <w:szCs w:val="20"/>
          <w:color w:val="auto"/>
        </w:rPr>
      </w:pPr>
      <w:r>
        <w:rPr>
          <w:rFonts w:ascii="Arial" w:cs="Arial" w:eastAsia="Arial" w:hAnsi="Arial"/>
          <w:sz w:val="17"/>
          <w:szCs w:val="17"/>
          <w:color w:val="auto"/>
        </w:rPr>
        <w:t>Tildacerfont and any future product candidates may not be commercially successful. The commercial success of tildacerfont or any future product candidates, if approved, will depend significantly on the broad adoption and use of such product by physicians and patients for approved indications. The degree of market acceptance of tildacerfont or any future products, if approved, will depend on a number of factors, including:</w:t>
      </w:r>
    </w:p>
    <w:p>
      <w:pPr>
        <w:spacing w:after="0" w:line="57"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such product candidate is approved;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physicians and patients considering the product as a safe and effective treatment;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over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or other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introduction of the product as well as competitive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and government authorities;</w:t>
      </w:r>
    </w:p>
    <w:p>
      <w:pPr>
        <w:spacing w:after="0" w:line="117" w:lineRule="exact"/>
        <w:rPr>
          <w:rFonts w:ascii="Arial" w:cs="Arial" w:eastAsia="Arial" w:hAnsi="Arial"/>
          <w:sz w:val="18"/>
          <w:szCs w:val="18"/>
          <w:color w:val="auto"/>
        </w:rPr>
      </w:pPr>
    </w:p>
    <w:p>
      <w:pPr>
        <w:ind w:left="1000" w:right="88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and adequate reimbursement by third-party payors and government authorities;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those of any collaboration or distribution partner on whom we rely for sales in foreign jurisdictions.</w:t>
      </w:r>
    </w:p>
    <w:p>
      <w:pPr>
        <w:spacing w:after="0" w:line="170"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If tildacerfont and any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In addition, even if tildacerfont and any future product candidate gains acceptance, the markets for the treatment of patients with our target indications may not be as significant as we estimate.</w:t>
      </w:r>
    </w:p>
    <w:p>
      <w:pPr>
        <w:spacing w:after="0" w:line="2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If tildacerfont and any future product candidate is approved for marketing, and we are found to have improperly promoted off-label uses, or if physicians prescribe or use tildacerfont and any future product candidates off-label, we may become subject to prohibitions on the sale or marketing of tildacerfont and any future product candidates, significant fines, penalties, sanctions, or product liability claims, and our image and reputation within the industry and marketplace could be harmed.</w:t>
      </w:r>
    </w:p>
    <w:p>
      <w:pPr>
        <w:spacing w:after="0" w:line="79"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The FDA, DOJ, and comparable foreign authorities strictly regulate the marketing and promotional claims that are made about pharmaceutical products, such as tildacerfont, if approved. In particular, a product may not be promoted for uses or indications that are not approved by the FDA or comparable foreign authorities as reflected in the product’s approved labeling. However, if we receive marketing approval for tildacerfont and any future product candidates, physicians can prescribe such product to their patients in a manner that is inconsistent with the approved label. If we are found to have promoted such off-label uses, we may receive warning letters from the FDA and comparable foreign authorities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and other governmental authorities have also required that companies enter into consent decrees or permanent injunctions under which specified promotional conduct is changed or curtailed in order to resolve enforcement actions. If we are deemed by the FDA, DOJ, or other governmental authorities to have engaged in the promotion of tildacerfont or any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spacing w:after="0" w:line="2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tildacerfont and any future product candidates, which could make it difficult for us to sell tildacerfont and any future product candidates profitably.</w:t>
      </w:r>
    </w:p>
    <w:p>
      <w:pPr>
        <w:spacing w:after="0" w:line="62"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Successful sales of tildacerfont and any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 reimbursement from governmental healthcare programs, such as Medicare and Medicaid, and commercial payors is critical to new product acceptance, and we may not obtain such coverage or adequate reimbursement. Moreover, we focus our clinical development of tildacerfont on treatments for rare endocrine disorders with relatively small patient populations. As a result, we must rely on obtaining appropriate coverage and reimbursement for these populations.</w:t>
      </w:r>
    </w:p>
    <w:p>
      <w:pPr>
        <w:spacing w:after="0" w:line="178"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they will cover and the amount of reimbursement they will provide. Reimbursement by a third-party payor may depend upon a number of factors, including, but not limited to, the third-party payor’s determination that use of a product is:</w:t>
      </w:r>
    </w:p>
    <w:p>
      <w:pPr>
        <w:spacing w:after="0" w:line="76"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Assuming we obtain coverage for a given product, the resulting reimbursement payment rates might not be adequate or may require co-payments that patients find unacceptably high. Patients are unlikely to use tildacerfont or any future product candidate unless coverage is provided and reimbursement is adequate to cover a significant portion of the cost. Additionally, the reimbursement rates and coverage amounts may be affected by the approved label for tildacerfont or any future product candidate. If coverage and reimbursement of our future products are unavailable or limited in scope or amount, or if pricing is set at unsatisfactory levels, we may be unable to achieve or sustain profitability.</w:t>
      </w:r>
    </w:p>
    <w:p>
      <w:pPr>
        <w:spacing w:after="0" w:line="19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addition, the market for tildacerfont and any future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spacing w:after="0" w:line="188"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 time-consuming and costly process that will require us to provide scientific and clinical support for the use of tildacerfont and any future product candidates to each payor separately, with no assurance that coverage and adequate reimbursement will be obtained.</w:t>
      </w:r>
    </w:p>
    <w:p>
      <w:pPr>
        <w:spacing w:after="0" w:line="19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intend to seek approval to market tildacerfont in the United States and in selected foreign jurisdictions. If we obtain approval in one or more foreign jurisdictions for tildacerfont, we will be subject to rules and regulations in those jurisdictions. In some foreign countries, particularly those in the EU, the pricing of prescription pharmaceuticals and biologics is subject to governmental control. In these countries, pricing negotiations with governmental 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spacing w:after="0" w:line="300"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Recently enacted legislation, future legislation and healthcare reform measures may increase the difficulty and cost for us to obtain marketing approval for and commercialize tildacerfont and any future product candidates and may affect the prices we may set.*</w:t>
      </w:r>
    </w:p>
    <w:p>
      <w:pPr>
        <w:spacing w:after="0" w:line="16"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5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For example, in March 2010, the Patient Protection and Affordable Care Act, as amended by the Health Care and Education Reconciliation Act, or collectively, the Affordable Care Act, was enacted in the United States. Among the provisions of the Affordable Care Act of importance to our potential product candidates, the Affordable Care Act: established an annual, nondeductible fee on any entity that manufactures or imports specified branded prescription drugs and biologic agents; expands eligibility criteria for Medicaid programs;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the Centers for Medicare &amp; Medicaid Services, or CMS, to test innovative payment and service delivery models to lower Medicare and Medicaid spending.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have been judicial and Congressional challenges to certain aspects of the Affordable Care Act, as well as efforts by the Trump administration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repeal or replace certain aspects of the Affordable Care Act and we expect such challenges and amendments to continue. By way of example, legislation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enacted in 2017, informally titled the Tax Cuts and Jobs Act , or the Tax Act, included a provision which repealed, effective January 1, 2019, the tax-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based shared responsibility payment imposed by the Affordable Care Act on certain individuals who fail to maintain qualifying health coverage for all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 of a year that is commonly referred to as the “individual mandate.” On December 14, 2018, a Texas U.S. District Court Judge ruled that the Affordable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Care Act is unconstitutional in its entirety because the “individual mandate” was repealed by Congress as part of the Tax Act. Additionally, 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18, 2019, the U.S. Court of Appeals for the 5th Circuit ruled that that the individual mandate was unconstitutional and remanded the case back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District Court to determine whether the remaining provisions of the Affordable Care Act are invalid as well. On March 2, 2020, the United States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Supreme Court granted the petitions for writs of certiorari to review this case, although it is unclear when or how the Supreme Court will rule. It is also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unclear how other efforts to challenge, repeal, or replace the Affordable Care Act will impact the Affordable Care Act and our business.</w:t>
      </w:r>
    </w:p>
    <w:p>
      <w:pPr>
        <w:spacing w:after="0" w:line="211"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On August 2, 2011, the Budget Control Act of 2011 was signed into law, which, among other things, included reductions to Medicare payments to providers of 2% per fiscal year, which went into effect on April 1, 2013 and, due to subsequent legislative amendments to the statute, will remain in effect through 2030, with the exception of a temporary suspension from May 1, 2020 through December 31, 2020, unless additional Congressional action is taken.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64"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187"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on May 11, 2018, President Trump previously laid out his administration’s “Blueprint”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 of pocket costs of drug products paid by consumers. The HHS has solicited feedback on some of these measures and, at the same time, has implemented others under its existing authority. For example, in May 2019, CMS issued a final rule to allow Medicare Advantage Plans the option of using step therapy for Part B drugs beginning January 1, 2020. This final rule codified CMS’s policy change that was effective January 1, 2019. On July 24, 2020, the Trump administration announced four executive orders in an attempt to implement several of the Administration’s proposals that: (i) would tie certain Medicare Part B drug prices to international drug prices, or the “most favored nation price,” the details of which were released on September 13, 2020 and also expanded the policy to cover certain Part D drugs; (ii) directs HHS to finalize the Canadian drug importation proposed rule previously issued by HHS and makes other changes allowing for personal importation of drugs from Canada; (iii) directs HHS to finalize the rulemaking process on eliminating the safe harbor protections under the Anti-Kickback Statute that covers rebates and discounts for plans, pharmacies, and pharmaceutical benefit managers and instead, protect the application of discounts at the patients’ point of sale; and (iv) reduces costs of insulin and epipens to patients of federally qualified health centers. Although some of these and other proposals may require additional authorization to become effective, Congress and the Trump administration have each indicated that it will continue to seek new legislative and/or administrative measures to control drug costs. The FDA also recently released a final rule, effective November 30, 2020, implementing a portion of the importation executive order providing guidance for states to build and submit importation plans for drugs from Canada.</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180" w:firstLine="510"/>
        <w:spacing w:after="0" w:line="287" w:lineRule="auto"/>
        <w:rPr>
          <w:sz w:val="20"/>
          <w:szCs w:val="20"/>
          <w:color w:val="auto"/>
        </w:rPr>
      </w:pPr>
      <w:r>
        <w:rPr>
          <w:rFonts w:ascii="Arial" w:cs="Arial" w:eastAsia="Arial" w:hAnsi="Arial"/>
          <w:sz w:val="16"/>
          <w:szCs w:val="16"/>
          <w:color w:val="auto"/>
        </w:rPr>
        <w:t>At the state level,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tildacerfont, if approved, or put pressure on our product pricing, which could negatively affect our business, results of operations, financial condition, and prospects.</w:t>
      </w:r>
    </w:p>
    <w:p>
      <w:pPr>
        <w:spacing w:after="0" w:line="191"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We expect that the Affordable Care Act,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In addition, it is possible that additional governmental action will be taken in response to the COVID-19 pandemic. Any reduction in reimbursement from Medicare or other government programs may result in a similar reduction in payments from third-party payors. The implementation of cost containment measures or other healthcare reforms may prevent us from being able to generate revenue, attain profitability or commercialize tildacerfont, if approved.</w:t>
      </w:r>
    </w:p>
    <w:p>
      <w:pPr>
        <w:spacing w:after="0" w:line="28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marketing tildacerfont and any future product candidates internationally could materially adversely affect our business.</w:t>
      </w:r>
    </w:p>
    <w:p>
      <w:pPr>
        <w:spacing w:after="0" w:line="62"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We plan to seek regulatory approval for tildacerfont and any future product candidates internationally and, accordingly, we expect that we will be subject to additional risks related to operating in foreign countries if we obtain the necessary approvals, including:</w:t>
      </w:r>
    </w:p>
    <w:p>
      <w:pPr>
        <w:spacing w:after="0" w:line="62"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 including differing reimbursement, pricing and insurance regimes;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internationally;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liability under the U.S. Foreign Corrupt Practices Act of 1977, or FCPA, or comparable foreign regulations;</w:t>
      </w:r>
    </w:p>
    <w:p>
      <w:pPr>
        <w:spacing w:after="0" w:line="117"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internationally;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commercialize additional product candidates, we may be unable to grow our business.</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may seek to in-license or acquire development-stage product candidates in endocrine disorders that have the potential to complement our existing portfolio. If we decide to pursue the development and commercialization of any additional product candidates, we may be required to invest significant resources to acquire or in-license the rights to such product candidates or to conduct drug discovery activities. We do not currently have the necessary drug discovery personnel or expertise adequate to discover and develop an additional product candidate on our own. Any other product candidates will require additional, time-consuming development efforts, and significant financial resources, prior to commercial sale, including preclinical studies, extensive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 not be approved, 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 identify any candidates. If we are unable to develop or commercialize any other product candidates, our business and prospects will suffer.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tildacerfont for additional indications, our commercial opportunity may be limited.*</w:t>
      </w:r>
    </w:p>
    <w:p>
      <w:pPr>
        <w:spacing w:after="0" w:line="117" w:lineRule="exact"/>
        <w:rPr>
          <w:sz w:val="20"/>
          <w:szCs w:val="20"/>
          <w:color w:val="auto"/>
        </w:rPr>
      </w:pPr>
    </w:p>
    <w:p>
      <w:pPr>
        <w:ind w:right="140" w:firstLine="510"/>
        <w:spacing w:after="0" w:line="288" w:lineRule="auto"/>
        <w:rPr>
          <w:sz w:val="20"/>
          <w:szCs w:val="20"/>
          <w:color w:val="auto"/>
        </w:rPr>
      </w:pPr>
      <w:r>
        <w:rPr>
          <w:rFonts w:ascii="Arial" w:cs="Arial" w:eastAsia="Arial" w:hAnsi="Arial"/>
          <w:sz w:val="16"/>
          <w:szCs w:val="16"/>
          <w:color w:val="auto"/>
        </w:rPr>
        <w:t>One of our strategies is to pursue clinical development of tildacerfont in additional endocrine disorders, including, but not limited to, pediatric classic CAH and a subpopulation of females with a rare form of PCOS. The endocrine disorders we are targeting are all rare disorders and, as a result, the market size for the treatment of patients with such disorders is limited. In addition, CRF1 receptor antagonism may not be an appropriate or effective mechanism in indications where disease biology supports a need to reduce ACTH. Due to these factors, our ability to grow revenue may be dependent on our ability to successfully develop and commercialize tildacerfont for the treatment of additional indications. Developing, obtaining regulatory approval and commercializing tildacerfont for additional indications will require substantial additional funding and is prone to the risks of failure inherent in drug development. We may not be able to successfully advance any of these indications through the development process. Even if we receive regulatory approval to market tildacerfont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tildacerfont for these additional indications, our commercial opportunity may be limited.</w:t>
      </w:r>
    </w:p>
    <w:p>
      <w:pPr>
        <w:spacing w:after="0" w:line="27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The biopharmaceutical industry is characterized by intense competition and rapid innovation. Although we believe that we hold a leading position in our focus on rare endocrine disorders,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tildacerfont. We believe the key competitive factors that will affect the development and commercial success of tildacerfont are efficacy, safety and tolerability profile, reliability, convenience of dosing, price and reimbursement.</w:t>
      </w:r>
    </w:p>
    <w:p>
      <w:pPr>
        <w:spacing w:after="0" w:line="172"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Although classic CAH is part of the newborn screening program in most developed countries, there are no known novel therapies that have been approved in approximately 50 years. We are aware of three other companies actively developing treatments for patients with classic CAH. Neurocrine Biosciences, Inc., or Neurocrine, is developing a CRF1 receptor antagonist and has completed a two-week Phase 2 clinical trial in adults with classic CAH. Neurocrine has initiated a Phase 2 clinical trial in a pediatric classic CAH population and a registrational trial for adult patients with classic CAH. BridgeBio Pharma, Inc. plans to evaluate a gene therapy program to treat classic CAH and is currently in pre-clinical development. In addition, Crinetics Pharmaceuticals, Inc. is in pre-clinical development for an oral nonpeptide therapeutic for hyperinsulinism and diseases of ACTH excess, including CAH.</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In addition, while tildacerfont ultimately seeks to significantly reduce steroid use for patients with classic CAH, patients will continue use of their steroid regimen. As corticosteroids are the current standard of care for the treatment of classic CAH, in the United States alone, there are more than two dozen companies manufacturing steroid-based products. One such company is Diurnal Group PLC, or Diurnal, which is developing an exogenous cortisol treatment with a modified release intended to more closely match the physiological release profile of cortisol but recently announced a failed Phase 3 clinical trial and placed its U.S. development activities on hold. Diurnal submitted a MAA to the EMA in December of 2019.</w:t>
      </w:r>
    </w:p>
    <w:p>
      <w:pPr>
        <w:spacing w:after="0" w:line="16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We believe the key competitive factors affecting the success of tildacerfont are likely to be efficacy, safety, and convenience.</w:t>
      </w:r>
    </w:p>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Even though we have obtained orphan drug designation for tildacerfont for the treatment of classic CAH, we may not be able to obtain or maintain the benefits associated with orphan drug status, including market exclusivity.</w:t>
      </w:r>
    </w:p>
    <w:p>
      <w:pPr>
        <w:spacing w:after="0" w:line="62"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Regulatory authorities in some jurisdictions, including the United States and the EU, may designate drugs for relatively small patient populations as orphan drugs.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In the EU, the EMA Committee for Orphan Medicinal Products grants orphan drug designation to promote the development of products that are intended for the diagnosis, prevention or treatment of a life-threatening or chronically debilitating condition affecting not more than five in 10,000 people in the EU.</w:t>
      </w:r>
    </w:p>
    <w:p>
      <w:pPr>
        <w:spacing w:after="0" w:line="164"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In December 2017, the FDA granted orphan drug status to tildacerfont for the treatment of patients with classic CAH in the United States. We also received orphan drug status for tildacerfont for the treatment of patients with classic CAH in the EU in January 2017. Generally, if a drug with an orphan drug designation subsequently receives the first marketing approval for the indication for which it has such designation, the drug may be entitled to a period of marketing exclusivity, which precludes the FDA or the EMA from approving another marketing application for the same drug for that time period. Another drug may receive marketing approval prior to tildacerfont. The applicable period is seven years in the United States and ten years in the EU, which may be extended by six months and two years, respectively, in the case of product candidates that have complied with the respective regulatory agency’s agreed upon pediatric investigation plan. The exclusivity period in the EU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even after a drug is granted orphan exclusivity and approved, the FDA and the EMA can subsequently approve another drug for the same condition before the expiration of the seven-year (or ten-year in the EU) exclusivity period if the FDA or EMA concludes that the later drug is clinically superior in that it is shown to be safer, more effective or makes a major contribution to patient care. In the EU, the EMA may deny marketing approval for a product candidate if it determines such product candidate is structurally similar to an approved product for the same indication. In addition, if an orphan designated product receives marketing approval for an indication broader than or different from what is designated, such product may not be entitled to orphan exclusivity. Even though the FDA has granted orphan drug designation to tildacerfont for the treatment of classic CAH, if we receive approval for tildacerfont for a modified or different indication, our current orphan designations may not provide us with exclusivity.</w:t>
      </w:r>
    </w:p>
    <w:p>
      <w:pPr>
        <w:spacing w:after="0" w:line="191"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Orphan drug designation does not convey any advantage in, or shorten the duration of, the regulatory review or approval process. Also, regulatory approval for any product candidate may be withdrawn, and other product candidates may obtain approval before us and receive orphan drug exclusivity, which could block us from entering the market.</w:t>
      </w:r>
    </w:p>
    <w:p>
      <w:pPr>
        <w:spacing w:after="0" w:line="184"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Even if we obtain orphan drug exclusivity for tildacerfont, that exclusivity may not effectively protect us from competition because different drugs can be approved for the same condition before the expiration of the orphan drug exclusivity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b w:val="1"/>
          <w:bCs w:val="1"/>
          <w:i w:val="1"/>
          <w:iCs w:val="1"/>
          <w:color w:val="auto"/>
        </w:rPr>
        <w:t>We are currently pursuing orphan drug designation for tildacerfont for the treatment of a subpopulation of females with a rare form of PCOS. The incidence and prevalence of this target patient population is based on our estimates and third-party data. If the market opportunity for this target population is larger than we estimate, we may be unable to receive orphan drug designation. Additionally, if orphan drug designation is granted, we may be unable to maintain any benefits associated with orphan drug designation, including market exclusivity.</w:t>
      </w:r>
    </w:p>
    <w:p>
      <w:pPr>
        <w:spacing w:after="0" w:line="49"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Periodically, we make estimates regarding the incidence and prevalence of target patient populations based on various third-party sources and internally generated analysis. Our estimates may be inaccurate or based on imprecise data. As described above,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If our incidence or prevalence estimates for the subpopulation of females with a rare form of PCOS are incorrect, we may be unable to receive orphan drug designation.</w:t>
      </w:r>
    </w:p>
    <w:p>
      <w:pPr>
        <w:spacing w:after="0" w:line="16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Even if the FDA grants orphan drug designation for tildacerfont for the treatment of a subpopulation of females with a rare form of PCOS, exclusive marketing rights in the United States may be limited if we seek FDA marketing approval for an indication broader than the orphan designated indication. Additionally, any product candidate that initially receives orphan drug status designation, may lose such designation if the FDA later determines that the request for designation was materially defective or if the manufacturer is unable to assure sufficient quantities of the product to meet the needs of patients with the rare disease or condition. In addition, others may obtain orphan drug status for products addressing the same diseases or conditions as products we are developing, thus limiting our ability to compete in the markets addressing such diseases or conditions for a significant period of time. As a result, our business and prospects could suffer.</w:t>
      </w:r>
    </w:p>
    <w:p>
      <w:pPr>
        <w:spacing w:after="0" w:line="30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form or seek strategic alliances or enter into additional licensing arrangements in the future, and we may not realize the benefits of such alliances or licensing arrangements.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form or seek strategic alliances, create joint ventures or collaborations or enter into additional licensing arrangements with third parties that we believe will complement or augment our development and commercialization efforts with respect to tildacerfont and any future product candidates that we may develop. We intend to establish commercial partnerships outside of the United States and selected foreign markets. Any of these relationships may require us to incur non-recurring and other charges, increase our near-and long-term expenditures, issue securities that dilute our existing stockholders, or disrupt our management and 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 achieve the revenues or cash flows that justifies such transaction. Any delays in entering into new strategic partnership agreements related to tildacerfont could delay the development and commercialization of tildacerfont in certain geographies for certain indications, which would harm our business prospects, financial condition, and results of operations.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failure to successfully in-license, acquire, develop, and market additional product candidates or approved products would impair our ability to grow our business.</w:t>
      </w:r>
    </w:p>
    <w:p>
      <w:pPr>
        <w:spacing w:after="0" w:line="62"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Although a substantial amount of our efforts are focused on the clinical development, potential regulatory approval and commercialization of tildacerfont, a key element of our long-term strategy is to in-license, acquire, develop, market, and commercialize a portfolio of products to treat patients with endocrine disorders. Because we do not have the necessary internal research and development capabilities, unless we build such capabilities internally, we will be dependent upon pharmaceutical companies, academic scientists, and other researchers to sell or license products or technology to us. The success of this strategy depends partly upon our ability to identify and select promising biopharmaceutical product candidates and products, negotiate licensing or acquisition agreements with their current owners, and finance these arrangements. The process of proposing, negotiating, and implementing a license or acquisition of a product candidate or approved product is lengthy and complex. Other companies, including some with substantially greater financial, marketing, sales, and other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licensing opportunities that are never completed, or we may fail to realize the anticipated benefits of such efforts. We may not be able to acquire the rights to additional product candidates on terms that we find acceptable, or at all. Further, any product candidate that we acquire may require additional development efforts prior to commercial sale, including preclinical or clinical testing and approval by the FDA, the EMA and other similar regulatory authorities. All product candidates are prone to risks of failure during biopharmaceutical product development, including the possibility that a product candidate will not be shown to be sufficiently safe and effective for approval by regulatory authorities. In addition, any approved products that we acquire may not be manufactured or sold profitably or achieve market acceptance.</w:t>
      </w:r>
    </w:p>
    <w:p>
      <w:pPr>
        <w:spacing w:after="0" w:line="2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6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The loss of the services of any of our executive officers or other key employees and our inability to find suitable replacements could potentially harm our business, prospects, financial condition or results of operations.</w:t>
      </w:r>
    </w:p>
    <w:p>
      <w:pPr>
        <w:spacing w:after="0" w:line="187"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We conduct our operations in Daly City,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spacing w:after="0" w:line="184"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spacing w:after="0" w:line="178"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17" w:lineRule="exact"/>
        <w:rPr>
          <w:sz w:val="20"/>
          <w:szCs w:val="20"/>
          <w:color w:val="auto"/>
        </w:rPr>
      </w:pPr>
    </w:p>
    <w:p>
      <w:pPr>
        <w:ind w:right="440" w:firstLine="510"/>
        <w:spacing w:after="0" w:line="311" w:lineRule="auto"/>
        <w:rPr>
          <w:sz w:val="20"/>
          <w:szCs w:val="20"/>
          <w:color w:val="auto"/>
        </w:rPr>
      </w:pPr>
      <w:r>
        <w:rPr>
          <w:rFonts w:ascii="Arial" w:cs="Arial" w:eastAsia="Arial" w:hAnsi="Arial"/>
          <w:sz w:val="16"/>
          <w:szCs w:val="16"/>
          <w:color w:val="auto"/>
        </w:rPr>
        <w:t>As of September 30, 2020, we had 15 employees, all of whom are full-time. As our development and commercialization plans and strategies develop,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spacing w:after="0" w:line="41"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regulatory review process for tildacerfont and any future product candidates, while complying with our contractual obligations to contractors and other third parties;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In addition, we initiated enrollment in our ongoing placebo-controlled, double-blind Phase 2b clinical trial in adult patients with classic CAH with poor disease control, and a second Phase 2b clinical trial in adult patients with classic CAH with good disease control focused on glucocorticoid reduction. Our future financial performance and our ability to commercialize tildacerfont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tildacerfont and any future product candidates or otherwise advance our business. 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tildacerfont and any future product candidates and, accordingly, may not achieve our research, development and commercialization goals.</w:t>
      </w:r>
    </w:p>
    <w:p>
      <w:pPr>
        <w:spacing w:after="0" w:line="2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Our indebtedness to Silicon Valley Bank may limit our flexibility in operating our business and adversely affect our financial health and competitive position, and our obligations to Silicon Valley Bank are secured by substantially all of our assets, excluding our intellectual property assets. If we default on these obligations, Silicon Valley Bank could foreclose on our assets.*</w:t>
      </w:r>
    </w:p>
    <w:p>
      <w:pPr>
        <w:spacing w:after="0" w:line="7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September 2019, we entered into a Loan and Security Agreement, or the Loan Agreement, with Silicon Valley Bank, providing for a term loan, or the Term Loan. In April 2020, we entered into a deferral agreement with Silicon Valley Bank, or the Deferral Agreement, whereby we and Silicon Valley Bank agreed to extend the repayment dates of all monthly payments of principal due and the maturity date with respect to the Term Loan by six months. As of September 30, 2020, we had $4.5 million outstanding under the Loan Agreement.</w:t>
      </w:r>
    </w:p>
    <w:p>
      <w:pPr>
        <w:spacing w:after="0" w:line="187"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All obligations under the Term Loan are secured by a first priority lien on substantially all of our assets, excluding intellectual property assets. We have agreed with Silicon Valley Bank not to encumber our intellectual property assets without its prior written consent unless a security interest in the underlying intellectual property is necessary to have a security interest in the accounts and proceeds that are part of the assets securing the Term Loan, in which case our intellectual property shall automatically be included within the assets securing the Term Loan. As a result, if we default on any of our obligations under the Loan Agreement, Silicon Valley Bank could foreclose on its security interest and liquidate some or all of the collateral, which would harm our business, financial condition, and results of operations and could require us to reduce or cease operations.</w:t>
      </w:r>
    </w:p>
    <w:p>
      <w:pPr>
        <w:spacing w:after="0" w:line="178"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 from third parties not permitted under the Loan 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Silicon Valley Bank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Silicon Valley Bank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spacing w:after="0" w:line="18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For a more detailed description of the terms of the Loan Agreement, see the section titled “Management’s Discussion and Analysis of Financial Condition and Results of Operations—Liquidity and Capital Resources—Loan Agreement” and Note 4 to our interim condensed financial statements, each included elsewhere in this Quarterly Report on Form 10-Q.</w:t>
      </w:r>
    </w:p>
    <w:p>
      <w:pPr>
        <w:spacing w:after="0" w:line="2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may seek additional capital through a combination of equity offerings, debt financings, strategic partnerships and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current or future product candidates, or grant licenses on terms unfavorable to 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revenues and financial condition and increase our costs and expenses.</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tildacerfont. Our ability to obtain clinical supplies of tildacerfont and any future product candidates could be disrupted if the operations of these suppliers are affected by a man-made or natural disaster or other business interruption. Our corporate headquarters is located in California near major earthquake faults and fire zones. The ultimate impact on us, our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spacing w:after="0" w:line="2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strategic partners, and vendors may engage in misconduct or other improper activities, including noncompliance with regulatory standards and requirements.</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are exposed to the risk that employees, independent contractors, principal investigators, CROs, consultants, and vendors may engage in fraudulent or other illegal activity. Misconduct by these parties could 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 (iv) laws that require the true, complete, and accurate reporting of our financial information or data. These laws may impact, among other things, our current activities with principal investigators and research subjects,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If we obtain regulatory approval for tildacerfont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spacing w:after="0" w:line="285"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b w:val="1"/>
          <w:bCs w:val="1"/>
          <w:i w:val="1"/>
          <w:iCs w:val="1"/>
          <w:color w:val="auto"/>
        </w:rPr>
        <w:t>Our relationships with customers, physicians and third-party payors may be subject, directly or indirectly, to federal and state healthcare fraud and abuse laws, false claims laws, health information privacy and security laws, and other healthcare laws and regulations. If we or our employees, independent contractors, consultants, commercial partners, or vendors violate these laws, we could face substantial penalties.*</w:t>
      </w:r>
    </w:p>
    <w:p>
      <w:pPr>
        <w:spacing w:after="0" w:line="41"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Our relationships with customers, physicians,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spacing w:after="0" w:line="58" w:lineRule="exact"/>
        <w:rPr>
          <w:sz w:val="20"/>
          <w:szCs w:val="20"/>
          <w:color w:val="auto"/>
        </w:rPr>
      </w:pPr>
    </w:p>
    <w:p>
      <w:pPr>
        <w:ind w:left="1000" w:right="120" w:hanging="493"/>
        <w:spacing w:after="0" w:line="290"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w:t>
      </w:r>
    </w:p>
    <w:p>
      <w:pPr>
        <w:spacing w:after="0" w:line="57" w:lineRule="exact"/>
        <w:rPr>
          <w:rFonts w:ascii="Arial" w:cs="Arial" w:eastAsia="Arial" w:hAnsi="Arial"/>
          <w:sz w:val="16"/>
          <w:szCs w:val="16"/>
          <w:color w:val="auto"/>
        </w:rPr>
      </w:pPr>
    </w:p>
    <w:p>
      <w:pPr>
        <w:ind w:left="1000" w:right="120" w:hanging="493"/>
        <w:spacing w:after="0" w:line="293"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 services resulting from a violation of the federal Anti-Kickback Statute constitutes a false or fraudulent claim for purposes of the federal civil False Claims Act and the civil monetary penalties statute;</w:t>
      </w:r>
    </w:p>
    <w:p>
      <w:pPr>
        <w:spacing w:after="0" w:line="56" w:lineRule="exact"/>
        <w:rPr>
          <w:rFonts w:ascii="Arial" w:cs="Arial" w:eastAsia="Arial" w:hAnsi="Arial"/>
          <w:sz w:val="16"/>
          <w:szCs w:val="16"/>
          <w:color w:val="auto"/>
        </w:rPr>
      </w:pPr>
    </w:p>
    <w:p>
      <w:pPr>
        <w:ind w:left="1000" w:hanging="493"/>
        <w:spacing w:after="0" w:line="291"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58" w:lineRule="exact"/>
        <w:rPr>
          <w:rFonts w:ascii="Arial" w:cs="Arial" w:eastAsia="Arial" w:hAnsi="Arial"/>
          <w:sz w:val="16"/>
          <w:szCs w:val="16"/>
          <w:color w:val="auto"/>
        </w:rPr>
      </w:pPr>
    </w:p>
    <w:p>
      <w:pPr>
        <w:ind w:left="1000" w:right="60" w:hanging="493"/>
        <w:spacing w:after="0" w:line="25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which impose requirements on certain healthcare providers, health plans, and healthcare clearinghouses, known as covered entities, and their respective business associates that perform services for them that involve the use, or disclosure of, individually identifiable health information, relating to the privacy, security and transmission of individually identifiable health information as well as their covered subcontractors;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hanging="493"/>
        <w:spacing w:after="0" w:line="254"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as defined by such law, and teaching hospitals, as well as ownership and investment interests held by physicians and their immediate family members. Beginning in 2022, such obligations will include payments and other transfers of value provided, or ownership or investment interests held, in the previous year to certain other healthcare professionals, including physician assistants, nurse practitioners, clinical nurse specialists, certified nurse anesthetists, and certified nurse-midwives.</w:t>
      </w:r>
    </w:p>
    <w:p>
      <w:pPr>
        <w:spacing w:after="0" w:line="195"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may also be subject to state and foreign equivalents of each of the healthcare laws described above, among others, some of which may be broader in scope. For example, we may be subject to the following: state anti-kickback and false claims laws that may apply to sales or marketing arrangements and claims involving healthcare items or services reimbursed by non-governmental third 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marketing expenditures, or drug pricing; state and local laws requiring the registration of pharmaceutical sales and medical representatives; and state and foreign laws, such as the European Union General Data Protection Regulation, or GDPR, governing the privacy and security of health information in some circumstances, many of which differ from each other in significant ways and often are not preempted by HIPAA, thus complicating compliance efforts.</w:t>
      </w:r>
    </w:p>
    <w:p>
      <w:pPr>
        <w:spacing w:after="0" w:line="181"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Additionally, we may be subject to federal consumer protection and unfair competition laws, which broadly regulate marketplace activities and activities that potentially harm consumers.</w:t>
      </w:r>
    </w:p>
    <w:p>
      <w:pPr>
        <w:spacing w:after="0" w:line="170"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it is possible that some of our business activities, or our arrangements with physicians,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 may be subject to investigations, enforcement actions and/or significant penalties,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tildacerfont outside the United States will also likely subject us to foreign equivalents of the healthcare laws mentioned above, among other foreign laws.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internal computer systems, or those used by our third-party collaborators or other contractors or consultants, may fail or suffer security breaches.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Despite the implementation of security and back-up measures, our internal computer, server, and other information technology systems as well 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those of our third-party collaborators, consultants, contractors, suppliers, and service providers, may be vulnerable to damage from physical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electronic break-ins, computer viruses, malware, ransomware, natural disasters, terrorism, war, telecommunication and electrical failure, denial of service,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cyberattacks or disruptive incidents that could result in unauthorized access to, use or disclosure of, corruption of, or loss of sensitive, and/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proprietary data, including personal information, including health-related information, and could subject us to significant liabilities and regulatory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enforcement actions, and reputational damage. For example, the loss of clinical trial data from completed or ongoing clinical trials could result in delays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regulatory approval or clearance efforts and significantly increase our costs to recover or reproduce the data, and subsequently commercialize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Additionally, theft of our intellectual property or proprietary business information could require substantial expenditures to remedy. If we or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third-party collaborators, consultants, contractors, suppliers, or service providers were to suffer an attack or breach, for example, that resulted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unauthorized access to or use or disclosure of personal or health information, we may have to notify consumers, partners, collaborators, government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authorities, and the media, and may be subject to investigations, civil penalties, administrative and enforcement actions, and litigation, any of which could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harm our business and reputation. Likewise, we rely on our third-party research institution collaborators and other third parties to conduct clinical trials,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similar events relating to their computer systems could also have a material adverse effect on our business. The COVID-19 pandemic has generally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the risk of cybersecurity intrusions. For example, there has been an increase in phishing and spam emails as well as social engineering attempts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“hackers” hoping to use the recent COVID-19 pandemic to their advantage. To the extent that any disruption or security breach were to result in a loss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or damage to, our data or systems, or inappropriate or unauthorized access to or disclosure or use of confidential, proprietary, or other sensitive,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personal, or health information, we could incur liability and suffer reputational harm, and the development and commercialization of tildacerfont could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delayed.</w:t>
      </w:r>
    </w:p>
    <w:p>
      <w:pPr>
        <w:spacing w:after="0" w:line="31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38"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We and our partners may be subject to federal, state, and foreign data protection laws and regulations (i.e., laws and regulations that address privacy and data security). In the United States,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information could apply to our operations or the operations of our partners. In addition, we may obtain health information from third parties (including research institutions from which we obtain clinical trial data) that are subject to privacy and security requirements under HIPAA. If we violate HIPAA, we may subject to significant civil penalties, Additionally,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78"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Even when HIPAA does not apply, according to the Federal Trade Commission, or the FTC,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8"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addition, California recently enacted the California Consumer Privacy Act, or CCPA, which creates new individual privacy rights for California consumers (as defined in the law)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became effective January 1, 2020, and the California Attorney General may bring enforcement actions for violations beginning July 1, 2020. The CCPA has been amended from time to time,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Foreign data protection laws, including the GDPR, which became effective in May 2018, may also apply to health-related and other personal data obtained outside of the United States. The GDPR also provides that EU and the European Economic Area, or EEA, Member States may make their own further laws and regulations to introduce specific requirements related to the processing of “special categories of personal data”, including personal data related to health data, biometric data, genetic information, and personal data related to criminal offences or convictions. For example, in the United Kingdom, or the UK, the Data Protection Act 2018 complements the GDPR in this regard in the UK.</w:t>
      </w:r>
    </w:p>
    <w:p>
      <w:pPr>
        <w:spacing w:after="0" w:line="176"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Following the UK’s withdrawal from the EU on January 31, 2020, pursuant to the transitional arrangements agreed between the UK and EU, the GDPR will continue to have effect in UK law, until December 31, 2020, in the same fashion as was the case prior to that withdrawal as if the UK remained a Member State of the EU for such purposes. Following December 31, 2020, it is likely that the data protection obligations of the GDPR will continue to apply to UK-related processing of personal data in substantially unvaried form and fashion, for at least the short term thereafter.</w:t>
      </w:r>
    </w:p>
    <w:p>
      <w:pPr>
        <w:spacing w:after="0" w:line="171" w:lineRule="exact"/>
        <w:rPr>
          <w:sz w:val="20"/>
          <w:szCs w:val="20"/>
          <w:color w:val="auto"/>
        </w:rPr>
      </w:pPr>
    </w:p>
    <w:p>
      <w:pPr>
        <w:ind w:right="20" w:firstLine="510"/>
        <w:spacing w:after="0" w:line="284" w:lineRule="auto"/>
        <w:rPr>
          <w:sz w:val="20"/>
          <w:szCs w:val="20"/>
          <w:color w:val="auto"/>
        </w:rPr>
      </w:pPr>
      <w:r>
        <w:rPr>
          <w:rFonts w:ascii="Arial" w:cs="Arial" w:eastAsia="Arial" w:hAnsi="Arial"/>
          <w:sz w:val="16"/>
          <w:szCs w:val="16"/>
          <w:color w:val="auto"/>
        </w:rPr>
        <w:t>The GDPR has imposed stringent requirements for controllers and processors of personal data, including, for example, by extending the rights available to affected data subjects, materially expanding the definition of what is expressly noted to constitute personal data, introducing mandatory personal data breach notifications to Supervisory Authorities and affected individuals (in certain circumstances), setting limitations on retention of information, increasing requirements pertaining to special categories of personal data (such as health data, biometric data, genetic information), and requiring that prescriptive obligations must be met when we engage third-party processors to process of personal data on our behalf. The GDPR also imposes strict rules on the transfer of personal data out of the EEA and UK to the United States and other third countries. Recent legal developments in the EU have created complexity and uncertainty regarding transfers of personal data from the EEA to the United States, e.g. on July 16, 2020, the Court of Justice of the European Union, or CJEU, invalidated the EU-US Privacy Shield Framework, or Privacy Shield, under which personal data could be transferred from the EEA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Further, on September 8, 2020, the Swiss Data Protection Authority (the Federal Data Protection and Information Commissioner) concluded that the Swiss-U.S. Privacy Shield does not provide an adequate level of protection for personal data transfer from Switzerland to the U.S. pursuant to the Swiss Federal Act on Data Protection.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8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GDPR applies to any company established in the EEA as well as to those outside the EEA if they process personal data in relation to the offering of goods or services to individuals in the EEA and/or the monitoring of their behavior. Accordingly, we may be subject to the GDPR in relation to our data processing activities that are carried out in relation to individuals in the EEA. Under the GDPR, fines of up to €20 million or up to 4% of an undertaking’s total worldwide annual turnover of the preceding financial year, whichever is higher, may be imposed. Further, following the withdrawal of the UK from the EU and the end of the transitional period, we will have to comply with the GDPR and separately the GDPR as implemented in the UK, each regime having the ability to fine up to the greater of €20 million/ £17 million or 4% of global turnover. In addition to administrative fines, a wide variety of other potential enforcement powers are available to competent authorities in respect of potential and suspected violations of the GDPR, including extensive audit and inspection rights, and powers to order temporary or permanent bans on all or some processing of personal data carried out by noncompliant actors. 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orders to cease/change our use of data, enforcement notices, or potential civil claims including class action-type litigation. While we have taken steps to comply with the GDPR where applicable, including by reviewing our security procedures, engaging data protection personnel, and entering into data processing agreements with relevant contractors, our efforts to achieve and remain in compliance may not be fully successful.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0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The withdrawal of the UK from the EU may adversely impact our ability to obtain regulatory approvals of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spacing w:after="0" w:line="76"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Following the result of a referendum in 2016, the UK left the EU on January 31, 2020, commonly referred to as Brexit. Pursuant to the formal withdrawal arrangements agreed between the UK and the EU, the UK will be subject to a transition period until December 31, 2020, or the Transition Period, during which EU rules will continue to apply. During the Transition Period, the negotiations between the UK and the EU have continued in relation to the customs and trading relationship between the UK and the EU following the expiry of the Transition Period. Under the formal withdrawal arrangements between the UK and the EU parties had until June 30, 2020 to agree to extend the Transition Period if required. No such extension was agreed prior to such date. No agreement has yet been reached between the UK and the EU and it may be the case that no formal customs and trading agreement will be reached prior to the expiry of the Transition Period on December 31, 2020.</w:t>
      </w:r>
    </w:p>
    <w:p>
      <w:pPr>
        <w:spacing w:after="0" w:line="177"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Since a significant proportion of the regulatory framework in the UK applicable to our business and our product candidates is derived from EU directives and regulations, Brexit, following the Transition Period, could materially impact the regulatory regime with respect to the development, manufacture, importation, approval and commercialization of our product candidates in the UK or the EU. For example, as a result of the uncertainty surrounding Brexit, the EMA relocated to Amsterdam from London. Following the Transition Period, the UK will no longer be covered by the centralized procedures for obtaining EU-wide marketing authorization from the EMA and, unless a specific agreement is entered into, a separate process for authorization of drug products, including tildacerfont and any future product candidates, will be required in the UK, the potential process for which is currently unclear. Any delay in obtaining, or an inability to obtain, any marketing approvals, as a result of Brexit or otherwise, would prevent us from commercializing our tildacerfont in the UK or the EU and restrict our ability to generate revenue and achieve and sustain profitability. In addition, we may be required to pay taxes or duties or be subjected to other hurdles in connection with the importation of our product candidates into the EU, or we may incur expenses in establishing a manufacturing facility in the EU in order to circumvent such hurdles. If any of these outcomes occur, we may be forced to restrict or delay efforts to seek regulatory approval in the UK or the EU for tildacerfont and any future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2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tildacerfont and any future product candidates.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tildacerfont and any future product candidates and will face an even greater risk if we commercialize any products. For example, we may be sued if tildacerfont or any future product candidates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tildacerfont.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tildacerfont and any future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initiation of investigations by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tildacerfont and any future product candidates;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We currently carry an aggregate of up to $7.0 million of product liability insurance covering our clinical trials.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8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76"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We have incurred substantial losses during our history and do not expect to become profitable in the near future, and we may never achieve profitability. As of December 31, 2019, after reducing net operating losses, or NOLs, and research and development credits for amounts not expected to be utilized, we had federal NOL carryforwards of approximately $29.8 million. As of December 31, 2019, we had no state NOL carryforwards. The federal NOL carryforwards arising in taxable years beginning prior to 2018 will begin to expire in 2036, unless previously utilized. We also have federal and state research and development credit carryforwards totaling $0.5 million and $0.3 million, respectively. The federal research and development credit carryforwards will begin to expire in 2036, unless previously utilized. The state research and development credits will not expire.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Under the Tax Act, as modified by the Coronavirus Aid, Relief, and Economic Security Act, or CARES Act, federal NOL carryforwards generated in tax years beginning after December 31, 2017 may be carried forward indefinitely but, in the case of tax years beginning after 2020, may only be used to offset 80% of our taxable income annually. Our NOLs and tax credit carryforwards are subject to review and possible adjustment by the Internal Revenue Service and state tax authorities and may become subject to an annual limitation in the event of certain cumulative changes in the ownership interest of significant stockholders over a rolling three-year period in excess of 50 percentage points (by value), as defined under Section 382 of the Internal Revenue Code of 1986, as amended. Our ability to utilize our NOL carryforwards and other tax attributes to offset future taxable income or tax liabilities may be limited as a result of ownership changes. Similar rules may apply under state tax laws. For example, on June 29, 2020, California enacted A.B. 85 which imposed limits on the usability of California state net operating losses and certain tax credits in tax years beginning after 2019 and before 2023. Such limitations could result in the expiration of our carryforwards before they can be utilized and, if we are profitable, our future cash flows could be adversely affected due to our increased taxable income or tax liability. An ownership change analysis covering periods through December 31, 2019 concluded that an ownership change occurred in May 2016. As a result of the ownership change, we derecognized NOL-related deferred tax assets down to the amount expected to be realized. Our ability to use our remaining NOL carryforwards may be further limited if we experience a Section 382 ownership change as a result of future changes in our stock ownership. As of December 31, 2019, we recorded a full valuation allowance on our deferred tax assets.</w:t>
      </w:r>
    </w:p>
    <w:p>
      <w:pPr>
        <w:spacing w:after="0" w:line="28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2"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In addition, it is uncertain if and to what extent various states will conform to the Tax Act, the CARES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could result in significant one-time charges, and could increase our future U.S. tax expense.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licensed from Lilly, the termination of which could result in the loss of significant rights, which would harm our business.</w:t>
      </w:r>
    </w:p>
    <w:p>
      <w:pPr>
        <w:spacing w:after="0" w:line="62"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We are dependent on technology, patents, know-how, and proprietary materials, both our own and licensed from others. We entered into a license agreement with Lilly in May 2016 pursuant to which we were granted an exclusive, worldwide, royalty bearing, sublicensable license under certain technology, patent rights, know-how, and proprietary materials relating to certain CRF1 receptor antagonist compounds. Any termination of this license will result in the loss of significant rights and will restrict our ability to develop and commercialize tildacerfont. See “Business—License Agreement with Eli Lilly and Company” for a description of our license agreement, which includes a description of the termination provision of this agreement.</w:t>
      </w:r>
    </w:p>
    <w:p>
      <w:pPr>
        <w:spacing w:after="0" w:line="16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currently rely on, and intend to continue relying on, third-party CROs in connection with our clinical trials for tildacerfont.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spacing w:after="0" w:line="179"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 clinical trials or other drug development activities, which could affect their performance on our behalf. If our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for or successfully commercialize tildacerfont and any future product candidates. As a result, our financial results and the commercial prospects for tildacerfont and any future product candidates would be harmed, our costs could increase and our ability to generate revenues could be delayed.</w:t>
      </w:r>
    </w:p>
    <w:p>
      <w:pPr>
        <w:spacing w:after="0" w:line="196" w:lineRule="exact"/>
        <w:rPr>
          <w:sz w:val="20"/>
          <w:szCs w:val="20"/>
          <w:color w:val="auto"/>
        </w:rPr>
      </w:pPr>
    </w:p>
    <w:p>
      <w:pPr>
        <w:ind w:right="340" w:firstLine="510"/>
        <w:spacing w:after="0" w:line="301" w:lineRule="auto"/>
        <w:rPr>
          <w:sz w:val="20"/>
          <w:szCs w:val="20"/>
          <w:color w:val="auto"/>
        </w:rPr>
      </w:pPr>
      <w:r>
        <w:rPr>
          <w:rFonts w:ascii="Arial" w:cs="Arial" w:eastAsia="Arial" w:hAnsi="Arial"/>
          <w:sz w:val="16"/>
          <w:szCs w:val="16"/>
          <w:color w:val="auto"/>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 challenges or delays in the future and these delays or challenges may have a material adverse impact on our business, prospects, financial condition, and results of operations.</w:t>
      </w:r>
    </w:p>
    <w:p>
      <w:pPr>
        <w:spacing w:after="0" w:line="157"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which could disrupt our clinical timelines, which could have a material adverse impact on our business, prospects, financial condition, and results of operations.</w:t>
      </w:r>
    </w:p>
    <w:p>
      <w:pPr>
        <w:spacing w:after="0" w:line="257" w:lineRule="exact"/>
        <w:rPr>
          <w:sz w:val="20"/>
          <w:szCs w:val="20"/>
          <w:color w:val="auto"/>
        </w:rPr>
      </w:pPr>
    </w:p>
    <w:p>
      <w:pPr>
        <w:ind w:right="140"/>
        <w:spacing w:after="0" w:line="340" w:lineRule="auto"/>
        <w:rPr>
          <w:sz w:val="20"/>
          <w:szCs w:val="20"/>
          <w:color w:val="auto"/>
        </w:rPr>
      </w:pPr>
      <w:r>
        <w:rPr>
          <w:rFonts w:ascii="Arial" w:cs="Arial" w:eastAsia="Arial" w:hAnsi="Arial"/>
          <w:sz w:val="15"/>
          <w:szCs w:val="15"/>
          <w:b w:val="1"/>
          <w:bCs w:val="1"/>
          <w:i w:val="1"/>
          <w:iCs w:val="1"/>
          <w:color w:val="auto"/>
        </w:rPr>
        <w:t>We rely completely on third parties to manufacture our preclinical and clinical drug supplies and we intend to rely on third parties to produce commercial supplies of tildacerfont and any future product candidates, if approved, and these third parties may fail to obtain and maintain regulatory approval for their facilities, fail to provide us with sufficient quantities of drug product or fail to do so at acceptable quality levels or prices.</w:t>
      </w:r>
    </w:p>
    <w:p>
      <w:pPr>
        <w:spacing w:after="0" w:line="23"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do not currently have nor do we plan to acquire the infrastructure or capability internally to manufacture our clinical drug supplies for use in the conduct of our clinical trials, and we lack the resources and the capability to manufacture tildacerfont and any future product candidates on a clinical or commercial scale. Instead, we rely on contract manufacturers for such production. In particular, we currently rely on a single-source manufacturer for drug product, and a single-source manufacturer for drug substance.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We do not currently have any long-term agreement with a manufacturer to produce raw materials, active pharmaceutical ingredients, or APIs, and the finished products of tildacerfont or the associated packaging and administration syringes used in our current product format and we may rely on single source suppliers for clinical supply of API and drug product of tildacerfont. We will need to identify and qualify a third-party manufacturer prior to commercialization of tildacerfont, and we intend to enter into agreements for commercial production with third-party suppliers. As tildacerfont is intended to treat rare endocrine disorders, we will only require a low-volume of raw materials and APIs, and in some cases with single-source suppliers and manufacturers. Our reliance on third-party suppliers and manufacturers, including single-source suppliers, could harm our ability to develop tildacerfont and any future product candidates or to commercialize any product candidates that are approved. Further, any delay in identifying and qualifying a manufacturer for commercial production could delay the potential commercialization of tildacerfont and any future product candidates, and, in the event that we do not have sufficient product to complete our clinical trials, it could delay such trials.</w:t>
      </w:r>
    </w:p>
    <w:p>
      <w:pPr>
        <w:spacing w:after="0" w:line="18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The facilities used by our contract manufacturers to manufacture tildacerfont and any future product candidates must be approved by the applicable regulatory authorities, including the FDA, pursuant to inspections that will be conducted after an NDA or comparable foreign regulatory marketing application is submitted. We currently do not control the manufacturing process of tildacerfont and are completely dependent on our contract manufacturing partners for compliance with the FDA’s cGMP requirements for manufacture of both the active drug substances and finished drug product. If our contract manufacturers cannot successfully manufacture material that conforms to our specifications and the FDA’s strict regulatory requirements, they will not be able to secure or maintain FDA approval for the manufacturing facilities. In addition, we have no control over the ability of our contract manufacturers to maintain adequate quality control, quality assurance and qualified personnel. If the FDA or any other applicable regulatory authority does not approve these facilities for the manufacture of tildacerfont or any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tildacerfont and any future product candidates.</w:t>
      </w:r>
    </w:p>
    <w:p>
      <w:pPr>
        <w:spacing w:after="0" w:line="172"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tildacerfont or any future product candidates or in the manufacturing facilities, such manufacturing facilities may need to be closed for an extended period of time to investigate and remedy the contamination. Any stability or other issues relating to the manufacture of tildacerfont may occur in the future.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our product candidates.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2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use hazardous and biological materials in a manner that causes injury or violates applicable law, we may be liable for damages.</w:t>
      </w:r>
    </w:p>
    <w:p>
      <w:pPr>
        <w:spacing w:after="0" w:line="62"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any future product candidates, and other proprietary technologies if approved, may be adversely affected.</w:t>
      </w:r>
    </w:p>
    <w:p>
      <w:pPr>
        <w:spacing w:after="0" w:line="63"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Our commercial success will depend in part on our ability to obtain and maintain a combination of patents, trade secret protection and confidentiality agreements to protect the intellectual property related to tildacerfont, any future product candidates, and other proprietary technologies we develop. If we are unable to obtain or maintain patent protection with respect to tildacerfont, any future product candidates, and other proprietary technologies we may develop, our business, financial condition, results of operations, and prospects could be materially harmed.</w:t>
      </w:r>
    </w:p>
    <w:p>
      <w:pPr>
        <w:spacing w:after="0" w:line="171"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tildacerfont,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166"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actual or potential future collaborators will be successful in protecting tildacerfont, any future product candidates, and other proprietary technologies and their uses by obtaining, defending and enforcing patents. These risks and uncertainties include the following:</w:t>
      </w:r>
    </w:p>
    <w:p>
      <w:pPr>
        <w:spacing w:after="0" w:line="76" w:lineRule="exact"/>
        <w:rPr>
          <w:sz w:val="20"/>
          <w:szCs w:val="20"/>
          <w:color w:val="auto"/>
        </w:rPr>
      </w:pPr>
    </w:p>
    <w:p>
      <w:pPr>
        <w:ind w:left="1000" w:right="80" w:hanging="493"/>
        <w:spacing w:after="0" w:line="286"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United States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57" w:lineRule="exact"/>
        <w:rPr>
          <w:rFonts w:ascii="Arial" w:cs="Arial" w:eastAsia="Arial" w:hAnsi="Arial"/>
          <w:sz w:val="17"/>
          <w:szCs w:val="17"/>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17"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may otherwise not provide any competitive advantage;</w:t>
      </w:r>
    </w:p>
    <w:p>
      <w:pPr>
        <w:spacing w:after="0" w:line="62" w:lineRule="exact"/>
        <w:rPr>
          <w:rFonts w:ascii="Arial" w:cs="Arial" w:eastAsia="Arial" w:hAnsi="Arial"/>
          <w:sz w:val="18"/>
          <w:szCs w:val="18"/>
          <w:color w:val="auto"/>
        </w:rPr>
      </w:pPr>
    </w:p>
    <w:p>
      <w:pPr>
        <w:ind w:left="1000" w:right="220" w:hanging="493"/>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75" w:lineRule="exact"/>
        <w:rPr>
          <w:rFonts w:ascii="Arial" w:cs="Arial" w:eastAsia="Arial" w:hAnsi="Arial"/>
          <w:sz w:val="18"/>
          <w:szCs w:val="18"/>
          <w:color w:val="auto"/>
        </w:rPr>
      </w:pPr>
    </w:p>
    <w:p>
      <w:pPr>
        <w:ind w:left="1000" w:right="40" w:hanging="493"/>
        <w:spacing w:after="0" w:line="311"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composition of matter, methods or formulations or by claiming subject matter that could dominate our patent position;</w:t>
      </w:r>
    </w:p>
    <w:p>
      <w:pPr>
        <w:spacing w:after="0" w:line="40" w:lineRule="exact"/>
        <w:rPr>
          <w:rFonts w:ascii="Arial" w:cs="Arial" w:eastAsia="Arial" w:hAnsi="Arial"/>
          <w:sz w:val="16"/>
          <w:szCs w:val="16"/>
          <w:color w:val="auto"/>
        </w:rPr>
      </w:pPr>
    </w:p>
    <w:p>
      <w:pPr>
        <w:ind w:left="1000" w:right="16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successful opposition to any patents owned by or licensed to us could deprive us of rights necessary for the practice of our technologies or the successful commercialization of any products or product candidates that we may develop;</w:t>
      </w:r>
    </w:p>
    <w:p>
      <w:pPr>
        <w:spacing w:after="0" w:line="62" w:lineRule="exact"/>
        <w:rPr>
          <w:rFonts w:ascii="Arial" w:cs="Arial" w:eastAsia="Arial" w:hAnsi="Arial"/>
          <w:sz w:val="18"/>
          <w:szCs w:val="18"/>
          <w:color w:val="auto"/>
        </w:rPr>
      </w:pPr>
    </w:p>
    <w:p>
      <w:pPr>
        <w:ind w:left="1000" w:right="320" w:hanging="493"/>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because patent applications in the United States and most other countries are confidential for a period of time after filing, we cannot be certain that we or our licensors were the first to file any patent application related to tildacerfont, any future product candidates, and other proprietary technologies and their uses;</w:t>
      </w:r>
    </w:p>
    <w:p>
      <w:pPr>
        <w:spacing w:after="0" w:line="75" w:lineRule="exact"/>
        <w:rPr>
          <w:rFonts w:ascii="Arial" w:cs="Arial" w:eastAsia="Arial" w:hAnsi="Arial"/>
          <w:sz w:val="18"/>
          <w:szCs w:val="18"/>
          <w:color w:val="auto"/>
        </w:rPr>
      </w:pPr>
    </w:p>
    <w:p>
      <w:pPr>
        <w:ind w:left="1000" w:right="220" w:hanging="493"/>
        <w:spacing w:after="0" w:line="342"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right="160" w:hanging="493"/>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5" w:lineRule="exact"/>
        <w:rPr>
          <w:rFonts w:ascii="Arial" w:cs="Arial" w:eastAsia="Arial" w:hAnsi="Arial"/>
          <w:sz w:val="18"/>
          <w:szCs w:val="18"/>
          <w:color w:val="auto"/>
        </w:rPr>
      </w:pPr>
    </w:p>
    <w:p>
      <w:pPr>
        <w:ind w:left="1000" w:right="300" w:hanging="493"/>
        <w:spacing w:after="0" w:line="308"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countries other than the United States may have patent laws less favorable to patentees than those upheld by U.S. courts, allowing foreign competitors a better opportunity to create, develop, and market competing product candidates in those countries.</w:t>
      </w:r>
    </w:p>
    <w:p>
      <w:pPr>
        <w:spacing w:after="0" w:line="146"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The patent prosecution process is expensive, time-consuming, and complex, and we may not be able to file, prosecute, or maintain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spacing w:after="0" w:line="182" w:lineRule="exact"/>
        <w:rPr>
          <w:sz w:val="20"/>
          <w:szCs w:val="20"/>
          <w:color w:val="auto"/>
        </w:rPr>
      </w:pPr>
    </w:p>
    <w:p>
      <w:pPr>
        <w:ind w:right="280" w:firstLine="510"/>
        <w:spacing w:after="0" w:line="301"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tildacerfont, any future product candidates, and other proprietary technologies and erode or negate any competitive advantage we may have, which could have a material adverse effect on our financial condition and results of operations. For example:</w:t>
      </w:r>
    </w:p>
    <w:p>
      <w:pPr>
        <w:spacing w:after="0" w:line="49" w:lineRule="exact"/>
        <w:rPr>
          <w:sz w:val="20"/>
          <w:szCs w:val="20"/>
          <w:color w:val="auto"/>
        </w:rPr>
      </w:pPr>
    </w:p>
    <w:p>
      <w:pPr>
        <w:ind w:left="1000" w:right="46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tildacerfont and any future product candidates but that are not covered by the claims of our patents;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000" w:hanging="493"/>
        <w:spacing w:after="0" w:line="342"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spacing w:after="0" w:line="15" w:lineRule="exact"/>
        <w:rPr>
          <w:rFonts w:ascii="Arial" w:cs="Arial" w:eastAsia="Arial" w:hAnsi="Arial"/>
          <w:sz w:val="16"/>
          <w:szCs w:val="16"/>
          <w:color w:val="auto"/>
        </w:rPr>
      </w:pPr>
    </w:p>
    <w:p>
      <w:pPr>
        <w:ind w:left="1000" w:right="28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products;</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products on a substantial scale, if approved, before the relevant patents that we own or license expire; 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jc w:val="both"/>
        <w:ind w:right="40" w:firstLine="510"/>
        <w:spacing w:after="0" w:line="259"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spacing w:after="0" w:line="18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cannot be certain that the claims in our issued patents and pending patent applications covering tildacerfont or any future product candidates will be considered patentable by the USPTO, courts in the United States, or by patent offices and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The strength of patents in the biotechnology and pharmaceutical fields involves complex legal and scientific questions and can be uncertain. The patent applications that we own or in-license may fail to result in issued patents with claims that cover tildacerfont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tildacerfont and any future product candidates. Furthermore, even if they are unchallenged, our patents may not adequately protect our intellectual property, provide exclusivity for tildacerfont or any future product candidates or prevent others from designing around our claims. If the breadth or strength of protection provided by the patents we hold with respect to tildacerfont or any future product candidates is threatened, it could dissuade companies from collaborating with us to develop, or threaten our ability to commercialize, tildacerfont or any future product candidates.</w:t>
      </w:r>
    </w:p>
    <w:p>
      <w:pPr>
        <w:spacing w:after="0" w:line="181"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spacing w:after="0" w:line="161"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For U.S. patent applications containing a claim not entitled to priority before March 16, 2013, there is greater level of uncertainty in the patent law. In September 2011, the Leahy-Smith America Invents Act, or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tildacerfont, our business may be materially harmed.</w:t>
      </w:r>
    </w:p>
    <w:p>
      <w:pPr>
        <w:spacing w:after="0" w:line="11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Depending upon the timing, duration, and specifics of any FDA marketing approval of tildacerfont, or any future product candidate we may develop, one or more of patents issuing from our U.S. patent applications may be eligible for limited patent term extension under the Drug Price Competition and Patent Term Restoration Action of 1984, or Hatch-Waxman Amendments. The Hatch-Waxman Amendments permit a patent extension term, or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or SPC. If we encounter delays in our development efforts, including our clinical trials, the period of time during which we could market tildacerfont and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spacing w:after="0" w:line="28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such as our license agreement with Lilly, or otherwise experience disruptions to our business relationships with our licensors, we could lose license rights that are important to our business.</w:t>
      </w:r>
    </w:p>
    <w:p>
      <w:pPr>
        <w:spacing w:after="0" w:line="76"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are a party to a license agreement with Lilly under which we are granted intellectual property rights that are important to our business and our only product candidate, tildacerfont. If we fail to comply with our obligations under the license agreement, or we are subject to a bankruptcy, the license agreement may be terminated, in which event we would not be able to develop, commercialize or market tildacerfont. See “Business—License Agreement with Eli Lilly and Company” for a description of our license agreement with Lilly.</w:t>
      </w:r>
    </w:p>
    <w:p>
      <w:pPr>
        <w:spacing w:after="0" w:line="18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spacing w:after="0" w:line="62"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rights of the licensor that are not subject to the license agreement;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right to sublicense intellectual property rights to third parties under collaborative development relationships;</w:t>
      </w:r>
    </w:p>
    <w:p>
      <w:pPr>
        <w:spacing w:after="0" w:line="117" w:lineRule="exact"/>
        <w:rPr>
          <w:rFonts w:ascii="Arial" w:cs="Arial" w:eastAsia="Arial" w:hAnsi="Arial"/>
          <w:sz w:val="18"/>
          <w:szCs w:val="18"/>
          <w:color w:val="auto"/>
        </w:rPr>
      </w:pPr>
    </w:p>
    <w:p>
      <w:pPr>
        <w:ind w:left="1000" w:right="72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tildacerfont, and what activities satisfy those diligence obligations; and</w:t>
      </w:r>
    </w:p>
    <w:p>
      <w:pPr>
        <w:spacing w:after="0" w:line="62"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70"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tildacerfont.</w:t>
      </w:r>
    </w:p>
    <w:p>
      <w:pPr>
        <w:spacing w:after="0" w:line="117"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spacing w:after="0" w:line="168"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inter partes review, and derivation proceedings that allow third parties to challenge the validity of issued patents.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Patents are of national or regional effect. Filing, prosecuting, and defending patents on tildacerfont,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spacing w:after="0" w:line="188"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149"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claims challenging the inventorship or ownership of our patents and other intellectual property.</w:t>
      </w:r>
    </w:p>
    <w:p>
      <w:pPr>
        <w:spacing w:after="0" w:line="11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tildacerfont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spacing w:after="0" w:line="2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Presently we have intellectual property rights, through licenses from third parties including Lilly, related to tildacerfont. Because our program may require the use of additional proprietary rights held by third parties, the growth of our business will likely depend in part on our ability to acquire, in-license or use these proprietary rights. In addition, tildacerfont may 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tildacerfont.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Where we obtain licenses from or collaborate with third parties,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or in compliance with applicable laws and regulations, which may affect the validity and enforceability of such patents or any patents that may issue from such application.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9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tildacerfont. More established companies may have a competitive advantage over us due to their size, cash resources and greater clinical development and commercialization capabilities.</w:t>
      </w:r>
    </w:p>
    <w:p>
      <w:pPr>
        <w:spacing w:after="0" w:line="18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For example, we may collaborate with U.S. and foreign academic institutions to accelerate our preclinical research or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spacing w:after="0" w:line="188"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prevent or delay our drug discovery and development efforts.</w:t>
      </w:r>
    </w:p>
    <w:p>
      <w:pPr>
        <w:spacing w:after="0" w:line="117"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inter partes review, interference and reexamination proceedings before the USPTO, or oppositions and other comparable proceedings in foreign jurisdictions. The America Invents Act introduced new procedures including inter partes review and post grant review. The implementation of these procedures brings uncertainty to the possibility of challenges to our patents in the future and the outcome of such challenges. Numerous U.S. and foreign issued patents and pending patent applications, which are owned by third parties, exist in the fields in which we are developing tildacerfont. As the biotechnology and pharmaceutical industries expand and more patents are issued, the risk increases that our activities related to tildacerfont may give rise to claims of infringement of the patent rights of others.</w:t>
      </w:r>
    </w:p>
    <w:p>
      <w:pPr>
        <w:spacing w:after="0" w:line="165"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Nevertheless, we are not aware of any issued patents that will prevent us from marketing tildacerfont.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tildacerfont. Because patent applications can take many years to issue and may be confidential for 18 months or more after filing, there may be currently pending third-party patent applications which may later result in issued patents that tildacerfont,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tildacerfont or future product candidates. Defense of these claims, regardless of their merit, could involve substantial expenses and could be a substantial diversion of management and other employee resources from our business.</w:t>
      </w:r>
    </w:p>
    <w:p>
      <w:pPr>
        <w:spacing w:after="0" w:line="178"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claims of patent infringement asserted by third parties would be time-consuming and could:</w:t>
      </w:r>
    </w:p>
    <w:p>
      <w:pPr>
        <w:spacing w:after="0" w:line="117"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7"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prevent us from commercializing tildacerfont or any future product candidates until the asserted patent expires or is finally held invalid, unenforceable, or not infringed in a court of law;</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pay damages to the party whose intellectual property rights we may be found to be infringing, which may include treble damages if we are found to have been willfully infringing such intellectual property;</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pay the attorney’s fees and costs of litigation to the party whose intellectual property rights we may be found to be willfully infringing; and/or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enter into royalty or license agreements, which may not be available on commercially reasonable terms, or at all.</w:t>
      </w:r>
    </w:p>
    <w:p>
      <w:pPr>
        <w:spacing w:after="0" w:line="22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If we are sued for patent infringement, we would need to demonstrate that our products or methods either do not infringe the patent claims of the relevant patent or that the patent claims are invalid or unenforceable, and we may not be able to do either. Proving invalidity or unenforceability is difficult. For example, in the United States, proving invalidity before federal courts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or enforceability of 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tildacerfont to market and be precluded from developing, manufacturing or selling tildacerfont.</w:t>
      </w:r>
    </w:p>
    <w:p>
      <w:pPr>
        <w:spacing w:after="0" w:line="18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w:t>
      </w:r>
    </w:p>
    <w:p>
      <w:pPr>
        <w:spacing w:after="0" w:line="80" w:lineRule="exact"/>
        <w:rPr>
          <w:sz w:val="20"/>
          <w:szCs w:val="20"/>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some patent applications in the United States may be maintained in secrecy until the patents are issued;</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patent applications in the United States and elsewhere can be pending for many years before issuance, or unintentionally abandoned patents or applications can be revived;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right="240" w:hanging="493"/>
        <w:spacing w:after="0" w:line="308"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pending patent applications that have been published can, subject to certain limitations, be later amended in a manner that could cover our technologies, tildacerfont, and any future product candidates or the use of tildacerfont and any future product candidates;</w:t>
      </w:r>
    </w:p>
    <w:p>
      <w:pPr>
        <w:spacing w:after="0" w:line="38" w:lineRule="exact"/>
        <w:rPr>
          <w:rFonts w:ascii="Arial" w:cs="Arial" w:eastAsia="Arial" w:hAnsi="Arial"/>
          <w:sz w:val="17"/>
          <w:szCs w:val="17"/>
          <w:color w:val="auto"/>
        </w:rPr>
      </w:pPr>
    </w:p>
    <w:p>
      <w:pPr>
        <w:ind w:left="1000" w:right="440" w:hanging="493"/>
        <w:spacing w:after="0" w:line="342"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patent applications in the United States are typically not published until 18 months after the priority date;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225"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spacing w:after="0" w:line="164"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and others may have or obtain patents or proprietary rights that could limit our ability to make, use, sell, offer for sale or import tildacerfont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tildacerfont.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spacing w:after="0" w:line="168"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84" w:lineRule="exact"/>
        <w:rPr>
          <w:sz w:val="20"/>
          <w:szCs w:val="20"/>
          <w:color w:val="auto"/>
        </w:rPr>
      </w:pPr>
    </w:p>
    <w:p>
      <w:pPr>
        <w:jc w:val="both"/>
        <w:ind w:right="140" w:firstLine="510"/>
        <w:spacing w:after="0" w:line="311" w:lineRule="auto"/>
        <w:rPr>
          <w:sz w:val="20"/>
          <w:szCs w:val="20"/>
          <w:color w:val="auto"/>
        </w:rPr>
      </w:pPr>
      <w:r>
        <w:rPr>
          <w:rFonts w:ascii="Arial" w:cs="Arial" w:eastAsia="Arial" w:hAnsi="Arial"/>
          <w:sz w:val="16"/>
          <w:szCs w:val="16"/>
          <w:color w:val="auto"/>
        </w:rPr>
        <w:t>If a third party prevails in a patent infringement lawsuit against us, we may have to stop making and selling the infringing product,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w:t>
      </w:r>
    </w:p>
    <w:p>
      <w:pPr>
        <w:spacing w:after="0" w:line="149"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tildacerfont. We may fail to obtain any of these licenses at a reasonable cost or on reasonable terms, if at all. In that event, we would be unable to further develop and commercialize tildacerfont, which could harm our business significantly. Even if we were able to obtain a license, the rights may be nonexclusive, which may give our competitors access to the same intellectual property.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As is common in the biotechnology and pharmaceutical industries, in addition to our employees, we engage the services of consultants to assist us in the development of tildacerfont, any future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Further, our issued patents could be found invalid or unenforceable if challenged in court, and we may incur substantial costs as a result of litigation or other proceedings relating to patent and other intellectual property rights.</w:t>
      </w:r>
    </w:p>
    <w:p>
      <w:pPr>
        <w:spacing w:after="0" w:line="76"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spacing w:after="0" w:line="17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Third parties may also raise similar claims before the USPTO, even outside the context of litigation. Similar mechanisms for challenging the validity and enforceability of a patent exist in foreign patent offices and courts and may result in the revocation, cancellation, or amendment of any foreign patents we or our licensors hold now or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179"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tildacerfont and any future product candidates to market.</w:t>
      </w:r>
    </w:p>
    <w:p>
      <w:pPr>
        <w:spacing w:after="0" w:line="17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40"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27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79"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17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Moreover, any name we have proposed to use with tildacerfont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6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62" w:lineRule="exact"/>
        <w:rPr>
          <w:sz w:val="20"/>
          <w:szCs w:val="20"/>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17" w:lineRule="exact"/>
        <w:rPr>
          <w:rFonts w:ascii="Arial" w:cs="Arial" w:eastAsia="Arial" w:hAnsi="Arial"/>
          <w:sz w:val="18"/>
          <w:szCs w:val="18"/>
          <w:color w:val="auto"/>
        </w:rPr>
      </w:pPr>
    </w:p>
    <w:p>
      <w:pPr>
        <w:jc w:val="both"/>
        <w:ind w:left="1000" w:right="400" w:hanging="493"/>
        <w:spacing w:after="0" w:line="311"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40" w:lineRule="exact"/>
        <w:rPr>
          <w:rFonts w:ascii="Arial" w:cs="Arial" w:eastAsia="Arial" w:hAnsi="Arial"/>
          <w:sz w:val="16"/>
          <w:szCs w:val="16"/>
          <w:color w:val="auto"/>
        </w:rPr>
      </w:pPr>
    </w:p>
    <w:p>
      <w:pPr>
        <w:ind w:left="1000" w:right="28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tildacerfont and any future product candidates;</w:t>
      </w:r>
    </w:p>
    <w:p>
      <w:pPr>
        <w:spacing w:after="0" w:line="62"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1000" w:hanging="493"/>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5" w:lineRule="exact"/>
        <w:rPr>
          <w:rFonts w:ascii="Arial" w:cs="Arial" w:eastAsia="Arial" w:hAnsi="Arial"/>
          <w:sz w:val="18"/>
          <w:szCs w:val="18"/>
          <w:color w:val="auto"/>
        </w:rPr>
      </w:pPr>
    </w:p>
    <w:p>
      <w:pPr>
        <w:ind w:left="1000" w:right="160" w:hanging="493"/>
        <w:spacing w:after="0" w:line="342"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15" w:lineRule="exact"/>
        <w:rPr>
          <w:rFonts w:ascii="Arial" w:cs="Arial" w:eastAsia="Arial" w:hAnsi="Arial"/>
          <w:sz w:val="16"/>
          <w:szCs w:val="16"/>
          <w:color w:val="auto"/>
        </w:rPr>
      </w:pPr>
    </w:p>
    <w:p>
      <w:pPr>
        <w:ind w:left="1000" w:right="94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and orderly trading market for our common stock may not be sustained.*</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Prior to the closing of our IPO in October 2020, there has been no public market for shares of our common stock. An active trading market for our shares may not be sustained. You may not be able to sell your shares quickly or at the market price if trading in shares of our common stock is not active. As a result of these and other factors, you may be unable to resell your shares of our common stock.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17"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Quarterly Report on Form 10-Q, these factors include:</w:t>
      </w:r>
    </w:p>
    <w:p>
      <w:pPr>
        <w:spacing w:after="0" w:line="76" w:lineRule="exact"/>
        <w:rPr>
          <w:sz w:val="20"/>
          <w:szCs w:val="20"/>
          <w:color w:val="auto"/>
        </w:rPr>
      </w:pPr>
    </w:p>
    <w:p>
      <w:pPr>
        <w:jc w:val="both"/>
        <w:ind w:left="1000" w:right="580" w:hanging="493"/>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commencement, enrollment or results of our ongoing and planned clinical trials of tildacerfont or any future clinical trials we may conduct of tildacerfont and any future product candidates, or changes in the development status of tildacerfont and any future product candidates;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acceptance by the FDA and EMA of data from our two Phase 2b clinical trials or any future clinical trials we conduct;</w:t>
      </w:r>
    </w:p>
    <w:p>
      <w:pPr>
        <w:spacing w:after="0" w:line="117" w:lineRule="exact"/>
        <w:rPr>
          <w:rFonts w:ascii="Arial" w:cs="Arial" w:eastAsia="Arial" w:hAnsi="Arial"/>
          <w:sz w:val="18"/>
          <w:szCs w:val="18"/>
          <w:color w:val="auto"/>
        </w:rPr>
      </w:pPr>
    </w:p>
    <w:p>
      <w:pPr>
        <w:ind w:left="1000" w:right="60" w:hanging="493"/>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delay in our regulatory filings for tildacerfont and any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results or delays in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for tildacerfont and any future product candidates;</w:t>
      </w:r>
    </w:p>
    <w:p>
      <w:pPr>
        <w:spacing w:after="0" w:line="117" w:lineRule="exact"/>
        <w:rPr>
          <w:rFonts w:ascii="Arial" w:cs="Arial" w:eastAsia="Arial" w:hAnsi="Arial"/>
          <w:sz w:val="18"/>
          <w:szCs w:val="18"/>
          <w:color w:val="auto"/>
        </w:rPr>
      </w:pPr>
    </w:p>
    <w:p>
      <w:pPr>
        <w:ind w:left="1000" w:right="72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laws or regulations applicable to tildacerfont and any future product candidates, including but not limited to clinical trial requirements for approvals;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failure to obtain coverage and adequate reimbursement of tildacerfont and any future product candidates, if approved;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on the structure of healthcare payment systems;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developments concerning our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drug product or inability to do so at acceptable prices;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failure to commercialize tildacerfont and any future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tildacerfont and any future product candidates;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 or the release or publication of clinical trial results from competing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size and growth, if any, of the markets for classic CAH in adult and pediatric patients and a subpopulation of females with a rare form of PCOS, and other rare endocrine disorders that we may target;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17"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issuances of debt or equity securities;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political and economic conditions, including the COVID-19 pandemic;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Loan Agreement, we are prohibited from paying cash dividends without the prior written consent of Silicon Valley Bank, and future debt instruments may materially restrict our ability to pay dividends on our common stock. Any return to stockholders would therefore be limited to the appreciation, if any, of their stock.</w:t>
      </w:r>
    </w:p>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Our executive officers and directors, combined with our stockholders who own more than 5% of our outstanding capital stock, beneficially own shares representing a significant percentage of our common stock. Therefore,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30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reporting requirements applicable to emerging growth companies and smaller reporting companies may make our common stock less attractive to investors.*</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certain exemptions from various public company reporting requirements, including being permitted to provide only two years of audited financial statements, in addition to any required unaudited interim financial statements with correspondingly reduced “Management’s Discussion and Analysis of Financial Condition and Results of Operations” disclosure in this Quarterly Report on Form 10-Q, not being required to have our internal control over financial reporting audited by our independent registered public accounting firm under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the last day of the fiscal year ending after the fifth anniversary of the IPO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 revenues exceed $1.07 billion or we issue more than $1.0 billion of non-convertible debt in any three-year period.</w:t>
      </w:r>
    </w:p>
    <w:p>
      <w:pPr>
        <w:spacing w:after="0" w:line="182"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spacing w:after="0" w:line="16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We have identified a material weakness in our internal control over financial reporting and may identify material weaknesses in the future or otherwise fail to maintain proper and effective internal controls, which may impair our ability to produce accurate financial statements on a timely basis.*</w:t>
      </w:r>
    </w:p>
    <w:p>
      <w:pPr>
        <w:spacing w:after="0" w:line="1" w:lineRule="exact"/>
        <w:rPr>
          <w:sz w:val="20"/>
          <w:szCs w:val="20"/>
          <w:color w:val="auto"/>
        </w:rPr>
      </w:pPr>
    </w:p>
    <w:p>
      <w:pPr>
        <w:jc w:val="both"/>
        <w:ind w:right="180" w:firstLine="510"/>
        <w:spacing w:after="0" w:line="259" w:lineRule="auto"/>
        <w:rPr>
          <w:sz w:val="20"/>
          <w:szCs w:val="20"/>
          <w:color w:val="auto"/>
        </w:rPr>
      </w:pPr>
      <w:r>
        <w:rPr>
          <w:rFonts w:ascii="Arial" w:cs="Arial" w:eastAsia="Arial" w:hAnsi="Arial"/>
          <w:sz w:val="18"/>
          <w:szCs w:val="18"/>
          <w:color w:val="auto"/>
        </w:rPr>
        <w:t>During the preparation of our financial statements for the years ended December 31, 2018 and 2019, we identified a material weakness in internal control over financial reporting primarily related to a lack of timely review over the financial statement close process. During the periods under audit, we did not have a sufficient complement of qualified personnel within the accounting function and had a lack of segregation of duties to adequately conduct review and analysis of certain routine transactions.</w:t>
      </w:r>
    </w:p>
    <w:p>
      <w:pPr>
        <w:spacing w:after="0" w:line="187"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This material weakness could result in a misstatement of account balances or disclosures that would result in a material misstatement to the annual or interim financial statements that would not be prevented or detected. To address our material weakness, we have added a chief financial officer and controller, and have begun to implement new processes. Beyond these measures, we intend to continue taking steps to remediate the material weakness through hiring additional accounting personnel, formalizing documentation of policies and procedures, and implementing additional accounting processes and controls. Our recruitment efforts to identify additional accounting personnel and implementation of additional accounting processes and controls are underway. We anticipate fully remediating the material weakness on or before the filing date of our Annual Report on Form 10-K for the fiscal year ending December 31, 2020. Remediation costs consist primarily of additional personnel expenses, which we do not anticipate will have a material impact to our financial statements.</w:t>
      </w:r>
    </w:p>
    <w:p>
      <w:pPr>
        <w:spacing w:after="0" w:line="194"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Commencing with our fiscal year ending December 31, 2021, we must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This will require that we incur substantial additional professional fees and internal costs to expand our accounting and finance functions and that we expend significant management efforts. Prior to our IPO, we have never been required to test our internal controls within a specified period, and, as a result, we may experience difficulty in meeting these reporting requirements in a timely manner.</w:t>
      </w:r>
    </w:p>
    <w:p>
      <w:pPr>
        <w:spacing w:after="0" w:line="166"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8" w:lineRule="exact"/>
        <w:rPr>
          <w:sz w:val="20"/>
          <w:szCs w:val="20"/>
          <w:color w:val="auto"/>
        </w:rPr>
      </w:pPr>
    </w:p>
    <w:p>
      <w:pPr>
        <w:ind w:right="200" w:firstLine="510"/>
        <w:spacing w:after="0" w:line="286" w:lineRule="auto"/>
        <w:rPr>
          <w:sz w:val="20"/>
          <w:szCs w:val="20"/>
          <w:color w:val="auto"/>
        </w:rPr>
      </w:pPr>
      <w:r>
        <w:rPr>
          <w:rFonts w:ascii="Arial" w:cs="Arial" w:eastAsia="Arial" w:hAnsi="Arial"/>
          <w:sz w:val="17"/>
          <w:szCs w:val="17"/>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Nasdaq, the SEC or other regulatory authorities.</w:t>
      </w:r>
    </w:p>
    <w:p>
      <w:pPr>
        <w:spacing w:after="0" w:line="165"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measures we have taken to date, and actions we may take in the future, may not be sufficient to remediate the control deficiencies that led to our material weakness in our internal control over financial reporting or to prevent or avoid potential future material weaknesses. We may not have identified all material weaknesses. Moreover,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2"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by our existing stockholders in the public market could cause our stock price to fall.*</w:t>
      </w:r>
    </w:p>
    <w:p>
      <w:pPr>
        <w:spacing w:after="0" w:line="140" w:lineRule="exact"/>
        <w:rPr>
          <w:sz w:val="20"/>
          <w:szCs w:val="20"/>
          <w:color w:val="auto"/>
        </w:rPr>
      </w:pPr>
    </w:p>
    <w:p>
      <w:pPr>
        <w:jc w:val="both"/>
        <w:ind w:right="100" w:firstLine="510"/>
        <w:spacing w:after="0" w:line="259"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after the lock-up and other legal restrictions on resale lapse, the trading price of our common stock could decline. As of November 9, 2020 there were 23,214,041 shares of our common stock outstanding. Of these shares, only the shares of common stock sold in the IPO by us, other than to our affiliates, are freely tradable without restriction in the public market.</w:t>
      </w:r>
    </w:p>
    <w:p>
      <w:pPr>
        <w:spacing w:after="0" w:line="18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We expect that the lock-up agreements pertaining to the IPO will expire on April 7, 2021. After the lock-up agreements expire, up to 16,360,399 shares of common stock will be eligible for sale in the public market, of which 13,462,864 shares are held by directors, executive officers, and other affiliates and will be subject to volume limitations under Rule 144 under the Securities Act of 1933, as amended, or the Securities Act (including shares beneficially owned by directors and executive officers as of September 1, 2020). In addition, shares of common stock that are either subject to outstanding options or reserved for future issuance under our employee benefit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w:t>
      </w:r>
    </w:p>
    <w:p>
      <w:pPr>
        <w:spacing w:after="0" w:line="166"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Further, the holders of 15,492,019 shares of our common stock are entitled to rights with respect to the registration of their shares under the Securities Act, subject to the 180-day lock-up agreements described above.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62"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spacing w:after="0" w:line="161"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Pursuant to our 2020 Plan, our management is authorized to grant stock options and other stock awards to our employees, directors and consultants. Additionally, the number of shares of our common stock reserved for issuance under our 2020 Plan will automatically increase on January 1 of each year, beginning on January 1, 2021 and continuing through and including January 1, 2030, by 5% of the total number of shares of our capital stock outstanding on December 31 of the preceding calendar year, or a lesser number of shares determined by our board of directors. In addition, pursuant to our ESPP, the number of shares of our common stock reserved for issuance will automatically increase on January 1 of each calendar year, beginning on January 1, 2021 through January 1, 2030, by the lesser of (i) 1% of the total number of shares of our common stock outstanding on the last day of the calendar month before the date of the automatic increase, and (ii) 441,280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common stock.</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If, after listing,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30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6"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6" w:lineRule="exact"/>
        <w:rPr>
          <w:sz w:val="20"/>
          <w:szCs w:val="20"/>
          <w:color w:val="auto"/>
        </w:rPr>
      </w:pPr>
    </w:p>
    <w:p>
      <w:pPr>
        <w:ind w:left="100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rFonts w:ascii="Arial" w:cs="Arial" w:eastAsia="Arial" w:hAnsi="Arial"/>
          <w:sz w:val="18"/>
          <w:szCs w:val="18"/>
          <w:color w:val="auto"/>
        </w:rPr>
      </w:pPr>
    </w:p>
    <w:p>
      <w:pPr>
        <w:ind w:left="1000" w:right="76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62"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17"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75"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7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Court of Chancery of the State of Delaware is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169"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jc w:val="both"/>
        <w:ind w:right="180" w:firstLine="510"/>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Grants</w:t>
      </w:r>
    </w:p>
    <w:p>
      <w:pPr>
        <w:spacing w:after="0" w:line="117" w:lineRule="exact"/>
        <w:rPr>
          <w:sz w:val="20"/>
          <w:szCs w:val="20"/>
          <w:color w:val="auto"/>
        </w:rPr>
      </w:pPr>
    </w:p>
    <w:p>
      <w:pPr>
        <w:ind w:right="60" w:firstLine="578"/>
        <w:spacing w:after="0" w:line="257" w:lineRule="auto"/>
        <w:rPr>
          <w:sz w:val="20"/>
          <w:szCs w:val="20"/>
          <w:color w:val="auto"/>
        </w:rPr>
      </w:pPr>
      <w:r>
        <w:rPr>
          <w:rFonts w:ascii="Arial" w:cs="Arial" w:eastAsia="Arial" w:hAnsi="Arial"/>
          <w:sz w:val="18"/>
          <w:szCs w:val="18"/>
          <w:color w:val="auto"/>
        </w:rPr>
        <w:t>For the nine months ended September 30, 2020, we granted options to purchase 1,765,200 shares of our common stock to certain of our employees and directors with a weighted-average exercise price of $3.18 per share. The offer, sale and issuance of these options were deemed to be exempt from registration under the Securities Act in reliance on either Rule 701 in that the transactions were under compensatory benefit plans and contracts relating to compensation as provided under Rule 701 or Section 4(a)(2) in that the issuance of securities was to accredited investors in a private placement transaction that did not involve a public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Common Stock upon Conversion of Redeemable Convertible Preferred Stock</w:t>
      </w:r>
    </w:p>
    <w:p>
      <w:pPr>
        <w:spacing w:after="0" w:line="117" w:lineRule="exact"/>
        <w:rPr>
          <w:sz w:val="20"/>
          <w:szCs w:val="20"/>
          <w:color w:val="auto"/>
        </w:rPr>
      </w:pPr>
    </w:p>
    <w:p>
      <w:pPr>
        <w:ind w:right="380" w:firstLine="578"/>
        <w:spacing w:after="0" w:line="263" w:lineRule="auto"/>
        <w:rPr>
          <w:sz w:val="20"/>
          <w:szCs w:val="20"/>
          <w:color w:val="auto"/>
        </w:rPr>
      </w:pPr>
      <w:r>
        <w:rPr>
          <w:rFonts w:ascii="Arial" w:cs="Arial" w:eastAsia="Arial" w:hAnsi="Arial"/>
          <w:sz w:val="18"/>
          <w:szCs w:val="18"/>
          <w:color w:val="auto"/>
        </w:rPr>
        <w:t>On October 8, 2020, upon the closing of our IPO, all shares of our then-outstanding redeemable convertible preferred stock automatically converted into 15,492,019 shares of common stock. The common stock was issued pursuant to the exemption from the registration requirements of the Securities Act provided by Section 3(a)(9) or Section 4(2) of the Securities Act.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We commenced our IPO pursuant to the registration statement on Form S-1 (File Nos. 333-248924 and 333-249397) that was declared effective on October 8, 2020 and registered an aggregate of 6,900,000 shares of our common stock. On October 8, 2020, we sold 6,900,000 shares of our common stock at a public offering price of $15.00 per share for an aggregate gross proceeds of $103.5 million. On October 8, 2020, we completed our IPO. Cowen and Company, LLC, SVB Leerink LLC, Credit Suisse Securities (USA) LLC, and RBC Capital Markets, LLC served as joint book-running managers.</w:t>
      </w:r>
    </w:p>
    <w:p>
      <w:pPr>
        <w:spacing w:after="0" w:line="157" w:lineRule="exact"/>
        <w:rPr>
          <w:sz w:val="20"/>
          <w:szCs w:val="20"/>
          <w:color w:val="auto"/>
        </w:rPr>
      </w:pPr>
    </w:p>
    <w:p>
      <w:pPr>
        <w:jc w:val="both"/>
        <w:ind w:right="340" w:firstLine="510"/>
        <w:spacing w:after="0" w:line="286" w:lineRule="auto"/>
        <w:rPr>
          <w:sz w:val="20"/>
          <w:szCs w:val="20"/>
          <w:color w:val="auto"/>
        </w:rPr>
      </w:pPr>
      <w:r>
        <w:rPr>
          <w:rFonts w:ascii="Arial" w:cs="Arial" w:eastAsia="Arial" w:hAnsi="Arial"/>
          <w:sz w:val="17"/>
          <w:szCs w:val="17"/>
          <w:color w:val="auto"/>
        </w:rPr>
        <w:t>The net proceeds of the IPO were approximately $96.3 million, after deducting underwriting discounts and commissions of approximately $7.2 million and before deducting offering related expenses. No offering expenses were paid directly or indirectly to any of our directors or officers (or their associates) or persons owning ten percent or more of any class of our equity securities or to any other affiliates.</w:t>
      </w:r>
    </w:p>
    <w:p>
      <w:pPr>
        <w:spacing w:after="0" w:line="165" w:lineRule="exact"/>
        <w:rPr>
          <w:sz w:val="20"/>
          <w:szCs w:val="20"/>
          <w:color w:val="auto"/>
        </w:rPr>
      </w:pPr>
    </w:p>
    <w:p>
      <w:pPr>
        <w:ind w:firstLine="510"/>
        <w:spacing w:after="0" w:line="297" w:lineRule="auto"/>
        <w:rPr>
          <w:sz w:val="20"/>
          <w:szCs w:val="20"/>
          <w:color w:val="auto"/>
        </w:rPr>
      </w:pPr>
      <w:r>
        <w:rPr>
          <w:rFonts w:ascii="Arial" w:cs="Arial" w:eastAsia="Arial" w:hAnsi="Arial"/>
          <w:sz w:val="16"/>
          <w:szCs w:val="16"/>
          <w:color w:val="auto"/>
        </w:rPr>
        <w:t>Upon receipt, the net proceeds from our IPO were held in cash and cash equivalents. Through November 18, 2020, we have not used any of the net proceeds from our IPO. We are investing these funds in a combination of short- and intermediate-term, interest-bearing obligations, investment-grade instruments, certificates of deposit or direct or guaranteed obligations of the U.S. government. We expect to use the net proceeds from our IPO as described under “Use of Proceeds” in the Prospectus. We cannot predict with certainty all of the particular uses for the net proceeds from our IPO, or the amounts that we will actually spend on the uses set forth above. The amounts and timing of our actual use of the net proceeds will vary depending on numerous factors, including our ability to access additional financing, the relative success and cost of our clinical trials. As a result, our management will have broad discretion in the application of the net proceeds, and investors will be relying on our judgment regarding the application of the net proceeds from our IPO.</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Number</w:t>
            </w:r>
          </w:p>
        </w:tc>
        <w:tc>
          <w:tcPr>
            <w:tcW w:w="9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660" w:type="dxa"/>
            <w:vAlign w:val="bottom"/>
            <w:gridSpan w:val="14"/>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182"/>
        </w:trPr>
        <w:tc>
          <w:tcPr>
            <w:tcW w:w="90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5"/>
                <w:szCs w:val="15"/>
                <w:color w:val="auto"/>
              </w:rPr>
            </w:pPr>
          </w:p>
        </w:tc>
        <w:tc>
          <w:tcPr>
            <w:tcW w:w="10180" w:type="dxa"/>
            <w:vAlign w:val="bottom"/>
            <w:tcBorders>
              <w:top w:val="single" w:sz="8" w:color="auto"/>
            </w:tcBorders>
            <w:gridSpan w:val="18"/>
          </w:tcPr>
          <w:p>
            <w:pPr>
              <w:spacing w:after="0" w:line="182"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Amended and Restated Certificate of Incorporation of the Registrant (incorporated by reference to Exhibit 3.1 to the Registrant’s Current</w:t>
              </w:r>
            </w:hyperlink>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Report on Form 8-K, filed with the SEC on October 14, 2020).</w:t>
              </w:r>
            </w:hyperlink>
          </w:p>
        </w:tc>
        <w:tc>
          <w:tcPr>
            <w:tcW w:w="320" w:type="dxa"/>
            <w:vAlign w:val="bottom"/>
            <w:gridSpan w:val="8"/>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900" w:type="dxa"/>
            <w:vAlign w:val="bottom"/>
          </w:tcPr>
          <w:p>
            <w:pPr>
              <w:ind w:left="1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000" w:type="dxa"/>
            <w:vAlign w:val="bottom"/>
            <w:tcBorders>
              <w:bottom w:val="single" w:sz="8" w:color="0000EE"/>
            </w:tcBorders>
            <w:gridSpan w:val="14"/>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Amended and Restated Bylaws of the Registrant (incorporated by reference to Exhibit 3.2 to the Registrant’s Current Report on Form 8-K,</w:t>
              </w:r>
            </w:hyperlink>
          </w:p>
        </w:tc>
        <w:tc>
          <w:tcPr>
            <w:tcW w:w="180" w:type="dxa"/>
            <w:vAlign w:val="bottom"/>
            <w:gridSpan w:val="4"/>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80" w:type="dxa"/>
            <w:vAlign w:val="bottom"/>
            <w:gridSpan w:val="18"/>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filed with the SEC on October 14, 2020).</w:t>
              </w:r>
            </w:hyperlink>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900" w:type="dxa"/>
            <w:vAlign w:val="bottom"/>
          </w:tcPr>
          <w:p>
            <w:pPr>
              <w:ind w:left="1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180" w:type="dxa"/>
            <w:vAlign w:val="bottom"/>
            <w:gridSpan w:val="18"/>
          </w:tcPr>
          <w:p>
            <w:pPr>
              <w:spacing w:after="0"/>
              <w:rPr>
                <w:rFonts w:ascii="Arial" w:cs="Arial" w:eastAsia="Arial" w:hAnsi="Arial"/>
                <w:sz w:val="18"/>
                <w:szCs w:val="18"/>
                <w:color w:val="0000EE"/>
                <w:w w:val="94"/>
              </w:rPr>
            </w:pPr>
            <w:hyperlink r:id="rId112">
              <w:r>
                <w:rPr>
                  <w:rFonts w:ascii="Arial" w:cs="Arial" w:eastAsia="Arial" w:hAnsi="Arial"/>
                  <w:sz w:val="18"/>
                  <w:szCs w:val="18"/>
                  <w:color w:val="0000EE"/>
                  <w:w w:val="94"/>
                </w:rPr>
                <w:t>Form of Common Stock Certificate (incorporated by reference to Exhibit 4.1 to the Registrant’s Registration Statement on Form S-1, as</w:t>
              </w:r>
            </w:hyperlink>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amended (File No. 333-248924), filed with the SEC on October 5, 2020).</w:t>
              </w:r>
            </w:hyperlink>
          </w:p>
        </w:tc>
        <w:tc>
          <w:tcPr>
            <w:tcW w:w="400" w:type="dxa"/>
            <w:vAlign w:val="bottom"/>
            <w:gridSpan w:val="9"/>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900" w:type="dxa"/>
            <w:vAlign w:val="bottom"/>
          </w:tcPr>
          <w:p>
            <w:pPr>
              <w:ind w:left="1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180" w:type="dxa"/>
            <w:vAlign w:val="bottom"/>
            <w:gridSpan w:val="18"/>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Amended and Restated Investors’ Rights Agreement, by and among the Registrant and certain of its stockholders, dated November 5, 2018</w:t>
              </w:r>
            </w:hyperlink>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(incorporated by reference to Exhibit 4.2 to the Registrant’s Registration Statement on Form S-1, as amended (File No. 333-248924), filed</w:t>
              </w:r>
            </w:hyperlink>
          </w:p>
        </w:tc>
        <w:tc>
          <w:tcPr>
            <w:tcW w:w="60" w:type="dxa"/>
            <w:vAlign w:val="bottom"/>
            <w:tcBorders>
              <w:top w:val="single" w:sz="8" w:color="0000EE"/>
            </w:tcBorders>
            <w:gridSpan w:val="3"/>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with the SEC on September 18. 2020).</w:t>
              </w:r>
            </w:hyperlink>
          </w:p>
        </w:tc>
        <w:tc>
          <w:tcPr>
            <w:tcW w:w="7400" w:type="dxa"/>
            <w:vAlign w:val="bottom"/>
            <w:gridSpan w:val="16"/>
          </w:tcPr>
          <w:p>
            <w:pPr>
              <w:spacing w:after="0"/>
              <w:rPr>
                <w:sz w:val="17"/>
                <w:szCs w:val="17"/>
                <w:color w:val="auto"/>
              </w:rPr>
            </w:pPr>
          </w:p>
        </w:tc>
      </w:tr>
      <w:tr>
        <w:trPr>
          <w:trHeight w:val="439"/>
        </w:trPr>
        <w:tc>
          <w:tcPr>
            <w:tcW w:w="106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0100" w:type="dxa"/>
            <w:vAlign w:val="bottom"/>
            <w:tcBorders>
              <w:bottom w:val="single" w:sz="8" w:color="0000EE"/>
            </w:tcBorders>
            <w:gridSpan w:val="16"/>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Offer Letter, by and between the Registrant and Rosh Dias, M.D., M.R.C.P., dated July 28, 2020 (incorporated by reference to Exhibit 10.17</w:t>
              </w:r>
            </w:hyperlink>
          </w:p>
        </w:tc>
        <w:tc>
          <w:tcPr>
            <w:tcW w:w="80" w:type="dxa"/>
            <w:vAlign w:val="bottom"/>
            <w:gridSpan w:val="2"/>
          </w:tcPr>
          <w:p>
            <w:pPr>
              <w:spacing w:after="0"/>
              <w:rPr>
                <w:sz w:val="24"/>
                <w:szCs w:val="24"/>
                <w:color w:val="auto"/>
              </w:rPr>
            </w:pPr>
          </w:p>
        </w:tc>
      </w:tr>
      <w:tr>
        <w:trPr>
          <w:trHeight w:val="237"/>
        </w:trPr>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80" w:type="dxa"/>
            <w:vAlign w:val="bottom"/>
            <w:gridSpan w:val="18"/>
          </w:tcPr>
          <w:p>
            <w:pPr>
              <w:spacing w:after="0"/>
              <w:rPr>
                <w:rFonts w:ascii="Arial" w:cs="Arial" w:eastAsia="Arial" w:hAnsi="Arial"/>
                <w:sz w:val="18"/>
                <w:szCs w:val="18"/>
                <w:u w:val="single" w:color="auto"/>
                <w:color w:val="0000EE"/>
                <w:w w:val="93"/>
              </w:rPr>
            </w:pPr>
            <w:hyperlink r:id="rId114">
              <w:r>
                <w:rPr>
                  <w:rFonts w:ascii="Arial" w:cs="Arial" w:eastAsia="Arial" w:hAnsi="Arial"/>
                  <w:sz w:val="18"/>
                  <w:szCs w:val="18"/>
                  <w:u w:val="single" w:color="auto"/>
                  <w:color w:val="0000EE"/>
                  <w:w w:val="93"/>
                </w:rPr>
                <w:t>to the Registrant’s Registration Statement on Form S-1, as amended (File No. 333-248924), filed with the SEC on September 18. 2020).</w:t>
              </w:r>
            </w:hyperlink>
          </w:p>
        </w:tc>
      </w:tr>
      <w:tr>
        <w:trPr>
          <w:trHeight w:val="418"/>
        </w:trPr>
        <w:tc>
          <w:tcPr>
            <w:tcW w:w="106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10180" w:type="dxa"/>
            <w:vAlign w:val="bottom"/>
            <w:gridSpan w:val="18"/>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Letter Agreement, by and between the Registrant and Daniel Spiegelman, dated August 31, 2020 (incorporated by reference to Exhibit 10.20</w:t>
              </w:r>
            </w:hyperlink>
          </w:p>
        </w:tc>
      </w:tr>
      <w:tr>
        <w:trPr>
          <w:trHeight w:val="237"/>
        </w:trPr>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40" w:type="dxa"/>
            <w:vAlign w:val="bottom"/>
            <w:tcBorders>
              <w:top w:val="single" w:sz="8" w:color="0000EE"/>
            </w:tcBorders>
            <w:gridSpan w:val="17"/>
          </w:tcPr>
          <w:p>
            <w:pPr>
              <w:spacing w:after="0"/>
              <w:rPr>
                <w:rFonts w:ascii="Arial" w:cs="Arial" w:eastAsia="Arial" w:hAnsi="Arial"/>
                <w:sz w:val="18"/>
                <w:szCs w:val="18"/>
                <w:u w:val="single" w:color="auto"/>
                <w:color w:val="0000EE"/>
                <w:w w:val="93"/>
              </w:rPr>
            </w:pPr>
            <w:hyperlink r:id="rId115">
              <w:r>
                <w:rPr>
                  <w:rFonts w:ascii="Arial" w:cs="Arial" w:eastAsia="Arial" w:hAnsi="Arial"/>
                  <w:sz w:val="18"/>
                  <w:szCs w:val="18"/>
                  <w:u w:val="single" w:color="auto"/>
                  <w:color w:val="0000EE"/>
                  <w:w w:val="93"/>
                </w:rPr>
                <w:t>to the Registrant’s Registration Statement on Form S-1, as amended (File No. 333-248924), filed with the SEC on September 18. 2020).</w:t>
              </w:r>
            </w:hyperlink>
          </w:p>
        </w:tc>
        <w:tc>
          <w:tcPr>
            <w:tcW w:w="40" w:type="dxa"/>
            <w:vAlign w:val="bottom"/>
          </w:tcPr>
          <w:p>
            <w:pPr>
              <w:spacing w:after="0"/>
              <w:rPr>
                <w:sz w:val="20"/>
                <w:szCs w:val="20"/>
                <w:color w:val="auto"/>
              </w:rPr>
            </w:pPr>
          </w:p>
        </w:tc>
      </w:tr>
      <w:tr>
        <w:trPr>
          <w:trHeight w:val="418"/>
        </w:trPr>
        <w:tc>
          <w:tcPr>
            <w:tcW w:w="900" w:type="dxa"/>
            <w:vAlign w:val="bottom"/>
          </w:tcPr>
          <w:p>
            <w:pPr>
              <w:ind w:left="10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10180" w:type="dxa"/>
            <w:vAlign w:val="bottom"/>
            <w:gridSpan w:val="18"/>
          </w:tcPr>
          <w:p>
            <w:pPr>
              <w:spacing w:after="0"/>
              <w:rPr>
                <w:rFonts w:ascii="Arial" w:cs="Arial" w:eastAsia="Arial" w:hAnsi="Arial"/>
                <w:sz w:val="18"/>
                <w:szCs w:val="18"/>
                <w:color w:val="0000EE"/>
                <w:w w:val="96"/>
              </w:rPr>
            </w:pPr>
            <w:hyperlink w:anchor="page88">
              <w:r>
                <w:rPr>
                  <w:rFonts w:ascii="Arial" w:cs="Arial" w:eastAsia="Arial" w:hAnsi="Arial"/>
                  <w:sz w:val="18"/>
                  <w:szCs w:val="18"/>
                  <w:color w:val="0000EE"/>
                  <w:w w:val="96"/>
                </w:rPr>
                <w:t>Certification of Principal Executive Officer pursuant to Rules 13a-14(a) and 15d-14(a) under the Securities Exchange Act of 1934, as</w:t>
              </w:r>
            </w:hyperlink>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amended, as adopted pursuant to Section 302 of the Sarbanes-Oxley Act of 2002.</w:t>
              </w:r>
            </w:hyperlink>
          </w:p>
        </w:tc>
        <w:tc>
          <w:tcPr>
            <w:tcW w:w="3740" w:type="dxa"/>
            <w:vAlign w:val="bottom"/>
            <w:tcBorders>
              <w:top w:val="single" w:sz="8" w:color="0000EE"/>
            </w:tcBorders>
            <w:gridSpan w:val="2"/>
          </w:tcPr>
          <w:p>
            <w:pPr>
              <w:spacing w:after="0"/>
              <w:rPr>
                <w:sz w:val="17"/>
                <w:szCs w:val="17"/>
                <w:color w:val="auto"/>
              </w:rPr>
            </w:pPr>
          </w:p>
        </w:tc>
        <w:tc>
          <w:tcPr>
            <w:tcW w:w="580" w:type="dxa"/>
            <w:vAlign w:val="bottom"/>
            <w:gridSpan w:val="10"/>
          </w:tcPr>
          <w:p>
            <w:pPr>
              <w:spacing w:after="0"/>
              <w:rPr>
                <w:sz w:val="17"/>
                <w:szCs w:val="17"/>
                <w:color w:val="auto"/>
              </w:rPr>
            </w:pPr>
          </w:p>
        </w:tc>
      </w:tr>
      <w:tr>
        <w:trPr>
          <w:trHeight w:val="439"/>
        </w:trPr>
        <w:tc>
          <w:tcPr>
            <w:tcW w:w="900" w:type="dxa"/>
            <w:vAlign w:val="bottom"/>
          </w:tcPr>
          <w:p>
            <w:pPr>
              <w:ind w:left="10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95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89">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620" w:type="dxa"/>
            <w:vAlign w:val="bottom"/>
            <w:gridSpan w:val="11"/>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amended, as adopted pursuant to Section 302 of the Sarbanes-Oxley Act of 2002.</w:t>
              </w:r>
            </w:hyperlink>
          </w:p>
        </w:tc>
        <w:tc>
          <w:tcPr>
            <w:tcW w:w="4320" w:type="dxa"/>
            <w:vAlign w:val="bottom"/>
            <w:gridSpan w:val="12"/>
          </w:tcPr>
          <w:p>
            <w:pPr>
              <w:spacing w:after="0"/>
              <w:rPr>
                <w:sz w:val="17"/>
                <w:szCs w:val="17"/>
                <w:color w:val="auto"/>
              </w:rPr>
            </w:pPr>
          </w:p>
        </w:tc>
      </w:tr>
      <w:tr>
        <w:trPr>
          <w:trHeight w:val="439"/>
        </w:trPr>
        <w:tc>
          <w:tcPr>
            <w:tcW w:w="900" w:type="dxa"/>
            <w:vAlign w:val="bottom"/>
          </w:tcPr>
          <w:p>
            <w:pPr>
              <w:ind w:left="10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99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200" w:type="dxa"/>
            <w:vAlign w:val="bottom"/>
            <w:gridSpan w:val="5"/>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80" w:type="dxa"/>
            <w:vAlign w:val="bottom"/>
            <w:gridSpan w:val="18"/>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Act of 2002.</w:t>
              </w:r>
            </w:hyperlink>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020" w:type="dxa"/>
            <w:vAlign w:val="bottom"/>
            <w:gridSpan w:val="10"/>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439"/>
        </w:trPr>
        <w:tc>
          <w:tcPr>
            <w:tcW w:w="900" w:type="dxa"/>
            <w:vAlign w:val="bottom"/>
          </w:tcPr>
          <w:p>
            <w:pPr>
              <w:ind w:left="10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10180" w:type="dxa"/>
            <w:vAlign w:val="bottom"/>
            <w:gridSpan w:val="18"/>
          </w:tcPr>
          <w:p>
            <w:pPr>
              <w:spacing w:after="0"/>
              <w:rPr>
                <w:rFonts w:ascii="Arial" w:cs="Arial" w:eastAsia="Arial" w:hAnsi="Arial"/>
                <w:sz w:val="18"/>
                <w:szCs w:val="18"/>
                <w:color w:val="0000EE"/>
                <w:w w:val="93"/>
              </w:rPr>
            </w:pPr>
            <w:hyperlink w:anchor="page91">
              <w:r>
                <w:rPr>
                  <w:rFonts w:ascii="Arial" w:cs="Arial" w:eastAsia="Arial" w:hAnsi="Arial"/>
                  <w:sz w:val="18"/>
                  <w:szCs w:val="18"/>
                  <w:color w:val="0000EE"/>
                  <w:w w:val="93"/>
                </w:rPr>
                <w:t>Certification of Principal Financial Officer pursuant to 18 U.S.C. Section 1350, as adopted pursuant to Section 906 of the Sarbanes-Oxley</w:t>
              </w:r>
            </w:hyperlink>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Act of 2002.</w:t>
              </w:r>
            </w:hyperlink>
          </w:p>
        </w:tc>
        <w:tc>
          <w:tcPr>
            <w:tcW w:w="260" w:type="dxa"/>
            <w:vAlign w:val="bottom"/>
            <w:gridSpan w:val="7"/>
          </w:tcPr>
          <w:p>
            <w:pPr>
              <w:spacing w:after="0"/>
              <w:rPr>
                <w:sz w:val="17"/>
                <w:szCs w:val="17"/>
                <w:color w:val="auto"/>
              </w:rPr>
            </w:pPr>
          </w:p>
        </w:tc>
      </w:tr>
      <w:tr>
        <w:trPr>
          <w:trHeight w:val="20"/>
        </w:trPr>
        <w:tc>
          <w:tcPr>
            <w:tcW w:w="106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280" w:type="dxa"/>
            <w:vAlign w:val="bottom"/>
            <w:gridSpan w:val="17"/>
          </w:tcPr>
          <w:p>
            <w:pPr>
              <w:spacing w:after="0" w:line="20" w:lineRule="exact"/>
              <w:rPr>
                <w:sz w:val="1"/>
                <w:szCs w:val="1"/>
                <w:color w:val="auto"/>
              </w:rPr>
            </w:pPr>
          </w:p>
        </w:tc>
      </w:tr>
      <w:tr>
        <w:trPr>
          <w:trHeight w:val="480"/>
        </w:trPr>
        <w:tc>
          <w:tcPr>
            <w:tcW w:w="10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80" w:type="dxa"/>
            <w:vAlign w:val="bottom"/>
            <w:gridSpan w:val="18"/>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10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8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r>
      <w:tr>
        <w:trPr>
          <w:trHeight w:val="459"/>
        </w:trPr>
        <w:tc>
          <w:tcPr>
            <w:tcW w:w="10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8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59"/>
        </w:trPr>
        <w:tc>
          <w:tcPr>
            <w:tcW w:w="10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8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59"/>
        </w:trPr>
        <w:tc>
          <w:tcPr>
            <w:tcW w:w="10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8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59"/>
        </w:trPr>
        <w:tc>
          <w:tcPr>
            <w:tcW w:w="10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8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right="60" w:firstLine="8"/>
        <w:spacing w:after="0" w:line="253" w:lineRule="auto"/>
        <w:tabs>
          <w:tab w:leader="none" w:pos="1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in Exhibits 32.1 and 32.2 shall not be deemed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(including this Quarterly Report on Form 10-Q), unless the Registrant specifically incorporates the foregoing information into those documents by reference.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620" w:type="dxa"/>
            <w:vAlign w:val="bottom"/>
            <w:gridSpan w:val="2"/>
          </w:tcPr>
          <w:p>
            <w:pPr>
              <w:ind w:left="1740"/>
              <w:spacing w:after="0"/>
              <w:rPr>
                <w:sz w:val="20"/>
                <w:szCs w:val="20"/>
                <w:color w:val="auto"/>
              </w:rPr>
            </w:pPr>
            <w:r>
              <w:rPr>
                <w:rFonts w:ascii="Arial" w:cs="Arial" w:eastAsia="Arial" w:hAnsi="Arial"/>
                <w:sz w:val="18"/>
                <w:szCs w:val="18"/>
                <w:color w:val="auto"/>
              </w:rPr>
              <w:t>SPRUCE BIOSCIENCES, INC.</w:t>
            </w:r>
          </w:p>
        </w:tc>
      </w:tr>
      <w:tr>
        <w:trPr>
          <w:trHeight w:val="459"/>
        </w:trPr>
        <w:tc>
          <w:tcPr>
            <w:tcW w:w="3620" w:type="dxa"/>
            <w:vAlign w:val="bottom"/>
          </w:tcPr>
          <w:p>
            <w:pPr>
              <w:spacing w:after="0"/>
              <w:rPr>
                <w:sz w:val="20"/>
                <w:szCs w:val="20"/>
                <w:color w:val="auto"/>
              </w:rPr>
            </w:pPr>
            <w:r>
              <w:rPr>
                <w:rFonts w:ascii="Arial" w:cs="Arial" w:eastAsia="Arial" w:hAnsi="Arial"/>
                <w:sz w:val="18"/>
                <w:szCs w:val="18"/>
                <w:color w:val="auto"/>
              </w:rPr>
              <w:t>Date: November 18, 2020</w:t>
            </w:r>
          </w:p>
        </w:tc>
        <w:tc>
          <w:tcPr>
            <w:tcW w:w="2080" w:type="dxa"/>
            <w:vAlign w:val="bottom"/>
          </w:tcPr>
          <w:p>
            <w:pPr>
              <w:ind w:left="174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Richard King</w:t>
            </w:r>
          </w:p>
        </w:tc>
      </w:tr>
      <w:tr>
        <w:trPr>
          <w:trHeight w:val="222"/>
        </w:trPr>
        <w:tc>
          <w:tcPr>
            <w:tcW w:w="36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3"/>
              </w:rPr>
              <w:t>Richard King</w:t>
            </w:r>
          </w:p>
        </w:tc>
      </w:tr>
      <w:tr>
        <w:trPr>
          <w:trHeight w:val="216"/>
        </w:trPr>
        <w:tc>
          <w:tcPr>
            <w:tcW w:w="3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6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459"/>
        </w:trPr>
        <w:tc>
          <w:tcPr>
            <w:tcW w:w="3620" w:type="dxa"/>
            <w:vAlign w:val="bottom"/>
          </w:tcPr>
          <w:p>
            <w:pPr>
              <w:spacing w:after="0"/>
              <w:rPr>
                <w:sz w:val="20"/>
                <w:szCs w:val="20"/>
                <w:color w:val="auto"/>
              </w:rPr>
            </w:pPr>
            <w:r>
              <w:rPr>
                <w:rFonts w:ascii="Arial" w:cs="Arial" w:eastAsia="Arial" w:hAnsi="Arial"/>
                <w:sz w:val="18"/>
                <w:szCs w:val="18"/>
                <w:color w:val="auto"/>
              </w:rPr>
              <w:t>Date: November 18, 2020</w:t>
            </w:r>
          </w:p>
        </w:tc>
        <w:tc>
          <w:tcPr>
            <w:tcW w:w="2080" w:type="dxa"/>
            <w:vAlign w:val="bottom"/>
          </w:tcPr>
          <w:p>
            <w:pPr>
              <w:ind w:left="174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Samir Gharib</w:t>
            </w:r>
          </w:p>
        </w:tc>
      </w:tr>
      <w:tr>
        <w:trPr>
          <w:trHeight w:val="224"/>
        </w:trPr>
        <w:tc>
          <w:tcPr>
            <w:tcW w:w="36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0"/>
              </w:rPr>
              <w:t>Samir Gharib</w:t>
            </w:r>
          </w:p>
        </w:tc>
      </w:tr>
    </w:tbl>
    <w:p>
      <w:pPr>
        <w:jc w:val="center"/>
        <w:ind w:left="566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jc w:val="center"/>
        <w:ind w:left="56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King, certify that:</w:t>
      </w:r>
    </w:p>
    <w:p>
      <w:pPr>
        <w:spacing w:after="0" w:line="225"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Spruce Biosciences,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80" w:hanging="492"/>
        <w:spacing w:after="0" w:line="27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tabs>
          <w:tab w:leader="none" w:pos="5680" w:val="left"/>
          <w:tab w:leader="none" w:pos="7980" w:val="left"/>
        </w:tabs>
        <w:rPr>
          <w:sz w:val="20"/>
          <w:szCs w:val="20"/>
          <w:color w:val="auto"/>
        </w:rPr>
      </w:pPr>
      <w:r>
        <w:rPr>
          <w:rFonts w:ascii="Arial" w:cs="Arial" w:eastAsia="Arial" w:hAnsi="Arial"/>
          <w:sz w:val="18"/>
          <w:szCs w:val="18"/>
          <w:color w:val="auto"/>
        </w:rPr>
        <w:t>Date: November 18,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b w:val="1"/>
          <w:bCs w:val="1"/>
          <w:color w:val="auto"/>
        </w:rPr>
        <w:t>Richard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Richard King</w:t>
      </w:r>
    </w:p>
    <w:p>
      <w:pPr>
        <w:spacing w:after="0" w:line="27"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37"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Samir Gharib, certify that:</w:t>
      </w:r>
    </w:p>
    <w:p>
      <w:pPr>
        <w:spacing w:after="0" w:line="225"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Spruce Biosciences,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8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8020" w:val="left"/>
        </w:tabs>
        <w:rPr>
          <w:sz w:val="20"/>
          <w:szCs w:val="20"/>
          <w:color w:val="auto"/>
        </w:rPr>
      </w:pPr>
      <w:r>
        <w:rPr>
          <w:rFonts w:ascii="Arial" w:cs="Arial" w:eastAsia="Arial" w:hAnsi="Arial"/>
          <w:sz w:val="18"/>
          <w:szCs w:val="18"/>
          <w:color w:val="auto"/>
        </w:rPr>
        <w:t>Date: November 18,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Samir Gharib</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337"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Quarterly Report of Spruce Biosciences, Inc. (the “Company”) on Form 10-Q for the period ended September 30,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8020" w:val="left"/>
        </w:tabs>
        <w:rPr>
          <w:sz w:val="20"/>
          <w:szCs w:val="20"/>
          <w:color w:val="auto"/>
        </w:rPr>
      </w:pPr>
      <w:r>
        <w:rPr>
          <w:rFonts w:ascii="Arial" w:cs="Arial" w:eastAsia="Arial" w:hAnsi="Arial"/>
          <w:sz w:val="18"/>
          <w:szCs w:val="18"/>
          <w:color w:val="auto"/>
        </w:rPr>
        <w:t>Date: November 18,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Richard King</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37"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Quarterly Report of Spruce Biosciences, Inc. (the “Company”) on Form 10-Q for the period ended September 30,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8020" w:val="left"/>
        </w:tabs>
        <w:rPr>
          <w:sz w:val="20"/>
          <w:szCs w:val="20"/>
          <w:color w:val="auto"/>
        </w:rPr>
      </w:pPr>
      <w:r>
        <w:rPr>
          <w:rFonts w:ascii="Arial" w:cs="Arial" w:eastAsia="Arial" w:hAnsi="Arial"/>
          <w:sz w:val="18"/>
          <w:szCs w:val="18"/>
          <w:color w:val="auto"/>
        </w:rPr>
        <w:t>Date: November 18,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Samir Gharib</w:t>
      </w:r>
    </w:p>
    <w:p>
      <w:pPr>
        <w:spacing w:after="0" w:line="27"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lowerRoman"/>
      <w:start w:val="2"/>
    </w:lvl>
  </w:abstractNum>
  <w:abstractNum w:abstractNumId="6">
    <w:nsid w:val="2CA88611"/>
    <w:multiLevelType w:val="hybridMultilevel"/>
    <w:lvl w:ilvl="0">
      <w:lvlJc w:val="left"/>
      <w:lvlText w:val="%1."/>
      <w:numFmt w:val="decimal"/>
      <w:start w:val="5"/>
    </w:lvl>
  </w:abstractNum>
  <w:abstractNum w:abstractNumId="7">
    <w:nsid w:val="836C40E"/>
    <w:multiLevelType w:val="hybridMultilevel"/>
    <w:lvl w:ilvl="0">
      <w:lvlJc w:val="left"/>
      <w:lvlText w:val="%1."/>
      <w:numFmt w:val="decimal"/>
      <w:start w:val="6"/>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decimal"/>
      <w:start w:val="19"/>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decimal"/>
      <w:start w:val="19"/>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10" Type="http://schemas.openxmlformats.org/officeDocument/2006/relationships/hyperlink" Target="http://www.sec.gov/Archives/edgar/data/1683553/000119312520269344/d12372dex31.htm" TargetMode="External"/><Relationship Id="rId111" Type="http://schemas.openxmlformats.org/officeDocument/2006/relationships/hyperlink" Target="http://www.sec.gov/Archives/edgar/data/1683553/000119312520269344/d12372dex32.htm" TargetMode="External"/><Relationship Id="rId112" Type="http://schemas.openxmlformats.org/officeDocument/2006/relationships/hyperlink" Target="http://www.sec.gov/Archives/edgar/data/1683553/000119312520263195/d902020dex41.htm" TargetMode="External"/><Relationship Id="rId113" Type="http://schemas.openxmlformats.org/officeDocument/2006/relationships/hyperlink" Target="http://www.sec.gov/Archives/edgar/data/1683553/000119312520249221/d902020dex42.htm" TargetMode="External"/><Relationship Id="rId114" Type="http://schemas.openxmlformats.org/officeDocument/2006/relationships/hyperlink" Target="http://www.sec.gov/Archives/edgar/data/1683553/000119312520249221/d902020dex1017.htm" TargetMode="External"/><Relationship Id="rId115" Type="http://schemas.openxmlformats.org/officeDocument/2006/relationships/hyperlink" Target="http://www.sec.gov/Archives/edgar/data/1683553/000119312520249221/d902020dex1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2020-11-18T16:24:02Z</dcterms:created>
  <dcterms:modified xsi:type="dcterms:W3CDTF">2020-11-18T16:24:02Z</dcterms:modified>
</cp:coreProperties>
</file>