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333-291152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5715</wp:posOffset>
            </wp:positionV>
            <wp:extent cx="358330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330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1,150,000 Shares of Common Stock</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50,000 Shares of Common Stock</w:t>
      </w:r>
    </w:p>
    <w:p>
      <w:pPr>
        <w:spacing w:after="0" w:line="12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offering 1,150,000 shares of our common stock, par value $0.0001 per share, or in lieu of common stock to certain investors that so choose, pre-funded warrants to purchase shares of our common stock. The purchase price of each pre-funded warrant equals the price per share at which shares of our common stock are being sold to the public in this offering, minus $0.01, and the exercise price of each pre-funded warrant is $0.01 per share. We are also offering shares of our common stock that are issuable from time to time upon the exercise of the pre-funded warrants.</w:t>
      </w:r>
    </w:p>
    <w:p>
      <w:pPr>
        <w:spacing w:after="0" w:line="7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apply for listing of the pre-funded warrants on the Nasdaq Capital Market or other securities exchange or nationally recognized trading system. Without an active trading market, the liquidity of the pre-funded warrants will be limited.</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“SPRB.” The last reported sale price of our common stock on the Nasdaq Capital Market on April 20, 2026 was $69.89 per share.</w:t>
      </w:r>
    </w:p>
    <w:p>
      <w:pPr>
        <w:spacing w:after="0" w:line="50"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S-7 of this prospectus supplement, page 6 of the accompanying prospectus and under similar headings in the documents incorporated by reference into this prospectus supplement and the accompanying prospectus.</w:t>
      </w:r>
    </w:p>
    <w:p>
      <w:pPr>
        <w:spacing w:after="0" w:line="6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rules and as such, have elected to comply with reduced public company reporting requirements. See “Prospectus Supplement Summary — Implications of Being a Smaller Reporting Company.”</w:t>
      </w:r>
    </w:p>
    <w:p>
      <w:pPr>
        <w:spacing w:after="0" w:line="50"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Pre-Funded Warrant</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9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59,999,500</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4"/>
                <w:szCs w:val="24"/>
                <w:color w:val="auto"/>
                <w:vertAlign w:val="superscript"/>
              </w:rPr>
              <w:t>(1)</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6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Spruce Biosciences, Inc. before expenses</w:t>
            </w: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9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56,399,500</w:t>
            </w:r>
          </w:p>
        </w:tc>
        <w:tc>
          <w:tcPr>
            <w:tcW w:w="120" w:type="dxa"/>
            <w:vAlign w:val="bottom"/>
            <w:shd w:val="clear" w:color="auto" w:fill="CCEEFF"/>
          </w:tcPr>
          <w:p>
            <w:pPr>
              <w:spacing w:after="0"/>
              <w:rPr>
                <w:sz w:val="18"/>
                <w:szCs w:val="18"/>
                <w:color w:val="auto"/>
              </w:rPr>
            </w:pPr>
          </w:p>
        </w:tc>
      </w:tr>
      <w:tr>
        <w:trPr>
          <w:trHeight w:val="207"/>
        </w:trPr>
        <w:tc>
          <w:tcPr>
            <w:tcW w:w="9460" w:type="dxa"/>
            <w:vAlign w:val="bottom"/>
            <w:gridSpan w:val="7"/>
          </w:tcPr>
          <w:p>
            <w:pPr>
              <w:ind w:left="760"/>
              <w:spacing w:after="0"/>
              <w:rPr>
                <w:sz w:val="20"/>
                <w:szCs w:val="20"/>
                <w:color w:val="auto"/>
              </w:rPr>
            </w:pPr>
            <w:r>
              <w:rPr>
                <w:rFonts w:ascii="Times New Roman" w:cs="Times New Roman" w:eastAsia="Times New Roman" w:hAnsi="Times New Roman"/>
                <w:sz w:val="14"/>
                <w:szCs w:val="14"/>
                <w:color w:val="auto"/>
              </w:rPr>
              <w:t>(1)  We have agreed to reimburse the underwriters for certain expenses. See “Underwriting” beginning on page S-21 of this prospectus supplement</w:t>
            </w:r>
          </w:p>
        </w:tc>
        <w:tc>
          <w:tcPr>
            <w:tcW w:w="30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for additional</w:t>
            </w:r>
          </w:p>
        </w:tc>
      </w:tr>
      <w:tr>
        <w:trPr>
          <w:trHeight w:val="188"/>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information regarding underwriter compensation.</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shares of common stock and pre-funded warrants is expected to be made on or about April 22, 2026.</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180,000 shares of our common stock at the public offering price, less the underwriting discounts and commissions. If the underwriters exercise the option in full, the total underwriting discounts and commissions payable by us will be $4,140,000, and the total proceeds to us, before expenses, will be $64,859,500.</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108" w:lineRule="exact"/>
        <w:rPr>
          <w:sz w:val="24"/>
          <w:szCs w:val="24"/>
          <w:color w:val="auto"/>
        </w:rPr>
      </w:pPr>
    </w:p>
    <w:p>
      <w:pPr>
        <w:ind w:left="2340"/>
        <w:spacing w:after="0"/>
        <w:tabs>
          <w:tab w:leader="none" w:pos="4480" w:val="left"/>
          <w:tab w:leader="none" w:pos="7000" w:val="left"/>
        </w:tabs>
        <w:rPr>
          <w:sz w:val="20"/>
          <w:szCs w:val="20"/>
          <w:color w:val="auto"/>
        </w:rPr>
      </w:pPr>
      <w:r>
        <w:rPr>
          <w:rFonts w:ascii="Times New Roman" w:cs="Times New Roman" w:eastAsia="Times New Roman" w:hAnsi="Times New Roman"/>
          <w:sz w:val="22"/>
          <w:szCs w:val="22"/>
          <w:b w:val="1"/>
          <w:bCs w:val="1"/>
          <w:color w:val="auto"/>
        </w:rPr>
        <w:t>Leerink Partners</w:t>
      </w:r>
      <w:r>
        <w:rPr>
          <w:sz w:val="20"/>
          <w:szCs w:val="20"/>
          <w:color w:val="auto"/>
        </w:rPr>
        <w:tab/>
      </w:r>
      <w:r>
        <w:rPr>
          <w:rFonts w:ascii="Times New Roman" w:cs="Times New Roman" w:eastAsia="Times New Roman" w:hAnsi="Times New Roman"/>
          <w:sz w:val="22"/>
          <w:szCs w:val="22"/>
          <w:b w:val="1"/>
          <w:bCs w:val="1"/>
          <w:color w:val="auto"/>
        </w:rPr>
        <w:t>Guggenheim Securities</w:t>
      </w:r>
      <w:r>
        <w:rPr>
          <w:sz w:val="20"/>
          <w:szCs w:val="20"/>
          <w:color w:val="auto"/>
        </w:rPr>
        <w:tab/>
      </w:r>
      <w:r>
        <w:rPr>
          <w:rFonts w:ascii="Times New Roman" w:cs="Times New Roman" w:eastAsia="Times New Roman" w:hAnsi="Times New Roman"/>
          <w:sz w:val="21"/>
          <w:szCs w:val="21"/>
          <w:b w:val="1"/>
          <w:bCs w:val="1"/>
          <w:color w:val="auto"/>
        </w:rPr>
        <w:t>Oppenheimer &amp; Co.</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111" w:lineRule="exact"/>
        <w:rPr>
          <w:sz w:val="24"/>
          <w:szCs w:val="24"/>
          <w:color w:val="auto"/>
        </w:rPr>
      </w:pPr>
    </w:p>
    <w:p>
      <w:pPr>
        <w:ind w:left="4060"/>
        <w:spacing w:after="0"/>
        <w:tabs>
          <w:tab w:leader="none" w:pos="5980" w:val="left"/>
        </w:tabs>
        <w:rPr>
          <w:sz w:val="20"/>
          <w:szCs w:val="20"/>
          <w:color w:val="auto"/>
        </w:rPr>
      </w:pPr>
      <w:r>
        <w:rPr>
          <w:rFonts w:ascii="Times New Roman" w:cs="Times New Roman" w:eastAsia="Times New Roman" w:hAnsi="Times New Roman"/>
          <w:sz w:val="20"/>
          <w:szCs w:val="20"/>
          <w:b w:val="1"/>
          <w:bCs w:val="1"/>
          <w:color w:val="auto"/>
        </w:rPr>
        <w:t>Jones</w:t>
      </w:r>
      <w:r>
        <w:rPr>
          <w:sz w:val="20"/>
          <w:szCs w:val="20"/>
          <w:color w:val="auto"/>
        </w:rPr>
        <w:tab/>
      </w:r>
      <w:r>
        <w:rPr>
          <w:rFonts w:ascii="Times New Roman" w:cs="Times New Roman" w:eastAsia="Times New Roman" w:hAnsi="Times New Roman"/>
          <w:sz w:val="20"/>
          <w:szCs w:val="20"/>
          <w:b w:val="1"/>
          <w:bCs w:val="1"/>
          <w:color w:val="auto"/>
        </w:rPr>
        <w:t>Craig-Hallum</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Supplement dated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056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ABOUT THIS PROSPECTUS SUPPLEMENT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PROSPECTUS SUPPLEMENT SUMMARY</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THE OFFERING</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RISK FACTORS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USE OF PROCEEDS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DIVIDEND POLICY</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DILUTION</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DESCRIPTION OF SECURITIES WE ARE OFFERING</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MATERIAL U.S. FEDERAL INCOME TAX CONSEQUENCES TO NON-U.S. HOLDERS OF OUR COMMON STOCK AND PRE-FUNDED WARRANTS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800" w:type="dxa"/>
            <w:vAlign w:val="bottom"/>
            <w:tcBorders>
              <w:top w:val="single" w:sz="8" w:color="0000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UNDERWRITING</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LEGAL MATTERS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EXPERTS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S-28</w:t>
            </w:r>
          </w:p>
        </w:tc>
        <w:tc>
          <w:tcPr>
            <w:tcW w:w="0" w:type="dxa"/>
            <w:vAlign w:val="bottom"/>
          </w:tcPr>
          <w:p>
            <w:pPr>
              <w:spacing w:after="0"/>
              <w:rPr>
                <w:sz w:val="1"/>
                <w:szCs w:val="1"/>
                <w:color w:val="auto"/>
              </w:rPr>
            </w:pPr>
          </w:p>
        </w:tc>
      </w:tr>
      <w:tr>
        <w:trPr>
          <w:trHeight w:val="348"/>
        </w:trPr>
        <w:tc>
          <w:tcPr>
            <w:tcW w:w="42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6360" w:type="dxa"/>
            <w:vAlign w:val="bottom"/>
            <w:tcBorders>
              <w:top w:val="single" w:sz="8" w:color="CCEEFF"/>
            </w:tcBorders>
            <w:gridSpan w:val="4"/>
          </w:tcPr>
          <w:p>
            <w:pPr>
              <w:spacing w:after="0"/>
              <w:rPr>
                <w:sz w:val="24"/>
                <w:szCs w:val="24"/>
                <w:color w:val="auto"/>
              </w:rPr>
            </w:pPr>
          </w:p>
        </w:tc>
        <w:tc>
          <w:tcPr>
            <w:tcW w:w="680" w:type="dxa"/>
            <w:vAlign w:val="bottom"/>
            <w:tcBorders>
              <w:top w:val="single" w:sz="8" w:color="CCEEFF"/>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ABOUT THIS PROSPECTUS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PROSPECTUS SUMMARY</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RISK FACTORS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SELECTED FINANCIAL DATA REFLECTING REVERSE STOCK SPLIT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USE OF PROCEEDS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DESCRIPTION OF DEBT SECURITIES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DESCRIPTION OF WARRANTS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LEGAL OWNERSHIP OF SECURITIES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PLAN OF DISTRIBUTION</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LEGAL MATTERS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EXPERTS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2"/>
        </w:trPr>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80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560" w:type="dxa"/>
            <w:vAlign w:val="bottom"/>
            <w:gridSpan w:val="2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188"/>
        </w:trPr>
        <w:tc>
          <w:tcPr>
            <w:tcW w:w="6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part of a “shelf” registration statement on Form S-3 that we filed with the Securities and Exchange Commission (the “SEC”) and is in two parts. The first part is this prospectus supplement, which describes the specific terms of this offering of our common stock and pre-funded warrants and also adds to and updates information contained in the accompanying prospectus and the documents incorporated by reference herein and therein.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into this prospectus supplement or the accompanying prospectus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into this prospectus supplement — the statement in the document having the later date modifies or supersedes the earlier statement.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any information other than that contained or incorporated by reference in this prospectus supplement, the accompanying prospectus or in any free writing prospectus prepared by or on behalf of us or to which we have referred you. We take,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securities.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and pre-funded warrants only in jurisdictions where offers and sales are permitted. The distribution of this prospectus supplement and the accompanying prospectus and the offering of shares of our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shares of our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all references in this prospectus supplement and the accompanying prospectus to “we,” “us,” “our,” “Spruce,” “Company” and similar designations refer, collectively, to Spruce Biosciences, Inc., a Delaware corporation, and where specified, our subsidiaries.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forward-looking statements. These are based on our management’s current beliefs, expectations and assumptions about future events, conditions and results and on information currently available to us. Discussion containing these forward-looking statements may be found, among other places, in the sections titled “Business,” “Risk Factors” and “Management’s Discussion and Analysis of Financial Condition and Results of Operations” contained in the documents incorporated herein and therein.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supplement, the accompanying prospectus or incorporated herein or therein about our expectations, beliefs, plans, objectives, assumptions or future events or performance are not historical facts and are forward-looking statements within the meaning of Section 27A of the Securities Act of 1933, as amended (the “Securities Act”), and Section 21E of the Securities Exchange Act of 1934, as amended (the “Exchange Act”). These forward-looking statements include statements regarding:</w:t>
      </w:r>
    </w:p>
    <w:p>
      <w:pPr>
        <w:spacing w:after="0" w:line="72" w:lineRule="exact"/>
        <w:rPr>
          <w:sz w:val="20"/>
          <w:szCs w:val="20"/>
          <w:color w:val="auto"/>
        </w:rPr>
      </w:pPr>
    </w:p>
    <w:p>
      <w:pPr>
        <w:ind w:left="760" w:right="2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costs, and conduct of our product candidates’ development activities and ongoing and planned clinical trials, and plans and expectations for future operations and anticipated product development efforts;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funding and related risks for our business, product development programs and future commercialization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clinical trials we conduct;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the addressable patient population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commercialize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marketplace;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net proceeds from this offering;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in our most recent Annual Report on Form 10-K and other subsequent filings we make with the SEC, including our Quarterly Reports on Form 10-Q.</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supplement, the accompanying prospectus and the documents incorporated by reference herein and therein.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this prospectus supplement and the documents incorporated by reference herein also refer to estimates and other statistical data made by independent parties and by us relating to potential market size related to our product candidates. This data involves a number of assumptions and limitations, and you are cautioned not to give undue weight to such estimates.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included important factors in the cautionary statements included in this prospectus supplement, particularly in the “Risk Factors” section, that we believe could cause actual results or events to differ materially from the forward-looking statements that we make.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Except as required by law, we assume no obligation to update these forward-looking statements publicly, or to revise any forward-looking statements to reflect events or developments occurring after the date of this prospectus supplement, even if new information becomes available in the future.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supplement,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-127000</wp:posOffset>
            </wp:positionV>
            <wp:extent cx="7136130" cy="6467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securities. You should read this entire prospectus supplement and the accompanying prospectus carefully, especially the risks of investing in our securities discussed under “Risk Factors” beginning on page S-7 of this prospectus supplement and under a similar heading in our most recent Annual Report on Form 10-K, which is incorporated by reference into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Please also read carefully the section titled “Special Note Regarding Forward-Looking Statements.”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spacing w:after="0" w:line="7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Tralesinidase alfa enzyme replacement therapy (“TA-ERT”) is our product candidate for the treatment of Sanfilippo Syndrome Type B, or Mucopolysaccharidosis Type IIIB (“MPS IIIB”), an ultra-rare, serious, and fatal genetic disease characterized by deficiency in N-Acetyl-Alpha-Glycosaminidase, an enzyme required for the degradation of heparan sulfate in lysosomes, for which there are currently no therapies approved by the U.S. Food and Drug Administration. Based on the range of epidemiological estimates and published literature, we estimate there are approximately between 400 individuals and 3,000 individuals currently living with MPS IIIB in the United States, with approximately between 20 and 150 incidence cases annually in the United States, representing what we believe to be a significant market opportunity.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April 2016. Our principal executive offices are located at 611 Gateway Boulevard, Suite 740, South San Francisco, CA 94080, and our telephone number is (415) 343-5986. Our common stock is listed on the Nasdaq Capital Market under the symbol “SPRB.”</w:t>
      </w:r>
    </w:p>
    <w:p>
      <w:pPr>
        <w:spacing w:after="0" w:line="6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Our internet website address is www.sprucebiosciences.com.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spacing w:after="0" w:line="6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“Spruce”, the Spruce logo and our other trademarks or service marks appearing in this prospectus supplement or incorporated herein by reference are our property. This prospectus supplement and the information incorporated herein by reference may contain additional trade names, trademarks and service marks of others, which are the property of their respective owners.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June 30th of such fiscal year, or (2) our annual revenues did not equal or exceed $100.0 million during the most recently completed fiscal year for which audited financial statements are available and the market value of our shares of common stock held by non-affiliates did not equal or exceed $700.0 million as of June 30th of such fiscal year. To the extent we take advantage of any reduced disclosure obligations, it may make the comparison of our financial statements with other public companies difficult or impossible.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769" w:right="899" w:bottom="1440" w:gutter="0" w:footer="0" w:header="0"/>
        </w:sectPr>
      </w:pPr>
    </w:p>
    <w:bookmarkStart w:id="6" w:name="page7"/>
    <w:bookmarkEnd w:id="6"/>
    <w:p>
      <w:pPr>
        <w:ind w:left="5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6330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ind w:left="580" w:right="620"/>
        <w:spacing w:after="0" w:line="537" w:lineRule="auto"/>
        <w:rPr>
          <w:sz w:val="20"/>
          <w:szCs w:val="20"/>
          <w:color w:val="auto"/>
        </w:rPr>
      </w:pPr>
      <w:r>
        <w:rPr>
          <w:rFonts w:ascii="Times New Roman" w:cs="Times New Roman" w:eastAsia="Times New Roman" w:hAnsi="Times New Roman"/>
          <w:sz w:val="18"/>
          <w:szCs w:val="18"/>
          <w:b w:val="1"/>
          <w:bCs w:val="1"/>
          <w:color w:val="auto"/>
        </w:rPr>
        <w:t>Common stock offered by Spruce Pre-funded warrants offered by Spruce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1,150,000 shares</w:t>
      </w:r>
    </w:p>
    <w:p>
      <w:pPr>
        <w:spacing w:after="0" w:line="225" w:lineRule="exact"/>
        <w:rPr>
          <w:sz w:val="20"/>
          <w:szCs w:val="20"/>
          <w:color w:val="auto"/>
        </w:rPr>
      </w:pPr>
    </w:p>
    <w:p>
      <w:pPr>
        <w:ind w:right="600"/>
        <w:spacing w:after="0" w:line="253" w:lineRule="auto"/>
        <w:rPr>
          <w:sz w:val="20"/>
          <w:szCs w:val="20"/>
          <w:color w:val="auto"/>
        </w:rPr>
      </w:pPr>
      <w:r>
        <w:rPr>
          <w:rFonts w:ascii="Times New Roman" w:cs="Times New Roman" w:eastAsia="Times New Roman" w:hAnsi="Times New Roman"/>
          <w:sz w:val="18"/>
          <w:szCs w:val="18"/>
          <w:color w:val="auto"/>
        </w:rPr>
        <w:t>We are also offering, in lieu of common stock to certain investors that so choose, pre-funded warrants to purchase 50,000 shares of our common stock. The purchase price of each pre-funded warrant equals the price per share at which the shares of our common stock are being sold to the public in this offering, minus $0.01, which is the exercise price of each pre-funded warrant per share. The pre-funded warrants do not expire and each pre-funded warrant will be exercisable at any time after the date of issuance of such pre-funded warrant, subject to an ownership limitation. See “Description of Securities We Are Offering—Pre-Funded Warrants” on page S-14 of this prospectus supplement. This prospectus supplement also relates to the offering of the shares of our common stock issuable upon exercise of the pre-funded warrants.</w:t>
      </w:r>
    </w:p>
    <w:p>
      <w:pPr>
        <w:spacing w:after="0" w:line="188" w:lineRule="exact"/>
        <w:rPr>
          <w:sz w:val="20"/>
          <w:szCs w:val="20"/>
          <w:color w:val="auto"/>
        </w:rPr>
      </w:pPr>
    </w:p>
    <w:p>
      <w:pPr>
        <w:sectPr>
          <w:pgSz w:w="11900" w:h="16838" w:orient="portrait"/>
          <w:cols w:equalWidth="0" w:num="2">
            <w:col w:w="4220" w:space="720"/>
            <w:col w:w="630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2,522,043 shares of common stock (or 2,702,043 shares of common stock if</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underwriters exercise in full their option to purchase additional shares) in</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each case assuming no exercise of any pre-funded warrants issued in this</w:t>
            </w:r>
          </w:p>
        </w:tc>
      </w:tr>
      <w:tr>
        <w:trPr>
          <w:trHeight w:val="234"/>
        </w:trPr>
        <w:tc>
          <w:tcPr>
            <w:tcW w:w="4720" w:type="dxa"/>
            <w:vAlign w:val="bottom"/>
          </w:tcPr>
          <w:p>
            <w:pPr>
              <w:spacing w:after="0"/>
              <w:rPr>
                <w:sz w:val="20"/>
                <w:szCs w:val="20"/>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w:t>
            </w:r>
          </w:p>
        </w:tc>
      </w:tr>
      <w:tr>
        <w:trPr>
          <w:trHeight w:val="414"/>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180,000 shares of our common stock from us. The underwriters can exercise</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this option, in whole or in part, at any time within 30 days from the date of this</w:t>
            </w:r>
          </w:p>
        </w:tc>
      </w:tr>
      <w:tr>
        <w:trPr>
          <w:trHeight w:val="234"/>
        </w:trPr>
        <w:tc>
          <w:tcPr>
            <w:tcW w:w="4720" w:type="dxa"/>
            <w:vAlign w:val="bottom"/>
          </w:tcPr>
          <w:p>
            <w:pPr>
              <w:spacing w:after="0"/>
              <w:rPr>
                <w:sz w:val="20"/>
                <w:szCs w:val="20"/>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14"/>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by us, will be approximately $55.9 million, or approximately $64.4</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if the underwriters exercise their option to purchase additional shares</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from us in full. We will receive only nominal additional proceeds from any</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pre-funded warrants. We intend to use the net proceeds from this</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to advance the Company’s pre-commercial and launch activities, for</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planned clinical trials, and for working capital, capital expenditures and other</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corporate purposes. See “Use of Proceeds” on page S-10 of this</w:t>
            </w:r>
          </w:p>
        </w:tc>
      </w:tr>
      <w:tr>
        <w:trPr>
          <w:trHeight w:val="234"/>
        </w:trPr>
        <w:tc>
          <w:tcPr>
            <w:tcW w:w="4720" w:type="dxa"/>
            <w:vAlign w:val="bottom"/>
          </w:tcPr>
          <w:p>
            <w:pPr>
              <w:spacing w:after="0"/>
              <w:rPr>
                <w:sz w:val="20"/>
                <w:szCs w:val="20"/>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14"/>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You should read the</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 section of this prospectus supplement beginning on page S-7,</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page 6 of the accompanying prospectus, and in the documents incorporated by</w:t>
            </w:r>
          </w:p>
        </w:tc>
      </w:tr>
      <w:tr>
        <w:trPr>
          <w:trHeight w:val="216"/>
        </w:trPr>
        <w:tc>
          <w:tcPr>
            <w:tcW w:w="47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 herein or therein, for a discussion of factors to consider carefully</w:t>
            </w:r>
          </w:p>
        </w:tc>
      </w:tr>
      <w:tr>
        <w:trPr>
          <w:trHeight w:val="234"/>
        </w:trPr>
        <w:tc>
          <w:tcPr>
            <w:tcW w:w="4720" w:type="dxa"/>
            <w:vAlign w:val="bottom"/>
          </w:tcPr>
          <w:p>
            <w:pPr>
              <w:spacing w:after="0"/>
              <w:rPr>
                <w:sz w:val="20"/>
                <w:szCs w:val="20"/>
                <w:color w:val="auto"/>
              </w:rPr>
            </w:pP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deciding to invest in our securities.</w:t>
            </w:r>
          </w:p>
        </w:tc>
      </w:tr>
      <w:tr>
        <w:trPr>
          <w:trHeight w:val="432"/>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tc>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“SPRB”</w:t>
            </w:r>
          </w:p>
        </w:tc>
      </w:tr>
      <w:tr>
        <w:trPr>
          <w:trHeight w:val="429"/>
        </w:trPr>
        <w:tc>
          <w:tcPr>
            <w:tcW w:w="47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r>
        <w:trPr>
          <w:trHeight w:val="388"/>
        </w:trPr>
        <w:tc>
          <w:tcPr>
            <w:tcW w:w="4720" w:type="dxa"/>
            <w:vAlign w:val="bottom"/>
          </w:tcPr>
          <w:p>
            <w:pPr>
              <w:spacing w:after="0"/>
              <w:rPr>
                <w:sz w:val="24"/>
                <w:szCs w:val="24"/>
                <w:color w:val="auto"/>
              </w:rPr>
            </w:pPr>
          </w:p>
        </w:tc>
        <w:tc>
          <w:tcPr>
            <w:tcW w:w="65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S-5</w:t>
            </w:r>
          </w:p>
        </w:tc>
      </w:tr>
      <w:tr>
        <w:trPr>
          <w:trHeight w:val="763"/>
        </w:trPr>
        <w:tc>
          <w:tcPr>
            <w:tcW w:w="47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1,372,043 shares of common stock outstanding as of December 31, 2025 and excludes: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-307340</wp:posOffset>
            </wp:positionV>
            <wp:extent cx="7136130" cy="3870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r>
    </w:p>
    <w:p>
      <w:pPr>
        <w:spacing w:after="0" w:line="34" w:lineRule="exact"/>
        <w:rPr>
          <w:sz w:val="20"/>
          <w:szCs w:val="20"/>
          <w:color w:val="auto"/>
        </w:rPr>
      </w:pPr>
    </w:p>
    <w:p>
      <w:pPr>
        <w:ind w:left="680" w:right="2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42,421 shares of common stock issuable upon the exercise of stock options outstanding as of December 31, 2025, at a weighted-average exercise price of $244.86 per share;</w:t>
      </w:r>
    </w:p>
    <w:p>
      <w:pPr>
        <w:spacing w:after="0" w:line="53" w:lineRule="exact"/>
        <w:rPr>
          <w:rFonts w:ascii="Times New Roman" w:cs="Times New Roman" w:eastAsia="Times New Roman" w:hAnsi="Times New Roman"/>
          <w:sz w:val="18"/>
          <w:szCs w:val="18"/>
          <w:color w:val="auto"/>
        </w:rPr>
      </w:pPr>
    </w:p>
    <w:p>
      <w:pPr>
        <w:ind w:left="68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47,200 shares of common stock issuable upon the vesting or other settlement of restricted stock units outstanding as of December 31, 2025;</w:t>
      </w:r>
    </w:p>
    <w:p>
      <w:pPr>
        <w:spacing w:after="0" w:line="53" w:lineRule="exact"/>
        <w:rPr>
          <w:rFonts w:ascii="Times New Roman" w:cs="Times New Roman" w:eastAsia="Times New Roman" w:hAnsi="Times New Roman"/>
          <w:sz w:val="18"/>
          <w:szCs w:val="18"/>
          <w:color w:val="auto"/>
        </w:rPr>
      </w:pPr>
    </w:p>
    <w:p>
      <w:pPr>
        <w:ind w:left="68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62,350 shares of common stock issuable upon the vesting or other settlement of restricted stock units that we granted after December 31, 2025 and through the date of this prospectus supplement;</w:t>
      </w:r>
    </w:p>
    <w:p>
      <w:pPr>
        <w:spacing w:after="0" w:line="53" w:lineRule="exact"/>
        <w:rPr>
          <w:rFonts w:ascii="Times New Roman" w:cs="Times New Roman" w:eastAsia="Times New Roman" w:hAnsi="Times New Roman"/>
          <w:sz w:val="18"/>
          <w:szCs w:val="18"/>
          <w:color w:val="auto"/>
        </w:rPr>
      </w:pPr>
    </w:p>
    <w:p>
      <w:pPr>
        <w:ind w:left="68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169,147 shares of common stock issuable upon the exercise of common warrants outstanding as of December 31, 2025 at an exercise price of $297.02 per share;</w:t>
      </w:r>
    </w:p>
    <w:p>
      <w:pPr>
        <w:spacing w:after="0" w:line="53" w:lineRule="exact"/>
        <w:rPr>
          <w:rFonts w:ascii="Times New Roman" w:cs="Times New Roman" w:eastAsia="Times New Roman" w:hAnsi="Times New Roman"/>
          <w:sz w:val="18"/>
          <w:szCs w:val="18"/>
          <w:color w:val="auto"/>
        </w:rPr>
      </w:pPr>
    </w:p>
    <w:p>
      <w:pPr>
        <w:ind w:left="68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58,608 shares of common stock issuable upon the exercise of common stock warrants that we issued after December 31, 2025 and through the date of this prospectus supplement at an exercise price of $50.00 per share;</w:t>
      </w:r>
    </w:p>
    <w:p>
      <w:pPr>
        <w:spacing w:after="0" w:line="53" w:lineRule="exact"/>
        <w:rPr>
          <w:rFonts w:ascii="Times New Roman" w:cs="Times New Roman" w:eastAsia="Times New Roman" w:hAnsi="Times New Roman"/>
          <w:sz w:val="18"/>
          <w:szCs w:val="18"/>
          <w:color w:val="auto"/>
        </w:rPr>
      </w:pPr>
    </w:p>
    <w:p>
      <w:pPr>
        <w:ind w:left="68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19,715 shares of common stock reserved for future issuance under our 2020 Equity Incentive Plan as of December 31, 2025, as well as any automatic increases in the number of shares of common stock reserved for future issuance under this plan; and</w:t>
      </w:r>
    </w:p>
    <w:p>
      <w:pPr>
        <w:spacing w:after="0" w:line="53" w:lineRule="exact"/>
        <w:rPr>
          <w:rFonts w:ascii="Times New Roman" w:cs="Times New Roman" w:eastAsia="Times New Roman" w:hAnsi="Times New Roman"/>
          <w:sz w:val="18"/>
          <w:szCs w:val="18"/>
          <w:color w:val="auto"/>
        </w:rPr>
      </w:pPr>
    </w:p>
    <w:p>
      <w:pPr>
        <w:ind w:left="680" w:hanging="33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12,531 shares of common stock reserved for future issuance under our 2020 Employee Stock Purchase Plan as of December 31, 2025, as well as any automatic increases in the number of shares of common stock reserved for future issuance under this plan.</w:t>
      </w:r>
    </w:p>
    <w:p>
      <w:pPr>
        <w:spacing w:after="0" w:line="54" w:lineRule="exact"/>
        <w:rPr>
          <w:sz w:val="20"/>
          <w:szCs w:val="20"/>
          <w:color w:val="auto"/>
        </w:rPr>
      </w:pPr>
    </w:p>
    <w:p>
      <w:pPr>
        <w:jc w:val="both"/>
        <w:ind w:left="20"/>
        <w:spacing w:after="0" w:line="239" w:lineRule="auto"/>
        <w:rPr>
          <w:sz w:val="20"/>
          <w:szCs w:val="20"/>
          <w:color w:val="auto"/>
        </w:rPr>
      </w:pPr>
      <w:r>
        <w:rPr>
          <w:rFonts w:ascii="Times New Roman" w:cs="Times New Roman" w:eastAsia="Times New Roman" w:hAnsi="Times New Roman"/>
          <w:sz w:val="18"/>
          <w:szCs w:val="18"/>
          <w:color w:val="auto"/>
        </w:rPr>
        <w:t>In addition, as of the date of this prospectus supplement, under our “at the market offering” program (“ATM Program”) with Jefferies LLC, pursuant 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dated March 9, 2026, we may issue and sell shares of common stock having an aggregate offering price of up to $75.0 million from time to time, in such amounts as we may determine, subject to certain limitations contained therein and under applicable securities laws.</w:t>
      </w:r>
    </w:p>
    <w:p>
      <w:pPr>
        <w:spacing w:after="0" w:line="9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or settlement, as applicable, of the outstanding options, restricted stock units and warrants described above, no exercise by the underwriters of their option to purchase additional shares of our common stock and no exercise of pre-funded warrants offered and sold in this offering.</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769" w:right="8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you decide to invest in our securities, you should carefully consider the risks and uncertainties described below together with all other information contained in this prospectus supplement, the accompanying prospectus and in our filings with the SEC that we have incorporated by reference in this prospectus supplement and the accompanying prospectus. The risk factors included in this prospectus supplement update the corresponding risk factors incorporated by reference in this prospectus supplement from our most recent Annual Report on Form 10-K. If any of the following risks or any of the risks incorporated herein by reference actually occur, our business, financial condition, results of operations and prospects could suffer materially. In such event, the trading price of our common stock could decline and you might lose all or part of your investment.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with net proceeds from this offering, we will need substantial additional financing to fund our operations and develop our product candidates, and we may not be able to obtain such financing on acceptable terms, or at all, which could force us to delay, reduce or eliminate our product development programs or commercialization efforts.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and we expect to continue to generate operating losses and have significant cash outflows from operating activities for at least the next few years. Until we can generate sufficient revenue, if ever, to fund our operations, we will need to finance our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to spend substantial amounts to continue the clinical development of, and seek regulatory approval for TA-ERT and our other current and future product candidates. Changing circumstances may cause us to consume capital significantly faster than we currently anticipate, and we may need to spend more money than currently expected because of circumstances beyond our control. Even with net proceeds from this offering, we will require additional capital for the further development and commercialization of TA-ERT and our other current and future product candidates and may need to raise additional funds sooner if we choose to expand more rapidly than we presently anticipate. Additional funding may not be available on acceptable terms, or at all.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might apply the net proceeds from this offering in ways with which you do not agree and in ways that may impair the value of your investment.</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advance the Company’s pre-commercial and launch activities, for planned clinical trials, and for working capital, capital expenditures and other general corporate purposes. We may also use a portion of the net proceeds to invest in or acquire additional businesses or technologies that we believe are complementary to our own, although we have no current plans, commitments or agreements with respect to any future acquisitions as of the date of this prospectus supplement. Pending these uses, we expect to invest the net proceeds in short-term, interest-bearing obligations, certificates of deposit or direct or guaranteed obligations of the United States or foreign government agencies. Our management has broad discretion as to the use of these proceeds and you will be relying on the judgment of our management regarding the application of these proceeds. We might apply these net proceeds in ways with which you do not agree, or in ways that do not yield a favorable return. If our management applies these net proceeds in a manner that does not yield a significant return, if any, on our investment of these net proceeds, it could compromise our ability to pursue our growth strategy and adversely affect the market price of our common stock.</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pre-funded warrants are not listed on any exchange, and we do not intend to list the pre-funded warrants on any exchange. There is no public market for the pre-funded warrants being offered in this offering.</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the Nasdaq Capital Market. Without an active market, the liquidity of these pre-funded warrants will be limited. See “Description of Securities We Are Offering—Pre-Funded Warrants.”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any meaningful amount of additional funds upon the exercise of the pre-funded warrants.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pre-funded warrant has an exercise price of $0.01 per share. Each pre-funded warrant will be exercisable until it is fully exercised by means of payment of this nominal purchase price. Accordingly, we will not receive any meaningful additional funds upon the exercise of the pre-funded warrants.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not have the same rights as common stockholders until such holders exercise their pre-funded warrants and acquire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of such pre-funded warrants, the holders will have no rights with respect to the shares of our common stock underlying such pre-funded warrants, such as voting rights. Upon exercise of the pre-funded warrants, the holders will be entitled to acquire shares of common stock and exercise the same rights as a common stockholder on matters for which the record date occurs on or after the holder thereof has acquired the shares of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pre-funded warrants that they hold.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See “Description of Securities We Are Offering—Pre-Funded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and substantial dilution in the book value of your shares.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offering price per share of our common stock and per pre-funded warrant in this offering each exceeds the net tangible book value per share of our common stock outstanding prior to this offering. As a result, if you purchase shares of our common stock or pre-funded warrants in this offering, you will experience immediate dilution of $10.96 per share, based on the public offering price of $50.00 per share of common stock and $49.99 per pre-funded warrant, and our net tangible book value per share as of December 31, 2025. The exercise or vesting and settlement, as applicable, of outstanding stock options, restricted stock units or warrants may result in further dilution of your investment. See the section titled “Dilution” below for a more detailed illustration of the dilution you may incur if you participate in this offering.</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the issuance of equity as consideration for complementary businesses or assets we may acquire, and the perception that any such offerings or issuances could occur may depress our share price and our ability to raise funds in any new offering.</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of our common stock or other securities in any other offering at a price per share that is equal to or greater than the price per share paid by investors in this offering, and investors purchasing shares of our common stock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We also may issue additional shares of our common stock or other securities convertible into or exchangeable for our common stock as consideration for acquisitions of businesses or products, strategic alliances or joint ventures with third parties that we believe will complement or augment our existing business, which may result in significant dilution to our stockholders, including the investors in this offering.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you should not rely on an investment in our common stock to provide dividend income. In addition, pursuant to the Loan and Security Agreement with Avenue Capital Management II, L.P., as administrative agent and collateral agent and Avenue Venture Opportunities Fund II, L.P., as lender (collectively, “Avenue Capital”), we are prohibited from paying cash dividends without the prior written consent of Avenue Capital, and future debt instruments may materially restrict our ability to pay dividends on our common stock. We currently intend to retain all of our future earnings, if any, to finance the growth and development of our business and do not anticipate declaring or paying any cash dividends for the foreseeable future. As a result, capital appreciation, if any, of our common stock will be your sole source of gain for the foreseeable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following this offering.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common stock is listed on the Nasdaq Capital Market, an active trading market for our common stock may not be sustained. If an active market for our common stock does not continue, it may be difficult for you to sell your shares, including shares you may purchase in this offering, without depressing the market price for the shares or to sell your shares at all. Any inactive trading market for our common stock may also impair our ability to raise capital to continue to fund our operations by selling common stock and may impair our ability to acquire other companies or technologies by using our common stock as consideration.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our issuance and sale of our securities in this offering will be approximately $55.9 million, or approximately $64.4 million if the underwriters exercise in full their option to purchase up to 180,000 additional shares of common stock, based on the public offering price of $50.00 per share and $49.99 per pre-funded warrant, and after deducting underwriting discounts and commissions and estimated offering expenses payable by us. We will receive only nominal additional proceeds from any exercise of pre-funded warrants.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advance the Company’s pre-commercial and launch activities, for planned clinical trials, and for working capital, capital expenditures and other general corporate purposes. We may also use a portion of the net proceeds to invest in or acquire additional businesses or technologies that we believe are complementary to our own, although we have no current plans, commitments or agreements with respect to any future acquisitions as of the date of this prospectus supplement.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uncertainties inherent in the clinical development process, and any unforeseen cash needs.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our management will retain broad discretion over the allocation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expect to invest the net proceeds in short-term, interest-bearing obligations, certificates of deposit or direct or guaranteed obligations of the United States or foreign government agencies. The goal with respect to the investment of these net proceeds is capital preservation and liquidity so that such funds are readily available to fund our operations.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planned use of proceeds described above, we believe that the net proceeds from this offering and our current cash and cash equivalents will be sufficient to enable us to fund our operating expenses and capital expenditure requirements through the second half of 2027. We have based this estimate on assumptions that may prove to be incorrect, and we could use our available capital resources sooner than we currently expect.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In addition, pursuant to the Loan and Security Agreement with Avenue Capital, we are prohibited from paying cash dividends without the prior written consent of Avenue Capital, and future debt instruments may materially restrict our ability to pay dividends on our common stock. Any future determination to declare or pay dividends will be at the discretion of our board of directors, subject to applicable laws, and will depend on our financial condition, results of our operations, capital requirements, general business conditions and other factors that our board of directors considers relevant.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or pre-funded warrants in this offering, your interest will be diluted immediately to the extent of the difference between the public offering price per share of our common stock or pre-funded warrant that you will pay in this offering and the as adjusted net tangible book value per share of our common stock after this offering. Our historical net tangible book value as of December 31, 2025 was $42.5 million, or $30.99 per share of common stock. Historical net tangible book value per share represents the amount of our total tangible assets less total liabilities, divided by the number of shares of our common stock outstanding on December 31, 2025.</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giving effect to our issuance and sale of 1,150,000 shares of common stock and pre-funded warrants to purchase 50,000 shares of common stock in this offering at a public offering price of $50.00 per share or $49.99 per pre-funded warrant, and after deducting the underwriting discounts and commissions and estimated offering expenses payable by us (but not giving effect to the exercise of any pre-funded warrants), our as adjusted net tangible book value as of December 31, 2025 would have been $98.5 million, or $39.04 per share. This represents an immediate increase in as adjusted net tangible book value per share of $8.05 to existing stockholders and immediate dilution of $10.96 in as adjusted net tangible book value per share to new investors purchasing common stock and pre-funded warrants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shares of common stock and pre-funded warrants in this offering without giving effect to the option to purchase additional shares granted to the underwriters: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9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30.99</w:t>
            </w:r>
          </w:p>
        </w:tc>
        <w:tc>
          <w:tcPr>
            <w:tcW w:w="920" w:type="dxa"/>
            <w:vAlign w:val="bottom"/>
          </w:tcPr>
          <w:p>
            <w:pPr>
              <w:spacing w:after="0"/>
              <w:rPr>
                <w:sz w:val="18"/>
                <w:szCs w:val="18"/>
                <w:color w:val="auto"/>
              </w:rPr>
            </w:pPr>
          </w:p>
        </w:tc>
      </w:tr>
      <w:tr>
        <w:trPr>
          <w:trHeight w:val="198"/>
        </w:trPr>
        <w:tc>
          <w:tcPr>
            <w:tcW w:w="67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w:t>
            </w:r>
          </w:p>
        </w:tc>
        <w:tc>
          <w:tcPr>
            <w:tcW w:w="19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purchasing our common stock and pre-funded warrants in this offering</w:t>
            </w:r>
          </w:p>
        </w:tc>
        <w:tc>
          <w:tcPr>
            <w:tcW w:w="190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8.05</w:t>
            </w:r>
          </w:p>
        </w:tc>
        <w:tc>
          <w:tcPr>
            <w:tcW w:w="920" w:type="dxa"/>
            <w:vAlign w:val="bottom"/>
            <w:shd w:val="clear" w:color="auto" w:fill="CCEEFF"/>
          </w:tcPr>
          <w:p>
            <w:pPr>
              <w:spacing w:after="0"/>
              <w:rPr>
                <w:sz w:val="20"/>
                <w:szCs w:val="20"/>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1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39.04</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19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option to purchase 180,000 additional shares in full at the public offering price of $50.00 per share, the as adjusted net tangible book value will increase to $39.57 per share, representing an immediate increase to existing stockholders of $8.58 per share and an immediate dilution of $10.43 per share to new investors.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1,372,043 shares of common stock outstanding as of December 31, 2025 and excludes:</w:t>
      </w:r>
    </w:p>
    <w:p>
      <w:pPr>
        <w:spacing w:after="0" w:line="54" w:lineRule="exact"/>
        <w:rPr>
          <w:sz w:val="20"/>
          <w:szCs w:val="20"/>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42,421 shares of common stock issuable upon the exercise of stock options outstanding as of December 31, 2025, at a weighted-average exercise price of $244.86 per share;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47,200 shares of common stock issuable upon the vesting or other settlement of restricted stock units outstanding as of December 31, 2025;</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62,350 shares of common stock issuable upon the vesting or other settlement of restricted stock units that we granted after December 31, 2025 and through the date of this prospectus supplement;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169,147 shares of common stock issuable upon the exercise of common warrants outstanding as of December 31, 2025 at an exercise price of $297.02 per share;</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58,608 shares of common stock issuable upon the exercise of common stock warrants that we issued after December 31, 2025 and through the date of this prospectus supplement at an exercise price of $50.00 per share;</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19,715 shares of common stock reserved for future issuance under our 2020 Equity Incentive Plan as of December 31, 2025, as well as any automatic increases in the number of shares of common stock reserved for future issuance under this plan;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12,531 shares of common stock reserved for future issuance under our 2020 Employee Stock Purchase Plan as of December 31, 2025, as well as any automatic increases in the number of shares of common stock reserved for future issuance under this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investors will experience further dilution if any of our outstanding options, restricted stock units or warrants are exercised or vest and settle, as applicable, or new options or restricted stock units are issued and exercised or vest and settle, as applicable, under our equity incentive plans. In addition, we may choose to raise additional capital, including through our ATM Program,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 We also may issue additional shares of common stock or other securities convertible into or exchangeable for our common stock as consideration for acquisitions of businesses or products, strategic alliances or joint ventures with third parties that we believe will complement or augment our existing business, which may result in significant dilution to our stockholders, including the investors in this offering.</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offering shares of our common stock in this offering. See “Description of Capital Stock” in the accompanying prospectus for more information regarding our shares of common stock. Our common stock is listed on the Nasdaq Capital Market under the symbol “SPRB.”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offering pre-funded warrants to purchase up to 50,000 shares of common stock. This summary is subject to, and qualified in its entirety by, the provisions of the form of pre-funded warrant, which will be filed with the SEC as an exhibit to a Current Report on Form 8-K in connection with this offering and incorporated by reference into the registration statement of which this prospectus supplement and the accompanying prospectus form a part. You should carefully review the terms and provisions of the form of pre-funded warrant for a complete description of the terms and conditions of such warrants. See the section titled “Where You Can Find More Information” in this prospectus supplement.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each individual purchaser of a pre-funded warrant. The pre-funded warrants will be issued in certificated form only.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our common stock purchased upon such exercise. As an alternative to payment of the exercise price in immediately available funds, the holder may elect to exercise the pre-funded warrant through a cashless exercise, in which case the holder would receive upon such exercise the net number of shares of our common stock determined according to the formula set forth in the pre-funded warrant. No fractional shares of our common stock will be issued in connection with the exercise of a pre-funded warrant. In lieu of fractional shares, we will, at our election, either pay the holder an amount in cash equal to such fraction multiplied by the exercise price or round up to the next whole share.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(together with its affiliates) will not be entitled to exercise any portion of any pre-funded warrant, which, upon giving effect to such exercise, would cause the aggregate number of shares of our common stock beneficially owned by the holder (together with its affiliates) to exceed 4.99% (or, upon election of the holder, 9.99%) of the number of shares of our common stock outstanding immediately prior to or after giving effect to the exercise, subject to such holder’s rights under the pre-funded warrant to increase or decrease such percentage to another percentage not in excess of 9.99% of the number of shares of our common stock outstanding immediately after giving effect to the exercise, as such percentage ownership is determined in accordance with the terms of the pre-funded warrants upon at least 61 days’ prior notice from such holder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issuable upon the exercise of the pre-funded warrants is $0.01 per share of our common stock. The exercise price of the pre-funded warrants and the number of shares of our common stock issuable upon exercise of the pre-funded warrants are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Capital Market, any other national securities exchange or any other nationally recognized trading system.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Rights Offerings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at any time we grant, issue or sell any specified common stock equivalents or rights to purchase stock, warrants, securities or other property pro rata to the record holders of any class of shares of common stock (the “Purchase Rights”), then the holder of a pre-funded warrant will be entitled to acquire, upon the terms applicable to such Purchase Rights, the aggregate Purchase Rights which the holder could have acquired if the holder had held the number of shares of common stock acquirable upon complete exercise of the holder’s pre-funded warrant, without regard to any limitations on exercise, including without limitation, such holder’s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holder’s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holder’s beneficial ownership limitation).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Rata Distributions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such time as a holder’s pre-funded warrant is outstanding, if we declare or make any dividend or other distribution of our assets (or rights to acquire its assets) to holders of shares of our common stock, by way of return of capital or otherwise (including, without limitation, any distribution of cash, stock or other securities, property or options by way of a dividend, spin off, reclassification, corporate rearrangement, scheme of arrangement or other similar transaction), or a Distribution, at any time after the issuance of the pre-funded warrants, then, in each such case, the holder of a pre-funded warrant shall be entitled to participate in such Distribution to the same extent that the holder would have participated therein if the holder had held the number of shares of common stock acquirable upon complete exercise of the pre-funded warrant (without regard to any limitations on exercise, including without limitation, the holder’s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holder’s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such holder exceeding its beneficial ownership limitation).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greater than 50% of the voting power of our capital stock or any person or group becoming the beneficial owner of greater than 50% of the voting power of our capital stock,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without regard to any limitations on exercise contained in the pre-funded warrants, and any additional consideration receivable as a result of such fundamental transaction.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line="302"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 AND PRE-FUNDED WARRANTS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acquisition, ownership, and disposition of our common stock and pre-funded warrants acquired in this offering by Non-U.S. Holders (as defined below). This discussion is not a complete analysis of all potential U.S. federal income tax consequences relating thereto, does not deal with non-U.S., state, and local consequences that may be relevant to Non-U.S. Holders in light of their particular circumstances, and does not address U.S. federal tax consequences (such as gift and estate taxes) other than income taxes. Special rules different from those described below may apply to certain Non-U.S. Holders that are subject to special treatment under the Internal Revenue Code of 1986, as amended (the Code), such as financial institutions, insurance companies, tax-exempt organizations, tax-qualified retirement plans, governmental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or pre-funded warrants as part of a “straddle,” “hedge,” “conversion transaction,” “synthetic security,” or integrated investment or other risk reduction strategy, persons who acquire our common stock or pre-funded warrants through the exercise of an option or otherwise as compensation, persons subject to the alternative minimum tax or federal Medicare contribution tax on net investment income, persons subject to special tax accounting rules under Section 451(b) of the Code, “qualified foreign pension funds” as defined in Section 897(l)(2) of the Code and entities all of the interests of which are held by qualified foreign pension funds, partnerships and other pass-through entities or arrangements and investors in such pass-through entities or arrangements, persons deemed to sell our common stock or pre-funded warrants under the constructive sale provisions of the Code, and persons that own, or are deemed to own, our common stock or pre-funded warrants.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common stock or pre-funded warrants pursuant to this offering should consult their own tax advisors concerning the U.S. federal income, gift, estate, and other tax consequences of acquiring, owning, and disposing of our common stock or pre-funded warrants, as applicable in light of their particular situations as well as any consequences arising under the laws of any other taxing jurisdiction, including any state, local, or foreign tax consequences, or under any applicable income tax treaty.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common stock or pre-funded warrants that is neither a U.S. Holder nor a partnership (or other entity treated as a partnership for U.S. federal income tax purposes regardless of its place of organization or formation). A “U.S. Holder” means a beneficial owner of our common stock or pre-funded warrants that is for U.S. federal income tax purposes any of the following:</w:t>
      </w:r>
    </w:p>
    <w:p>
      <w:pPr>
        <w:spacing w:after="0" w:line="6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it is not entirely free from doubt, because the exercise price of the pre-funded warrants is a nominal amount, we believe a pre-funded warrant should be treated as a share of our common stock for U.S. federal income tax purposes and a holder of pre-funded warrants should generally be taxed in the same manner as a holder of such shares, as described below. Accordingly, no gain or loss should be recognized upon the exercise of a pre-funded warrant and, upon exercise, the holding period of a pre-funded warrant should carry over to the share received. Similarly, the tax basis of the pre-funded warrant should carry over to the share received upon exercise, increased by the exercise price of $0.01 per share.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characterization is not binding on the IRS, and the IRS may treat our pre-funded warrants as warrants to acquire our common stock. In that case, the amount and character of your gain with respect to an investment in our pre-funded warrants could be materially different than the discussion set forth below. Accordingly, each holder should consult his, her or its own tax advisor regarding the risks associated with the acquisition of pre-funded warrants pursuant to this offering (including potential alternative characterizations). The balance of this discussion generally assumes that a pre-funded warrant is treated as a share of our common stock for U.S. federal income tax purposes, and references to common stock include pre-funded warrants.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Constructive Distributions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the section titled “Dividend Policy,” we do not anticipate declaring or paying dividends to holders of our common stock (or pre-funded warrants) in the foreseeable future. However, if we do make distributions of cash or property on our common stock (or pre-funded warrants)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file the required certification, you may be able to obtain a refund or credit of any excess amounts withheld by timely filing an appropriate claim for a refund with the IRS.</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(or constructive dividends deemed paid, as described below)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of pre-funded warrants provide for an adjustment to the exercise price or number of shares of our common stock for which the warrants may be exercised under certain circumstances. If such adjustment has the effect of merely preventing dilution, such adjustment may not be a taxable event. However, a holder of pre-funded warrants may be treated as receiving a constructive distribution from us if the adjustment increases the holder’s proportionate interest in our assets or earnings and profits (e.g., through an increase in the number of shares of our common stock that would be obtained upon exercise), including as a result of a distribution of cash or other property, such as other securities, to the holders of our common stock, or as a result of the issuance of a stock dividend to holders of our common stock, in each case that is taxable to such holders as a distribution. In addition, the failure to provide for an adjustment (or to adequately adjust) to prevent dilution may also result in a constructive distribution. Any constructive distribution received by a holder would be subject to tax in the same manner as if such holder received a cash distribution (as described above) from us equal to the fair market value of such increased proportionate interest. In the case of any constructive dividend, it is possible that this tax would be withheld from any amount payable or distributable to a non-U.S. holder by the applicable withholding agent, including cash distributions on other property or sale proceeds from warrants or other property subsequently paid or credited to such holder. For certain informational reporting purposes, we are required to determine the date and amount of any such constructive distributions and publicly report such information or report such information to the IRS and holders of our pre-funded warrants not exempt from information reporting. Proposed Treasury regulations, on which we may rely prior to the issuance of final regulations, specify how the date and amount of constructive distributions, and withholding obligations with respect thereto, are determined.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 or Pre-Funded Warrants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or pre-funded warrants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common stock or pre-funded warrants.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common stock or pre-funded warrants will not be subject to U.S. federal income tax so long as (1) the Non-U.S. Holder owned, directly, indirectly, and constructively, no more than 5% of our common stock and/or pre-funded warrants at all times within the shorter of (i) the five-year period preceding the disposition or (ii) the holder’s holding period in our common stock or pre-funded warrants and (2) our common stock is “regularly traded,” as defined by applicable Treasury Regulations, on an established securities market. There can be no assurance that our common stock will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a net income basis at the U.S. regular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Special rules may apply to non-U.S. holders of pre-funded warrants, who should consult their tax advisors.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dividends on our common stock or pre-funded warrants. Unless you comply with certification procedures to establish that you are not a U.S. person, information returns may also be filed with the IRS in connection with the proceeds from a sale or other disposition of our common stock or pre-funded warrants. You may be subject to backup withholding on payments on our common stock or on the proceeds from a sale or other disposition of our common stock or pre-funded warrants unless you comply with certification procedures to establish that you are not a U.S. person or otherwise establish an exemption. Your provision of a properly executed applicable IRS Form W-8 certifying your non-U.S. status will permit you to avoid backup withholding. Amounts withheld under the backup withholding rules are not additional taxes and may be refunded or credited against your U.S. federal income tax liability, provided the required information is timely furnished to the IRS.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(commonly referred to as FATCA) impose a U.S. federal withholding tax of 30% on certain payments, including dividends paid on, and the gross proceeds of a disposition of, our common stock or pre-funded warrants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including dividends paid on, and the gross proceeds of a disposition of, our common stock or pre-funded warrants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Treasury Department has released proposed regulations which, if finalized in their present form, would eliminate the federal withholding tax of 30% applicable to the gross proceeds of a disposition of our common stock or pre-funded warrants.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 or pre-funded warrants.</w:t>
      </w:r>
    </w:p>
    <w:p>
      <w:pPr>
        <w:spacing w:after="0" w:line="395"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COMMON STOCK OR PRE-FUNDED WARRANTS, INCLUDING THE CONSEQUENCES OF ANY RECENT OR PROPOSED CHANGE IN APPLICABLE LAW</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Leerink Partners LLC, Guggenheim Securities, LLC and Oppenheimer &amp; Co. Inc.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and pre-funded warrants set forth opposite its name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0" w:type="dxa"/>
            <w:vAlign w:val="bottom"/>
          </w:tcPr>
          <w:p>
            <w:pPr>
              <w:spacing w:after="0"/>
              <w:rPr>
                <w:sz w:val="15"/>
                <w:szCs w:val="15"/>
                <w:color w:val="auto"/>
              </w:rPr>
            </w:pPr>
          </w:p>
        </w:tc>
        <w:tc>
          <w:tcPr>
            <w:tcW w:w="25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20" w:type="dxa"/>
            <w:vAlign w:val="bottom"/>
          </w:tcPr>
          <w:p>
            <w:pPr>
              <w:spacing w:after="0"/>
              <w:rPr>
                <w:sz w:val="15"/>
                <w:szCs w:val="15"/>
                <w:color w:val="auto"/>
              </w:rPr>
            </w:pPr>
          </w:p>
        </w:tc>
        <w:tc>
          <w:tcPr>
            <w:tcW w:w="2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Number of Pre-Funded Warrants</w:t>
            </w:r>
          </w:p>
        </w:tc>
        <w:tc>
          <w:tcPr>
            <w:tcW w:w="100" w:type="dxa"/>
            <w:vAlign w:val="bottom"/>
          </w:tcPr>
          <w:p>
            <w:pPr>
              <w:spacing w:after="0"/>
              <w:rPr>
                <w:sz w:val="15"/>
                <w:szCs w:val="15"/>
                <w:color w:val="auto"/>
              </w:rPr>
            </w:pP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JonesTrading Institutional Services LLC</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8"/>
                <w:szCs w:val="18"/>
                <w:color w:val="auto"/>
              </w:rPr>
            </w:pPr>
          </w:p>
        </w:tc>
      </w:tr>
      <w:tr>
        <w:trPr>
          <w:trHeight w:val="216"/>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20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3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of common stock and pre-funded warrants sold under the underwriting agreement if any of the shares and pre-funded warrants are purchased. If an underwriter defaults, the underwriting agreement provides that the purchase commitments of the non-defaulting underwriters may be increased or the underwriting agreement may be terminated.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of common stock and pre-funded warrants, subject to prior sale, when, as and if issued to and accepted by them, subject to approval of legal matters by their counsel, including the validity of the shares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of common stock and pre-funded warrants to the public at the initial public offering price set forth on the cover page of this prospectus supplement and to dealers at that price less a concession not in excess of $1.80 per share of common stock or $1.80 per pre-funded warrant. After the initial offering, the public offering price, concession or any other term of this offering may be changed by the representatives.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per share of common stock and pre-funded warrant, underwriting discounts and commissions and proceeds, before expenses, to us. The information assumes either no exercise or full exercise by the underwriters of their option to purchase additional shares of our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Per</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jc w:val="right"/>
              <w:ind w:right="419"/>
              <w:spacing w:after="0" w:line="123"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tcPr>
          <w:p>
            <w:pPr>
              <w:jc w:val="right"/>
              <w:ind w:right="537"/>
              <w:spacing w:after="0" w:line="123" w:lineRule="exact"/>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59,999,500</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68,999,500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56,399,500</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64,859,500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$450,000. We also have agreed to reimburse the underwriters for up to $20,000 for their FINRA counsel fee. In accordance with FINRA Rule 5110, this reimbursed fee is deemed underwriting compensation for this offering.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180,000 additional shares of common stock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agreed that, during the period commencing on and including the date of this prospectus supplement and continuing through and including the 90th day following the date of this prospectus supplement, we will not, directly or indirectly, without the prior written consent of Leerink Partners LLC,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shares of common stock or file any registration statement under the Securities Act with respect to any of the foregoing, (ii) enter into any swap or any other agreement or any transaction that transfers, in whole or in part, directly or indirectly, the economic consequence of ownership of the shares of common stock, whether any such swap or transaction described in clause (i) or (ii) above is to be settled by delivery of shares of common stock or such other securities, in cash or otherwise, or (iii) publicly announce an intention to effect any such swap, agreement or other transaction described in clauses (i) and (ii). The foregoing sentence shall not apply to (A) the securities offered by this prospectus supplement; (B) any shares of common stock issuable upon conversion of securities or the exchange and/or exercise (including by any net exercise or exercise by delivery of already owned shares of common stock) of warrants, options or other rights or the conversion of a convertible security, or upon vesting and settlement of restricted share units, in effect or outstanding on the date of this prospectus supplement and referred to in this prospectus supplement, the accompanying prospectus or the documents incorporated herein or therein; (C) any shares of common stock issued or options to purchase shares of common stock or other securities under the Company's equity incentive plans, or shares of common stock issuable upon the exercise of options or vesting of restricted share units or other securities, pursuant to any employee or director share option or benefits plan, share ownership plan or dividend reinvestment plan of the Company whether now in effect or hereafter implemented; (D) any shares of common stock or securities convertible into or exchangeable for shares of common stock as consideration for mergers, acquisitions, joint ventures, collaborations, licensing agreements, commercial relationships, debt financing transactions, other business combinations or strategic alliances occurring after the date of this prospectus supplement which are not issued for capital raising purposes; (E) warrants issued upon the surrender and cancellation of outstanding shares of common stock; (F) modification of any outstanding options, warrants of any rights to purchase or acquire shares of common stock; or (G) the filing by the Company of any registration statement on Form S-8 or a successor form thereto.</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(the “lock-up signatories”) have agreed not to sell or transfer any shares or securities convertible into or exchangeable or exercisable for shares, for 90 days after the date of this prospectus supplement (the “Lock-Up Period”) without first obtaining the written consent of Leerink Partners LLC on behalf of the underwriters. Specifically, the lock-up signatories have agreed, with certain limited exceptions, not to directly or indirectly:</w:t>
      </w:r>
    </w:p>
    <w:p>
      <w:pPr>
        <w:spacing w:after="0" w:line="72" w:lineRule="exact"/>
        <w:rPr>
          <w:sz w:val="20"/>
          <w:szCs w:val="20"/>
          <w:color w:val="auto"/>
        </w:rPr>
      </w:pPr>
    </w:p>
    <w:p>
      <w:pPr>
        <w:ind w:left="760" w:right="100" w:hanging="378"/>
        <w:spacing w:after="0" w:line="25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shares of common stock, whether now owned or hereafter acquired by the lock-up signatory or with respect to which the lock-up signatory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or</w:t>
      </w:r>
    </w:p>
    <w:p>
      <w:pPr>
        <w:spacing w:after="0" w:line="79" w:lineRule="exact"/>
        <w:rPr>
          <w:rFonts w:ascii="Times New Roman" w:cs="Times New Roman" w:eastAsia="Times New Roman" w:hAnsi="Times New Roman"/>
          <w:sz w:val="18"/>
          <w:szCs w:val="18"/>
          <w:color w:val="auto"/>
        </w:rPr>
      </w:pPr>
    </w:p>
    <w:p>
      <w:pPr>
        <w:jc w:val="both"/>
        <w:ind w:left="760" w:right="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the Lock-Up Securities, whether any such swap or transaction is to be settled by delivery of Shares or other securities, in cash or otherwise.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lock-up signatories may transfer Lock-Up Securities without the prior written consent of Leerink Partners LLC, provided, in each case, that (1) in the cases of clauses (a)-(e) below, Leerink Partners LLC receives a signed lock-up agreement for the balance of the Lock-Up Period from each donee, trustee, distributee, or transferee, as the case may be, (2) any such transfer shall not involve a disposition for value, (3) such transfers are not required to be reported with the SEC on Form 4 in accordance with Section 16 of the Exchange Act (other than, in the case of a transfer or other disposition pursuant to clauses (a), (b), (d), (f) and (g) below, any Form 4 or Form 5 required to be filed under the Exchange Act if the lock-up signatory is subject to Section 16 reporting with respect to the Company under the Exchange Act and indicating by footnote disclosure or otherwise the nature of the transfer or disposition), and (4) the lock-up signatory does not otherwise voluntarily effect any public filing or report regarding such transfers (other than a filing on a Form 5 made after the expiration of the Lock-Up Period):</w:t>
      </w:r>
    </w:p>
    <w:p>
      <w:pPr>
        <w:spacing w:after="0" w:line="84"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charitable contribution(s) (including to one or more charitable trusts);</w:t>
      </w:r>
    </w:p>
    <w:p>
      <w:pPr>
        <w:spacing w:after="0" w:line="117"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estate planning purposes or to any trust for the direct or indirect benefit of the lock-up signatory or the immediate family of the lock-up signatory (for purposes of the lock-up agreement, “immediate family” shall mean any relationship by blood, marriage, domestic partnership or adoption, not more remote than first cousin);</w:t>
      </w:r>
    </w:p>
    <w:p>
      <w:pPr>
        <w:spacing w:after="0" w:line="6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53" w:lineRule="exact"/>
        <w:rPr>
          <w:rFonts w:ascii="Times New Roman" w:cs="Times New Roman" w:eastAsia="Times New Roman" w:hAnsi="Times New Roman"/>
          <w:sz w:val="18"/>
          <w:szCs w:val="18"/>
          <w:color w:val="auto"/>
        </w:rPr>
      </w:pPr>
    </w:p>
    <w:p>
      <w:pPr>
        <w:ind w:left="760" w:right="160" w:hanging="378"/>
        <w:spacing w:after="0" w:line="312"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lock-up signatory’s affiliates, the immediate family of the lock-up signatory or to any corporation, limited liability company, partnership, investment fund or other entity controlled or managed by the lock-up signatory and/or an immediate family member of the lock-up signatory;</w:t>
      </w:r>
    </w:p>
    <w:p>
      <w:pPr>
        <w:spacing w:after="0" w:line="31" w:lineRule="exact"/>
        <w:rPr>
          <w:rFonts w:ascii="Times New Roman" w:cs="Times New Roman" w:eastAsia="Times New Roman" w:hAnsi="Times New Roman"/>
          <w:sz w:val="17"/>
          <w:szCs w:val="17"/>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or in connection with a divorce settlement, divorce decree, separation agreement or other order of a court or regulatory agency;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upon the death of the lock-up signatory;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satisfaction of any tax withholding obligation.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Provided further, that, the restrictions shall not apply to (1) the transfer of the lock-up signatory’s Lock-Up Securities to the Company in connection with the termination of the lock-up signatory’s services to the Company or the lock-up signatory’s failure to meet any vesting conditions set out upon issuance of such securities, provided that any filing under Section 16 of the Exchange Act made in connection with such transfer shall clearly indicate in the footnotes thereto that the filing relates to the circumstances described in this clause (1); (2) the exercise, settlement or exchange by the lock-up signatory of any option or warrant to acquire any shares of common stock or options to purchase shares of common stock, or the settlement of restricted stock units or other equity awards, in each case for cash or on a “cashless” or “net exercise” basis, pursuant to any stock option, stock bonus or other stock plan or arrangement; provided, however, that the underlying shares of common stock shall continue to be subject to these restrictions on transfer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lock-up signatory shall remain subject to the restrictions on transfer set forth in the lock-up agreement; (4) the conversion of outstanding preferred stock of the Company into shares of common stock, provided that any such shares received upon such conversion shall be subject to these restrictions on transfer; and (5) the transfer of the lock-up signatory’s Lock-Up Securities to a nominee or custodian of a person or entity to whom a disposition or transfer would be permissible under clauses (a) through (g) above.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of the above restrictions, nothing shall prevent the lock-up signatory from establishing a 10b5-1 trading plan that complies with Rule 10b5-1 under the Exchange Act (“10b5-1 Trading Plan”) or from amending an existing 10b5-1 Trading Plan so long as there are no sales of Lock-Up Securities under any such 10b5-1 Trading Plan during the Lock-Up Period; provided, however, that any public announcement or filing under the Exchange Act regarding the establishment or amendment of such 10b5-1 Trading Plan shall clearly disclose that no shares of common stock shall be disposed by such plan during the duration of the Lock-Up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“SPRB.” We do not intend to list the pre-funded warrants on the Nasdaq Capital Market or any other national securities exchange or nationally recognized trading system.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72" w:lineRule="exact"/>
        <w:rPr>
          <w:sz w:val="20"/>
          <w:szCs w:val="20"/>
          <w:color w:val="auto"/>
        </w:rPr>
      </w:pPr>
    </w:p>
    <w:p>
      <w:pPr>
        <w:ind w:left="760" w:hanging="365"/>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17"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53"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68" w:lineRule="exact"/>
        <w:rPr>
          <w:sz w:val="20"/>
          <w:szCs w:val="20"/>
          <w:color w:val="auto"/>
        </w:rPr>
      </w:pPr>
    </w:p>
    <w:p>
      <w:pPr>
        <w:ind w:left="760" w:hanging="365"/>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17" w:lineRule="exact"/>
        <w:rPr>
          <w:rFonts w:ascii="Times New Roman" w:cs="Times New Roman" w:eastAsia="Times New Roman" w:hAnsi="Times New Roman"/>
          <w:sz w:val="18"/>
          <w:szCs w:val="18"/>
          <w:color w:val="auto"/>
        </w:rPr>
      </w:pPr>
    </w:p>
    <w:p>
      <w:pPr>
        <w:ind w:left="760" w:right="20" w:hanging="365"/>
        <w:spacing w:after="0" w:line="282" w:lineRule="auto"/>
        <w:tabs>
          <w:tab w:leader="none" w:pos="7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53" w:lineRule="exact"/>
        <w:rPr>
          <w:rFonts w:ascii="Times New Roman" w:cs="Times New Roman" w:eastAsia="Times New Roman" w:hAnsi="Times New Roman"/>
          <w:sz w:val="18"/>
          <w:szCs w:val="18"/>
          <w:color w:val="auto"/>
        </w:rPr>
      </w:pPr>
    </w:p>
    <w:p>
      <w:pPr>
        <w:ind w:left="760" w:hanging="365"/>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Cooley LLP, San Francisco, California will pass upon the validity of the issuance of the securities offered in this prospectus supplement. Goodwin Procter LLP, Redwood City, California is acting as counsel for the underwriters in connection with this offering.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Spruce Biosciences, Inc. as of December 31, 2025 and 2024 and for the years then ended incorporated by reference in this prospectus supplement and in the registration statement have been so incorporated in reliance on the report of BDO USA, P.C., an independent registered public accounting firm, given on the authority of said firm as experts in auditing and accounting. The report on the financial statements contains an explanatory paragraph regarding the Company’s ability to continue as a going concern.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Spruce. The address of the SEC website is www.sec.gov.</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website at www.sprucebiosciences.com. Information contained in or accessible through our website does not constitute a part of this prospectus supplement.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and the accompanying prospectus, which means that we can disclose important information to you by referring you to another document filed separately with the SEC. The SEC file number for the documents incorporated by reference in this prospectus supplement and accompanying prospectus is 001-39594. The documents incorporated by reference into this prospectus supplement and the accompanying prospectus contain important information that you should read about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17"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9, 2026;</w:t>
      </w:r>
    </w:p>
    <w:p>
      <w:pPr>
        <w:spacing w:after="0" w:line="184"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6">
        <w:r>
          <w:rPr>
            <w:rFonts w:ascii="Times New Roman" w:cs="Times New Roman" w:eastAsia="Times New Roman" w:hAnsi="Times New Roman"/>
            <w:sz w:val="18"/>
            <w:szCs w:val="18"/>
            <w:u w:val="single" w:color="auto"/>
            <w:color w:val="0000FF"/>
          </w:rPr>
          <w:t>January 8,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March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FF"/>
          </w:rPr>
          <w:t>March 20, 2026</w:t>
        </w:r>
      </w:hyperlink>
      <w:r>
        <w:rPr>
          <w:rFonts w:ascii="Times New Roman" w:cs="Times New Roman" w:eastAsia="Times New Roman" w:hAnsi="Times New Roman"/>
          <w:sz w:val="18"/>
          <w:szCs w:val="18"/>
          <w:color w:val="auto"/>
        </w:rPr>
        <w:t>, to the extent the information in such reports is filed and not furnished;</w:t>
      </w:r>
    </w:p>
    <w:p>
      <w:pPr>
        <w:spacing w:after="0" w:line="134"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49">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auto"/>
        </w:rPr>
        <w:t>, filed with the SEC on April 9, 2026 (other than the portions thereof that are furnished and not filed); and</w:t>
      </w:r>
    </w:p>
    <w:p>
      <w:pPr>
        <w:spacing w:after="0" w:line="121"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w:t>
      </w:r>
      <w:hyperlink r:id="rId50">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 filed with the SEC on March 9, 2026, including any amendment or report filed for the purpose of updating such description.</w:t>
      </w:r>
    </w:p>
    <w:p>
      <w:pPr>
        <w:spacing w:after="0" w:line="121"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72"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supplement from the SEC through the SEC’s website at the address provided above. You also may request a copy of any document incorporated by reference in this prospectus supplement (excluding any exhibits to those documents, unless the exhibit is specifically incorporated by reference in this document), at no cost, by writing or telephoning us at the following address and phone number:</w:t>
      </w:r>
    </w:p>
    <w:p>
      <w:pPr>
        <w:spacing w:after="0" w:line="7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Spruce Biosciences,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611 Gateway Boulevard, Suite 740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(415) 343-5986</w:t>
      </w:r>
    </w:p>
    <w:p>
      <w:pPr>
        <w:spacing w:after="0" w:line="20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prospectus supplement will be deemed to be modified or superseded for purposes of the document to the extent that a statement contained in this document or any other subsequently filed document that is deemed to be incorporated by reference into this prospectus supplement modifies or supersedes the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131445</wp:posOffset>
            </wp:positionV>
            <wp:extent cx="4491990" cy="831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49199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$300,000,000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for sale pursuant to this prospectus, we will provide the specific terms of these offerings and the securities offered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you invest in any of the securities being offered.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“SPRB.” On October 28, 2025, the last reported sales price of our common stock was $124.51 per share. The applicable prospectus supplement will contain information, where applicable, as to any other listing on the Nasdaq Capital Market or any securities market or other exchange of the securities, if any, covered by the applicable prospectus supplement.</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will sell these securities directly to investors, through agents designated from time to time or to or through underwriters or dealers, or through a combination of these methods, on a continuous or delayed basis. For additional information on the methods of sale, you should refer to the section entitled “Plan of Distribution” in this prospectus. If any agents, underwriters or dealers are involved in the sale of any securities with respect to which this prospectus is being delivered, the names of such agents, underwriters or dealers and any applicable fees, commissions, discounts or options to purchase additional securities will be set forth in a prospectus supplement. The price to the public of such securities and the net proceeds we expect to receive from such sale will also be set forth in a prospectus supplement.</w:t>
      </w:r>
    </w:p>
    <w:p>
      <w:pPr>
        <w:spacing w:after="0" w:line="183"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by the Jumpstart Our Business Startups Act of 2012, and as such, have elected to comply with reduced public company reporting requirements for this prospectus and the documents incorporated by reference herein and may elect to comply with reduced public company reporting requirements in future filings.</w:t>
      </w:r>
    </w:p>
    <w:p>
      <w:pPr>
        <w:spacing w:after="0" w:line="171"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a high degree of risk. Before making an investment decision, you should review carefully the risks and uncertainties described under the heading “Risk Factors” on page 6 of this prospectus as well as those contained in the applicable prospectus supplement and in any free writing prospectuses we may authorize for use in connection with a specific offering, and under similar headings in the other documents that are incorporated by reference into this prospectus.</w:t>
      </w:r>
    </w:p>
    <w:p>
      <w:pPr>
        <w:spacing w:after="0" w:line="176"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this prospectus is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2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8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820" w:type="dxa"/>
            <w:vAlign w:val="bottom"/>
            <w:tcBorders>
              <w:top w:val="single" w:sz="8" w:color="0000FF"/>
            </w:tcBorders>
            <w:gridSpan w:val="4"/>
          </w:tcPr>
          <w:p>
            <w:pPr>
              <w:spacing w:after="0"/>
              <w:rPr>
                <w:sz w:val="17"/>
                <w:szCs w:val="17"/>
                <w:color w:val="auto"/>
              </w:rPr>
            </w:pPr>
          </w:p>
        </w:tc>
        <w:tc>
          <w:tcPr>
            <w:tcW w:w="846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6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SELECTED FINANCIAL DATA REFLECTING REVERSE STOCK SPLIT</w:t>
            </w:r>
          </w:p>
        </w:tc>
        <w:tc>
          <w:tcPr>
            <w:tcW w:w="49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4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516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29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CAPITAL STOCK</w:t>
            </w:r>
          </w:p>
        </w:tc>
        <w:tc>
          <w:tcPr>
            <w:tcW w:w="766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0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DEBT SECURITIES</w:t>
            </w:r>
          </w:p>
        </w:tc>
        <w:tc>
          <w:tcPr>
            <w:tcW w:w="74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DESCRIPTION OF WARRANTS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LEGAL OWNERSHIP OF SECURITIES</w:t>
            </w:r>
          </w:p>
        </w:tc>
        <w:tc>
          <w:tcPr>
            <w:tcW w:w="75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0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850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908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840" w:type="dxa"/>
            <w:vAlign w:val="bottom"/>
            <w:gridSpan w:val="1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863"/>
        </w:trPr>
        <w:tc>
          <w:tcPr>
            <w:tcW w:w="7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4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the SEC, utilizing a “shelf” registration process. Under this shelf registration process, we may offer and sell any combination of the securities described in this prospectus in one or more offerings up to a total aggregate offering price of $300,000,000. This prospectus provides you with a general description of the securities we may offer.</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“Spruce,” “the company,” “we,” “us,” “our” or similar terms refer to Spruce Biosciences,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2025 or until we are no longer an “emerging growth company,” whichever is earlier. We will cease to be an emerging growth company prior to the end of such period if certain earlier events occur, including if we become a “large accelerated filer” as defined in Rule 12b-2 under the Securities Exchange Act of 1934, as amended, or Exchange Act, our annual gross revenues exceed $1.235 billion or we issue more than $1.0 billion of non-convertible debt in any three-year period.</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April 2016. Our principal executive offices are located 611 Gateway Boulevard, Suite 740 South San Francisco, California 94080, and our telephone number is (415) 655-4168. Our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website address is www.sprucebio.com. Our website and the information contained on, or that can be accessed through, our website will not be deemed to be incorporated by reference in, and are not considered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shares of our preferred stock, various series of debt securities and warrants to purchase any of such securities, up to a total aggregate offering price of $300,000,000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 if applicable;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76"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options to purchase additional securities, if any;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2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We may issue shares of our common stock from time to time. Holders of our common stock are entitled to one vote per share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our common stock or any other securities convertible into shares of common stock, or any redemption rights.</w:t>
      </w:r>
    </w:p>
    <w:p>
      <w:pPr>
        <w:spacing w:after="0" w:line="179"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We may issue shares of our preferred stock from time to time, in one or more series. Under our amended and restated certificate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8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We may issue debt securities from time to time, in one or more series, as either senior or subordinated debt or as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supplemental warrant agreements and forms of warrant certificates will be filed as exhibits to the registration statement of which this prospectus is a part or will be incorporated by reference from reports that we file with the SEC.</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fiscal year ended December 31, 2024, as updated by our quarterly and other reports and documents that are incorporated by reference into this prospectus,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 REFLECTING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July 23, 2025, we completed a one-for-seventy-five (1:75) reverse stock split of our outstanding common stock, effective as of August 4, 2025, or the Reverse Stock Split. Based on such Reverse Stock Split, the total number of outstanding shares of common stock was adjusted from 42,231,285 to approximately 563,042. The par value per share of the common stock remained unchanged at $0.0001. Our audited consolidated financial statements included in our Annual Report on Form 10-K for the year ended December 31, 2024, and the unaudited condensed consolidated financial statements included in our Quarterly Report on Form 10-Q for the quarterly period ended March 31, 2025, which are incorporated by reference into this prospectus, are presented without giving effect to the reverse stock split. Except where the context otherwise requires, share numbers in this prospectus supplement reflect the one-for-seventy-five reverse stock split of our common stock.</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April 15, 2025, and our unaudited condensed consolidated financial statements included in our Quarterly Report on Form 10-Q filed with the SEC on May 6, 2025, as adjusted to reflect the reverse stock split for all periods presented. Our historical results are not indicative of the results that may be expected in the future and results of interim periods are not indicative of the results for the entire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6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(53,036)</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(47,919)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41,264,948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38,510,220</w:t>
            </w:r>
          </w:p>
        </w:tc>
        <w:tc>
          <w:tcPr>
            <w:tcW w:w="120" w:type="dxa"/>
            <w:vAlign w:val="bottom"/>
            <w:shd w:val="clear" w:color="auto" w:fill="CFF0FC"/>
          </w:tcPr>
          <w:p>
            <w:pPr>
              <w:spacing w:after="0"/>
              <w:rPr>
                <w:sz w:val="18"/>
                <w:szCs w:val="18"/>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at year end</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42,231,285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41,029,832</w:t>
            </w:r>
          </w:p>
        </w:tc>
        <w:tc>
          <w:tcPr>
            <w:tcW w:w="120" w:type="dxa"/>
            <w:vAlign w:val="bottom"/>
          </w:tcPr>
          <w:p>
            <w:pPr>
              <w:spacing w:after="0"/>
              <w:rPr>
                <w:sz w:val="20"/>
                <w:szCs w:val="20"/>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5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(14,041)</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(11,625)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43,944,946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41,096,231</w:t>
            </w:r>
          </w:p>
        </w:tc>
        <w:tc>
          <w:tcPr>
            <w:tcW w:w="120" w:type="dxa"/>
            <w:vAlign w:val="bottom"/>
            <w:shd w:val="clear" w:color="auto" w:fill="CFF0FC"/>
          </w:tcPr>
          <w:p>
            <w:pPr>
              <w:spacing w:after="0"/>
              <w:rPr>
                <w:sz w:val="18"/>
                <w:szCs w:val="18"/>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at period end</w:t>
            </w: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42,231,285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41,154,799</w:t>
            </w:r>
          </w:p>
        </w:tc>
        <w:tc>
          <w:tcPr>
            <w:tcW w:w="120" w:type="dxa"/>
            <w:vAlign w:val="bottom"/>
          </w:tcPr>
          <w:p>
            <w:pPr>
              <w:spacing w:after="0"/>
              <w:rPr>
                <w:sz w:val="20"/>
                <w:szCs w:val="20"/>
                <w:color w:val="auto"/>
              </w:rPr>
            </w:pPr>
          </w:p>
        </w:tc>
      </w:tr>
      <w:tr>
        <w:trPr>
          <w:trHeight w:val="846"/>
        </w:trPr>
        <w:tc>
          <w:tcPr>
            <w:tcW w:w="5440" w:type="dxa"/>
            <w:vAlign w:val="bottom"/>
          </w:tcPr>
          <w:p>
            <w:pPr>
              <w:spacing w:after="0"/>
              <w:rPr>
                <w:sz w:val="24"/>
                <w:szCs w:val="24"/>
                <w:color w:val="auto"/>
              </w:rPr>
            </w:pPr>
          </w:p>
        </w:tc>
        <w:tc>
          <w:tcPr>
            <w:tcW w:w="20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ADJUSTED FOR 1-FOR-75 REVERSE STOCK SPLIT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0" w:type="dxa"/>
            <w:vAlign w:val="bottom"/>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(53,036)</w:t>
            </w:r>
          </w:p>
        </w:tc>
        <w:tc>
          <w:tcPr>
            <w:tcW w:w="1040" w:type="dxa"/>
            <w:vAlign w:val="bottom"/>
            <w:shd w:val="clear" w:color="auto" w:fill="CFF0FC"/>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(47,919)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1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(96.40)</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(93.33)</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0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550,146</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513,427</w:t>
            </w:r>
          </w:p>
        </w:tc>
        <w:tc>
          <w:tcPr>
            <w:tcW w:w="120" w:type="dxa"/>
            <w:vAlign w:val="bottom"/>
            <w:shd w:val="clear" w:color="auto" w:fill="CFF0FC"/>
          </w:tcPr>
          <w:p>
            <w:pPr>
              <w:spacing w:after="0"/>
              <w:rPr>
                <w:sz w:val="18"/>
                <w:szCs w:val="18"/>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at year end</w:t>
            </w: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563,042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547,019</w:t>
            </w:r>
          </w:p>
        </w:tc>
        <w:tc>
          <w:tcPr>
            <w:tcW w:w="120" w:type="dxa"/>
            <w:vAlign w:val="bottom"/>
          </w:tcPr>
          <w:p>
            <w:pPr>
              <w:spacing w:after="0"/>
              <w:rPr>
                <w:sz w:val="20"/>
                <w:szCs w:val="20"/>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76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5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8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(14,041)</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(11,625)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586,142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547,899</w:t>
            </w:r>
          </w:p>
        </w:tc>
        <w:tc>
          <w:tcPr>
            <w:tcW w:w="120" w:type="dxa"/>
            <w:vAlign w:val="bottom"/>
            <w:shd w:val="clear" w:color="auto" w:fill="CFF0FC"/>
          </w:tcPr>
          <w:p>
            <w:pPr>
              <w:spacing w:after="0"/>
              <w:rPr>
                <w:sz w:val="18"/>
                <w:szCs w:val="18"/>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at period end</w:t>
            </w: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563,042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548,677</w:t>
            </w:r>
          </w:p>
        </w:tc>
        <w:tc>
          <w:tcPr>
            <w:tcW w:w="120" w:type="dxa"/>
            <w:vAlign w:val="bottom"/>
          </w:tcPr>
          <w:p>
            <w:pPr>
              <w:spacing w:after="0"/>
              <w:rPr>
                <w:sz w:val="20"/>
                <w:szCs w:val="20"/>
                <w:color w:val="auto"/>
              </w:rPr>
            </w:pPr>
          </w:p>
        </w:tc>
      </w:tr>
      <w:tr>
        <w:trPr>
          <w:trHeight w:val="846"/>
        </w:trPr>
        <w:tc>
          <w:tcPr>
            <w:tcW w:w="5440" w:type="dxa"/>
            <w:vAlign w:val="bottom"/>
          </w:tcPr>
          <w:p>
            <w:pPr>
              <w:spacing w:after="0"/>
              <w:rPr>
                <w:sz w:val="24"/>
                <w:szCs w:val="24"/>
                <w:color w:val="auto"/>
              </w:rPr>
            </w:pPr>
          </w:p>
        </w:tc>
        <w:tc>
          <w:tcPr>
            <w:tcW w:w="20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forward-looking statements within the meaning of Section 27A of the Securities Act of 1933, as amended, or the Securities Act, and Section 21E of the Exchange Act, and the Private Securities Litigation Reform Act of 1995, as amended, that involve substantial risks and uncertainties. All statements other than statements of historical facts contained in this prospectus and each prospectus supplement or incorporated by reference in this prospectus and each prospectus supplement, including statements regarding our future results of operations and financial position, business strategy, research and development costs; the anticipated timing, costs and conduct of our clinical trials for our product candidates; the timing and likelihood of regulatory filings and approvals for our product candidates; our ability to commercialize our product candidates, if approved; the pricing and reimbursement of our product candidates, if approved; the potential benefits of strategic collaborations and our ability to enter into strategic arrangements; the timing and likelihood of success, plans and objectives of management for future operations; future results of anticipated product development efforts; and our expected future financing needs, are forward-looking statement.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“believes,” “contemplates,” “continue,” “could,” “estimates,” “expect,” “intend,” “may,” “plan,” “potential,” “predicts,” “project,” “should,” “target,” or “will,”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or the documents incorporated by reference in this prospectus, as applicable, and are subject to a number of risks, uncertainties and assumptions described under the sections in this prospectus and the documents incorporated by reference herein entitled “Risk Factors” and “Management’s Discussion and Analysis of Financial Condition and Results of Operations” and elsewhere in this prospectus and the documents incorporated by reference herein.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Accordingly, we qualify all of the forward-looking statements in the foregoing documents by these cautionary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Thus, you should not assume that our silence over time means that actual events are bearing out as expressed or implied in such forward-looking statements. You should, however, read this prospectus, the applicable prospectus supplement, together with the documents we have filed with the SEC that are incorporated by reference herein and therein, and any free writing prospectus we have authorized for use in connection with a specific offering completely and with the understanding that our actual future results may be materially different from what we expect.. See the section titled “Where You Can Find More Information.”</w:t>
      </w:r>
    </w:p>
    <w:p>
      <w:pPr>
        <w:spacing w:after="0" w:line="19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by us hereby. Except as described in any prospectus supplement or any related free writing prospectus that we may authorize to be provided to you, we currently intend to use the net proceeds from the sale of the securities offered by us hereby for general corporate purposes, including working capital, operating expenses and capital expenditures. We may also use a portion of the net proceeds to acquire or invest in businesses and products that are complementary to our own, although we have no current plans, commitments or agreements with respect to any acquisitions as of the date of this prospectus. We will set forth in the applicable prospectus supplement or any free writing prospectus we may authorize for use in connection with a specific offering our intended use for the net proceeds received from the sale of any securities sold pursuant to the prospectus supplement or free writing prospectus. We intend to invest the net proceeds to us from the sale of securities offered hereby that are not used as described above in a variety of capital preservation investments, including short-term, investment-grade, and interest-bearing instruments.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terms of our capital stock. Because it is only a summary, it does not contain all the information that may be important to you. For a complete description of the matters set forth in this “Description of Capital Stock,” you should refer to our amended and restated certificate of incorporation and amended and restated bylaws, which are included as exhibits to the registration statement of which this prospectus forms a part, and to the applicable provisions of the Delaware General Corporation Law.</w:t>
      </w:r>
    </w:p>
    <w:p>
      <w:pPr>
        <w:spacing w:after="0" w:line="180"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200,000,000 shares of common stock, par value $0.0001 per share, and 10,000,000 shares of preferred stock, par value $0.0001 per share. Our board of directors is authorized, without stockholder approval except as required by the listing standards of The Nasdaq Stock Market LLC, to issue additional shares of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common stock is entitled to one vote per share on any matter that is submitted to a vote of our stockholders. Our amended and restated certificate of incorporation does not provide for cumulative voting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Except as otherwise expressly provided in our amended and restated certificate of incorporation or required by applicable law, all shares of common stock have the same rights and privileges and rank equally, share ratably and be identical in all respects for all matters, including those described below.</w:t>
      </w:r>
    </w:p>
    <w:p>
      <w:pPr>
        <w:spacing w:after="0" w:line="16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apply to any shares of preferred stock outstanding at the time, the holders of our common stock are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dividends out of funds legally available if our board of directors, in its discretion, determines to issue dividends and then only at the times and in the amounts that our board of directors may determine.</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our common stock will be entitled to share equally, identically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holders of shares of our common stock are not entitled to preemptive rights and are not subject to conversion, redemption or sinking fund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shares of each wholly unissued series and any qualifications, limitations or restrictions thereon and to increase or decrease the number of shares of any such series, but not below the number of shares of such series then outstanding.</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forms a part, or will incorporate by reference from reports that we file with the SEC, the form of any certificate of designation that contains the terms of the series of preferred stock we are offering. This description and the applicable prospectus supplement will include:</w:t>
      </w:r>
    </w:p>
    <w:p>
      <w:pPr>
        <w:spacing w:after="0" w:line="180"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are able to elect all of our directors. Our amended and restated certificate of incorporation and our amended and restated bylaws provide that stockholders may only take action at a duly called meeting of stockholders. A special meeting of stockholders may be called by a majority of our board of directors, the chair of our board of directors or our chief executive officer. Our amended and restated bylaws establish an advance notice procedure for stockholder proposals to be brought before an annual meeting of our stockholders, including proposed nominations of persons for election to our board of directors. In accordance with our amended and restated certificate of incorporation, our board of directors is divided into three classes with staggered three-year terms.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194"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 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(as each may be amended from time to time, including any right, obligation, or remedy thereunder); (v) any claim or cause of action as to which the Delaware General Corporation Law confers jurisdiction on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 having personal jurisdiction over the indispensable parties named as defendants; provided these provisions of our amended and restated certificate of incorporation and our amended and restated bylaws will not apply to claims or causes of action brought to enforce a duty or liability created by the Securities Act of 1933, Securities Exchange Act of 1934, as amended, or any other claim for which the federal courts have exclusive jurisdiction. Our amended and restated certificate of incorporation and amended and restated bylaws further provide that, to the fullest extent permitted by law, the federal district courts of the United States of America will be the exclusive forum for resolving any complaint asserting a cause of action arising under the Securities Act of 1933, as amended, unless we consent in writing to the selection of an alternative forum. 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“SPRB.”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Massachusetts 02021.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under either the senior indenture or the subordinated indenture that we will enter into with trustee named in the applicable indenture. If we offer senior debt securities, we will issue them under the senior indenture. If we issue subordinated debt securities, we will issue them under the subordinated indenture. We have filed the forms of indentures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 of 1939, as amended, or the Trust Indenture Act. Unless the context requires otherwise, whenever we refer to the indenture, we are referring to the senior indenture or the subordinated indenture, as applicable, and we also are referring to any supplemental indentures that specify the terms of a particular series of debt securities.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indentures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1140" w:right="28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1140" w:right="220" w:hanging="383"/>
        <w:spacing w:after="0" w:line="312"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75"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7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61" w:lineRule="exact"/>
        <w:rPr>
          <w:rFonts w:ascii="Times New Roman" w:cs="Times New Roman" w:eastAsia="Times New Roman" w:hAnsi="Times New Roman"/>
          <w:sz w:val="18"/>
          <w:szCs w:val="18"/>
          <w:color w:val="auto"/>
        </w:rPr>
      </w:pPr>
    </w:p>
    <w:p>
      <w:pPr>
        <w:ind w:left="1140" w:right="52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ind w:left="1140" w:right="60" w:hanging="383"/>
        <w:spacing w:after="0" w:line="26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79"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61"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225"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225"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2" w:lineRule="exact"/>
        <w:rPr>
          <w:sz w:val="20"/>
          <w:szCs w:val="20"/>
          <w:color w:val="auto"/>
        </w:rPr>
      </w:pPr>
    </w:p>
    <w:p>
      <w:pPr>
        <w:ind w:left="1140" w:right="14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ind w:left="1140" w:hanging="383"/>
        <w:spacing w:after="0" w:line="289"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terms of any indenture supplemental thereto shall not constitute a default in the payment of principal or premium, if any;</w:t>
      </w:r>
    </w:p>
    <w:p>
      <w:pPr>
        <w:spacing w:after="0" w:line="225" w:lineRule="exact"/>
        <w:rPr>
          <w:sz w:val="20"/>
          <w:szCs w:val="20"/>
          <w:color w:val="auto"/>
        </w:rPr>
      </w:pPr>
    </w:p>
    <w:p>
      <w:pPr>
        <w:ind w:left="1140" w:right="60" w:hanging="383"/>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25"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1"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1140" w:right="180" w:hanging="383"/>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79" w:lineRule="exact"/>
        <w:rPr>
          <w:rFonts w:ascii="Times New Roman" w:cs="Times New Roman" w:eastAsia="Times New Roman" w:hAnsi="Times New Roman"/>
          <w:sz w:val="18"/>
          <w:szCs w:val="18"/>
          <w:color w:val="auto"/>
        </w:rPr>
      </w:pPr>
    </w:p>
    <w:p>
      <w:pPr>
        <w:ind w:left="1140" w:right="7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25" w:lineRule="exact"/>
        <w:rPr>
          <w:rFonts w:ascii="Times New Roman" w:cs="Times New Roman" w:eastAsia="Times New Roman" w:hAnsi="Times New Roman"/>
          <w:sz w:val="18"/>
          <w:szCs w:val="18"/>
          <w:color w:val="auto"/>
        </w:rPr>
      </w:pPr>
    </w:p>
    <w:p>
      <w:pPr>
        <w:jc w:val="both"/>
        <w:ind w:left="1140" w:right="16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62"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right="120" w:firstLine="749"/>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1140" w:right="320" w:hanging="383"/>
        <w:spacing w:after="0" w:line="266"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which we may incur, including senior indebtedness or subordinated indebtedness, and do not limit us from issuing any other debt, including secured debt 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being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w:t>
      </w:r>
    </w:p>
    <w:p>
      <w:pPr>
        <w:spacing w:after="0" w:line="225"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of shares of common stock purchasable upon the exercise of one warrant and the price at which, and the currency in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number of shares of preferred stock purchasable upon the exercise of one warrant and the price at which, and the currency in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exercise of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162" w:lineRule="exact"/>
        <w:rPr>
          <w:sz w:val="20"/>
          <w:szCs w:val="20"/>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right to receive dividends, if any, or, payments upon our liquidation, dissolution or winding up or to exercise voting rights, if any;</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right to receive dividends, if any, or, payments upon our liquidation, dissolution or winding up or to exercise voting rights, if any; or</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so indicate in the applicable prospectus supplement, holders of the warrants may surrender securities as all or part of the exercise price for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76"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6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225" w:lineRule="exact"/>
        <w:rPr>
          <w:sz w:val="20"/>
          <w:szCs w:val="20"/>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brokers or other financial institutions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225" w:lineRule="exact"/>
        <w:rPr>
          <w:sz w:val="20"/>
          <w:szCs w:val="20"/>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not us 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sell the securities covered hereby from time to time pursuant to underwritten public offerings, direct sales to the public,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w:t>
      </w:r>
    </w:p>
    <w:p>
      <w:pPr>
        <w:spacing w:after="0" w:line="17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Such offering may be made into an existing trading market for such securities in transactions at other than a fixed price, either:</w:t>
      </w:r>
    </w:p>
    <w:p>
      <w:pPr>
        <w:spacing w:after="0" w:line="207"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Nasdaq Capital Market or such other securities exchanges or quotation or trading services.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Such at-the-market offerings, if any, may be conducted by underwriters acting as principal or agent.</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pursuant to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provide agents, underwriters and dealers with indemnification against civil liabilities related to this offering, including liabilities under the Securities Act, or contribution with respect to payments that the agents, underwriters or dealers may make with respect to these liabilities. Agents, underwriters and dealer, or their affiliates, may engage in transactions with, or perform services for, us in the ordinary course of business.</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There is currently no market for any of the offered securities, other than our common stock which is listed on the Nasdaq Capital Market. We have no current plans for listing of the preferred stock, debt securities or warrants on any securities exchange or quotation system; any such listing with respect to any particular preferred stock, debt securities or warrants will be described in the applicable prospectus supplement or other offering materials, as the case may be.</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Any agents and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Cooley LLP, Santa Monica, California.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 financial statements of Spruce Biosciences, Inc. (the Company) as of December 31, 2024 and 2023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financial statements contains an explanatory paragraph regarding the Company’s ability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statements and other information regarding issuers that file electronically with the SEC, including our company, Spruce Biosciences, Inc. The address of the SEC website is www.sec.gov.</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www.sprucebio.com. Information contained in or accessible through our website does not constitute a part of this prospectus and is not incorporated by reference into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pursuant to applicable rules promulgated by the SEC) that are filed by us with the SEC pursuant to Sections 13(a), 13(c), 14 or 15(d) of the Exchange Act, including those made after the date of the initial filing of the registration statement of which this prospectus is a part but prior to the effectiveness of such registration statement, until we file a post-effective amendment that indicates the termination of all offerings of securities covered by this prospectus:</w:t>
      </w:r>
    </w:p>
    <w:p>
      <w:pPr>
        <w:spacing w:after="0" w:line="188"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15, 2025;</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6"/>
        </w:numPr>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auto"/>
          </w:rPr>
          <w:t xml:space="preserve">our Quarterly Reports on Form 10-Q for the quarters ended March 31, 2025 and June 30, 2025, filed with the SEC on </w:t>
        </w:r>
        <w:r>
          <w:rPr>
            <w:rFonts w:ascii="Times New Roman" w:cs="Times New Roman" w:eastAsia="Times New Roman" w:hAnsi="Times New Roman"/>
            <w:sz w:val="18"/>
            <w:szCs w:val="18"/>
            <w:u w:val="single" w:color="auto"/>
            <w:color w:val="0000FF"/>
          </w:rPr>
          <w:t>May 6,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August</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FF"/>
          </w:rPr>
          <w:t>14, 2025</w:t>
        </w:r>
        <w:r>
          <w:rPr>
            <w:rFonts w:ascii="Times New Roman" w:cs="Times New Roman" w:eastAsia="Times New Roman" w:hAnsi="Times New Roman"/>
            <w:sz w:val="18"/>
            <w:szCs w:val="18"/>
            <w:color w:val="000000"/>
          </w:rPr>
          <w:t>, respectively;</w:t>
        </w:r>
      </w:hyperlink>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Current Reports on Form 8-K filed with the SEC on </w:t>
      </w:r>
      <w:hyperlink r:id="rId92">
        <w:r>
          <w:rPr>
            <w:rFonts w:ascii="Times New Roman" w:cs="Times New Roman" w:eastAsia="Times New Roman" w:hAnsi="Times New Roman"/>
            <w:sz w:val="18"/>
            <w:szCs w:val="18"/>
            <w:u w:val="single" w:color="auto"/>
            <w:color w:val="0000FF"/>
          </w:rPr>
          <w:t>April 25, 2025</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FF"/>
          </w:rPr>
          <w:t>May 29, 2025</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June 12, 2025</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July 24, 2025</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October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7">
        <w:r>
          <w:rPr>
            <w:rFonts w:ascii="Times New Roman" w:cs="Times New Roman" w:eastAsia="Times New Roman" w:hAnsi="Times New Roman"/>
            <w:sz w:val="18"/>
            <w:szCs w:val="18"/>
            <w:u w:val="single" w:color="auto"/>
            <w:color w:val="0000FF"/>
          </w:rPr>
          <w:t>October 17, 2025</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extent the information in such reports is filed and not furnished); and</w:t>
      </w:r>
    </w:p>
    <w:p>
      <w:pPr>
        <w:spacing w:after="0" w:line="161" w:lineRule="exact"/>
        <w:rPr>
          <w:rFonts w:ascii="Times New Roman" w:cs="Times New Roman" w:eastAsia="Times New Roman" w:hAnsi="Times New Roman"/>
          <w:sz w:val="18"/>
          <w:szCs w:val="18"/>
          <w:color w:val="0000FF"/>
        </w:rPr>
      </w:pPr>
    </w:p>
    <w:p>
      <w:pPr>
        <w:jc w:val="both"/>
        <w:ind w:left="7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 our registration statement on </w:t>
      </w:r>
      <w:hyperlink r:id="rId9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October 5, 2020, including any amendments or reports filed for the purpose of updating such description, including </w:t>
      </w:r>
      <w:hyperlink r:id="rId50">
        <w:r>
          <w:rPr>
            <w:rFonts w:ascii="Times New Roman" w:cs="Times New Roman" w:eastAsia="Times New Roman" w:hAnsi="Times New Roman"/>
            <w:sz w:val="18"/>
            <w:szCs w:val="18"/>
            <w:u w:val="single" w:color="auto"/>
            <w:color w:val="0000FF"/>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December 31, 2020, which was filed with the SEC on March 22, 2021.</w:t>
      </w:r>
    </w:p>
    <w:p>
      <w:pPr>
        <w:spacing w:after="0" w:line="176" w:lineRule="exact"/>
        <w:rPr>
          <w:rFonts w:ascii="Times New Roman" w:cs="Times New Roman" w:eastAsia="Times New Roman" w:hAnsi="Times New Roman"/>
          <w:sz w:val="18"/>
          <w:szCs w:val="18"/>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611 Gateway Boulevard, Suite 740 South San Francisco, California 94080, or by telephoning us at (415) 655-4168.</w:t>
      </w:r>
    </w:p>
    <w:p>
      <w:pPr>
        <w:spacing w:after="0" w:line="180" w:lineRule="exact"/>
        <w:rPr>
          <w:rFonts w:ascii="Times New Roman" w:cs="Times New Roman" w:eastAsia="Times New Roman" w:hAnsi="Times New Roman"/>
          <w:sz w:val="18"/>
          <w:szCs w:val="18"/>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2162810</wp:posOffset>
            </wp:positionH>
            <wp:positionV relativeFrom="page">
              <wp:posOffset>1675130</wp:posOffset>
            </wp:positionV>
            <wp:extent cx="3231515" cy="6000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3231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1,150,000 Shares of Common Stock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Pre-Funded Warrants to Purchase 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1316355</wp:posOffset>
            </wp:positionV>
            <wp:extent cx="2846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156845</wp:posOffset>
            </wp:positionV>
            <wp:extent cx="28460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16" w:lineRule="exact"/>
        <w:rPr>
          <w:sz w:val="20"/>
          <w:szCs w:val="20"/>
          <w:color w:val="auto"/>
        </w:rPr>
      </w:pPr>
    </w:p>
    <w:p>
      <w:pPr>
        <w:ind w:left="1220"/>
        <w:spacing w:after="0"/>
        <w:tabs>
          <w:tab w:leader="none" w:pos="3360" w:val="left"/>
          <w:tab w:leader="none" w:pos="5880" w:val="left"/>
        </w:tabs>
        <w:rPr>
          <w:sz w:val="20"/>
          <w:szCs w:val="20"/>
          <w:color w:val="auto"/>
        </w:rPr>
      </w:pPr>
      <w:r>
        <w:rPr>
          <w:rFonts w:ascii="Times New Roman" w:cs="Times New Roman" w:eastAsia="Times New Roman" w:hAnsi="Times New Roman"/>
          <w:sz w:val="22"/>
          <w:szCs w:val="22"/>
          <w:b w:val="1"/>
          <w:bCs w:val="1"/>
          <w:color w:val="auto"/>
        </w:rPr>
        <w:t>Leerink Partners</w:t>
      </w:r>
      <w:r>
        <w:rPr>
          <w:sz w:val="20"/>
          <w:szCs w:val="20"/>
          <w:color w:val="auto"/>
        </w:rPr>
        <w:tab/>
      </w:r>
      <w:r>
        <w:rPr>
          <w:rFonts w:ascii="Times New Roman" w:cs="Times New Roman" w:eastAsia="Times New Roman" w:hAnsi="Times New Roman"/>
          <w:sz w:val="22"/>
          <w:szCs w:val="22"/>
          <w:b w:val="1"/>
          <w:bCs w:val="1"/>
          <w:color w:val="auto"/>
        </w:rPr>
        <w:t>Guggenheim Securities</w:t>
      </w:r>
      <w:r>
        <w:rPr>
          <w:sz w:val="20"/>
          <w:szCs w:val="20"/>
          <w:color w:val="auto"/>
        </w:rPr>
        <w:tab/>
      </w:r>
      <w:r>
        <w:rPr>
          <w:rFonts w:ascii="Times New Roman" w:cs="Times New Roman" w:eastAsia="Times New Roman" w:hAnsi="Times New Roman"/>
          <w:sz w:val="21"/>
          <w:szCs w:val="21"/>
          <w:b w:val="1"/>
          <w:bCs w:val="1"/>
          <w:color w:val="auto"/>
        </w:rPr>
        <w:t>Oppenheimer &amp; Co.</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219" w:lineRule="exact"/>
        <w:rPr>
          <w:sz w:val="20"/>
          <w:szCs w:val="20"/>
          <w:color w:val="auto"/>
        </w:rPr>
      </w:pPr>
    </w:p>
    <w:p>
      <w:pPr>
        <w:ind w:left="3260"/>
        <w:spacing w:after="0"/>
        <w:tabs>
          <w:tab w:leader="none" w:pos="4540" w:val="left"/>
        </w:tabs>
        <w:rPr>
          <w:sz w:val="20"/>
          <w:szCs w:val="20"/>
          <w:color w:val="auto"/>
        </w:rPr>
      </w:pPr>
      <w:r>
        <w:rPr>
          <w:rFonts w:ascii="Times New Roman" w:cs="Times New Roman" w:eastAsia="Times New Roman" w:hAnsi="Times New Roman"/>
          <w:sz w:val="20"/>
          <w:szCs w:val="20"/>
          <w:b w:val="1"/>
          <w:bCs w:val="1"/>
          <w:color w:val="auto"/>
        </w:rPr>
        <w:t>Jones</w:t>
      </w:r>
      <w:r>
        <w:rPr>
          <w:sz w:val="20"/>
          <w:szCs w:val="20"/>
          <w:color w:val="auto"/>
        </w:rPr>
        <w:tab/>
      </w:r>
      <w:r>
        <w:rPr>
          <w:rFonts w:ascii="Times New Roman" w:cs="Times New Roman" w:eastAsia="Times New Roman" w:hAnsi="Times New Roman"/>
          <w:sz w:val="20"/>
          <w:szCs w:val="20"/>
          <w:b w:val="1"/>
          <w:bCs w:val="1"/>
          <w:color w:val="auto"/>
        </w:rPr>
        <w:t>Craig-Hallum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1230630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471805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upperLetter"/>
      <w:start w:val="1"/>
    </w:lvl>
  </w:abstractNum>
  <w:abstractNum w:abstractNumId="7">
    <w:nsid w:val="2443A858"/>
    <w:multiLevelType w:val="hybridMultilevel"/>
    <w:lvl w:ilvl="0">
      <w:lvlJc w:val="left"/>
      <w:lvlText w:val="%1."/>
      <w:numFmt w:val="upperLetter"/>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jpe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91"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jpe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45" Type="http://schemas.openxmlformats.org/officeDocument/2006/relationships/hyperlink" Target="https://www.sec.gov/ix?doc=/Archives/edgar/data/1683553/000119312526097558/sprb-20251231.htm" TargetMode="External"/><Relationship Id="rId46" Type="http://schemas.openxmlformats.org/officeDocument/2006/relationships/hyperlink" Target="https://www.sec.gov/ix?doc=/Archives/edgar/data/1683553/000119312526007038/sprb-20260107.htm" TargetMode="External"/><Relationship Id="rId47" Type="http://schemas.openxmlformats.org/officeDocument/2006/relationships/hyperlink" Target="https://www.sec.gov/ix?doc=/Archives/edgar/data/0001683553/000119312526097561/sprb-20260309.htm" TargetMode="External"/><Relationship Id="rId48" Type="http://schemas.openxmlformats.org/officeDocument/2006/relationships/hyperlink" Target="https://www.sec.gov/ix?doc=/Archives/edgar/data/0001683553/000119312526117888/sprb-20260316.htm" TargetMode="External"/><Relationship Id="rId49" Type="http://schemas.openxmlformats.org/officeDocument/2006/relationships/hyperlink" Target="https://www.sec.gov/Archives/edgar/data/1683553/000119312526149821/sprb-20260409.htm" TargetMode="External"/><Relationship Id="rId50" Type="http://schemas.openxmlformats.org/officeDocument/2006/relationships/hyperlink" Target="https://www.sec.gov/Archives/edgar/data/1683553/000156459021014593/sprb-ex44_801.htm" TargetMode="External"/><Relationship Id="rId89" Type="http://schemas.openxmlformats.org/officeDocument/2006/relationships/hyperlink" Target="https://www.sec.gov/Archives/edgar/data/1683553/000095017025053945/sprb-20241231.htm" TargetMode="External"/><Relationship Id="rId90" Type="http://schemas.openxmlformats.org/officeDocument/2006/relationships/hyperlink" Target="https://www.sec.gov/Archives/edgar/data/1683553/000095017025108888/sprb-20250630.htm" TargetMode="External"/><Relationship Id="rId92" Type="http://schemas.openxmlformats.org/officeDocument/2006/relationships/hyperlink" Target="https://www.sec.gov/ix?doc=/Archives/edgar/data/0001683553/000095017025058863/sprb-20250421.htm" TargetMode="External"/><Relationship Id="rId93" Type="http://schemas.openxmlformats.org/officeDocument/2006/relationships/hyperlink" Target="https://www.sec.gov/ix?doc=/Archives/edgar/data/0001683553/000095017025078590/sprb-20250528.htm" TargetMode="External"/><Relationship Id="rId94" Type="http://schemas.openxmlformats.org/officeDocument/2006/relationships/hyperlink" Target="https://www.sec.gov/ix?doc=/Archives/edgar/data/0001683553/000095017025085144/sprb-20250609.htm" TargetMode="External"/><Relationship Id="rId95" Type="http://schemas.openxmlformats.org/officeDocument/2006/relationships/hyperlink" Target="https://www.sec.gov/ix?doc=/Archives/edgar/data/0001683553/000095017025098340/sprb-20250722.htm" TargetMode="External"/><Relationship Id="rId96" Type="http://schemas.openxmlformats.org/officeDocument/2006/relationships/hyperlink" Target="https://www.sec.gov/ix?doc=/Archives/edgar/data/0001683553/000119312525234516/d36248d8k.htm" TargetMode="External"/><Relationship Id="rId97" Type="http://schemas.openxmlformats.org/officeDocument/2006/relationships/hyperlink" Target="https://www.sec.gov/Archives/edgar/data/1683553/000119312525242488/sprb-20251015.htm" TargetMode="External"/><Relationship Id="rId98" Type="http://schemas.openxmlformats.org/officeDocument/2006/relationships/hyperlink" Target="https://www.sec.gov/Archives/edgar/data/0001683553/000119312520263986/d5580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2026-04-21T16:40:42Z</dcterms:created>
  <dcterms:modified xsi:type="dcterms:W3CDTF">2026-04-21T16:40:42Z</dcterms:modified>
</cp:coreProperties>
</file>