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2" w:lineRule="exact"/>
        <w:rPr>
          <w:rFonts w:ascii="MS PGothic" w:cs="MS PGothic" w:eastAsia="MS PGothic" w:hAnsi="MS PGothic"/>
          <w:sz w:val="16"/>
          <w:szCs w:val="16"/>
          <w:color w:val="auto"/>
          <w:highlight w:val="black"/>
        </w:rPr>
      </w:pPr>
    </w:p>
    <w:p>
      <w:pPr>
        <w:ind w:left="39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fiscal year ended December 31, 2025</w:t>
      </w:r>
    </w:p>
    <w:p>
      <w:pPr>
        <w:spacing w:after="0" w:line="63" w:lineRule="exact"/>
        <w:rPr>
          <w:rFonts w:ascii="MS PGothic" w:cs="MS PGothic" w:eastAsia="MS PGothic" w:hAnsi="MS PGothic"/>
          <w:sz w:val="16"/>
          <w:szCs w:val="16"/>
          <w:color w:val="auto"/>
          <w:highlight w:val="black"/>
        </w:rPr>
      </w:pPr>
    </w:p>
    <w:p>
      <w:pPr>
        <w:ind w:left="54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w:t>
      </w:r>
      <w:r>
        <w:rPr>
          <w:rFonts w:ascii="Times New Roman" w:cs="Times New Roman" w:eastAsia="Times New Roman" w:hAnsi="Times New Roman"/>
          <w:sz w:val="15"/>
          <w:szCs w:val="15"/>
          <w:b w:val="1"/>
          <w:bCs w:val="1"/>
          <w:color w:val="auto"/>
        </w:rPr>
        <w:t>TO</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Spruce Biosciences,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jc w:val="center"/>
              <w:ind w:left="105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60" w:type="dxa"/>
            <w:vAlign w:val="bottom"/>
          </w:tcPr>
          <w:p>
            <w:pPr>
              <w:jc w:val="right"/>
              <w:ind w:right="2393"/>
              <w:spacing w:after="0"/>
              <w:rPr>
                <w:sz w:val="20"/>
                <w:szCs w:val="20"/>
                <w:color w:val="auto"/>
              </w:rPr>
            </w:pPr>
            <w:r>
              <w:rPr>
                <w:rFonts w:ascii="Times New Roman" w:cs="Times New Roman" w:eastAsia="Times New Roman" w:hAnsi="Times New Roman"/>
                <w:sz w:val="14"/>
                <w:szCs w:val="14"/>
                <w:b w:val="1"/>
                <w:bCs w:val="1"/>
                <w:color w:val="auto"/>
              </w:rPr>
              <w:t>81-2154263</w:t>
            </w:r>
          </w:p>
        </w:tc>
        <w:tc>
          <w:tcPr>
            <w:tcW w:w="0" w:type="dxa"/>
            <w:vAlign w:val="bottom"/>
          </w:tcPr>
          <w:p>
            <w:pPr>
              <w:spacing w:after="0"/>
              <w:rPr>
                <w:sz w:val="1"/>
                <w:szCs w:val="1"/>
                <w:color w:val="auto"/>
              </w:rPr>
            </w:pPr>
          </w:p>
        </w:tc>
      </w:tr>
      <w:tr>
        <w:trPr>
          <w:trHeight w:val="135"/>
        </w:trPr>
        <w:tc>
          <w:tcPr>
            <w:tcW w:w="4500" w:type="dxa"/>
            <w:vAlign w:val="bottom"/>
          </w:tcPr>
          <w:p>
            <w:pPr>
              <w:jc w:val="center"/>
              <w:ind w:left="1052"/>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560" w:type="dxa"/>
            <w:vAlign w:val="bottom"/>
          </w:tcPr>
          <w:p>
            <w:pPr>
              <w:jc w:val="center"/>
              <w:ind w:right="1993"/>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31"/>
        </w:trPr>
        <w:tc>
          <w:tcPr>
            <w:tcW w:w="4500" w:type="dxa"/>
            <w:vAlign w:val="bottom"/>
          </w:tcPr>
          <w:p>
            <w:pPr>
              <w:jc w:val="center"/>
              <w:ind w:left="1072"/>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560" w:type="dxa"/>
            <w:vAlign w:val="bottom"/>
          </w:tcPr>
          <w:p>
            <w:pPr>
              <w:jc w:val="center"/>
              <w:ind w:right="1993"/>
              <w:spacing w:after="0" w:line="131"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49"/>
        </w:trPr>
        <w:tc>
          <w:tcPr>
            <w:tcW w:w="4500" w:type="dxa"/>
            <w:vAlign w:val="bottom"/>
          </w:tcPr>
          <w:p>
            <w:pPr>
              <w:jc w:val="center"/>
              <w:ind w:left="1052"/>
              <w:spacing w:after="0" w:line="149" w:lineRule="exact"/>
              <w:rPr>
                <w:sz w:val="20"/>
                <w:szCs w:val="20"/>
                <w:color w:val="auto"/>
              </w:rPr>
            </w:pPr>
            <w:r>
              <w:rPr>
                <w:rFonts w:ascii="Times New Roman" w:cs="Times New Roman" w:eastAsia="Times New Roman" w:hAnsi="Times New Roman"/>
                <w:sz w:val="14"/>
                <w:szCs w:val="14"/>
                <w:b w:val="1"/>
                <w:bCs w:val="1"/>
                <w:color w:val="auto"/>
              </w:rPr>
              <w:t>611 Gateway Boulevard, Suite 740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vMerge w:val="restart"/>
          </w:tcPr>
          <w:p>
            <w:pPr>
              <w:jc w:val="right"/>
              <w:ind w:right="2553"/>
              <w:spacing w:after="0"/>
              <w:rPr>
                <w:sz w:val="20"/>
                <w:szCs w:val="20"/>
                <w:color w:val="auto"/>
              </w:rPr>
            </w:pPr>
            <w:r>
              <w:rPr>
                <w:rFonts w:ascii="Times New Roman" w:cs="Times New Roman" w:eastAsia="Times New Roman" w:hAnsi="Times New Roman"/>
                <w:sz w:val="14"/>
                <w:szCs w:val="14"/>
                <w:b w:val="1"/>
                <w:bCs w:val="1"/>
                <w:color w:val="auto"/>
              </w:rPr>
              <w:t>94080</w:t>
            </w:r>
          </w:p>
        </w:tc>
        <w:tc>
          <w:tcPr>
            <w:tcW w:w="0" w:type="dxa"/>
            <w:vAlign w:val="bottom"/>
          </w:tcPr>
          <w:p>
            <w:pPr>
              <w:spacing w:after="0"/>
              <w:rPr>
                <w:sz w:val="1"/>
                <w:szCs w:val="1"/>
                <w:color w:val="auto"/>
              </w:rPr>
            </w:pPr>
          </w:p>
        </w:tc>
      </w:tr>
      <w:tr>
        <w:trPr>
          <w:trHeight w:val="153"/>
        </w:trPr>
        <w:tc>
          <w:tcPr>
            <w:tcW w:w="4500" w:type="dxa"/>
            <w:vAlign w:val="bottom"/>
          </w:tcPr>
          <w:p>
            <w:pPr>
              <w:jc w:val="center"/>
              <w:ind w:left="1072"/>
              <w:spacing w:after="0" w:line="153" w:lineRule="exact"/>
              <w:rPr>
                <w:sz w:val="20"/>
                <w:szCs w:val="20"/>
                <w:color w:val="auto"/>
              </w:rPr>
            </w:pPr>
            <w:r>
              <w:rPr>
                <w:rFonts w:ascii="Times New Roman" w:cs="Times New Roman" w:eastAsia="Times New Roman" w:hAnsi="Times New Roman"/>
                <w:sz w:val="14"/>
                <w:szCs w:val="14"/>
                <w:b w:val="1"/>
                <w:bCs w:val="1"/>
                <w:color w:val="auto"/>
              </w:rPr>
              <w:t>South San Francisco, California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500" w:type="dxa"/>
            <w:vAlign w:val="bottom"/>
          </w:tcPr>
          <w:p>
            <w:pPr>
              <w:jc w:val="center"/>
              <w:ind w:left="107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jc w:val="center"/>
              <w:ind w:right="199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08"/>
        </w:trPr>
        <w:tc>
          <w:tcPr>
            <w:tcW w:w="7680" w:type="dxa"/>
            <w:vAlign w:val="bottom"/>
            <w:gridSpan w:val="7"/>
          </w:tcPr>
          <w:p>
            <w:pPr>
              <w:ind w:left="35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343-5986</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4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60" w:type="dxa"/>
            <w:vAlign w:val="bottom"/>
            <w:gridSpan w:val="4"/>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4500" w:type="dxa"/>
            <w:vAlign w:val="bottom"/>
          </w:tcPr>
          <w:p>
            <w:pPr>
              <w:ind w:left="18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4"/>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560" w:type="dxa"/>
            <w:vAlign w:val="bottom"/>
          </w:tcPr>
          <w:p>
            <w:pPr>
              <w:jc w:val="center"/>
              <w:ind w:right="95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8"/>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Common Stock, par value $0.0001 per share</w:t>
            </w: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SPRB</w:t>
            </w:r>
          </w:p>
        </w:tc>
        <w:tc>
          <w:tcPr>
            <w:tcW w:w="120" w:type="dxa"/>
            <w:vAlign w:val="bottom"/>
          </w:tcPr>
          <w:p>
            <w:pPr>
              <w:spacing w:after="0"/>
              <w:rPr>
                <w:sz w:val="14"/>
                <w:szCs w:val="14"/>
                <w:color w:val="auto"/>
              </w:rPr>
            </w:pPr>
          </w:p>
        </w:tc>
        <w:tc>
          <w:tcPr>
            <w:tcW w:w="1020" w:type="dxa"/>
            <w:vAlign w:val="bottom"/>
            <w:tcBorders>
              <w:top w:val="single" w:sz="8" w:color="auto"/>
            </w:tcBorders>
            <w:gridSpan w:val="2"/>
          </w:tcPr>
          <w:p>
            <w:pPr>
              <w:spacing w:after="0"/>
              <w:rPr>
                <w:sz w:val="14"/>
                <w:szCs w:val="14"/>
                <w:color w:val="auto"/>
              </w:rPr>
            </w:pPr>
          </w:p>
        </w:tc>
        <w:tc>
          <w:tcPr>
            <w:tcW w:w="3560" w:type="dxa"/>
            <w:vAlign w:val="bottom"/>
            <w:tcBorders>
              <w:top w:val="single" w:sz="8" w:color="auto"/>
            </w:tcBorders>
          </w:tcPr>
          <w:p>
            <w:pPr>
              <w:jc w:val="center"/>
              <w:ind w:right="953"/>
              <w:spacing w:after="0"/>
              <w:rPr>
                <w:sz w:val="20"/>
                <w:szCs w:val="20"/>
                <w:color w:val="auto"/>
              </w:rPr>
            </w:pPr>
            <w:r>
              <w:rPr>
                <w:rFonts w:ascii="Times New Roman" w:cs="Times New Roman" w:eastAsia="Times New Roman" w:hAnsi="Times New Roman"/>
                <w:sz w:val="13"/>
                <w:szCs w:val="13"/>
                <w:color w:val="auto"/>
              </w:rPr>
              <w:t>Nasdaq Capital Market</w:t>
            </w:r>
          </w:p>
        </w:tc>
        <w:tc>
          <w:tcPr>
            <w:tcW w:w="0" w:type="dxa"/>
            <w:vAlign w:val="bottom"/>
          </w:tcPr>
          <w:p>
            <w:pPr>
              <w:spacing w:after="0"/>
              <w:rPr>
                <w:sz w:val="1"/>
                <w:szCs w:val="1"/>
                <w:color w:val="auto"/>
              </w:rPr>
            </w:pPr>
          </w:p>
        </w:tc>
      </w:tr>
      <w:tr>
        <w:trPr>
          <w:trHeight w:val="187"/>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gridSpan w:val="7"/>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680" w:type="dxa"/>
            <w:vAlign w:val="bottom"/>
            <w:gridSpan w:val="7"/>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7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8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8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8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218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01"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420"/>
        <w:spacing w:after="0" w:line="278"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as of June 30, 2025, the last business day of the Registrant's most recently completed second fiscal quarter, was approximately $2.8 million, based on the closing price of the Registrant's common stock on the OTCQB of $5.44 per share.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3, 2026 was 1,372,043.</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180"/>
        <w:spacing w:after="0" w:line="278"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2026 Annual Meeting of Stockholders to be filed with the Securities and Exchange Commission pursuant to Regulation 14A not later than 120 days after the end of the fiscal year covered by this Annual Report on Form 10-K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6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25"/>
            <w:vMerge w:val="continue"/>
          </w:tcPr>
          <w:p>
            <w:pPr>
              <w:spacing w:after="0"/>
              <w:rPr>
                <w:sz w:val="14"/>
                <w:szCs w:val="14"/>
                <w:color w:val="auto"/>
              </w:rPr>
            </w:pPr>
          </w:p>
        </w:tc>
        <w:tc>
          <w:tcPr>
            <w:tcW w:w="7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SUMMARY OF RISKS ASSOCIATED WITH OUR BUSINESS</w:t>
            </w:r>
          </w:p>
        </w:tc>
        <w:tc>
          <w:tcPr>
            <w:tcW w:w="5060" w:type="dxa"/>
            <w:vAlign w:val="bottom"/>
            <w:gridSpan w:val="8"/>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34"/>
        </w:trPr>
        <w:tc>
          <w:tcPr>
            <w:tcW w:w="11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7"/>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7"/>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8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(the “Annual Report”) contains forward-looking statements within the meaning of the federal securities laws made pursuant to the safe harbor provisions of the Private Securities Litigation Reform Act of 1995. All statements other than statements of historical facts contained in this Annual Report, including statements regarding our future results of operations and financial position, business strategy, research and development costs; the ability to seek accelerated approval of tralesinidase alfa enzyme replacement therapy (“TA-ERT”) for Sanfilippo Syndrome Type B, or Mucopolysaccharidosis Type IIIB (“MPS IIIB”) based on existing clinical data; the timing and likelihood of regulatory filings and approvals for TA-ERT; the anticipated timing, costs and conduct of our clinical trials for our product candidates, such as a confirmatory trial of TA-ERT for MPS IIIB; our ability to commercialize our product candidates, including TA-ERT, if approved, in the United States and in international markets; the anticipated market opportunity and level of sales for our product candidates, including TA-ERT for MPS IIIB, if approved; our ability to establish a commercial organization in the United States and leverage regional partnerships and a network of third-party distributors in international markets; the coverage, pricing and reimbursement of our product candidates, if approved; the potential benefits of strategic alliances and our ability to enter into strategic alliances; our ability to identify and benefit from strategic collaborations with other biopharmaceutical companies; the ability to in-license or acquire development and commercial stage product candidates in disorders that have the potential to complement our existing portfolio; the timing and likelihood of success, plans and objectives of management for future operations; future results of anticipated product development efforts; our ability to continue as a going concern; and our expected future financing needs,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“contemplates,” “believes,” “estimates,” “might,” “can,”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titled “Risk Factors” and “Management’s Discussion and Analysis of Financial Condition and Results of Operations”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Securities and Exchange Commission (“SEC”) after the date of this Annual Report.</w:t>
      </w:r>
    </w:p>
    <w:p>
      <w:pPr>
        <w:spacing w:after="0" w:line="89" w:lineRule="exact"/>
        <w:rPr>
          <w:sz w:val="20"/>
          <w:szCs w:val="20"/>
          <w:color w:val="auto"/>
        </w:rPr>
      </w:pPr>
    </w:p>
    <w:p>
      <w:pPr>
        <w:jc w:val="both"/>
        <w:ind w:right="40" w:firstLine="509"/>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Annual Report,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face risks and uncertainties associated with our business, many of which are beyond our control. Some of the material risks associated with our business include the following:</w:t>
      </w:r>
    </w:p>
    <w:p>
      <w:pPr>
        <w:spacing w:after="0" w:line="54" w:lineRule="exact"/>
        <w:rPr>
          <w:sz w:val="20"/>
          <w:szCs w:val="20"/>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have sufficient working capital to fund our planned operations for the next twelve months and substantial doubt exists as to our ability to continue as a going concern.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financing to develop our product candidates and implement our operating plan. If we fail to obtain additional financing, including as a result of geopolitical uncertainty and macroeconomic events, we may be forced to delay, reduce or eliminate our product development programs or commercialization efforts, which could significantly harm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our product candidate, tralesinidase alfa enzyme replacement therapy (“TA-ERT”), and our other current and future product candidates.</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advance our product candidates in clinical development, obtain regulatory approval, and ultimately commercialize our product candidates,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adequately demonstrate that our product candidates are well tolerated and provide sufficient clinical benefits for patients, which could prevent or delay regulatory approval and commercialization.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9"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TA-ERT and our other current and future product candidates.</w:t>
      </w:r>
    </w:p>
    <w:p>
      <w:pPr>
        <w:spacing w:after="0" w:line="49" w:lineRule="exact"/>
        <w:rPr>
          <w:rFonts w:ascii="Times New Roman" w:cs="Times New Roman" w:eastAsia="Times New Roman" w:hAnsi="Times New Roman"/>
          <w:sz w:val="17"/>
          <w:szCs w:val="17"/>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TA-ERT and our other current and future product candidates will be subject to extensive regulation and compliance obligations, which are costly and time-consuming, and such regulation may cause unanticipated delays or prevent the receipt of the required approvals to commercialize TA-ERT and our other current and future product candidates.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TA-ERT and our other current and future product candidates are smaller than we believe they are, our future revenue, if any, may be adversely affected and our business may suffer.</w:t>
      </w:r>
    </w:p>
    <w:p>
      <w:pPr>
        <w:spacing w:after="0" w:line="53"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organization and have yet to commercialize a product. If we are unable to establish marketing and sales capabilities or enter into agreements with third parties to market and sell TA-ERT and our other current and future product candidates, we may not be able to generate any product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6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U.S. and global economic and geopolitical conditions could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policies, including tariffs, sanctions and trade barriers may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may be limited or unavailable in certain market segments for TA-ERT and our other current and future product candidates, which could make it difficult for us to sell TA-ERT and our other current and future product candidates profitably.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commercialize additional product candidates, we may be unable to grow our business.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others, the termination of which could result in the loss of significant rights, which would harm our business.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TA-ERT and our other current and future product candidates.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completely on third parties to manufacture our preclinical and clinical drug supplies and we intend to rely on third parties to produce commercial supplies of TA-ERT and our other current and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71" w:lineRule="exact"/>
        <w:rPr>
          <w:rFonts w:ascii="Times New Roman" w:cs="Times New Roman" w:eastAsia="Times New Roman" w:hAnsi="Times New Roman"/>
          <w:sz w:val="18"/>
          <w:szCs w:val="18"/>
          <w:color w:val="auto"/>
        </w:rPr>
      </w:pPr>
    </w:p>
    <w:p>
      <w:pPr>
        <w:ind w:left="1020" w:right="160" w:hanging="503"/>
        <w:spacing w:after="0" w:line="281"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sufficient intellectual property protection for TA-ERT and our other current and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our other current and future product candidates or other proprietary technologies, if approved, may be adversely affected.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novel therapies for neurological disorders with significant unmet medical need. We have a diverse portfolio of product candidates aimed at addressing diseases with high unmet medical need and clear biology for treatment, for which there are either no approved therapies treating the underlying disease or suboptimal treatment options. We were founded in April 2016 and are led by a management team experienced in the development and commercialization of groundbreaking therapeutics.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7" w:lineRule="exact"/>
        <w:rPr>
          <w:sz w:val="20"/>
          <w:szCs w:val="20"/>
          <w:color w:val="auto"/>
        </w:rPr>
      </w:pPr>
    </w:p>
    <w:p>
      <w:pPr>
        <w:ind w:left="1020" w:right="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Seek regulatory approval and maximize the U.S. commercial potential of TA-ERT for the treatment of MPS IIIB. </w:t>
      </w:r>
      <w:r>
        <w:rPr>
          <w:rFonts w:ascii="Times New Roman" w:cs="Times New Roman" w:eastAsia="Times New Roman" w:hAnsi="Times New Roman"/>
          <w:sz w:val="18"/>
          <w:szCs w:val="18"/>
          <w:color w:val="auto"/>
        </w:rPr>
        <w:t>We intend to seek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accelerated approval of tralesinidase alfa enzyme replacement therapy (“TA-ERT”) for Mucopolysaccharidosis Type IIIB (“MPS IIIB”) based on existing non-clinical and clinical data. As a condition of seeking such approval of a biologics license application (“BLA”) from the U.S. Food and Drug Administration (“FDA”), we will initiate a confirmatory trial. If the BLA is approved, we intend to build a highly specialized commercial and medical affairs organization to support the commercialization of TA-ERT. Given that a relatively small number of clinicians and specialists treat most of the patients with MPS IIIB, we believe this market can be effectively addressed with a modest-sized and targeted patient-centric field team, alongside various high-touch patient initiatives. TA-ERT has received Rare Pediatric Disease Designation, Fast Track Designation, Breakthrough Therapy Designation, and Orphan Drug Designation in the United States and European Union (“EU”).</w:t>
      </w:r>
    </w:p>
    <w:p>
      <w:pPr>
        <w:spacing w:after="0" w:line="80" w:lineRule="exact"/>
        <w:rPr>
          <w:rFonts w:ascii="Times New Roman" w:cs="Times New Roman" w:eastAsia="Times New Roman" w:hAnsi="Times New Roman"/>
          <w:sz w:val="18"/>
          <w:szCs w:val="18"/>
          <w:color w:val="auto"/>
        </w:rPr>
      </w:pPr>
    </w:p>
    <w:p>
      <w:pPr>
        <w:ind w:left="1020" w:right="140" w:hanging="503"/>
        <w:spacing w:after="0" w:line="26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Commercialize globally through a patient-focused organization. </w:t>
      </w:r>
      <w:r>
        <w:rPr>
          <w:rFonts w:ascii="Times New Roman" w:cs="Times New Roman" w:eastAsia="Times New Roman" w:hAnsi="Times New Roman"/>
          <w:sz w:val="18"/>
          <w:szCs w:val="18"/>
          <w:color w:val="auto"/>
        </w:rPr>
        <w:t>We seek to commercialize TA-ERT and its other investigational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throughout the developed world, including North America, the EU, the United Kingdom, Latin America, Turkey, Asia, and other international markets. We intend to establish our own commercial organization in the United States, EU, and the United Kingdom, and seek regional strategic collaborations and a network of third-party distributors in other international markets.</w:t>
      </w:r>
    </w:p>
    <w:p>
      <w:pPr>
        <w:spacing w:after="0" w:line="68" w:lineRule="exact"/>
        <w:rPr>
          <w:rFonts w:ascii="Times New Roman" w:cs="Times New Roman" w:eastAsia="Times New Roman" w:hAnsi="Times New Roman"/>
          <w:sz w:val="18"/>
          <w:szCs w:val="18"/>
          <w:color w:val="auto"/>
        </w:rPr>
      </w:pPr>
    </w:p>
    <w:p>
      <w:pPr>
        <w:jc w:val="both"/>
        <w:ind w:left="1020" w:right="3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Focus on serious diseases with significant unmet medical need and clear biology. </w:t>
      </w:r>
      <w:r>
        <w:rPr>
          <w:rFonts w:ascii="Times New Roman" w:cs="Times New Roman" w:eastAsia="Times New Roman" w:hAnsi="Times New Roman"/>
          <w:sz w:val="18"/>
          <w:szCs w:val="18"/>
          <w:color w:val="auto"/>
        </w:rPr>
        <w:t>We focus on diseases that have biology that is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understood. We believe that developing drugs that directly impact known disease pathways will increase the probability of success of our development programs.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and Anticipated Milestones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have a diverse portfolio of biologics and small molecule product candidates aimed at addressing diseases with significant unmet medical need and clear biology for treatment, for which there are suboptimal treatment options or no approved therapies treating the underlying disease.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TA-ERT for the Treatment of Mucopolysaccharidosis Type IIIB (MPS IIIB)</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TA-ERT is a fusion protein comprised of recombinant human alpha-N-acetylglucosaminidase (“rhNAGLU”). TA-ERT is intended as an enzyme replacement therapy for the treatment of patients with MPS IIIB who lack rhNAGLU enzyme activity. TA-ERT is expected to restore rhNAGLU enzyme activity in the central nervous system following intracerebroventricular (“ICV”) injection. rhNAGLU typically lacks the mannose-6 phosphate residues that are essential for efficient cellular uptake via the M6P receptor pathway. As a result, the naked enzyme is poorly absorbed by cells, including neurons. To address this challenge, TA-ERT is fused to an insulin-like growth factor 2 peptide, which binds to the cation-independent mannose-6-phosphate on cell surfaces. This fusion enables the enzyme to be internalized and delivered to the lysosome, thereby enhancing its therapeutic potential for treating MPS IIIB. By restoring NAGLU enzymatic activity and promoting clearance of lysosomal heparan sulfate and heparan sulfate non-reducing end in the brain, TA-ERT is expected to preserve neuronal cell health and potentially halt or slow the neurological decline and improve clinical outcomes in affected patients.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MPS IIIB is an ultra-rare, serious, and fatal genetic disease characterized by deficiency in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N-Acetyl-Alpha-Glycosaminidase (“NAGLU”), an enzyme required for the catabolism of enzyme required for the degradation of the glycosaminoglycan, heparan sulfate (“HS”), and the MPS IIIB-specific non-reducing end of heparan sulfate (“HS-NRE”) in lysosomes. The true incidence and prevalence of MPS IIIB is difficult to ascertain because it is a disease currently not included in newborn screening. The accumulation of toxic levels of cerebral spinal fluid heparan sulfate (“CSF HS”) in the brain is the underlying pathophysiology of MPS IIIB. Although signs and symptoms of MPS IIIB can vary amongst affected individuals, progressive neurodegeneration typically follows a predictable path to brain atrophy, cognitive and developmental impairment, hyperactivity with aggressive and destructive behavior, delayed speech, hearing loss, and motor skill deficits. Somatic manifestations include coarse facial features, hepatosplenomegaly, and gastrointestinal symptoms. The final stage of MPS IIIB is typically marked by severe dementia, loss of motor function, and seizure activity, with patients largely bed-ridden and requiring constant care, requiring feeding tubes for hydration and nutrition, and ultimately leading to death. The mean life expectancy of individuals with MPS IIIB is approximately 19 years of age. Currently, there are no FDA-approved therapies for MPS IIIB, and management of the disease consists of limited palliative care to improve quality of life.</w:t>
      </w:r>
    </w:p>
    <w:p>
      <w:pPr>
        <w:spacing w:after="0" w:line="86"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Since MPS IIIB results in severe neurodegeneration, successful treatment is likely dependent on replacement of NAGLU enzyme activity throughout the CNS. In addition, enzyme replacement must be broadly disseminated and chronically active in order to be therapeutic. TA-ERT is not expected to cross the blood-brain barrier in appreciable amounts, so systemic administration is unlikely to deliver therapeutic concentrations at the site of disease pathology in the CNS. To circumvent the blood-brain barrier, TA-ERT is to be administered directly to the CNS by ICV infusion into the cerebrospinal fluid (“CSF”). It is expected that TA-ERT will distribute to the target tissues in the CNS via the CSF flow and be trafficked to lysosomes, where it will catabolize accumulated HS. We expect TA-ERT to restore NAGLU enzyme activity, reduce HS storage in the CNS, and improve signs and symptoms of MPS IIIB disease.</w:t>
      </w:r>
    </w:p>
    <w:p>
      <w:pPr>
        <w:spacing w:after="0" w:line="81" w:lineRule="exact"/>
        <w:rPr>
          <w:sz w:val="20"/>
          <w:szCs w:val="20"/>
          <w:color w:val="auto"/>
        </w:rPr>
      </w:pPr>
    </w:p>
    <w:p>
      <w:pPr>
        <w:ind w:firstLine="509"/>
        <w:spacing w:after="0" w:line="220" w:lineRule="exact"/>
        <w:rPr>
          <w:sz w:val="20"/>
          <w:szCs w:val="20"/>
          <w:color w:val="auto"/>
        </w:rPr>
      </w:pPr>
      <w:r>
        <w:rPr>
          <w:rFonts w:ascii="Times New Roman" w:cs="Times New Roman" w:eastAsia="Times New Roman" w:hAnsi="Times New Roman"/>
          <w:sz w:val="18"/>
          <w:szCs w:val="18"/>
          <w:color w:val="auto"/>
        </w:rPr>
        <w:t>Human exposure to TA-ERT has occurred in 3 clinical studies (250-201, 250-202, and 250-401). Study 250-201 was a completed Phase 1/2, first-in-human, multicenter, multinational, open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dose-escalation study. Study 250-202 was an extension study for patients who completed study 250-201, and study 250-401 was an extension study for patients who completed study 250-202. Patients entered study 250-201 by either completing study 250-201’s Part 1 dose-escalation study, or completing study 250-901, an observational study of progressive MPS IIIB symptomatology.</w:t>
      </w:r>
    </w:p>
    <w:p>
      <w:pPr>
        <w:spacing w:after="0" w:line="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studies 250-201 and 250-202, TA-ERT was administered weekly by ICV infusion, and patients were evaluated in terms of neurocognitive function, behavior, sleep, quality of life (both of the patient and of the family/caregiver), MRI imaging characteristics, biochemical markers of disease burden and, in some cases, hearing. The primary objectives of these studies were to evaluate the safety and tolerability of TA-ERT administered to patients with MPS IIIB via an ICV reservoir and catheter, and to evaluate the impact of TA-ERT on cognitive function defined as communication skills in patients with MPS IIIB as assessed by the raw score and age-equivalent quotient (“AEq”). Patients in study 250-202 were eligible for weekly or every other week dosing after Week 96. 22 patients enrolled in Study 250-201 and a total of 21 patients completed the study. 20 of these patients transitioned to study 250-202. Study 250-401 was a Phase 3B/4 study to allow patients that completed study 250-202 to continue receiving TA-ERT for up to 3 additional years.</w:t>
      </w:r>
    </w:p>
    <w:p>
      <w:pPr>
        <w:spacing w:after="0" w:line="40" w:lineRule="exact"/>
        <w:rPr>
          <w:sz w:val="20"/>
          <w:szCs w:val="20"/>
          <w:color w:val="auto"/>
        </w:rPr>
      </w:pPr>
    </w:p>
    <w:p>
      <w:pPr>
        <w:ind w:right="40" w:firstLine="509"/>
        <w:spacing w:after="0" w:line="228" w:lineRule="exact"/>
        <w:rPr>
          <w:sz w:val="20"/>
          <w:szCs w:val="20"/>
          <w:color w:val="auto"/>
        </w:rPr>
      </w:pPr>
      <w:r>
        <w:rPr>
          <w:rFonts w:ascii="Times New Roman" w:cs="Times New Roman" w:eastAsia="Times New Roman" w:hAnsi="Times New Roman"/>
          <w:sz w:val="18"/>
          <w:szCs w:val="18"/>
          <w:color w:val="auto"/>
        </w:rPr>
        <w:t>Study 250-901 was a prospective, non-treatment study of MPS IIIB open to 1 – 10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old patients with cognitive developmental quotients ≥ 50 (determined by the BSID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III or KABC-II (each as defined below)) upon study entry. This study aimed to quantify MPS IIIB disease progression over time; to correlate changes in clinical features of the disease, in particular cognitive decline, with MRI characteristics and biochemical markers of disease burden; and to serve as a comparator for studies 250-201 and 250-202. Following a screening period, patients were assessed every 12 weeks for up to 96 weeks. 22 patients enrolled and 20 patients matriculated into study 250-201.</w:t>
      </w:r>
    </w:p>
    <w:p>
      <w:pPr>
        <w:spacing w:after="0" w:line="9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Study 250-902 was a prospective, non-treatment study of MPS IIIB that aimed to quantify the progression of cognitive decline in pediatric patients with MPS IIIB over time. The study enrolled patients regardless of age or baseline DQ. To this end, data collected from Study 250-902 augmented and extended data from study 250-901. Data was prospectively collected from 44 patients for up to 192 weeks, with study visits occurring every 24 weeks.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studies 250-201 and 250-202, TA-ERT was shown to significantly and durably normalize HS and HS-NRE levels over a five-year period. In Study 250-201, TA-ERT was shown to normalize liver and spleen volume, while stabilizing cortical grey matter volume, reflecting removal of HS deposits from these target organs. We also believe that early intervention with TA-ERT stabilizes cognitive decline in patients with MPS IIIB.</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integrated and evaluated group-level efficacy data for cerebral spinal fluid heparan-sulfate non-reducing end (“CSF HS-NRE”), cortical grey matter volume (“CGMV”), and Bayley-III Cognitive Raw Score (“BSID-C”), the cognitive subscale of the Bayley Scales of Infant and Toddler Development - Third Edition (“Bayley-III”), as well as safety data over a five-year period from clinical studies 250-201, 250-202, and 250-401. Data from treated patients (n=22) in the studies 250-201, 250-202, and 250-401 was compared with data from untreated patients with MPS IIIB in natural history studies 250-901 and 250-902.</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Integrated group-level data from studies 250-201, 250-202, and 250-401 demonstrate that TA-ERT significantly reduced to normal or near normal CSF HS-NRE levels over a five-year period. At 240 weeks, CSF HS-NRE decreased 91.5 ng/mL from baseline (95% CI: -102.10, -80.90; p&lt;0.0001). Most participants experienced normalization of CSF HS-NRE levels eight weeks after initiating therapy.</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untreated patients with MPS IIIB, cognitive function peaks at around four years of age and then declines over time. In contrast, children with established disease treated with TA-ERT experienced stable cognitive function over time. Untreated children in the natural history studies showed a decline in cognition beginning at approximately five years of age that progressively worsened over time, while cognition in the TA-ERT treated group remained stable. Using a model-based approach, the mean (95% CI) BSID-C over six to 10 years of age was significantly higher in patients treated with TA-ERT, relative to untreated, age-matched children, with differences evident at six years of age (group difference: 10.67, 95% CI: 3.23, 18.11; p=0.005). At 10 years of age, the difference in BSID-C scores between groups increased to 34.66 (95% CI: 24.38, 44.93; p&lt;0.0001). Although TA-ERT treatment stabilized BSID-C scores on average, increases in BSID-C scores were more commonly observed in subjects who initiated therapy at younger ages with higher baseline cognitive function and prior to the establishment of meaningful neurodegeneration. The BSID-C is anticipated to be the primary endpoint for the post-marketing clinical trial.</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TA-ERT was also associated with stabilization of CGMV, relative to the decline in CGMV observed in untreated children due to the progressive neurodegenerative nature of MPS IIIB. While CGMV should increase with age in children up to five years of age, there was an average loss of ~32 mL over 48 weeks in untreated children with MPS IIIB observed in study 250-901. Consistent with TA-ERT’s mechanism of action, decreases in CGMV were observed during the initial 24 weeks of TA-ERT treatment, likely reflecting intracellular clearance of CSF HS and CSF HS-NRE. CGMV stabilized from weeks 48 to 240 with TA-ERT treatment.</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Analysis using the validated Vineland Adaptive Behavior Scales – Second Addition (VABS-II) scale also showed that TA-ERT was associated with a stabilization in receptive and expressive communication, as well as both fine and gross motor skills, compared to a decline in these outcomes in untreated natural history patients.</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TA-ERT exposure for up to 7.3 years has demonstrated an adequate safety profile in a serious and fatal disease for which no treatment is currently available. The mean (SD) exposure to TA-ERT was 4.2 (2.0) years. No deaths occurred throughout study 250-201 and its long-term extension studies 250-202 and 250-401. The most frequent treatment-emergent adverse event (TEAE) by preferred term (reported in ≥40% of participants) was vomiting (22 [100%]), followed by pyrexia (20 [90.9%]), upper respiratory tract infection (17 [77.3%]), pleocytosis (11 [50.0%]), COVID-19 infection (10 [45.5%]), and diarrhea (9 [40.9%]). Four (18%) patients discontinued treatment, although three (14%) discontinuations were due to hydrocephalus, a known complication of MPS IIIB. Adverse events related to the ICV device were consistent with other therapies administered by the ICV route.</w:t>
      </w:r>
    </w:p>
    <w:p>
      <w:pPr>
        <w:spacing w:after="0" w:line="79"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In March 2024, in a type C meeting with the U.S. Food and Drug Administration (“FDA”), the FDA confirmed that CSF HS-NRE is a surrogate biomarker reasonably likely to predict clinical benefit and could serve as a basis for accelerated approval. The FDA also confirmed that the completed clinical and nonclinical studies of TA-ERT were sufficient for a BLA submission and provided guidance around key design elements of a confirmatory Phase 3 trial (placebo-controlled 5-year study in 14 patients), which must be initiated prior to potential accelerated approval of TA-ERT.</w:t>
      </w:r>
    </w:p>
    <w:p>
      <w:pPr>
        <w:spacing w:after="0" w:line="7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also held two Type B meetings with the FDA ahead of our anticipated BLA submission for TA-ERT; the first in December 2025 to discuss our clinical data and regulatory strategy, and the second in January 2026 to discuss chemistry, manufacturing, and controls (“CMC”) requirements.</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During the December 2025 meeting, the FDA confirmed that the integrated study data from interventional clinical studies of TA-ERT and the available natural history data could potentially serve as an adequate and well-controlled study for purposes of the FDA’s review of the effects of TA-ERT on CSF HS-NRE, which could serve as a reasonably likely surrogate endpoint (“RLSE”) to support an accelerated approval. The FDA also provided recommendations to further support CSF HS-NRE as a RLSE, which we are incorporating into our planned BLA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submission. In addition, we discussed the timing and design of the required confirmatory study of TA-ERT, including an agreement to initiate the confirmatory study during BLA review.</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Following the January 2026 CMC meeting, the FDA considered the company’s plan to address drug product (“DP”) process performance qualification (“PPQ”) batch requirements for the BLA submission. In the official meeting minutes, which were received on February 12, 2026, the FDA shared its requirement for one DP PPQ batch at the time of BLA submission and data from a second DP PPQ batch prior to midcycle of BLA review. To accommodate this requirement, the timing of the BLA submission for TA-ERT is anticipated in the fourth quarter of 2026.</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February 2026, the Rare Pediatric Disease Priority Review Voucher (“PRV”) program was reauthorized through September 30, 2029. This five-year extension restores a key incentive to develop therapies for rare pediatric diseases, allowing companies to receive a fast-track review voucher for approved drugs. TA-ERT has received Rare Pediatric Disease Designation and would be eligible for a PRV, if approved by the FDA.</w:t>
      </w:r>
    </w:p>
    <w:p>
      <w:pPr>
        <w:spacing w:after="0" w:line="6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TA-ERT has received Rare Pediatric Disease Designation, Fast Track Designation, Breakthrough Therapy Designation, and Orphan Drug Designation in the United States and the EU.</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Tildacerfont and Cortibon for the Treatment of Major Depressive Disorder</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Major depressive disorder (“MDD”) is a highly debilitating mental disorder characterized by the presence of depressed mood and typically accompanied by cognitive-affective and somatic changes including anhedonia, weight alterations, and altered sleeping patterns.</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Current antidepressants therapies, including selective serotonin reuptake inhibitors, serotonin and norepinephrine reuptake inhibitors, and tricyclic antidepressants have several limitations: they work in too few patients, need too much time until they work, and have too many side effects. All current antidepressants share one mechanistic feature, as they enhance neurotransmission conveyed by biogenic amines, including serotonin, norepinephrine, and dopamine. In recent years, antidepressants with alternative modes of action, such as the N-methyl-D-aspartate antagonist esketamine (Spravato) and the gamma-aminobutyric acid positive allosteric modulators, brexanolone (Zulresso) and zuranolone (Zurzuvae), have been approved by the FDA for the treatment of treatment-resistant depression and post-partum depression, respectively.</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Abnormal CRF neurotransmission and CRF1 receptor signal transduction has been proposed to be a critical mechanism for stress pathophysiology that leads to MDD. One of the most robust findings in depressed patients is aberrant stress regulation, mostly hyperreactivity of a hormonal system termed the hypothalamus-pituitary-adrenal (“HPA”) axis. The master molecule in the brain coordinating behavioral response and adaptation to a stressor is the neuropeptide corticotropin releasing hormone (“CRH”, also referred to as corticotropin-releasing factor “CRF”). CRF signaling through one of its receptors, CRF receptor 1 (“CRF1”), is highly relevant in the context of depression therapy. The CRF1 receptor is abundantly expressed in the brain and pituitary gland, where it is the primary regulator of the HPA axis. Preclinical research revealed that CRF1 signaling affects anxiety, sleep disturbance, loss of appetite, anhedonia, and cognitive impairment. Clinical research on (postmortem tissue from) MDD patients revealed increased numbers of CRF-expressing neurons and decreased CRH binding. Clinical research further revealed that, on average, the CRF level in the CSF is elevated in MDD patients as compared to normal subjects. Of note, between 30% and 50% of MDD patients, considered individually, have CRF concentrations higher than the average values of healthy controls, suggesting that CRF1 might be directly related to MDD etiology in a subset of MDD patients.</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Due to the inability of most peptides to cross the blood-brain barrier, several pharmaceutical companies developed small, CRF1 receptor antagonists. These compounds were hypothesized to alleviate symptoms of psychiatric disorders including MDD and generalized anxiety disorder. However, except for the first explorative open-label trial in inpatients conducted by the Max Planck Institute of Psychiatry, all randomized controlled trials in MDD outpatients did not meaningfully separate from placebo. As a result, most pharmaceutical companies abandoned their CRF1 development programs. We believe that these clinical trials did not separate from placebo due to the fact that CRF1signaling is only altered in a subgroup of patients. Therefore, only in those patients would a CRF1 receptor antagonist have the potential for clinical benefit. By blocking the CRF1 receptor, tildacerfont has the potential to address hyperactive brain CRF neurotransmission and aberrant functioning of the HPA axis in patients with MDD. Additionally, by utilizing genetic markers, Cortibon aims to identify MDD patients who are more likely to respond to CRF1 receptor antagonism, thereby enhancing treatment outcomes and reducing the trial-and-error period typical in depression treatment.</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May 2024, we formed a strategic partnership with HMNC Holding GmbH (“HMNC”) to investigate the potential of tildacerfont, a potent and highly selective, oral, small-molecule antagonist of the CRF1 receptor, and the Cortibon Genetic Selection Tool (“Cortibon”), a companion diagnostic developed to identify MDD patients most likely to benefit from CRF1 receptor antagonism. Cortibon was developed using DNA samples from patients that were enrolled in a large-scale randomized controlled trial where a CRF1 receptor antagonist was compared with the standard of care (escitalopram) and placebo. Cortibon stratifies the patient sample with a sensitivity and specificity above 80% and post-hoc analysis suggests treatment benefit of a CRF1 receptor antagonist in the Cortibon-positive population.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HMNC and Spruce collaborated in a Phase 2 proof-of-concept clinical trial called Tildacerfont as Antidepressant Medication and Relief in Depression (“TAMARIND”). TAMARIND’s primary objective was to explore efficacy of 400mg twice-daily tildacerfont versus placebo in improving depressive symptoms in MDD patients that are Cortibon-positive. The study was discontinued in the first quarter of 2026 following a serious adverse event in which a patient experienced a significant elevation of liver enzymes.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study and collaboration agreement, HMNC funded and conducted TAMARIND. We have an option to in-license exclusive worldwide rights to Cortibon. If Spruce exercises its option, it will be responsible for the future worldwide development and commercialization of tildacerfont and Cortibon for the treatment of MDD under a collaboration framework that leverages HMNC’s ongoing expertise in precision psychiatry and companion diagnostics. Pursuant to the license terms, HMNC would be entitled to receive certain milestone payments and tiered royalties on net sales of tildacerfont in MDD.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SPR202 for the Treatment of Congenital Adrenal Hyperplasia</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Congenital Adrenal Hyperplasia (“CAH”) is a chronic and potentially life-threatening rare disease with no cure. The most common cause of classic CAH, accounting for an estimated 95% of cases, is a genetic mutation leading to the production of dysfunctional 21-hydroxylase, an enzyme necessary for the biosynthesis of both corticosteroids and mineralocorticoids. Patients with classic CAH present with dysregulation across the HPA axis due to this enzymatic deficiency that shuts down the production of corticosteroids and, in approximately 75% of cases, the production of mineralocorticoids.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immediate goal of treatment is the prevention of adrenal crises by replacing the missing physiological levels of corticosteroids. However, cortisol levels in the body vary daily, and normally increase during periods of high stress, making adequate control very difficult to achieve for most patients. In response to chronically absent or inadequate cortisol levels, the pituitary gland secretes higher levels of adrenocorticotropic hormone (“ACTH”) to further stimulate steroid synthesis in the adrenal gland. This results in hyperplasia of the gland and the shunting of the steroid precursors to androgen synthesis, resulting in excess levels of androgens such as testosterone and A4 with overt symptoms of virilization. Therefore, the long-term symptomatic control in these patients is to reduce ACTH through supraphysiological doses of exogenous glucocorticoids via a negative feedback response.</w:t>
      </w:r>
    </w:p>
    <w:p>
      <w:pPr>
        <w:spacing w:after="0" w:line="7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consequences of being born with CAH are severe. All patients born with classic CAH have cortisol deficiency, which makes these patients susceptible to adrenal crises in as early as one to four weeks of age. Due to the life-threatening adrenal crisis, screening for classic CAH is a standard part of routine neonatal screening in the United States and many other major geographies around the world. The most common cause of an adrenal crisis is an infection. Adrenal crisis can also be precipitated by other inducers of stress including surgery, dehydration, or trauma, and is characterized by extreme weakness, nausea, and vomiting. To prevent adrenal crises, physiological replacement of glucocorticoids is initiated in the neonatal period. Data from approximately 6.5 million newborn infants screened worldwide show an estimated incidence of approximately one in 14,000 – 18,000 live births.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when patients are diagnosed early and treated with steroids, the associated, continued exposure to high levels of androgens results in premature or precocious puberty, with onset sometimes occurring as early as five years of age. Early puberty drives early maturation of the body’s bones, resulting in an adult height that is typically significantly below the height expected based on the parents’ heights. In females, the presence of excess androgens in the body causes virilization, often leading to ambiguous genitalia and masculinizing features apparent at birth. Female adolescents and adults may develop male-pattern alopecia, acne, hirsutism, menstrual irregularities, and impaired fertility. Often commencing in early adolescence, a substantial proportion of males can develop testicular adrenal rest tumors, benign tumors that can lead to pain and impaired fertility.</w:t>
      </w:r>
    </w:p>
    <w:p>
      <w:pPr>
        <w:spacing w:after="0" w:line="7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January 2025, we entered into a Collaboration and License Agreement (the “HBM License Agreement”) with HBM Alpha Therapeutics, Inc (“HBM”). Pursuant to the HBM License Agreement, we obtained an exclusive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license to a specified anti-CRH monoclonal antibody targeting CRF, now known as SPR202, for the treatment of Congenital Adrenal Hyperplasia (“CAH”) and other indications.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Eli Lilly and Company</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May 2016, we entered into a license agreement (the “Lilly License Agreement”) with Eli Lilly and Company (“Lilly”). Pursuant to the terms of the Lilly License Agreement, Lilly granted us an exclusive, worldwide, royalty bearing, sublicensable license under certain technology, patent rights, know-how, and proprietary materials (collectively, the “Lilly IP”, and such patents, the “Lilly Licensed Patents”), relating to the CRF1 receptor antagonist compounds either listed in the Lilly License Agreement or covered by patent rights controlled by Lilly (collectively,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other than a Lilly Compound (collectively, the “Lilly Licensed Products”), for all pharmaceutical uses, including all diagnostic, therapeutic, and prophylactic uses, for human or animal administration (the “Field”). Lilly retained rights under the Lilly IP and the Lilly Licensed Patents for internal research purposes.</w:t>
      </w:r>
    </w:p>
    <w:p>
      <w:pPr>
        <w:spacing w:after="0" w:line="84"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Lilly License Agreement, we are required to use commercially reasonable efforts to develop and commercialize a Lilly Licensed Product in the Field. In addition, we are responsible to oversee, monitor, and manage all regulatory interactions, communications, and filings with, and submissions to regulatory authorities, with respect to the Lilly Licensed Products, and shall have final decision-making authority regarding all such regulatory activities, including the regulatory and labeling strategy and the content of submissions.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partial consideration for the rights granted to us under the Lilly License Agreement, we made a one-time upfront payment to Lilly of approximately $0.8 million during the year ended December 31, 2016.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event, and are due shortly after achieving the applicable milestone. In addition, we are required to pay Lilly tiered royalties on annual worldwide net sales of Lilly Licensed Products in the Field, with rates ranging from mid-single-digits to low double-digits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Lilly License Agreement shall remain in effect until the expiration of all payment obligations thereunder, unless terminated earlier as follows,</w:t>
      </w:r>
    </w:p>
    <w:p>
      <w:pPr>
        <w:spacing w:after="0" w:line="27" w:lineRule="exact"/>
        <w:rPr>
          <w:sz w:val="20"/>
          <w:szCs w:val="20"/>
          <w:color w:val="auto"/>
        </w:rPr>
      </w:pPr>
    </w:p>
    <w:p>
      <w:pPr>
        <w:ind w:right="240" w:firstLine="8"/>
        <w:spacing w:after="0" w:line="252"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upon mutual agreement, (ii) unilateral termination by us, on a worldwide basis or with respect to any country or countries, in our sole discretion, upon 60 days’ advance written notice, (iii) unilateral termination by either party upon written notice of the other party’s material breach of its obligations under the Lilly License Agreement and failure to cure such breach within 90 days after receiving written notice of such breach, and (iv) unilateral termination by either party in the event of a general assignment for the benefit of creditors of the other party or if proceedings are commenced against such other party relating to bankruptcy, insolvency, liquidation, reorganization, winding up, or composition or adjustment of debt, and such proceedings continue undismissed, or an order with respect to the foregoing shall be entered and continue unabated, for a period of more than 60 days.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BioMarin Pharmaceutical, Inc.</w:t>
      </w:r>
    </w:p>
    <w:p>
      <w:pPr>
        <w:spacing w:after="0" w:line="12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October 2024, we entered into that certain Asset Purchase Agreement (the “Purchase Agreement”) with AVX (ABC), LLC, a Delaware limited liability company, in its sole and limited capacity as the assignee for the benefit of creditors of Allievex Corporation (“Allievex”). Pursuant to the Purchase Agreement, we acquired, among other things, that certain Exclusive License Agreement, by and between BioMarin Pharmaceutical Inc. (“BioMarin”)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and Allievex, dated October 22, 2019 (the “BioMarin License Agreement”). Pursuant to the terms of the BioMarin License Agreement, we obtained a worldwide exclusive, royalty-bearing, license under certain intellectual property to develop and commercialize enzyme replacement therapy products for the prevention or treatment of Sanfilippo Type A Syndrome, MPS IIIB, GM1 Gangliosidosis and GM2 Gangliosidosis, and we obtained a worldwide exclusive, royalty-bearing, license under certain other intellectual property to develop and commercialize products for the prevention or treatment of any indication. We also assumed the obligations of Allievex to pay BioMarin up to an aggregate of $88.0 million upon the achievement of certain development and regulatory milestones (up to $25.5 million for the first MPS IIIB product) and up to an aggregate of $100.0 million per licensed product upon the achievement of certain sales milestones. In addition, we are required to pay to BioMarin certain (i) high-single digit to low double-digit tiered royalties on aggregate annual net sales of licensed MPS IIIB products and (i) mid-to-high single digit tiered royalties on aggregate annual net sales of licensed products other than MPS IIIB products, in each case during the applicable royalty term, subject to certain customary reductions and floors.</w:t>
      </w:r>
    </w:p>
    <w:p>
      <w:pPr>
        <w:spacing w:after="0" w:line="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may terminate the BioMarin License Agreement at any time for convenience upon prior written notice provided within a specified period of time. BioMarin may terminate the BioMarin License Agreement upon written notice if we (i) challenge the validity, enforceability or scope of any of the patents licensed by us under the BioMarin License Agreement, subject to certain conditions, or (ii) cease all material research and development activity for any licensed product for a specified period of time, subject to certain exceptions. Either we or BioMarin may also terminate the BioMarin License Agreement (i) in the event the other party shall have materially breached its obligations thereunder and such default shall have continued for a specified period after written notice thereof or (ii) upon the bankruptcy or insolvency of the other party.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 with HMNC Brain Health</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May 2024, we entered into a license, development and option agreement (the “HMNC Agreement”) with HMNC. Under the terms of the HMNC Agreement, HMNC funded and conducted a Phase 2 proof-of-concept study of tildacerfont, a potent and highly selective, oral, small-molecule antagonist of the CRF</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xml:space="preserve"> receptor, in patients with MDD, who were screened using Cortibon, HMNC’s proprietary genetic selection tool. The study was discontinued in the first quarter of 2026 following a serious adverse event in which a patient experienced a significant elevation of liver enzymes. We have an option to in-license exclusive worldwide rights to Cortibon. If we exercise this option, we will be responsible for the future worldwide development and commercialization of tildacerfont and Cortibon for the treatment of MDD.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HBM Alpha Therapeutics, Inc.</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January 2025, we entered into a Collaboration and License Agreement with HBM (the “HBM License Agreement”). Pursuant to the HBM License Agreement, we obtained an exclusive license to a specified product candidate developed by HBM in all countries outside of mainland China, Taiwan, Hong Kong, and Macau, for upfront consideration of $5.0 million and the issuance to HBM of a pre-funded warrant equal to 4.99% of our outstanding common stock as of the date of issuance of such warrant, which has been exercised in full as of December 31, 2025. Furthermore, we are obligated to pay HBM up to an aggregate of $390.0 million upon the achievement of certain development, regulatory, and sales milestones. In addition, we are required to pay to HBM certain mid to high-single digit tiered royalties on aggregate annual net sales of licensed products during the applicable royalty term, subject to certain customary reductions.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terminate the HBM License Agreement on a licensed product-by-licensed product basis or in its entirety at any time for convenience upon prior written notice provided within a specified period of time. Either we or HBM may also terminate the HBM License Agreement (i) in the event the other party shall have materially breached its obligations thereunder and such default shall have continued for a specified period after written notice thereof or (ii) upon the bankruptcy or insolvency of the other party. HBM may terminate the HBM License Agreement upon prior written notice if we (i) cease all development or commercialization activities for a specified period of time, subject to certain exceptions, or (ii) challenge the validity, enforceability or scope of any of the patents licensed by us to HBM under the HBM License Agreement, subject to certain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in the process of scaling up a commercial organization for the marketing, sales, and distribution of pharmaceutical products. We are building a highly specialized commercial organization to support the commercialization of TA-ERT, if approved, in the United States. Given a relatively small number of specialists treat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large proportion of patients with MPS IIIB, we believe this market can be effectively addressed with a modest-sized commercial sales force, alongside various high-touch patient initiatives. We also plan to seek strategic collaborations to benefit from the resources of biopharmaceutical companies specialized in either relevant disease areas or geographies in markets outside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or in-licensing issued patents and patent applications,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acquired rights to 19 patent families, which was in-licensed from BioMarin. The in-licensed patent portfolio includes issued patents and pending patent applications related to TA-ERT and other programs. As of December 31, 2025, the portfolio includes 26 issued U.S. patents, 4 pending U.S. patent applications, 216 granted patents in various markets outside of the United States, and 19 pending patent applications in various markets outside of the United States.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the patent portfolio covering TA-ERT exclusively in-licensed from BioMarin includes issued patents in Australia, Brazil, Canada, China, Europe, Hong Kong, Israel, India, Japan, Korea, Mexico, Russia, Taiwan, the United States, and South Africa, along with patent applications pending in the United States and other markets outside of the United States. The issued United States patent covering TA-ERT as composition of matter is expected to expire in 2033-2034, absent any patent term adjustments or extensions. We also in-licensed issued patents in Australia, Europe, Israel, Japan, Russia, and the United States along with pending patent applications in Brazil, Canada, China, Korea, Mexico, and New Zealand related to formulations of TA-ERT and methods of use. Patents related to tildacerfont may be eligible for patent term extensions in certain jurisdictions, including up to five years in both the United States and the EU, upon approval of a commercial use of the corresponding product by a regulatory agency in the jurisdiction where the patent was granted.</w:t>
      </w:r>
    </w:p>
    <w:p>
      <w:pPr>
        <w:spacing w:after="0" w:line="8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January 15, 2025, we have licensed 2 patent families from HBM Alpha Therapeutics, Inc. The in-licensed portfolio includes pending patent applications related to SPR202. The in-licensed portfolio includes 2 pending U.S. patent applications, 1 granted patent in a market outside of the United States, and 11 pending patent applications in various markets outside of the United States.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developed and continue to expand our patent portfolio for tildacerfont. Our patent portfolio consists of issued patents and pending applications that we own or in-licensed related to tildacerfont. As of December 31, 2025, the in-licensed portfolio from Lilly includes 5 issued U.S. patents, 31 granted patents in various markets outside of the United States, and 1 pending patent application in Venezuela.</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the patent portfolio covering tildacerfont exclusively in-licensed from Lilly includes issued patents in Argentina, Azerbaijan, Brazil, Canada, Chile, China, the Czech Republic, Eurasia, France, Germany, Great Britain, Israel, India, Italy, Japan, Korea, Mexico, Pakistan, Portugal, Russia, Spain, Switzerland, Tajikistan, Taiwan, and the United States, along with a pending application in Venezuela. The issued United States patent covering tildacerfont is expected to expire in 2027, absent any patent term adjustments or extensions. Additionally, the in-licensed portfolio includes issued patents in the United States and granted patents in various markets outside of the United States covering methods of making tildacerfont. The issued United States patent is expected to expire in 2029, absent any patent term adjustments or extensions.</w:t>
      </w:r>
    </w:p>
    <w:p>
      <w:pPr>
        <w:spacing w:after="0" w:line="7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have filed our own patent applications in the United States and other countries throughout the world directed to various methods of use and formulations. As of December 31, 2025, the company-owned portfolio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includes at least 7 issued U.S. patents, 9 pending U.S. patent applications, 19 granted patents in various markets outside of the United States, 33 pending patent applications in various markets outside of the United States, and 1 pending international patent application filed under the Patent Cooperation Treaty (PCT). The issued United States patents covering methods of treating CAH are expected to expire in 2038, absent any patent term adjustments or extensions. The remaining patent applications, if issued, would be expected to expire between 2038 and 2045, absent any patent term adjustments or extensions.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approved in the United States, as TA-ERT, SPR202, and tildacerfont have not previously been approved in the United States for any indication, TA-ERT, SPR202, and tildacerfont may be eligible for new chemical entity regulatory exclusivity, which would run concurrently with their seven years of orphan drug exclusivity, respectively, if we obtain orphan drug exclusivity for their approved uses.</w:t>
      </w:r>
    </w:p>
    <w:p>
      <w:pPr>
        <w:spacing w:after="0" w:line="68"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 protection, we rely on trade secret protection and know-how to expand our proprietary position around our chemistry, technology, and other discoveries and inventions that we consider important to our business. Under the License Agreements with Lilly, BioMarin, and HBM, Lilly, BioMarin, and HBM granted intellectual property rights to know-how that are important to our business. The License Agreements impose various development, regulatory, and commercial diligence obligations, payment of milestones and/or royalties, and other obligations.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also seek to protect our intellectual property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contract manufacturing organizations (“CMOs”) to produce TA-ERT and our other investigational product candidates in accordance with the FDA’s and comparable foreign regulatory authorities’ current Good Manufacturing Practices (“cGMP”), regulations for use in our clinical trials. The manufacture of pharmaceuticals for human use is subject to extensive cGMP regulations, which impose various procedural and documentation requirements and govern all areas of record keeping, production processes and controls, personnel training, and quality control. TA-ERT and our other investigational product candidates are manufactured using common chemical engineering and synthetic processes from readily available raw materials. We have entered into manufacturing, development, and supply agreements with our CMOs that provide for the procurement of active pharmaceutical ingredient (“API”) and drug product in connection with our planned and future clinical trials of TA-ERT and commercial requirements. To date, the CMOs have met our manufacturing requirements, and we currently expect them to be capable of providing sufficient quantities of API and drug product to meet estimated full-scale commercial needs. Our relationships with CMOs are managed by internal personnel with extensive experience in pharmaceutical development and manufacturing.</w:t>
      </w:r>
    </w:p>
    <w:p>
      <w:pPr>
        <w:spacing w:after="0" w:line="8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contract manufacturing agreements give us visibility into the expected future cost of producing TA-ERT at commercial scale. Based upon a range of prices of currently marketed therapies indicated for orphan diseases, we believe that our cost of goods for TA-ERT will be competitive.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proprietary products. We face potential competition from many different sources, including major and specialty pharmaceutical and biotechnology companies, academic research institutions, governmental agencies, compounding pharmacies and public and private research institutions. Any product candidates that we successfully develop and commercialize may compete with current therapies and new therapies that may become available in the future. We believe that the key competitive factors affecting the success of any of our product candidates will include efficacy, safety profile, dosing, cost, effectiveness of promotional support and intellectual property protection.</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collaboration partners, have significantly greater financial resources and expertise in research and development, preclinical testing, clinical trials, manufacturing, and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marketing than we do. Future collaborations and mergers and acquisitions may result in further resource concentration among a smaller number of competitors.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These competitors may also vie for a similar pool of qualified scientific and management talent, sites and patient populations for clinical trials, as well as for technologies complementary to, or necessary for, our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the EU are addressed in a centralized way, but country-specific regulation remains essential in many respects.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Biopharmaceutical Development Process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biologics additionally under the Public Health Service Act, and their implementing regulations. These biopharmaceutical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The process required by the FDA before a biopharmaceutical may be marketed in the United States generally involves the following:</w:t>
      </w:r>
    </w:p>
    <w:p>
      <w:pPr>
        <w:spacing w:after="0" w:line="80" w:lineRule="exact"/>
        <w:rPr>
          <w:sz w:val="20"/>
          <w:szCs w:val="20"/>
          <w:color w:val="auto"/>
        </w:rPr>
      </w:pPr>
    </w:p>
    <w:p>
      <w:pPr>
        <w:ind w:left="1020" w:right="6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preclinical animal studies and formulation studies in accordance with applicable regulations, including the FDA’s Good Laboratory Practices (“GLP”), regulations, and other applicable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at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regulations, including the FDA’s current good clinical practices (“GCP”), regulations to establish the safety and efficacy of the proposed drug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or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or BLA to file it for review;</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where the biopharmaceutical is produced to assess compliance with the FDA’s current cGMP requirements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and/or clinical trial sites that generated the data in support of the application;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prior to any commercial marketing or sale of the product in the United States.</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Before testing any compounds with potential therapeutic value in humans, the candidate enters the preclinical testing stage. Preclinical tests include laboratory evaluations of product chemistry, toxicity, and formulation, as well as animal studies, to assess the potential safety and activity of the candidate. The conduct of the preclinical tests must comply with federal regulations and requirements,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preclinical testing may continue even after the IND is submitted.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candidate at any time before or during clinical trials due to safety concerns or non-compliance.</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or ethics committee,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5" w:lineRule="exact"/>
        <w:rPr>
          <w:sz w:val="20"/>
          <w:szCs w:val="20"/>
          <w:color w:val="auto"/>
        </w:rPr>
      </w:pPr>
    </w:p>
    <w:p>
      <w:pPr>
        <w:ind w:left="1020" w:right="10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is initially introduced into healthy human subjects and tested for safety, dosage tolerance, absorption, metabolism,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excretion,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1" w:lineRule="exact"/>
        <w:rPr>
          <w:rFonts w:ascii="Times New Roman" w:cs="Times New Roman" w:eastAsia="Times New Roman" w:hAnsi="Times New Roman"/>
          <w:sz w:val="18"/>
          <w:szCs w:val="18"/>
          <w:color w:val="auto"/>
        </w:rPr>
      </w:pPr>
    </w:p>
    <w:p>
      <w:pPr>
        <w:ind w:left="1020" w:right="8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drug is evaluated in a limited patient population to identify possible adverse effects and safety risks, to preliminarily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of the product for specific targeted diseases or conditions and to determine dosage tolerance, optimal dosage, and dosing schedule.</w:t>
      </w:r>
    </w:p>
    <w:p>
      <w:pPr>
        <w:spacing w:after="0" w:line="65"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 or BLA.</w:t>
      </w:r>
    </w:p>
    <w:p>
      <w:pPr>
        <w:spacing w:after="0" w:line="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some cases, FDA may require, or sponsors may voluntarily pursue, post-approval studies, or Phase 4 clinical trials, that are conducted after initial marketing approval. These trials are used to gain additional experience from the treatment of patients in the intended therapeutic indication. In certain instances, such as with accelerated approval drugs, FDA may mandate the performance of Phase 4 trials. In certain instances, the FDA may mandate the performance of Phase 4 clinical trials as a condition of approval of an NDA or BLA.</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written IND safety reports must be submitted to the FDA and the investigators for serious and unexpected adverse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events or any finding from tests in laboratory animals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successfully complete all required testing in accordance with all applicable regulatory requirements, the results of product development, preclinical studies and clinical trials, along with descriptions of the manufacturing process, analytical tests conducted on the chemistry of the drug, proposed labeling and other relevant information are submitted to the FDA as part of an NDA or BLA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or BLA is subject to the payment of substantial user fees; a waiver of such fees may be obtained under certain limited circumstances.</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reviews all NDAs and BLAs submitted before it accepts them for filing and may request additional information rather than accepting them for filing. The FDA must make a decision on accepting an NDA or BLA for filing within 60 days of receipt. Once the submission is accepted for filing, the FDA begins an in-depth review. Under the Prescription Drug User Fee Act (“PDUFA”), guidelines that are currently in effect, the FDA has a goal of ten months from the date of “filing” of a standard NDA or BLA to review and act on the submission. This review typically takes 12 months from the date the application is submitted to FDA because the FDA has approximately two months to make a “filing” decision after the application is submitted. The FDA does not always meet its PDUFA goal dates for standard and priority applications, and the review process is often significantly extended by FDA requests for additional information or clarification.</w:t>
      </w:r>
    </w:p>
    <w:p>
      <w:pPr>
        <w:spacing w:after="0" w:line="8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After the submission is accepted for filing, the FDA reviews it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application, addressing all of the deficiencies identified in the letter, or withdraw the application. Even if such data and information is submitted, the FDA may ultimately decide that the application does not satisfy the criteria for approval.</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(“REMS”) is necessary to assure the safe use of the drug. If the FDA concludes a REMS is needed, the sponsor must submit a proposed REMS; the FDA will not approve the application without an approved REMS, if required. A REMS could include medication guides, physician communication plans, or elements to assure safe use, such as restricted distribution methods, patient registries, and other risk minimization tools.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w:t>
      </w:r>
    </w:p>
    <w:p>
      <w:pPr>
        <w:spacing w:after="0" w:line="1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jc w:val="both"/>
        <w:ind w:right="360" w:firstLine="509"/>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or BLA.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5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exclusivity also could block the approval of one of our products for seven years if a competitor obtains approval of the same drug as defined by the FDA or if our product candidate is determined to be contained within the competitor’s product for the same indication or disease. If an orphan designated product receives marketing approval for an indication broader than what is designated, it may not be entitled to orphan exclusivity. Orphan drug status in the EU has similar but not identical benefits in that jurisdiction.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Any drug products for which we receive FDA approvals are subject to continuing regulation by the FDA, including, among other things, manufacturing,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requirements.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 injunctions or the imposition of civil or criminal penalties.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84" w:lineRule="exact"/>
        <w:rPr>
          <w:sz w:val="20"/>
          <w:szCs w:val="20"/>
          <w:color w:val="auto"/>
        </w:rPr>
      </w:pPr>
    </w:p>
    <w:p>
      <w:pPr>
        <w:ind w:right="2240" w:firstLine="509"/>
        <w:spacing w:after="0" w:line="375" w:lineRule="auto"/>
        <w:rPr>
          <w:sz w:val="20"/>
          <w:szCs w:val="20"/>
          <w:color w:val="auto"/>
        </w:rPr>
      </w:pPr>
      <w:r>
        <w:rPr>
          <w:rFonts w:ascii="Times New Roman" w:cs="Times New Roman" w:eastAsia="Times New Roman" w:hAnsi="Times New Roman"/>
          <w:sz w:val="18"/>
          <w:szCs w:val="18"/>
          <w:color w:val="auto"/>
        </w:rPr>
        <w:t xml:space="preserve">Both the Drug Supply Chain Security Act and state laws impose requirements to ensure accountability in distribution. </w:t>
      </w:r>
      <w:r>
        <w:rPr>
          <w:rFonts w:ascii="Times New Roman" w:cs="Times New Roman" w:eastAsia="Times New Roman" w:hAnsi="Times New Roman"/>
          <w:sz w:val="18"/>
          <w:szCs w:val="18"/>
          <w:b w:val="1"/>
          <w:bCs w:val="1"/>
          <w:i w:val="1"/>
          <w:iCs w:val="1"/>
          <w:color w:val="auto"/>
        </w:rPr>
        <w:t>Marketing Exclusivity</w:t>
      </w:r>
    </w:p>
    <w:p>
      <w:pPr>
        <w:spacing w:after="0" w:line="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 505(b)(2) NDA submitted by another company for another drug based on the same active moiety ,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NDA holder.</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biologics, the Biologics Price Competition and Innovation Act of 2009, or BPCIA, created an abbreviated approval pathway for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without such alteration or switch. Upon licensure by the FDA, an interchangeable biosimilar may be substituted for the reference product without the intervention of the health care provider who prescribed the reference product.</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reference biological product is granted 12 years of data exclusivity from the time of first licensure of the product. In addition, the FDA will not accept an application for a biosimilar or interchangeable product based on the reference biological product until four years after the date of first licensure of the reference product.</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anti-kickback, fraud and abuse, false claims, privacy and security, price reporting, and physician sunshine laws and regulations.</w:t>
      </w:r>
    </w:p>
    <w:p>
      <w:pPr>
        <w:spacing w:after="0" w:line="7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8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and the criminal healthcare fraud statutes (discussed below) was amended by the Patient Protection and Affordable Care Act, as amended by the Health Care and Education Reconciliation Act, together with subsequent amendments and regulations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(discussed below).</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Several pharmaceutical and other healthcare companies have been prosecuted under these laws for allegedly providing free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product to customers with the expectation that the customers would bill federal programs for the product. Other companies have been prosecuted for causing false claims to be submitted because of the companies’ marketing of the product for unapproved, and thus non-covered, uses.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Health Insurance Portability and Accountability Act (“HIPAA”)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79"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certain other healthcare professionals (such as physician assistants and nurse practitioners), and teaching hospitals, certain ownership and investment interests held by physicians and their immediate family members.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also be subject to health data privacy and security regulations by both the federal government and the states in which we conduct our business. HIPAA, as amended by the Health Information Technology for Economic and Clinical Health Act (“HITECH”) and its implementing regulations, impose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and their covered subcontractors.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order to distribute products commercially, we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7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(“VHCA”), drug companies are required to offer certain drugs at a reduced price to a number of federal agencies, including the U.S. Department of Veterans Affairs and the U.S.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Inflation Reduction Act of 2022 (“IRA”) among other things, (1) requires the U.S. Department of Health and Human Services (“HHS”) to negotiate the price of certain single-source biologics that have been on the market for at least 11 years covered under Medicare as part of the Medicare Drug Price Negotiation Program (the “Medicare Drug Price Negotiation Program”), and (2) imposes rebates under Medicare Part B and Medicare Part D to penalize price increases that outpace inflation on an annual basis.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80" w:lineRule="exact"/>
        <w:rPr>
          <w:sz w:val="20"/>
          <w:szCs w:val="20"/>
          <w:color w:val="auto"/>
        </w:rPr>
      </w:pPr>
    </w:p>
    <w:p>
      <w:pPr>
        <w:jc w:val="both"/>
        <w:ind w:right="120" w:firstLine="509"/>
        <w:spacing w:after="0" w:line="257"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Europe, governments may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w:t>
      </w:r>
    </w:p>
    <w:p>
      <w:pPr>
        <w:spacing w:after="0" w:line="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Other countries may approve a specific price for a product, or they may instead adopt a system of director or indirect controls on the profitability of the company placing the product on the market. In addition, to obtain reimbursement or pricing approval, some countries of the European Economic Area (“EEA”) may require the completion of clinical studies that compare the cost-effectiveness of a particular drug candidate to currently available therapies. This Health Technology Assessment (“HTA”) process is the procedure according to which the assessment of the public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was enacted, which affected existing government healthcare programs and resulted in the development of new programs.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and amendments to certain aspects of the Affordable Care Act. For example, the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On July 4, 2025, the annual reconciliation bill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 Congress is considering proposed legislation intended to further reduce healthcare costs with alternatives to replace the expiring ACA subsidies.</w:t>
      </w:r>
    </w:p>
    <w:p>
      <w:pPr>
        <w:spacing w:after="0" w:line="80"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current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directives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In June 2024, the U.S. Supreme Court’s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created under the IRA.</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certain foreign activities related to drugs, biologics, and research, especially with regard to China,</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have come under increased scrutiny in the United States. Chinese contract manufacturing organizations may become subject to legislation, trade restrictions, sanctions, tariffs and other regulatory requirements by the U.S. government, which could restrict or even prohibit our ability to work with such entities. For example, on December 10, 2025, the National Defense Authorization Act for Fiscal Year 2026 (“NDAA”) passed overwhelmingly in the U.S. House of Representatives and includes the BIOSECURE Act which, in its current form, would prohibit the U.S. government from procuring biotechnology equipment or services from “biotechnology companies of concern,” and would prohibit U.S. government contracts, loans and grants to any entity that uses biotechnology equipment or services from a designated “biotechnology company of concern.” “Biotechnology companies of concern” include companies identified on the U.S. Department of Defense’s “Chinese military companies operating in the United States” list (the 1260H List) and also authorizes the U.S. government to identify additional entities for inclusion as “biotechnology companies of concern.” The U.S. Senate has since passed the NDAA and on December 18, 2025, President Trump signed the NDAA into law. Under the BIOSECURE Act, we may be restricted in our ability to work with certain Chinese biotechnology manufacturing companies to the extent we would contract with, or otherwise receive funding from, the U.S. government. In addition, if we, our suppliers, or our customers were to be designated under the BIOSECURE Act, this could potentially cause harm to our business, financial condition, results of operations and prospects.</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(“HTA Regulation”) was adopted in the EU. The HTA Regulation is intended to boost cooperation among EU Member States in assessing health technologies, including new medicinal products, and providing the basis for cooperation at EU level for joint clinical assessments in these areas. The HTA Regulation has applied from January 12, 2025 although it will enter into force iteratively and initially apply to new active substances to treat cancer and to all advanced therapy medicinal products, it will then be expanded to orphan medicinal products in January 2028, and to all centrally authorized medicinal products as of 2030. Selected high-risk medical devices will also be assessed under the HTA Regulation as of 2026.</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anticipate that these new laws and executive orders will result in additional downward pressure on coverage and the price that we receive for any approved product, and could seriously harm our business, especially given recent U.S. Presidential and Congressional elections.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In addition, it is possible that there will be further legislation or regulation that could harm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and the third parties with whom we work are also subject to federal, state, local, and foreign data privacy and security laws, regulations, guidance, industry standards and other obligations related to personal data. Such obligations include, as applicable, U.S. state data breach notification laws, U.S. state health information privacy laws, federal and state consumer protection laws and regulations (e.g., Section 5 of the FTC Act), HIPAA, as amended by HITECH, and its implementing regulations, U.S. state data privacy laws such as the California Consumer Privacy Act (“CCPA”), the EU’s General Data Protection Regulation (“EU GDPR”), and the EU GDPR as it forms part of United Kingdom law by virtue of section 3 of the European Union (Withdrawal) Act of 2018 (“UK GDPR”) (the “EU GDPR” and the “UK GDPR” together, “GDPR”).</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These laws impose increasingly stringent and evolving regulatory frameworks related to the processing of personal data that increase our compliance obligations and exposure for any noncompliance. For example, where it applies, the GDPR requires stringent standards of data privacy and security concerning personal data, including limitations which could limit our ability to collect, use and share personal data (including health and medical information collected and processed in connection our relevant clinical trials and studies). In particular, the GDPR significantly restricts the transfer of personal data to countries whose privacy laws are considered “inadequate.” If there is no lawful manner for us to effect cross-border transfers of personal data in compliance with the GDPR, as applicable, or if the requirements for a compliant transfer are too onerous, we could face significant adverse consequences, including the interruption or degradation of our operations, the need to relocate certain parts of our operations, increased exposure to regulatory actions, substantial fines and penalties, the inability to work with certain collaborators, partners, vendors and other third parties, and injunctions against our processing or transferring of personal data necessary to operate our business. In addition, sanctions for breaches of the GDPR are significant: companies may face temporary or definitive bans on processing of personal data and other corrective actions; fines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of up to 17.5 million pounds sterling under the UK GDPR / 20 million Euros under the EU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6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Furthermore, we and the third parties with whom we work are subject to various and evolving federal, state, and foreign regulatory frameworks and other obligations related to cybersecurity that increase our compliance obligations and exposure for any noncompliance. For more information on the potential impact of these laws, including the GDPR, and other privacy and security risks, see the sections titled “Risk Factors—If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and “Risk Factors—We and the third parties with whom we work are subject to stringent and evolving U.S. and foreign laws, regulations, and rules; contractual obligations; industry standards; policies; and other obligations, in each case related to data privacy or security. Our (or the third parties with whom we work)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business consequences.”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 Foreign Corrupt Practices Act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U.S. Foreign Corrupt Practices Act of 1977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 / Rest of World Government Regulation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in the EU</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EU, clinical trials are governed by the Clinical Trials Regulation (EU) No 536/2014 (“CTR”), which entered into application on January 31, 2022 repealing and replacing the former Clinical Trials Directive 2001/20 (“CTD”). The CTR is intended to harmonize and streamline clinical trial authorizations, simplify adverse-event reporting procedures, improve the supervision of clinical trials and increase transparency.</w:t>
      </w:r>
    </w:p>
    <w:p>
      <w:pPr>
        <w:spacing w:after="0" w:line="6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CTR foresaw a three-year transition period that ended on January 31, 2025. Since this date, all new or ongoing trials are subject to the provisions of the CTR.</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Certain requirements governing the conduct of clinical trials, product licensing, pricing and reimbursement vary from country to country. In all cases, clinical trials must be conducted in accordance with GCP and the applicable regulatory requirements and the ethical principles that have their origin in the Declaration of Helsinki. Medicines used in clinical trials, must be manufactured in accordance with the guidelines on cGMP and in a GMP licensed facility, which can be subject to GMP inspections.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Review and Approval Process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a related marketing authorization (“MA”) has been granted. To obtain an MA for a product in the EU, an applicant must submit a Marketing Authorization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Application (“MAA”) either under a centralized procedure administered by the EMA, or one of the procedures administered by the competent authorities of EU Member States (decentralized procedure, national procedure or mutual recognition procedure). An MA may be granted only to an applicant established in the EU.</w:t>
      </w:r>
    </w:p>
    <w:p>
      <w:pPr>
        <w:spacing w:after="0" w:line="6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Centralized procedure. </w:t>
      </w:r>
      <w:r>
        <w:rPr>
          <w:rFonts w:ascii="Times New Roman" w:cs="Times New Roman" w:eastAsia="Times New Roman" w:hAnsi="Times New Roman"/>
          <w:sz w:val="18"/>
          <w:szCs w:val="18"/>
          <w:color w:val="auto"/>
        </w:rPr>
        <w:t>The centralized procedure provides for the grant of a single MA, which is issued by the European Commission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of the Committee for Medicinal Products for Human Use (the “CHMP”) of the EMA and that is valid in all EU Member States, as well as Iceland, Liechtenstein and Norway (the European Economic Area (“EEA”)). The Centralized Procedure is mandatory for certain types of products, such as biotechnology medicinal products, orphan medicinal products, and medicines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are highly innovative or for which a centralized process is in the interest of patients, authorization through the centralized procedure is optional on related approval. Under the centralized procedure the EMA’s CHMP conducts the initial assessment of a product. The maximum timeframe for the evaluation of an MAA is 210 days (excluding clock stops, when additional written or oral information is to be provided by the applicant in response to questions asked by the CHMP). Accelerated evaluation might be granted by the CHMP in exceptional cases, a medicinal product targeting an unmet medical need is expected to be of major interest from the point of view of public health and in particular from the viewpoint of therapeutic innovation. Under the accelerated procedure the standard 210-day review period is reduced to 150 days (excluding clock stops). The CHMP can, however, revert to the standard time limit for the centralized procedure if it considers that it is no longer appropriate to conduct an accelerated assessment.</w:t>
      </w:r>
    </w:p>
    <w:p>
      <w:pPr>
        <w:spacing w:after="0" w:line="79"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National authorization procedures</w:t>
      </w:r>
      <w:r>
        <w:rPr>
          <w:rFonts w:ascii="Times New Roman" w:cs="Times New Roman" w:eastAsia="Times New Roman" w:hAnsi="Times New Roman"/>
          <w:sz w:val="18"/>
          <w:szCs w:val="18"/>
          <w:color w:val="auto"/>
        </w:rPr>
        <w:t>. There are also two other possible routes to authorize medicinal products in several EU Member States,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investigational medicinal products that fall outside the scope of the centralized procedure:</w:t>
      </w:r>
    </w:p>
    <w:p>
      <w:pPr>
        <w:spacing w:after="0" w:line="50" w:lineRule="exact"/>
        <w:rPr>
          <w:sz w:val="20"/>
          <w:szCs w:val="20"/>
          <w:color w:val="auto"/>
        </w:rPr>
      </w:pPr>
    </w:p>
    <w:p>
      <w:pPr>
        <w:jc w:val="both"/>
        <w:ind w:left="1020" w:right="120" w:hanging="503"/>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Decentralized procedure</w:t>
      </w:r>
      <w:r>
        <w:rPr>
          <w:rFonts w:ascii="Times New Roman" w:cs="Times New Roman" w:eastAsia="Times New Roman" w:hAnsi="Times New Roman"/>
          <w:sz w:val="18"/>
          <w:szCs w:val="18"/>
          <w:color w:val="auto"/>
        </w:rPr>
        <w:t>. Using the decentralized procedure, an applicant may apply for simultaneous authorizations in more than one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country of medicinal products that have not yet been authorized in any EU Member State and that do not fall within the mandatory scope of the centralized procedure.</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recognition procedure</w:t>
      </w:r>
      <w:r>
        <w:rPr>
          <w:rFonts w:ascii="Times New Roman" w:cs="Times New Roman" w:eastAsia="Times New Roman" w:hAnsi="Times New Roman"/>
          <w:sz w:val="18"/>
          <w:szCs w:val="18"/>
          <w:color w:val="auto"/>
        </w:rPr>
        <w:t>. In the mutual recognition procedure, a medicine is first authorized in one EU Member State,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6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scheme, which provides incentives similar to the breakthrough therapy designation in the U.S. In the EU, a “conditional” MA may be granted in cases where all the required safety and efficacy data are not yet available. 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 in the EU</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EU, Regulation (EC) No 1901/2006 provides that all MAAs for new medicinal products have to include the results of trials conducted in the pediatric population, in compliance with a pediatric investigation plan (“PIP”), agreed with the EMA’s Pediatric Committee. The PIP sets out the timing and measures proposed to generate data to support a pediatric indication of the medicinal product for which MA is being sought. Once the MA is obtained in all EU Member States and study results are included in the product information, even when negative, the product is eligible for a six-month extension to the Supplementary Protection Certificate , if any is in effect at the time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or, in the case of orphan medicinal products, a two-year extension of orphan market exclusivity.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the EEA, upon receiving marketing authorization, new active substances generally receive eight years of data exclusivity and an additional two years of market exclusivity. If granted, data exclusivity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During the additional two-year period of market exclusivity, a generic marketing authorization can be submitted, and the innovator’s data may be referenced, but no generic product can be marketed until the expiration of the market exclusivity. The overall ten-years of market exclusivity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qualify for data exclusivity.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in the EU</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7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period of market exclusivity may, however, be reduced to six years if, at the end of the fifth year, it is established that the product no longer meets the criteria on the basis of which it received orphan medicinal product designation.</w:t>
      </w:r>
    </w:p>
    <w:p>
      <w:pPr>
        <w:spacing w:after="0" w:line="5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For other countries outside of the EU, such as the United Kingdom and countries in Eastern Europe, Latin America or Asia, the requirements governing the conduct of clinical trials, product licensing, pricing and reimbursement vary from country to country.</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we or our potential collaborators fail to comply with applicable foreign regulatory requirements, we may be subject to, among other things, fines, suspension, variation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and health and wellness programs, and by programs that build connections between our employees.</w:t>
      </w:r>
    </w:p>
    <w:p>
      <w:pPr>
        <w:spacing w:after="0" w:line="68"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had 8 employees, all of whom were full time, including 5 in research and development and 3 in general and administrative functions. We believe our employee relations are good.</w:t>
      </w:r>
    </w:p>
    <w:p>
      <w:pPr>
        <w:spacing w:after="0" w:line="54" w:lineRule="exact"/>
        <w:rPr>
          <w:sz w:val="20"/>
          <w:szCs w:val="20"/>
          <w:color w:val="auto"/>
        </w:rPr>
      </w:pPr>
    </w:p>
    <w:p>
      <w:pPr>
        <w:jc w:val="both"/>
        <w:ind w:right="200" w:firstLine="509"/>
        <w:spacing w:after="0" w:line="289" w:lineRule="auto"/>
        <w:rPr>
          <w:sz w:val="20"/>
          <w:szCs w:val="20"/>
          <w:color w:val="auto"/>
        </w:rPr>
      </w:pPr>
      <w:r>
        <w:rPr>
          <w:rFonts w:ascii="Times New Roman" w:cs="Times New Roman" w:eastAsia="Times New Roman" w:hAnsi="Times New Roman"/>
          <w:sz w:val="17"/>
          <w:szCs w:val="17"/>
          <w:color w:val="auto"/>
        </w:rPr>
        <w:t>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provide compensation and benefits programs to help meet the needs of our employees. In addition to salaries, these programs include potential annual discretionary bonuses, stock awards, a 401(k) Plan, healthcare and insurance benefits, paid time off, family leave, and flexible work schedules, among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were initially formed as a limited liability company in Delaware in November 2014 under the name Spruce Biosciences LLC. In April 2016, Spruce Biosciences LLC converted into a Delaware corporation under the name Spruce Biosciences, Inc. Our principal executive offices are located at 611 Gateway Boulevard, Suite 740, South San Francisco, CA 94080. Our telephone number at that location is (415) 343-5986. Our corporate website address is www.sprucebio.com. Information contained on, or that may be accessed through, our website is not incorporated by reference into this Annual Report and should not be considered a part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through our website, our annual reports on Form 10-K, quarterly reports on Form 10-Q and current reports on Form 8-K, and amendments to those reports, filed or furnished pursuant to Sections 13(a) or Section 15(d) of the Securities Exchange Act of 1934, as amended (the “Exchange Act”), as soon as reasonably practicable after they have been electronically filed with, or furnished to, the SEC.</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risks described below, as well as the other information in this Annual Report, including our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Annual Report and those we may make from time to time. You should consider all of the risk factors described when evaluating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have sufficient working capital to fund our planned operations for the next twelve months and substantial doubt exists as to our ability to continue as a going concern.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we had incurred a net loss of $39.0 million and used $33.3 million of cash in operations. As of December 31, 2025, we had an accumulated deficit of $289.2 million and cash and cash equivalents of $48.9 million. We expect to continue to generate operating losses and have significant cash outflows from operating activities for at least the next few years. Until we can generate sufficient revenue, if ever, to fund our operations, we will need to finance future cash needs through public or private equity offerings, license agreements, debt financings or restructurings, collaborations, strategic alliances and marketing or distribution arrangements, and there can be no assurance that such arrangements will be available to us on a timely basis, or, if available, will be available on terms acceptable to us. Without alternative financing or proceeds from other strategic alternatives, we believe, based on our current operating plan, that our cash and cash equivalents as of December 31, 2025 and gross proceeds received in January 2026 under the Loan Agreement with Avenue Capital (each as defined below), will be insufficient to fund our operations and debt obligations for at least twelve months following the issuance date of our financial statements included elsewhere in this Annual Report. These conditions raise substantial doubt about our ability to continue as a going concern.</w:t>
      </w:r>
    </w:p>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perception of our ability to continue as a going concern may make it more difficult for us to obtain financing for the continuation of our operations and could result in the loss of confidence by investors and employees. If we are not able to obtain the necessary additional financing on a timely or commercially reasonable basis, we will be forced to delay or scale down some or all of our development activities (or perhaps even cease the operation of our business). If we are unable to continue as a going concern, our stockholders may lose some or all of their investment in us.</w:t>
      </w:r>
    </w:p>
    <w:p>
      <w:pPr>
        <w:spacing w:after="0" w:line="68"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develop our product candidates and implement our operating plan. If we fail to obtain additional financing, including as a result of geopolitical uncertainty and macroeconomic events, we may be forced to delay, reduce or eliminate our product development programs or commercialization efforts, which could significantly harm our business, financial condition, results of operations and prospects.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We expect to continue to spend substantial amounts to continue the clinical development of, and seek regulatory approval for, TA-ERT and our other current and future product candidates. We will require significant additional amounts in order to prepare for commercialization, and, if approved, to launch and commercialize TA-ERT and our other current and future product candidates.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$48.9 million. In October 2020, we consummated our IPO and issued 92,000 shares of common stock for net proceeds of $93.4 million, after deducting underwriting discounts and commissions and offering expenses. In February 2023, we completed a private placement for net proceeds of $50.9 million. In April 2023, we received a $15.0 million upfront payment under a collaboration and license agreement with Kaken Pharmaceutical Co. Ltd. In October 2025, we entered into a Securities Purchase Agreement with certain institutional investors to sell and issue (i) 502,181 shares of common stock and (ii) pre-funded warrants to purchase up to 233,144 shares of common stock in a private placement transaction, which were exercised in full by December 31, 2025. The purchase price per share of common stock was $68.00 per share and the purchase price for the pre-funded warrants was $67.99. Our total net proceeds were $46.6 million, after deducting placement agent fees and other expenses. Additionally, on January 7, 2026, we entered into</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Loan and Security Agreement and a Supplement to the Loan and Security Agreement (collectively, the “Loan Agreement”), with Avenue Capital Management II, L.P., as administrative agent and collateral agent (the “Agent”) and Avenue Venture Opportunities Fund II, L.P., as lender (the “Lender”, together with the Agent, “Avenue Capital”), which makes available to the company term loans in an aggregate principal amount of up to $50.0 million, subject to the company’s achievement of certain regulatory milestones, which we may not achieve.</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Changing circumstances may cause us to consume capital significantly faster than we currently anticipate, and we may need to spend more money than currently expected because of circumstances beyond our control.</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commercialization of TA-ERT and our other current and future product candidates and may need to raise additional funds sooner if we choose to expand more rapidly than we presently anticipate. Additional funding may not be available on acceptable terms, or at all.</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as a result of geopolitical uncertainty and macroeconomic events, including global trade disputes, tariffs and resulting legal challenges, and the ongoing wars in Ukraine and the Middle East and related sanctions, the global credit and financial markets have experienced and may in the future experience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TA-ERT or other research and development initiatives. We also could be required to seek collaborators for our current product candidates and any future product candidates at an earlier stage than otherwise would be desirable or on terms that are less favorable than might otherwise be available, or relinquish or license on unfavorable terms our rights to our current product candidates and any future product candidates in markets where we otherwise would seek to pursue development or commercialization ourselves.</w:t>
      </w:r>
    </w:p>
    <w:p>
      <w:pPr>
        <w:spacing w:after="0" w:line="8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Any of the above events could significantly harm our business, financial condition, results of operations and prospects, and cause the price of our common stock to decline.</w:t>
      </w:r>
    </w:p>
    <w:p>
      <w:pPr>
        <w:spacing w:after="0" w:line="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For example, on January 7, 2026, we entered into the Loan Agreement with Avenue Capital, which contains covenants restricting, among other things, our ability to incur additional indebtedness, liens, guaranties, mergers and consolidations, substantial asset sales, investments and loans, certain corporate changes, transactions with affiliates and fundamental changes.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8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our product candidate, TA-ERT, and our other current and future product candidates.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product candidates.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biopharmaceutical area. Consequently, any predictions about our future performance may not be as accurate as they would be if we had a history of successfully developing and commercializing biopharmaceutical products.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our product candidates are not successfully developed and approved, we may never generate any revenue. For the years ended December 31, 2025 and 2024, we reported net losses of $39.0 million and $53.0 million, respectively. As of December 31, 2025, we had an accumulated deficit of $289.2 million.</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clinical development of, seek regulatory approvals for, and commercially launch, if approved, TA-ERT and our other current and future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7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advance our product candidates in clinical development, obtain regulatory approval, and ultimately commercialize our product candidates, or experience significant delays in doing so, our business will be materially harmed.</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TA-ERT and our other current and future product candidates will depend on various factors, including the following:</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site expansion and activation and patient engagement in our ongoing and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ongoing and planned clinical trials with favorable results;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TA-ERT and our other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the European Commission, EMA, and other comparable foreign regulatory authorities;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one or more new drug applications (“NDAs”) from the FDA, and maintaining such approvals;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 receiving/importing commercial supplies approved by the FDA and other regulatory authorities from any future third-party manufacturer;</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commercializing TA-ERT and our other current product candidates, if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patent and trade secret protection and regulatory exclusivity for TA-ERT and our other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TA-ERT and our other current product candidates following approval; and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TA-ERT and our other current product candidates to physicians, patients, healthcare payors, and others in the medical community.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many of which are beyond our control, in a timely manner or at all, we could experience significant delays or an inability to obtain regulatory approvals or commercialize our product candidates, if approved.</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Even if regulatory approvals are obtained, we may never be able to successfully commercialize our product candidates.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TA-ERT and our other current product candidates, if approved, to continue our business.</w:t>
      </w:r>
    </w:p>
    <w:p>
      <w:pPr>
        <w:spacing w:after="0" w:line="6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seek FDA approval of TA-ERT for MPS IIIB through the accelerated approval pathway. If we are unable to obtain accelerated approval, we may be required to conduct additional preclinical studies or clinical trials beyond the confirmatory Phase 3 trial that we currently contemplate, which could increase the expense of obtaining, and delay the receipt of, necessary marketing approval.</w:t>
      </w:r>
    </w:p>
    <w:p>
      <w:pPr>
        <w:spacing w:after="0" w:line="6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intend to submit a BLA seeking accelerated approval of TA-ERT for MPS IIIB based on existing clinical data, however there can be no assurance that such submission or application will be accepted for filing by the FDA or that approval will be granted on a timely basis, or at all. For example, in March 2024, in a type C meeting with the FDA, the FDA confirmed that CSF HS-NRE is deemed to be a biomarker reasonably likely to predict clinical benefit and could serve as a basis for accelerated approval. The FDA also confirmed that the completed clinical and nonclinical studies of TA-ERT were sufficient for a BLA submission and provided guidance around key design elements of a confirmatory trial (placebo-controlled 5-year study in 14 patients), which must be initiated prior to potential accelerated approval of TA-ERT.</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also held two Type B meetings with the FDA ahead of our anticipated BLA submission for TA-ERT; the first in December 2025 to discuss our clinical data and regulatory strategy, and the second in January 2026 to discuss CMC requirements. During the December 2025 meeting, the FDA confirmed that the integrated study data from interventional clinical studies of TA-ERT and the available natural history data could potentially serve as an adequate and well-controlled study for purposes of the FDA’s review of the effects of TA-ERT on CSF HS-NRE, which could serve as a RLSE to support an accelerated approval. Following the January 2026 CMC meeting, the FDA considered the company’s plan to address DP PPQ batch requirements for the BLA submission, and in the official meeting minutes, the FDA shared its requirement for one DP PPQ batch at the time of BLA submission and data from a second DP PPQ batch prior to midcycle of BLA review.</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Based, in part, on these discussions, we intend to submit the BLA for TA-ERT for the treatment of MPS IIIB in the fourth quarter of 2026, and if successful and FDA approval is received, potentially commercially launch in mid-2027. However, even if we submit the BLA as planned, we may be unsuccessful in providing sufficient evidence of CSF HS-NRE as a RLSE to predict clinical benefit in support of an accelerated approval, and after reviewing our BLA submission, the FDA may ultimately reject CSF HS-NRE as a RLSE. For example, the FDA has in the past rejected accelerated approval following submission of a BLA under accelerated approval pathway by another company focusing on the treatment of an ultra-rare neurodegenerative disease, in part due to uncertainty regarding the appropriateness of the designated RLSE, and the FDA may reject similar BLA applications in the future. If our BLA submission is viewed as having similarities to another BLA submission that was previously rejected by the FDA, this could impact the likelihood of success of our BLA application or could influence investor perception of our likelihood of success, which could cause the price of our common stock to decline, and could harm our business, financial condition, results of operations and prospects. If the FDA rejects CSF HS-NRE as a RLSE, we may be required to conduct longer-term follow up, to enroll additional patients in our current study, or to perform a new clinical study, all of which could be challenging with an ultra-rare and fatal genetic disease like MPS IIIB and could make us experience significant delays in, or could prevent us from, obtaining accelerated regulatory approval. Failure to obtain accelerated approval would result in a longer time period to commercialization, if any, and would increase the cost of development and harm our competitive position in the marketplace.</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that our product candidates are well tolerated and provide sufficient clinical benefits for patients, which could prevent or delay regulatory approval and commercialization.</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approved by regulatory authorities for commercialization. We are seeking to develop treatments for MPS IIIB, MDD, and congenital adrenal hyperplasia (CAH). We intend to seek accelerated approval of TA-ERT for MPS IIIB based on existing clinical data. As a condition of seeking such approval of a BLA from the FDA, we will initiate a confirmatory Phase 3 trial, which must be initiated prior to potential accelerated approval of TA-ERT. We intend to submit the BLA for TA-ERT for the treatment of MPS IIIB in the fourth quarter of 2026, and if successful and FDA approval is received, potentially commercially launch in mid-2027. Additionally, any safety concerns observed in any one of our clinical trials in our targeted indications could limit the prospects for regulatory approval of TA-ERT and our other current product candidates in other indications.</w:t>
      </w:r>
    </w:p>
    <w:p>
      <w:pPr>
        <w:spacing w:after="0" w:line="7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and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TA-ERT and our other current product candidates. We believe the key competitive factors that will affect the development and commercial success of our product candidates are, among other things:</w:t>
      </w:r>
    </w:p>
    <w:p>
      <w:pPr>
        <w:spacing w:after="0" w:line="86" w:lineRule="exact"/>
        <w:rPr>
          <w:sz w:val="20"/>
          <w:szCs w:val="20"/>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profile of our product candidates relative to marketed products and product candidates in development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our product candidates to complete clinical development and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of dosing;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candidates, including in comparison to branded or generic competitors;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under private and governmental health insurance plans, including Medicare;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promotional support and high-touch patient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commercial quantities of our product candidates if they receive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preferential formulary status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drugs may be more effectively marketed and sold than any drug we may commercialize and may render our product candidates obsolete or non-competitive before we can recover the expenses of developing and commercializing any of our product candidates.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our product candidates are likely to be efficacy, safety, and convenience.</w:t>
      </w:r>
    </w:p>
    <w:p>
      <w:pPr>
        <w:spacing w:after="0" w:line="7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experience delays in completing, or ultimately be unable to complete, the development and commercialization of TA-ERT and our other current and future product candidates.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Preclinical and clinical testing is expensive and difficult to design and implement, can take many years to complete, and its outcome is inherently uncertain. A failure of one or more preclinical or clinical trials can occur at any stage of testing. The results of preclinical studies and early clinical trials of TA-ERT and tildacerfont, and preclinical studies of SPR202 may not be predictive of the results of later-stage clinical trials, and interim results of a trial do not necessarily predict final results. Product candidates in later stages of clinical trials may fail to show the desired safety and efficacy traits despite having progressed through preclinical studies and initial clinical trials. For example, we plan to use doses in our clinical trials for TA-ERT and tildacerfont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For example, we have faced significant setbacks as we conducted our two Phase 2b clinical trials for tildacerfont in adult patients with classic CAH, and we may continue to face such setbacks in our other development programs, which may delay or prevent regulatory approval of tildacerfont. For example, due to not meeting its primary efficacy endpoint, we terminated our CAHmelia-203 trial in March 2024 and our CAHmelia-204 trial in December 2024. Additionally, the TAMARIND Phase 2 study of tildacerfont in MDD was discontinued in the first quarter of 2026 following a serious adverse event in which a patient experienced a significant elevation of liver enzymes. The prior sponsor of TA-ERT, Allievex, discontinued clinical development due to financial constraints.</w:t>
      </w:r>
    </w:p>
    <w:p>
      <w:pPr>
        <w:spacing w:after="0" w:line="8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our clinical trials for TA-ERT and our other current and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especially in the case of an orphan indication, the proximity of patients to clinical sites, competition with other organizations or our own clinical trials for clinical trial sites or patients, the eligibility and exclusion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particular, one indication for which we are evaluating TA-ERT is a rare neurodegenerative pediatric disorder with limited patient populations from which to draw participants in clinical trials. We are and will be required to identify and enroll a sufficient number of patients with the disorder under investigation for our clinical trials of TA-ERT.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disorders and are recruiting clinical trial patients from these patient populations, which may delay or make it more difficult to fully enroll our clinical trials. Our inability to enroll a sufficient number of patients for any of our current or future clinical trials would result in significant delays or may require us to abandon one or more clinical trials altogether.</w:t>
      </w:r>
    </w:p>
    <w:p>
      <w:pPr>
        <w:spacing w:after="0" w:line="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Before we can initiate clinical trials for our current product candidates or any future product candidates, we must submit the results of preclinical studies to the FDA, or comparable foreign regulatory authorities, along with other information, including information about chemistry, manufacturing and controls, and our proposed clinical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trial protocol, as part of an IND or similar regulatory filing under which we must receive authorization to proceed with clinical development.</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current product candidates or any future product candidates, we must conduct extensive clinical trials to demonstrate the safety and efficacy of our current product candidates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our current product candidates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54" w:lineRule="exact"/>
        <w:rPr>
          <w:sz w:val="20"/>
          <w:szCs w:val="20"/>
          <w:color w:val="auto"/>
        </w:rPr>
      </w:pPr>
    </w:p>
    <w:p>
      <w:pPr>
        <w:ind w:left="1020" w:right="7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clinical trial or reaching a consensus with regulatory authorities on clinical trial design or implementation;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(“IRBs”) or positive opinions from Ethics Committees (“ECs”);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 and related operationalization of such changes at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TA-ERT and our other current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not timely activating, delaying screening activities, or deviating from clinical trial protocols;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TA-ERT or our other current and future product candidates or obtaining sufficient quantities of combination therapies for use in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TA-ERT and our other current and future product candidates, or participating in competing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subject engagement in the clinical trials or subjects dropping out of a clinical trial;</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such as that experienced by Allievex in relation to the continued development of TA-ERT;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SAEs in clinical trials of the same class of agents conducted by other companies;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our product candidates in the manufacturing process;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suppliers or formulation that may be necessary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vendors not performing manufacturing and distribution services in a timely manner or to sufficient quality standards;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contagious disease outbreaks on our ongoing and planned clinical trials.</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which we have done for TA-ERT,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TA-ERT or our other current and future product candidates.</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TA-ERT or our other current and future product candidates, the commercial prospect of TA-ERT or our other current and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may also ultimately lead to the denial of regulatory approval of TA-ERT or our other current and future product candidates. Further, delays to our clinical trials that occur as a result could shorten any period during which we may have the exclusive right to commercialize, if approved, TA-ERT and our other current product candidates, and our competitors may be able to bring products to market before we do, and the commercial viability of TA-ERT and our other current product candidates could be significantly reduced. Any of these occurrences may harm our business, financial condition, results of operations and prospects significantly.</w:t>
      </w:r>
    </w:p>
    <w:p>
      <w:pPr>
        <w:spacing w:after="0" w:line="7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TA-ERT and our other current and future product candidates will be subject to extensive regulation and compliance obligations, which are costly and time-consuming, and such regulation may cause unanticipated delays or prevent the receipt of the required approvals to commercialize TA-ERT and our other current and future product candidates.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subject to extensive regulation by the FDA in the United States and by comparable foreign regulatory authorities in foreign markets. In the United States, we are not permitted to market TA-ERT or any other current or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TA-ERT or any other current or future product candidates in the United States until we receive approval of an NDA or BLA from the FDA. Similar requirements and risks are applicable in foreign markets. We have not previously submitted an NDA or BLA to the FDA, or similar drug approval filings to comparable foreign authorities.</w:t>
      </w:r>
    </w:p>
    <w:p>
      <w:pPr>
        <w:spacing w:after="0" w:line="8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TA-ERT and any other current and future product candidates either prior to or post-approval, or may object to elements of our clinical development program.</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TA-ERT and our other current and future product candidates could fail to receive regulatory approval for many reasons, including the following:</w:t>
      </w:r>
    </w:p>
    <w:p>
      <w:pPr>
        <w:spacing w:after="0" w:line="117" w:lineRule="exact"/>
        <w:rPr>
          <w:sz w:val="20"/>
          <w:szCs w:val="20"/>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people using drugs similar to TA-ERT and our other current and future product candidates;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any of its proposed indications;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may not be sufficient to satisfy the FDA or comparable foreign regulatory authorities to support the submission of an NDA, BLA or other comparable submissions in foreign jurisdictions or to obtain regulatory approval in the United States or elsewhere, requiring, in the case of adult patients with classic CAH, additional clinical trials beyond our ongoing Phase 2b clinical trial prior to any such approval;</w:t>
      </w:r>
    </w:p>
    <w:p>
      <w:pPr>
        <w:spacing w:after="0" w:line="71"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Any of the above events could prevent us from achieving market approval of TA-ERT or our other current and future product candidates and could substantially increase the costs of commercializing TA-ERT or our other current and future product candidates. The demand for TA-ERT and our other current or any future product candidates could also be negatively impacted by any adverse effects of a competitor’s product or treatment.</w:t>
      </w:r>
    </w:p>
    <w:p>
      <w:pPr>
        <w:spacing w:after="0" w:line="68"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TA-ERT and our other current and future product candidates, which would significantly harm our business, financial condition, results of operations, and prospects.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BLA or foreign marketing application for TA-ERT and our other current and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such data should be viewed with caution until the final data are available. Adverse differences between preliminary, interim, or topline data and final data could significantly harm our business prospects and may cause the trading price of our common stock to fluctuate significantly.</w:t>
      </w:r>
    </w:p>
    <w:p>
      <w:pPr>
        <w:spacing w:after="0" w:line="8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regulatory approval for, and commercialize, our product candidates and any future product candidates may be harmed, which could harm our business, financial condition, results of operations and prospects.</w:t>
      </w:r>
    </w:p>
    <w:p>
      <w:pPr>
        <w:spacing w:after="0" w:line="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TA-ERT and our other current and future product candidates are smaller than we believe they are, our future revenue, if any, may be adversely affected, and our business may suffer.</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If the size of the market opportunities in each of our target indications for our product candidates and any future product candidates is smaller than we anticipate, we may not be able to achieve profitability and growth. We focus our clinical development on treatments for neurological disorders. For example, we believe that TA-ERT has the potential to bring therapeutic benefit to patients suffering from MPS IIIB. Given the relatively small number of patients who have MPS IIIB, it is critical to our ability to grow and become profitable that we continue to successfully identify patients with these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due to the lack of available treatment options, newborn screening programs have not been widely adopted for the detection of MPS IIIB. As a result, patients may become increasingly difficult to identify or gain access to, which would adversely affect our results of operations and our business. In addition, the potentially addressable patient population for MPS IIIB may be limited or may not be amenable to treatment with TA-ERT, if approved. Further, even if we obtain significant adoption and market penetration for TA-ERT in MPS IIIB, we may never achieve profitability despite obtaining such significant market share, as other pharmaceutical companies with more resources and greater experience in drug development and commercialization are targeting this same disorder.</w:t>
      </w:r>
    </w:p>
    <w:p>
      <w:pPr>
        <w:spacing w:after="0" w:line="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our product candidates is also subject to approval.</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with the FDA, obtaining approval of a Marketing Authorization Application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TA-ERT in certain countries. If we fail to comply with the regulatory requirements in international markets and/or receive applicable marketing approvals, our target market will be reduced and our ability to realize the full market potential of TA-ERT will be harmed, which would adversely affect our business, prospects,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TA-ERT and our other current and future product candidates, we may not be able to generate any product revenues.</w:t>
      </w:r>
    </w:p>
    <w:p>
      <w:pPr>
        <w:spacing w:after="0" w:line="6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do not have a commercial organization for the marketing, sales, and distribution of pharmaceutical products. To commercialize our product candidates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TA-ERT, if approved, in the United States.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establishment and development of our own sales force or the establishment of a contract sales force to market our product candidates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To the extent we rely on third parties to commercialize our product candidates, if approved, we may have little or no control over the marketing and sales efforts of such third parties and our revenues from product sales may be lower than if we had commercialized TA-ERT and any other current and future product candidates ourselves. In the event we are unable to develop our own marketing and sales force or collaborate with a third-party marketing and sales organization, we would not be able to commercialize, if approved, TA-ERT and any other current and future product candidates.</w:t>
      </w:r>
    </w:p>
    <w:p>
      <w:pPr>
        <w:spacing w:after="0" w:line="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and global economic and geopolitical conditions could adversely affect our business, financial condition, results of operations and prospects.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U.S. and global economies, the U.S. and global financial markets and adverse geopolitical and macroeconomic developments. U.S. and global economic and business activities have been, and may continue to be, disrupted and volatile due to many factors, including global trade disputes, labor shortages, declines in consumer confidence, inflation and monetary supply shifts, recession risks, geopolitical uncertainty, potential disruptions from the ongoing wars in Ukraine and the Middle East and related sanctions, disruptions in supply chain continuity, reduced access to liquidity in Europe and globally, declines in economic growth, and uncertainty about economic stability,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severe or prolonged global economic downturn could result in a variety of risks to our business. For example, inflation rates, particularly in the United States, have increased to levels not previously seen in years, and increased inflation may result in increases 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United States and the other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imposition of substantial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including legal challenges to such tariffs,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critical raw materials are located in multiple countries. The active pharmaceutical ingredients (“APIs”) for our product candidates are manufactured in South Korea and China, and our product candidates are manufactured in South Korea, United States, and China. We also rely on specialized laboratory equipment, supplies, materials, and precursor compounds, all or part of which we believe may be ultimately sourced from multiple countries outside the United States, to advance our research and development efforts.</w:t>
      </w:r>
    </w:p>
    <w:p>
      <w:pPr>
        <w:spacing w:after="0" w:line="81" w:lineRule="exact"/>
        <w:rPr>
          <w:sz w:val="20"/>
          <w:szCs w:val="20"/>
          <w:color w:val="auto"/>
        </w:rPr>
      </w:pPr>
    </w:p>
    <w:p>
      <w:pPr>
        <w:ind w:right="220" w:firstLine="554"/>
        <w:spacing w:after="0" w:line="254" w:lineRule="auto"/>
        <w:rPr>
          <w:sz w:val="20"/>
          <w:szCs w:val="20"/>
          <w:color w:val="auto"/>
        </w:rPr>
      </w:pPr>
      <w:r>
        <w:rPr>
          <w:rFonts w:ascii="Times New Roman" w:cs="Times New Roman" w:eastAsia="Times New Roman" w:hAnsi="Times New Roman"/>
          <w:sz w:val="18"/>
          <w:szCs w:val="18"/>
          <w:color w:val="auto"/>
        </w:rPr>
        <w:t>Notwithstanding legal challenges related to tariffs, we expect that 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including as a result of uncertainty surrounding related legal challenges,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as well as of related legal challenges,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markets or other financing sources, financial condition, results of operations and prospects. In addition, tariffs and other trade developments have and may continue to heighten the risks related to the other risk factors described elsewhere in this Annual Report.</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pharmaceuticals industries depends upon our ability to attract, retain, manage and motivate highly qualified managerial, scientific, and medical personnel. If we do not succeed in attracting and retaining qualified personnel, particularly at the management level, it could adversely affect our ability to execute our business plan and harm our operating results. In particular, the loss of the services of any of our executive officers or other key employees and our inability to find suitable replacements in a timely manner could potentially harm our business, prospects, financial condition or results of operations.</w:t>
      </w:r>
    </w:p>
    <w:p>
      <w:pPr>
        <w:spacing w:after="0" w:line="7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TA-ERT and our other current and future product candidates could be associated with side effects, adverse events or other properties that could delay or prevent regulatory approval or result in significant negative consequences following marketing approval, if any.</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biopharmaceuticals generally, it is likely that there may be side effects and adverse events associated with the use of TA-ERT and our other current and future product candidates. Results of our clinical trials could reveal a high and unacceptable severity and prevalence of side effects or unexpected characteristics. Undesirable side effects caused by TA-ERT and our other current and future product candidates could cause us or regulatory authorities to interrupt, delay, terminate or halt clinical trials and could result in a more restrictive label or the delay or denial of regulatory approval by the FDA or other comparable foreign authorities. For example, in the first quarter of 2026, the TAMARIND Phase 2 clinical trial of tildacerfont in MDD was discontinued following a serious adverse event in which a patient experienced a significant elevation of liver enzymes. In addition, although in clinical trials TA-ERT has demonstrated an adequate safety profile in a serious and fatal disease for which no treatment is currently available, the most frequent treatment-emergent adverse events (TEAE) by preferred term (reported in ≥40% of participants) was vomiting (22 [100%]), followed by pyrexia (20 [90.9%]), upper respiratory tract infection (17 [77.3%]), pleocytosis (11 [50.0%]), COVID-19 infection (10 [45.5%]), and diarrhea (9 [40.9%]). Four (18%) patients discontinued treatment, although three (14%) discontinuations were due to hydrocephalus, a known complication of MPS IIIB. Adverse events related to the intracerebroventricular (“ICV”) device were consistent with other therapies administered by the ICV route.</w:t>
      </w:r>
    </w:p>
    <w:p>
      <w:pPr>
        <w:spacing w:after="0" w:line="8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If drug-related SAEs are observed, our trials could be suspended or terminated and the FDA or comparable foreign regulatory authorities could order us to cease further development of or deny approval for TA-ERT and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current and future product candidates for any or all targeted indications.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Furthermore, if TA-ERT and our other current and future product candidates receive marketing approval, and we or others later identify undesirable side effects caused by such product candidate, a number of potentially significant negative consequences could result, including: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form the marketplace;</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or suspend or change their approvals of such product or place restrictions on the way it is prescribed;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17"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TA-ERT and our other current and future product candidates, if approved, and could significantly harm our business, financial condition, results of operations and prospects.</w:t>
      </w:r>
    </w:p>
    <w:p>
      <w:pPr>
        <w:spacing w:after="0" w:line="5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receive regulatory approval for TA-ERT and our other current and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8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2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withdraw or modify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terminate or modify any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we conduct post-market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approval for narrower indications than we requested;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11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if approved, TA-ERT and our other current and future product candidates and generate revenue and could require us to expend significant time and resources in response and could generate negative publicity.</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authorities. Any actual or alleged failure to comply with labeling and promotion requirements may result in fines, warning letters, mandates to corrective information to healthcare practitioners, injunctions, or civil or criminal penalties.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policies of the FDA and other regulatory authorities, including foreign regulatory authorities, may change and additional government regulations may be enacted that could prevent, limit or delay regulatory approval for TA-ERT and our other current and future product candidates. For example, the U.S. Supreme Court’s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overturned the longstanding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under which courts were required to give deference to regulatory agencies’ reasonable interpretations of ambiguous federal statutes.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and other government agencies, or comparable foreign regulatory authorities could hinder their ability to hire and retain key leadership and other personnel, or otherwise prevent new products and services from being developed or commercialized in a timely manner, which could negatively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-314325</wp:posOffset>
            </wp:positionV>
            <wp:extent cx="28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4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the authorities have fluctuated in recent years as a result. In addition, government funding of other government agencies that fund research and development activities is subject to the political process, which is inherently fluid and unpredictable.</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or comparable foreign regulatory authorities may also slow the time necessary for new drugs to be reviewed and/or approved, which would adversely affect our business. For example, over the last several years, including during the government shutdown that began on October 1, 2025, the U.S. government has shut down several times and certain regulatory agencies, such as the FDA, have had to furlough critical FDA employees and stop critical activities. If a prolonged government shutdown occurs, it could significantly impact the ability of the FDA or other regulatory authorities to timely review and process our regulatory submissions, which could have a material adverse effect on our business.</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TA-ERT and our other current and future product candidates, they may not gain market acceptance among physicians, patients, healthcare payors and others in the medical community.</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TA-ERT and our other current and future product candidates may not be commercially successful. The commercial success of TA-ERT or our other current and future product candidates, if approved, will depend significantly on the broad adoption and use of such product by physicians and patients for approved indications. The degree of market acceptance of TA-ERT or our other current and future products, if approved,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considering the product as a safe and effective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other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and government authorities;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and adequate reimbursement by third-party payors and government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those of any collaboration or distribution partner on whom we rely for sales in foreign jurisdictions.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TA-ERT or any other current or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In addition, even if TA-ERT and any other current or future product candidate gain acceptance, the markets for the treatment of patients with our target indications may not be as significant as we estimate.</w:t>
      </w:r>
    </w:p>
    <w:p>
      <w:pPr>
        <w:spacing w:after="0" w:line="7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TA-ERT and any other current or future product candidate is approved for marketing, and we are found to have improperly promoted off-label uses, or if physicians prescribe or use TA-ERT and any other current or future product candidates off-label, we may become subject to prohibitions on the sale or marketing of TA-ERT</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and any other current or future product candidates, significant fines, penalties, sanctions, or product liability claims, and our image and reputation within the industry and marketplace could be harmed.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FDA, DOJ, and comparable foreign authorities strictly regulate the marketing and promotional claims that are made about pharmaceutical products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TA-ERT and any other current or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authorities, or comparable foreign regulatory authorities, to have engaged in the promotion of TA-ERT or any other current or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8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TA-ERT and our other current or future product candidates, which could make it difficult for us to sell TA-ERT and our other current or future product candidates profitably.</w:t>
      </w:r>
    </w:p>
    <w:p>
      <w:pPr>
        <w:spacing w:after="0" w:line="5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Successful sales of TA-ERT and any other current or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U.S. governmental healthcare programs, such as Medicare and Medicaid, or comparable foreign healthcare programs, and commercial payors is critical to new product acceptance, and we may not obtain such coverage or adequate reimbursement. Moreover, we focus our clinical development on treatments for serious disorders, some of which have relatively small patient populations. As a result, we must rely on obtaining appropriate coverage and reimbursement for these populations.</w:t>
      </w:r>
    </w:p>
    <w:p>
      <w:pPr>
        <w:spacing w:after="0" w:line="7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If we obtain coverage for a given product, the resulting reimbursement payment rates might not be adequate or may require co-payments that patients find unacceptably high. Patients are unlikely to use TA-ERT or any other current or future product candidate unless coverage is provided and reimbursement is adequate to cover a significant portion of the cost. Additionally, the reimbursement rates and coverage amounts may be affected by the approved label for TA-ERT or any other current or future product candidate. If coverage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reimbursement of our future products are unavailable or limited in scope or amount, or if pricing is set at unsatisfactory levels, we may be unable to achieve or sustain profitability.</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the market for TA-ERT and any other current or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TA-ERT and any other current or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intend to seek approval to market TA-ERT and our other current product candidates in the United States and in selected foreign jurisdictions. If we obtain approval in one or more foreign jurisdictions for TA-ERT and our other current product candidates,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Inflation Reduction Act of 2022 (“IRA”) among other things, (1) requires HHS to negotiate the price of certain single-source biologics that have been on the market for at least 11 years covered under Medicare as part of the Medicare Drug Price Negotiation Program (the “Medicare Drug Price Negotiation Program”), and (2) imposes rebates under Medicare Part B and Medicare Part D to penalize price increases that outpace inflation on an annual basis.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and healthcare reform measures may increase the difficulty and cost for us to obtain marketing approval for and commercialize TA-ERT and any other current or future product candidates and may affect the prices we may set.</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(collectively the “Affordable Care Act”), was enacted in the United States.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For example, on August 16, 2022, the IRA was signed into law, which among other things, extends enhanced subsidies for individuals purchasing health insurance coverage in Affordable Care Act marketplaces through plan year 2025. The IRA also eliminates the “donut hole”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 Medicare Part D program beginning in 2025 by significantly lowering the beneficiary maximum out-of-pocket cost and creating a new manufacturer discount program. It is possible that the Affordable Care Act will be subject to judicial or Congressional challenges and amendments in the future. It is unclear how any such challenges and the healthcare reform measures of the second Trump administration will impact the Affordable Care Act and our business.</w:t>
      </w:r>
    </w:p>
    <w:p>
      <w:pPr>
        <w:spacing w:after="0" w:line="72" w:lineRule="exact"/>
        <w:rPr>
          <w:sz w:val="20"/>
          <w:szCs w:val="20"/>
          <w:color w:val="auto"/>
        </w:rPr>
      </w:pPr>
    </w:p>
    <w:p>
      <w:pPr>
        <w:ind w:right="40" w:firstLine="515"/>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Congress is considering proposed legislation intended to further reduce healthcare costs with alternatives to replace the expiring ACA subsidies</w:t>
      </w:r>
    </w:p>
    <w:p>
      <w:pPr>
        <w:spacing w:after="0" w:line="81" w:lineRule="exact"/>
        <w:rPr>
          <w:sz w:val="20"/>
          <w:szCs w:val="20"/>
          <w:color w:val="auto"/>
        </w:rPr>
      </w:pPr>
    </w:p>
    <w:p>
      <w:pPr>
        <w:ind w:right="80" w:firstLine="515"/>
        <w:spacing w:after="0" w:line="252" w:lineRule="auto"/>
        <w:rPr>
          <w:sz w:val="20"/>
          <w:szCs w:val="20"/>
          <w:color w:val="auto"/>
        </w:rPr>
      </w:pPr>
      <w:r>
        <w:rPr>
          <w:rFonts w:ascii="Times New Roman" w:cs="Times New Roman" w:eastAsia="Times New Roman" w:hAnsi="Times New Roman"/>
          <w:sz w:val="18"/>
          <w:szCs w:val="18"/>
          <w:color w:val="auto"/>
        </w:rPr>
        <w:t xml:space="preserve">The current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directives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(“MAHA”) Commission’s recent Strategy Report, working across government agencies to increase enforcement on direct-to-consumer pharmaceutical advertising. These actions and policies may significantly reduce U.S. drug prices, potentially impacting manufacturers’ global pricing strategies and profitability, while increasing their operational costs and compliance risks. In June 2024, the U.S. Supreme Court’s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created under the IRA. The implementation of cost containment measures or other healthcare reforms may prevent us from being able to generate revenue, attain profitability or commercialize our product candidates, if approved.</w:t>
      </w:r>
    </w:p>
    <w:p>
      <w:pPr>
        <w:spacing w:after="0" w:line="87" w:lineRule="exact"/>
        <w:rPr>
          <w:sz w:val="20"/>
          <w:szCs w:val="20"/>
          <w:color w:val="auto"/>
        </w:rPr>
      </w:pPr>
    </w:p>
    <w:p>
      <w:pPr>
        <w:ind w:firstLine="515"/>
        <w:spacing w:after="0" w:line="253" w:lineRule="auto"/>
        <w:rPr>
          <w:sz w:val="20"/>
          <w:szCs w:val="20"/>
          <w:color w:val="auto"/>
        </w:rPr>
      </w:pPr>
      <w:r>
        <w:rPr>
          <w:rFonts w:ascii="Times New Roman" w:cs="Times New Roman" w:eastAsia="Times New Roman" w:hAnsi="Times New Roman"/>
          <w:sz w:val="18"/>
          <w:szCs w:val="18"/>
          <w:color w:val="auto"/>
        </w:rPr>
        <w:t>In addition, certain foreign activities related to drugs, biologics, and research, especially with regard to China, have come under increased scrutiny in the United States. Chinese contract manufacturing organizations may become subject to legislation, trade restrictions, sanctions, tariffs and other regulatory requirements by the U.S. government, which could restrict or even prohibit our ability to work with such entities. For example, on December 10, 2025, the National Defense Authorization Act for Fiscal Year 2026 (“NDAA”) passed overwhelmingly in the U.S. House of Representatives (the “House”) and includes the BIOSECURE Act which, in its current form, would prohibit the U.S. government from procuring biotechnology equipment or services from “biotechnology companies of concern,” and would prohibit U.S. government contracts, loans and grants to any entity that uses biotechnology equipment or services from a designated “biotechnology company of concern.” “Biotechnology companies of concern” include companies identified on the U.S. Department of Defense’s “Chinese military companies operating in the United States” list (the 1260H List) and also authorizes the U.S. government to identify additional entities for inclusion as “biotechnology companies of concern. The U.S. Senate has since passed the NDAA and on December 18, 2025, President Trump signed the NDAA into law. Under the BIOSECURE Act, we may be restricted in our ability to work with certain Chinese biotechnology manufacturing companies to the extent we would contract with, or otherwise receive funding from, the U.S. government. In addition, if we, our suppliers, or our customers were to be designated under the BIOSECURE Act, this could potentially cause harm to our business, financial condition, results of operations and prospects.</w:t>
      </w:r>
    </w:p>
    <w:p>
      <w:pPr>
        <w:spacing w:after="0" w:line="79" w:lineRule="exact"/>
        <w:rPr>
          <w:sz w:val="20"/>
          <w:szCs w:val="20"/>
          <w:color w:val="auto"/>
        </w:rPr>
      </w:pPr>
    </w:p>
    <w:p>
      <w:pPr>
        <w:ind w:right="180" w:firstLine="515"/>
        <w:spacing w:after="0" w:line="282" w:lineRule="auto"/>
        <w:rPr>
          <w:sz w:val="20"/>
          <w:szCs w:val="20"/>
          <w:color w:val="auto"/>
        </w:rPr>
      </w:pPr>
      <w:r>
        <w:rPr>
          <w:rFonts w:ascii="Times New Roman" w:cs="Times New Roman" w:eastAsia="Times New Roman" w:hAnsi="Times New Roman"/>
          <w:sz w:val="18"/>
          <w:szCs w:val="18"/>
          <w:color w:val="auto"/>
        </w:rPr>
        <w:t>Moreover, in order to obtain reimbursement for our products in some European countries, including some EU Member States, we may be required to compile additional data comparing the cost-effectiveness of our products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other available therapies. The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began to apply on January 12, 2025 through a phased implementation. The Regulation initially applies to new active substances for oncology and advanced therapy medicinal products. It will be expanded to orphan medicinal products in January 2028, and to all centrally authorized medicinal products as of 2030. Select high-risk medical devices will also come into scope in 2026. It is intended to boost cooperation among EU Member States in assessing health technologies, including new medicinal products, and providing the basis for cooperation at EU level for joint clinical assessments in these areas. The Regulation permits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88"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color w:val="auto"/>
        </w:rPr>
        <w:t>In addition,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package—comprised of a new directive and regulation to replace existing legislation—aims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capped at a maximum of eleven years. The reform will also significantly reshape the incentives regime for orphan medicinal products, by introducing “breakthrough” orphan medicinal products – those addressing diseases with no available medicinal treatment – which will benefit from 11 years of market exclusivity. A decrease in market exclusivity opportunities for our product candidates in the EU could impact the commercial prospects of our product candidates.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internationally.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the necessary regulatory approvals, a variety of risks associated with marketing TA-ERT and any other current or future product candidates internationally could materially adversely affect our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for TA-ERT and any other current or future product candidates internationally. Even if we obtain such approvals, we will nevertheless be subject to additional risks related to operating in foreign countries, including:</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including differing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of 1977 (“FCPA”) or comparable foreign regulations;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internationally;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7"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intend to seek to in-license or acquire development and commercial-stage product candidates in disorders that have the potential to complement our existing portfolio. Our current product candidates are generally in-licensed from or derived from partnerships with other pharmaceutical companies. If we decide to pursue the development and commercialization of any additional product candidates, we may be required to invest significant resources to acquire or in-license the rights to such product candidates or to conduct drug discovery activities and we may be unable to in-license the rights on reasonable terms if at all.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identify any candidates. If we are unable to develop or commercialize any other product candidates, our business, financial condition, results of operations and prospects will suffer.</w:t>
      </w:r>
    </w:p>
    <w:p>
      <w:pPr>
        <w:spacing w:after="0" w:line="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financial condition, results of operations and prospects.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8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our product candidates and any future product candidates,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our product candidates and any future product candidates and, accordingly, may not achieve our research, development and commercialization goals.</w:t>
      </w:r>
    </w:p>
    <w:p>
      <w:pPr>
        <w:spacing w:after="0" w:line="7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indebtedness to Avenue Capital may limit our flexibility in operating our business and adversely affect our financial health and competitive position, and our obligations to Avenue Capital are secured by substantially all of our assets, including our intellectual property assets. If we default on these obligations, Avenue Capital could foreclose on our assets, which could materially adversely affect our business, financial condition, results of operations and prospects.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On January 7, 2026, we entered into the Loan Agreement with Avenue Capital. For a description of our Loan Agreement, see Note 15, “Loan Agreement with Avenue Capital”, to the consolidated financial statements included elsewhere in this Annual Report.</w:t>
      </w:r>
    </w:p>
    <w:p>
      <w:pPr>
        <w:spacing w:after="0" w:line="5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covenants, including covenants by the company limiting, amongst other things, additional indebtedness, liens, guaranties, mergers and consolidations, substantial asset sales, investments and loans, certain corporate changes, transactions with affiliates and fundamental changes. These covenants may limit our ability to engage in certain transactions that may be in our long-term best interest, including entering into a change in control transaction.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the Agent may choose to declare an event of default and require that we immediately repay all amounts outstanding under the Loan Agreement, terminate any commitment to extend further credit and foreclose on the collateral.</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Loan Agreement also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Loan Agreement and (ii) exercise any other right or remedy provided by contract or applicable law, including a foreclosure on our assets. The occurrence of any of these events could have a material adverse effect on our business, financial condition, results of operations and prospects. If we default on any of our obligations under the Loan Agreement, the Lender could foreclose on its security interest and liquidate some or all of the collateral, including our intellectual property assets, which would harm our business, financial condition, results of operations and prospects, and could require us to reduce or cease operations.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to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revenues and financial condition and increase our costs and expenses.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TA-ERT and our other current product candidates. Our ability to obtain clinical supplies of TA-ERT and our other current or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5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the risk that employees, independent contractors, principal investigators, CROs, consultants, and vendors may engage in fraudulent or other illegal activity. Misconduct by these parties could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w:t>
      </w:r>
    </w:p>
    <w:p>
      <w:pPr>
        <w:spacing w:after="0" w:line="2" w:lineRule="exact"/>
        <w:rPr>
          <w:sz w:val="20"/>
          <w:szCs w:val="20"/>
          <w:color w:val="auto"/>
        </w:rPr>
      </w:pPr>
    </w:p>
    <w:p>
      <w:pPr>
        <w:ind w:right="80" w:firstLine="8"/>
        <w:spacing w:after="0" w:line="252" w:lineRule="auto"/>
        <w:tabs>
          <w:tab w:leader="none" w:pos="3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for TA-ERT and our other current product candidates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77"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comparable foreign healthcare laws and regulations. If we or our employees, independent contractors, consultants, commercial partners, or vendors violate these laws, we could face substantial penalties.</w:t>
      </w:r>
    </w:p>
    <w:p>
      <w:pPr>
        <w:spacing w:after="0" w:line="4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84" w:lineRule="exact"/>
        <w:rPr>
          <w:sz w:val="20"/>
          <w:szCs w:val="20"/>
          <w:color w:val="auto"/>
        </w:rPr>
      </w:pPr>
    </w:p>
    <w:p>
      <w:pPr>
        <w:ind w:left="1020" w:right="60" w:hanging="503"/>
        <w:spacing w:after="0" w:line="254"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8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spacing w:after="0" w:line="261" w:lineRule="auto"/>
        <w:rPr>
          <w:sz w:val="20"/>
          <w:szCs w:val="20"/>
          <w:color w:val="auto"/>
        </w:rPr>
      </w:pPr>
      <w:r>
        <w:rPr>
          <w:rFonts w:ascii="Times New Roman" w:cs="Times New Roman" w:eastAsia="Times New Roman" w:hAnsi="Times New Roman"/>
          <w:sz w:val="18"/>
          <w:szCs w:val="18"/>
          <w:color w:val="auto"/>
        </w:rPr>
        <w:t>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72" w:lineRule="exact"/>
        <w:rPr>
          <w:sz w:val="20"/>
          <w:szCs w:val="20"/>
          <w:color w:val="auto"/>
        </w:rPr>
      </w:pPr>
    </w:p>
    <w:p>
      <w:pPr>
        <w:ind w:left="1020" w:right="20" w:hanging="50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71"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may also be subject to state and foreign equivalents of each of the healthcare laws described above, among others, some of which may be broader in scope. For example, we may be subject to the following: state and foreign anti-kickback and false claims laws that may apply to sales or marketing arrangements and claims involving healthcare items or services reimbursed by non-governmental third 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foreign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 GDPR governing the privacy and security of health information in some circumstances, many of which differ from each other in significant ways and often are not preempted by HIPAA, thus complicating compliance efforts.</w:t>
      </w:r>
    </w:p>
    <w:p>
      <w:pPr>
        <w:spacing w:after="0" w:line="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Additionally, we may be subject to federal consumer protection and unfair competition laws, and equivalent foreign laws, which broadly regulate marketplace activities and activities that potentially harm consumers.</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penalties, damages, disgorgement, monetary fines, imprisonment, possible exclusion from participation in 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TA-ERT or our other current product candidates outside the United States will also likely subject us to foreign equivalents of the healthcare laws mentioned above, among other foreign laws.</w:t>
      </w:r>
    </w:p>
    <w:p>
      <w:pPr>
        <w:spacing w:after="0" w:line="7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including in the context of clinical trials), intellectual property, and trade secrets (collectively, sensitive data).</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physical or electronic break-ins, social engineering attempts (including through deep fakes, which may be increasingly more difficult to identify as fake, and phishing and spam emails), malicious code (such as computer viruses and worms), malware (including as a result of advanced persistent threat intrusions), ransomware attacks, natural disasters, terrorism, war, server malfunctions, telecommunication and electrical failure, denial of service attacks (such as credential stuffing attacks), credential harvesting, personnel misconduct or error, supply-chain attacks, software bugs, attacks enhanced or facilitated by AI and other similar threats.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Remote work increases risks to our information technology systems and data, as personnel utilize network connections, computers, and devices outside the control of us or the third parties with whom we 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entities, and it may be difficult to integrate companies into our information technology environment and security program.</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addition, our relationship with the third parties with whom we work could introduce additional cybersecurity risks and vulnerabilities, including supply-chain attacks, and other threats to our business operations. We rely on third parties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 </w:t>
      </w:r>
      <w:r>
        <w:rPr>
          <w:rFonts w:ascii="Times New Roman" w:cs="Times New Roman" w:eastAsia="Times New Roman" w:hAnsi="Times New Roman"/>
          <w:sz w:val="18"/>
          <w:szCs w:val="18"/>
          <w:color w:val="231F20"/>
        </w:rPr>
        <w:t>While we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in the past and may continue to expend significant resources (including financial) and modify our business activities (including our clinical trial activities) to try to protect against security incidents and, as applicable, to detect, investigate, mitigate, contain and remediate security incidents. Additionally, certain data privacy and security obligations have required us to implement and maintain specific security measures or industry-standard or reasonable security measures to protect our information technology systems and sensitive data.</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and recover from security incidents, there can be no assurance that these measures will be effective. We take steps designed to detect, mitigate and remediate vulnerabilities, in our information systems (such as our hardware and/or software, including that of third parties with whom we work). There exists risk that we have in the past and may in the future, however, fail to detect, mitigate and remediate all such vulnerabilities including on a timely basis. Further, there exists risk that we have in the past and may in the future experience delays in developing and deploying remedial measures and patches designed to address identified vulnerabilities. Vulnerabilities could be exploited and result in a security incident.</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Any of the previously identified or similar threats have in the past and may in the future cause a security incident that resulted in or results in unauthorized, unlawful, or accidental acquisition, modification, destruction, alteration, encryption, access to, use or disclosure of, corruption of, or loss of sensitive data or our information technology systems, or those of the third parties with whom we work. For example, we have been the target of unsuccessful phishing attempts in the past, and expect such attempts will continue in the future. A security incident has and could disrupt our ability (and that of third parties with whom we work) to provide our services.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event of a security incident, applicable data privacy and security obligations may require us, or we may voluntarily choose, to notify relevant stakeholders, such as consumers, partners, collaborators, government authorities, and the media or to take other actions, such as providing credit monitoring and identifying theft protection services. Such disclosures and related actions can be costly, and the disclosure or the failure to comply with such applicable requirements could lead to adverse consequences.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Security incidents (or perceived security incidents), may result in material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diversion of management attention,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our company could be leaked, disclosed, or revealed as a result of or in connection with our employees’, personnels’, or vendors’ use of generative artificial intelligence (“AI”) technologies.</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in each case related to data privacy or security. Our (or the third parties with whom we work)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business consequences.</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and the third parties with whom we work process personal and sensitive data and are subject to numerous data privacy and security obligations, such as laws and regulations, rules, industry standards, policies, contractual requirements and other obligations, relating to data privacy or security, including data we collect about trial participants in connection with clinical trials.</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numerous federal, state, and local laws and regulations, including, as applicable, state data breach notification laws, personal data privacy laws, consumer protection laws (e.g., Section 5 of the Federal Trade Commission Act) and other similar laws (e.g., wiretapping laws), govern the processing of personal data and apply to our operations and the operations of the third parties with whom we work. In addition, we obtain health information from third parties (including research institutions from which we obtain clinical trial data) that may be subject to privacy and security requirements under HIPAA, as amended by HITECH.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(that are subject to the CCPA) to provide specific disclosures in privacy notices and honor requests of such individuals to exercise certain privacy rights. The CCPA provides for statutory fines and allows private litigants affected by certain data breaches to recover significant statutory damages.</w:t>
      </w:r>
    </w:p>
    <w:p>
      <w:pPr>
        <w:spacing w:after="0" w:line="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Numerous other states have also passed comprehensive privacy laws, and similar laws are being considered in several other states, as well as at the federal and local levels. We expect more states to pass similar laws in the future. The CCPA and other U.S. state comprehensive privacy laws exempt some data processed in the context of clinical trials, but these developments may further complicate compliance efforts, and increase legal risk and compliance costs for us and the third parties with whom we work.</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employees and personnel use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including our processing of personal data. For example, our processing of personal data is or may become subject in certain circumstances to the EU GDPR and the United Kingdom’s GDPR (“UK GDPR”) (collectively, “GDPR”). The GDPR imposes stringent standards of data privacy and security concerning personal data and imposes potentially significant sanctions for non-compliance. For example, under the GDPR, companies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may face temporary or definitive bans on processing of personal data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6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and other countries outside Europe.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and other countries in compliance with law, as applicable, such as the European Commission’s standard contractual clauses, the UK’s International Data Transfer Agreement / Addendum, and the EU-U.S. Data Privacy Framework and the UK extension thereto (which allow for transfers to relevant U.S.-based organizations who self-certify compliance and participate in the Framework and/or Extension), these mechanisms are subject to legal challenges, and there is no assurance that we can always satisfy or rely on these mechanisms to lawfully transfer personal data to the United States. If there is no lawful manner for us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certain collaborators, partners, vendors and other third parties with whom we work,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to recipients outside the EEA for allegedly violating the EU GDPR’s cross-border data transfer limitations. Regulators in the United States and other jurisdictions are also increasingly scrutinizing certain data transfers (including to the extent related to personal, de-identified, or anonymized data) and have and may further impose data transfer requirements or prohibitions on cross-border data transfers which impacts the ability to engage in certain data transactions.</w:t>
      </w:r>
    </w:p>
    <w:p>
      <w:pPr>
        <w:spacing w:after="0" w:line="8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bound by other contractual obligations related to data privacy and security, such as industry standards adopted by industry groups, and our efforts to comply with such obligations may not be successful. For example, trial participants about whom we or the third parties with whom we work to obtain information, as well as the third parties with whom we work who share this information with us, have in the past and may in the future contractually limit our ability to use and disclose the information. We also publish privacy policies and other statements regarding data privacy and security. Regulators are increasingly scrutinizing these types of policies and statements, and if these policies or statements are found to be deficient, lacking in transparency, deceptive, unfair, misleading or misrepresentative of our practices, we may be subject to investigation, enforcement actions by regulators, or other adverse consequences.</w:t>
      </w:r>
    </w:p>
    <w:p>
      <w:pPr>
        <w:spacing w:after="0" w:line="8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individuals’ data privacy and security expectations) are quickly changing, becoming increasingly stringent, and creating uncertainty. Compliance with data privacy and security obligations have in the past and could require us to take on more onerous requirements in our contracts, engage in costly compliance exercises, restrict our ability to collect, use and disclose data, or in some cases, impact our or the third parties with whom we work ability to operate in certain jurisdictions. Applicable data protection laws can be subject to differing applications and interpretations which may be inconsistent or conflict among jurisdictions.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Non-compliance (or perceived non-compliance) with applicable data privacy and security obligations, could result in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arbitration demands. Some of these claims allow for the recovery of statutory damages on a per violation basis, and, if viable, carry the potential for monumental statutory damages, depending on the volume of data and the number of violations.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TA-ERT and any other current or future product candidates.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TA-ERT and any other current or future product candidates and will face an even greater risk if we commercialize any products. For example, we may be sued if TA-ERT or any other current or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TA-ERT and our other current product candidates.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TA-ERT and any other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TA-ERT and any other current or future product candidates;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price of our common stock.</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2025, after reducing net operating losses (“NOLs”) and tax credits for amounts not expected to be utilized, we had federal NOL carryforwards of approximately $163.1 million and state NOL carryforwards of approximately $150.0 million. The federal NOL carryforwards arising in taxable years beginning prior to 2018 will begin to expire in 2036 and state NOL carryforwards will begin to expire in 2036, unless previously utilized. We also have federal and state tax credit carryforwards totaling $34.2 million and $2.8 million, respectively. The federal tax credit carryforwards will begin to expire in 2036, unless previously utilized. The state tax credits will not expire.</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the Tax Cuts and Jobs Act of 2017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2025 concluded that an ownership change occurred in May 2016, August 2020, and October 2025.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December 31, 2025 we recorded a full valuation allowance on our net deferred tax assets.</w:t>
      </w:r>
    </w:p>
    <w:p>
      <w:pPr>
        <w:spacing w:after="0" w:line="8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at the state level, there may be periods during which the use of NOLs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instance, OBBBA makes permanent key elements of the Tax Act, including 100% bonus depreciation and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business interest expense limitation, as well as makes other significant changes to the U.S. tax laws. We are currently evaluating the impact, if any, of the OBBBA on our business and financial condition. Further, the Tax Act, the CARES Act and the Inflation Reduction Act of 2022 enacted many significant changes to the U.S. tax laws. Future guidance from the Internal Revenue Service and other tax authorities may affect us, and certain aspects of the changes could be repealed or modified in future legislation. In addition, it is uncertain if and to what extent various states will conform to the Tax Act, the CARES Act, the Inflation Reduction Act, OBBBA or any other newly enacted federal tax legislation. Changes in corporate tax rates, the realization of net deferred tax assets relating to our operations, and the deductibility of expenses under the Tax Act, the CARES Act, the Inflation Reduction Act, OBBBA or future reform legislation could have a material impact on the value of our net deferred tax assets, could result in significant one-time charges, and could increase our future tax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compliance with all applicable requirements of the Nasdaq Capital Market (“Nasdaq”), our common stock could be subject to delisting which would adversely affect the market liquidity of our common stock and the market price of our common stock could decrease.</w:t>
      </w:r>
    </w:p>
    <w:p>
      <w:pPr>
        <w:spacing w:after="0" w:line="5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April 26, 2024, we received a letter from Nasdaq Listing Qualifications, notifying us that, for the previous 30 consecutive business day period prior to the date of the letter, the closing bid price for our common stock was below $1.00 (the “Minimum Bid Price Requirement”).</w:t>
      </w:r>
    </w:p>
    <w:p>
      <w:pPr>
        <w:spacing w:after="0" w:line="54"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On April 22, 2025, we received a written notification from Nasdaq that as a result of our ongoing failure to comply with the Minimum Bid Price Requirement, the trading in our company’s stock was suspended at the open of trading on April 29, 2025. We appealed Nasdaq’s determination to its Hearings Panel and on June 9, 2025, we received a letter from the Hearings Panel stating that our appeal was accepted. On July 23, 2025, we filed an Amendment to our Amended and Restated Certificate of Incorporation to effect a one-for-seventy-five (1:75) reverse stock split of our outstanding common stock. Our common stock began trading on the OTCQB on a split-adjusted basis on August 7, 2025 under the ticker symbol “SPRBD”. Our common stock resumed trading on the Nasdaq Capital Market on September 15, 2025.</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remain in compliance with the Minimum Bid Price Requirement.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resulting in a determination that the common stock is a “penny stock” which would require brokers trading in the common stock to adhere to more stringent rules, possibly resulting in a reduced level of trading activity in the secondary trading market for shares of common stock; limiting our ability to issue additional securities or obtain additional financing in the future; and impairing our ability to provide equity incentives to our employees. In addition, delisting from Nasdaq may negatively impact our reputation and, consequently,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may continue to be volatile, and you could lose all or part of your investment.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in response to various factors, some of which are beyond our control, including limited trading volume. These factors include:</w:t>
      </w:r>
    </w:p>
    <w:p>
      <w:pPr>
        <w:spacing w:after="0" w:line="54" w:lineRule="exact"/>
        <w:rPr>
          <w:sz w:val="20"/>
          <w:szCs w:val="20"/>
          <w:color w:val="auto"/>
        </w:rPr>
      </w:pPr>
    </w:p>
    <w:p>
      <w:pPr>
        <w:ind w:left="1020" w:right="1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and planned clinical trials of TA-ERT, tildacerfont or any future clinical trials we may conduct of TA-ERT and any other current or future product candidates, or changes in the development status of TA-ERT and any other current or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TA-ERT and tildacerfont;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TA-ERT and any other current or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5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clinical trials as a result of outbreaks of contagious diseases, patient engagement, protocol amendments or otherwise;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TA-ERT and any other current or future product candidates;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TA-ERT and any other current or future product candidates,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coverage and adequate reimbursement of TA-ERT and any other current or future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TA-ERT and any other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TA-ERT and any other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 or the release or publication of clinical trial results from competing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if any, of the markets for MPS IIIB, major depressive disorder, and other disorders that we may target;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 including doubt about 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1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macroeconomic conditions, including global trade disputes and the wars in Ukraine and the Middle East and related sanctions;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discussed in this “Risk Factors” section and elsewhere in this Annual Report, many of which are beyond our control.</w:t>
      </w:r>
    </w:p>
    <w:p>
      <w:pPr>
        <w:spacing w:after="0" w:line="11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following periods of volatility in the market price of a company’s securities. This risk is especially relevant for us because biopharmaceutical companies have experienced significant stock price volatility in recent years. This type of litigation, if instituted, could result in substantial costs and a diversion of management’s attention and resources, which could harm our business, financial condition, results of operations and prospects.</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Avenue Capital, and future debt instruments may materially restrict our ability to pay dividends on our common stock. Any return to stockholders would therefore be limited to the appreciation, if any, of their stock.</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7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51" w:lineRule="exact"/>
        <w:rPr>
          <w:sz w:val="20"/>
          <w:szCs w:val="20"/>
          <w:color w:val="auto"/>
        </w:rPr>
      </w:pPr>
    </w:p>
    <w:p>
      <w:pPr>
        <w:jc w:val="both"/>
        <w:ind w:right="480" w:firstLine="509"/>
        <w:spacing w:after="0" w:line="289" w:lineRule="auto"/>
        <w:rPr>
          <w:sz w:val="20"/>
          <w:szCs w:val="20"/>
          <w:color w:val="auto"/>
        </w:rPr>
      </w:pPr>
      <w:r>
        <w:rPr>
          <w:rFonts w:ascii="Times New Roman" w:cs="Times New Roman" w:eastAsia="Times New Roman" w:hAnsi="Times New Roman"/>
          <w:sz w:val="17"/>
          <w:szCs w:val="17"/>
          <w:color w:val="auto"/>
        </w:rPr>
        <w:t>We are a “smaller reporting company” as defined in the Exchange Act which allows us to take advantage of exemptions,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Annual Report, as required by Section 404 of the Sarbanes-Oxley Act. This will require that we incur substantial additional professional fees and internal costs to expand our accounting and finance functions and that we expend significant management efforts. Prior to our IPO, we had never been required to test our internal controls within a specified period, and, as a result, we may experience difficulty in meeting these reporting requirements in a timely manner.</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6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2025, there were 1,372,043 shares of our common stock outstanding.</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214,873 shares of common stock, pre-funded warrants to purchase 10,666 shares of common stock, and warrants to purchase 169,147 shares of common stock. All of the pre-funded warrants have been exercised. Additionally, in October 2025, we entered into a securities purchase agreement with certain institutional investors, pursuant to which we agreed to sell and issue 502,181 shares of common stock and pre-funded warrants to purchase up to 233,144 shares of common stock in a private placement transaction. Pursuant to the securities purchase agreements, we have registered for resale such securities. In December 2025, three holders of pre-funded warrants to purchase shares of common stock exercised those warrants to purchase 233,144 shares of common stock. On January 7, 2026, we also entered into the Loan Agreement with Avenue Capital, pursuant to which we will issue a warrant to purchase $3.2 million in shares of common stock, at a price that equals the lower of (i) the 5-day daily volume-weighted average price of common stock, determined for the five (5) consecutive trading days immediately preceding the date of issuance, (ii) the 5-day daily volume-weighted average price of common stock, determined for the five (5) consecutive trading days prior to December 3, 2025 or (iii) the effective price per share of any bona fide equity raise prior to June 30, 2026. Lender may also elect to convert up to $4.0 million of the principal amount outstanding under the Loan Agreement into shares of the company’s common stock at a price per share equal to 20% premium to the exercise price of the warrants issued pursuant to the Loan Agreement.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spacing w:after="0" w:line="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registration statements, warrants, the Loan Agreement, any future loan agreements, and our equity incentive plans, could result in additional dilution of the percentage ownership of our stockholders and could cause our stock price to fall.</w:t>
      </w:r>
    </w:p>
    <w:p>
      <w:pPr>
        <w:spacing w:after="0" w:line="6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For example, as described in the section titled “Risk Factors—Sales of a substantial number of shares of our common stock in the public market could cause our stock price to fall” above, we have in the past entered into transactions where we issued and sold common stock, pre-funded warrants and common warrants to purchase shares of our common stock, and we may enter into other or similar transactions in the future. If we sell additional shares of common stock, convertible securities or other equity securities, investors may be materially diluted by subsequent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sales. Such sales may also result in material dilution to our existing stockholders, and new investors could gain rights, preferences and privileges senior to the holders of our common stock.</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our 2020 Equity Incentive Plan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5,883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1020" w:right="3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others, the termination of which could result in the loss of significant rights, which would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dependent on technology, patents, know-how, and proprietary materials, both our own and licensed from others. For example, we entered into a license agreement with Eli Lilly and Company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 In addition, we entered into a license agreement with BioMarin Pharmaceutical Inc. in October 2019 pursuant to which we obtained a limited exclusivity, royalty bearing, and sublicensable license to certain technology, patent rights, know-how, and proprietary materials relating to certain enzyme replacement therapy products. We entered into a collaboration and license agreement with HBM Alpha Therapeutics, Inc (“HBM”) in January 2025 pursuant to which we obtained a limited exclusivity, royalty bearing, and sublicensable license to certain technology, patent rights, manufacturing rights, know-how, and proprietary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relating to certain compounds developed by HBM (the “HBM License Agreement”).</w:t>
      </w:r>
    </w:p>
    <w:p>
      <w:pPr>
        <w:spacing w:after="0" w:line="11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64" w:lineRule="exact"/>
        <w:rPr>
          <w:sz w:val="20"/>
          <w:szCs w:val="20"/>
          <w:color w:val="auto"/>
        </w:rPr>
      </w:pPr>
    </w:p>
    <w:p>
      <w:pPr>
        <w:jc w:val="both"/>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TA-ERT and our other current and future product candidates.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rely on, and intend to continue relying on, third-party CROs in connection with our current and planned clinical trials for TA-ERT and our other current product candidates.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suspended, varied, delayed, or terminated and we may not be able to complete development of, obtain regulatory approval for or successfully commercialize TA-ERT and our other current and any future product candidates. As a result, our financial results and the commercial prospects for TA-ERT and our other current and any future product candidates would be harmed, our costs could increase and our ability to generate revenues could be delayed.</w:t>
      </w:r>
    </w:p>
    <w:p>
      <w:pPr>
        <w:spacing w:after="0" w:line="80"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financial condition, results of operations and prospects.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financial condition, results of operations and prospects.</w:t>
      </w:r>
    </w:p>
    <w:p>
      <w:pPr>
        <w:spacing w:after="0" w:line="6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 parties to manufacture our preclinical and clinical drug supplies and we intend to rely on third parties to produce commercial supplies of TA-ERT and our other current and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our clinical drug supplies for use in the conduct of our clinical trials, and we lack the resources and the capability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manufacture TA-ERT and our other current and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a long-term agreement with a manufacturer to produce raw materials, active pharmaceutical ingredients (“APIs”), and the finished product of TA-ERT. Our reliance on third-party suppliers and manufacturers, including single-source suppliers, could harm our ability to develop TA-ERT and our other current and future product candidates or to commercialize any product candidates that are approved. Further, any delay in identifying and qualifying a manufacturer for commercial production could delay the potential commercialization of TA-ERT and our other current and future product candidates, and, in the event that we do not have sufficient product to complete our clinical trials, it could delay such trials.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TA-ERT and our other current and future product candidates must be approved by the applicable regulatory authorities, including the FDA or comparable foreign regulatory authorities, pursuant to inspections that will be conducted after an NDA, BLA or comparable foreign regulatory marketing application is submitted. We currently do not control the manufacturing process of TA-ERT and our other current product candidates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limited control over the ability of our contract manufacturers to maintain adequate quality control, quality assurance and qualified personnel. If the FDA or any other applicable regulatory authority does not approve these facilities for the manufacture of TA-ERT and our other current and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TA-ERT and our other current and future product candidates.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TA-ERT and our other current and future product candidates or in the manufacturing facilities, such manufacturing facilities may need to be closed for an extended period of time to investigate and remedy the contamination. Any stability or other issues relating to the manufacture of TA-ERT and our other current product candidates may occur 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and AI-based platforms present new risks and challenges to our business.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TA-ERT and our other current and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and our other current and future product candidates and other proprietary technologies, if approved, may be adversely affected.</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a combination of patents, trade secret protection and confidentiality agreements to protect the intellectual property related to TA-ERT and our other current and future product candidates, and other proprietary technologies we develop. If we are unable to obtain or maintain patent protection with respect to TA-ERT and our other current and future product candidates, and other proprietary technologies we may develop, our business, financial condition, results of operations, and prospects could be materially harmed.</w:t>
      </w:r>
    </w:p>
    <w:p>
      <w:pPr>
        <w:spacing w:after="0" w:line="75"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our product candidates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are deemed invalid and unenforceable, our ability to commercialize or license our technology could be adversely affected.</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actual or potential future collaborators will be successful in protecting TA-ERT and our other current and future product candidates and other proprietary technologies and their uses by obtaining, defending and enforcing patents. These risks and uncertainties include the following:</w:t>
      </w:r>
    </w:p>
    <w:p>
      <w:pPr>
        <w:spacing w:after="0" w:line="68" w:lineRule="exact"/>
        <w:rPr>
          <w:sz w:val="20"/>
          <w:szCs w:val="20"/>
          <w:color w:val="auto"/>
        </w:rPr>
      </w:pPr>
    </w:p>
    <w:p>
      <w:pPr>
        <w:ind w:left="1020" w:right="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may otherwise not provide any competitive advantage;</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our product candidates;</w:t>
      </w:r>
    </w:p>
    <w:p>
      <w:pPr>
        <w:spacing w:after="0" w:line="7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spacing w:after="0" w:line="71"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we cannot be certain that we or our licensors were the first to file any patent application related to our product candidates, any future product candidates, and other proprietary technologies and their uses;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 Additionally,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spacing w:after="0" w:line="8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TA-ERT and our other current and future product candidates, and other proprietary technologies and erode or negate any competitive advantage we may have, which could have a material adverse effect on our financial condition and results of operations. For example:</w:t>
      </w:r>
    </w:p>
    <w:p>
      <w:pPr>
        <w:spacing w:after="0" w:line="75" w:lineRule="exact"/>
        <w:rPr>
          <w:sz w:val="20"/>
          <w:szCs w:val="20"/>
          <w:color w:val="auto"/>
        </w:rPr>
      </w:pPr>
    </w:p>
    <w:p>
      <w:pPr>
        <w:ind w:left="1020" w:right="4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TA-ERT and our other current and future product candidates but that are not covered by the claims of our patents;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and use TA-ERT and our other current and future product candidates in countries where valid enforceable patents are not obtained;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obtain patents that cover the use or manufacture of TA-ERT or our other current product candidates;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7"/>
          <w:szCs w:val="17"/>
          <w:color w:val="auto"/>
        </w:rPr>
        <w:t>We cannot be certain that the claims in our issued patents and pending patent applications covering our current product candidates, including TA-ERT and our other current and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fields involves complex legal and scientific questions and can be uncertain. The patent applications that we own or in-license may fail to result in issued patents with claims that cover our current product candidates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our current product candidates and any future product candidates. Furthermore, even if they are unchallenged, our patents may not adequately protect our intellectual property, provide exclusivity for our current product candidates or any future product candidates or prevent others from designing around our claims. If the breadth or strength of protection provided by the patents we hold with respect to our current product candidates or any future product candidates is threatened, it could dissuade companies from collaborating with us to develop, or threaten our ability to commercialize, our current product candidates or any future product candidates.</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product candidates,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our product candidates and any future product candidates under patent protection would be reduced. Additionally, we may not receive an extension if we fail to apply within applicable deadlines, fail to apply prior to expiration of relevant patents, or otherwise fail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regulatory submissions or requests for patent term extension, which could result in a patent term extension not being timely granted (e.g., before the expiration of the patent) and there may be no patent eligible for extension. Moreover, the applicable time period or the scope of patent protection afforded could be less than we project or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project or request, our competitors may obtain approval of competing products following our patent expiration, and our business, financial condition, results of operations, and prospects could be materially harmed).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such as our license agreement with Lilly and HBM License Agreement, or otherwise experience disruptions to our business relationships with our licensors, we could lose license rights that are important to our business.</w:t>
      </w:r>
    </w:p>
    <w:p>
      <w:pPr>
        <w:spacing w:after="0" w:line="67"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are a party to license agreements under which we are granted intellectual property rights that are important to our business and our product candidates. If we fail to comply with our obligations under the license agreements, or we are subject to a bankruptcy, the license agreements may be terminated, in which event we would not be able to develop, commercialize or market our product candidates.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January 2025, we entered into the HBM License Agreement with HBM. Pursuant to the HBM License Agreement, we obtained an exclusive license to a specified product candidate developed by HBM in all countries outside of mainland China, Taiwan, Hong Kong, and Macau, for upfront consideration of $5.0 million and the issuance to HBM of a pre-funded warrant equal to 4.99% of our outstanding common stock as of the date of issuance of such warrant. Furthermore, we are obligated to pay HBM up to an aggregate of $390.0 million upon the achievement of certain development, regulatory, and sales milestones. In addition, we are required to pay to HBM certain mid to high-single digit tiered royalties on aggregate annual net sales of licensed products during the applicable royalty term, subject to certain customary reductions.</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rights of the licensor that are not subject to the license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intellectual property rights to third parties under collaborative development relationships;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4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Further, our current licensors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If we, our current licensors, or any future licensor fail to adequately protect this intellectual property, our ability to commercialize our product candidates and any future product could be impeded.</w:t>
      </w:r>
    </w:p>
    <w:p>
      <w:pPr>
        <w:spacing w:after="0" w:line="64"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U.S.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and derivation proceedings that allow third parties to challenge the validity of issued patents. This applies to all of our U.S. patents, 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increasing uncertainty with regard to our ability to obtain patents in the future, this combination of events has created uncertainty with respect to the value of patents, once obtained. Depending on decisions by the U.S. Congress, the U.S. courts, and the USPTO, the laws and regulations governing patents could change in unpredictable ways that could weaken our ability to obtain new patents or to enforce our existing patents and patents that we might obtain in the future. For example, the U.S. Supreme Court has ruled on several patent cases in recent years, either narrowing the scope of patent protection available in certain circumstances or weakening the rights of patent owners in certain situations. We cannot predict how decisions by the U.S. courts, the U.S. Congress or the USPTO may impact the value of our patent rights. For example, the U.S. Supreme Court held in </w:t>
      </w:r>
      <w:r>
        <w:rPr>
          <w:rFonts w:ascii="Times New Roman" w:cs="Times New Roman" w:eastAsia="Times New Roman" w:hAnsi="Times New Roman"/>
          <w:sz w:val="18"/>
          <w:szCs w:val="18"/>
          <w:i w:val="1"/>
          <w:iCs w:val="1"/>
          <w:color w:val="auto"/>
        </w:rPr>
        <w:t>Amgen v. Sanofi</w:t>
      </w:r>
      <w:r>
        <w:rPr>
          <w:rFonts w:ascii="Times New Roman" w:cs="Times New Roman" w:eastAsia="Times New Roman" w:hAnsi="Times New Roman"/>
          <w:sz w:val="18"/>
          <w:szCs w:val="18"/>
          <w:color w:val="auto"/>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In addition, the Federal Circuit recently issued a decision, </w:t>
      </w:r>
      <w:r>
        <w:rPr>
          <w:rFonts w:ascii="Times New Roman" w:cs="Times New Roman" w:eastAsia="Times New Roman" w:hAnsi="Times New Roman"/>
          <w:sz w:val="18"/>
          <w:szCs w:val="18"/>
          <w:i w:val="1"/>
          <w:iCs w:val="1"/>
          <w:color w:val="auto"/>
        </w:rPr>
        <w:t>In re Cellect, LLC</w:t>
      </w:r>
      <w:r>
        <w:rPr>
          <w:rFonts w:ascii="Times New Roman" w:cs="Times New Roman" w:eastAsia="Times New Roman" w:hAnsi="Times New Roman"/>
          <w:sz w:val="18"/>
          <w:szCs w:val="18"/>
          <w:color w:val="auto"/>
        </w:rPr>
        <w:t xml:space="preserve"> (2023) involving the interaction of patent term adjustment (“PTA”), terminal disclaimers, and obvious-type double patenting which may affect the patent term of any issued patents that rely on any PTA. The trend of these decisions along with resulting changes in patentability requirements being implemented by the USPTO could make it increasingly difficult for us to obtain and maintain patents on our products and could jeopardize patent term adjustment or otherwise reduce patent term, reduce the scope of, or invalidate or render unenforceable our patent rights.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IRA passed by the U.S.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term.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our product candidates,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68"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patents or marketing of competing products in violation of our proprietary rights generally. For example, as of June 1, 2023, European patent applications and patents may be subjected to the jurisdiction of the Unified Patent Court (the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spacing w:after="0" w:line="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(such as, the Russia and Ukraine war and conflicts in the Middle East;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Many foreign countries could threaten to impose retaliatory measures that may adversely impact our intellectual property rights in those countries.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As another example, on March 14, 2025,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Presently we have intellectual property rights, through licenses from third parties including Lilly, related to our product candidates. Because our program may require the use of additional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6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alleging intellectual property infringement may prevent or delay our drug discovery and development efforts.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and reexamination proceedings before the USPTO, or oppositions and other comparable proceedings in foreign jurisdictions. The America Invents Act introduced new procedures including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and post grant review. The implementation of these procedures brings uncertainty to the possibility of challenges to our patents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outcome of such challenges.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our product candidates or future product candidates. Defense of these claims, regardless of their merit, could involve substantial expenses and could be a substantial diversion of management and other employee resources from our business. 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75"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United States may be maintained in secrecy until the patents are issued;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and elsewhere can be pending for many years before issuance, or unintentionally abandoned patents or applications can be revived;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have been published can, subject to certain limitations, be later amended in a manner that could cover our technologies, our product candidates, and any future product candidates or the use of our technologies, our product candidates, and any future product candidates;</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are typically not published until 18 months after the priority 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claims of patent infringement asserted by third parties would be time-consuming and could:</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our product candidates or any future product candidates until the asserted patent expires or is finally held invalid, unenforceable, or not infringed in a court of law;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the attorney’s fees and costs of litigation to the party whose intellectual property rights we may be found to be willfully infringing; and/or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license agreements, which may not be available on commercially reasonable terms, or at all.</w:t>
      </w:r>
    </w:p>
    <w:p>
      <w:pPr>
        <w:spacing w:after="0" w:line="11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prospectus, others may hold proprietary rights that could prevent our product candidates from being marketed. For example,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are aware of issued patents that claim a method of treatment based upon a general mode of action. While we believe that these patents are difficult to enforce and that we would have valid defenses to these claims of patent infringement, we cannot be certain that we would prevail in any dispute, and we cannot be certain how an adverse determination would affect our business.</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Even if we were able to obtain a license, the rights may be nonexclusive, which may give our competitors access to the same intellectual property.</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or consultants have wrongfully used or disclosed alleged confidential information or trade secrets of their former employers.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our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or sustain damage, which could adversely affect our business.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these claims, litigation could result in substantial costs and be a distraction to our management team and other employees.</w:t>
      </w:r>
    </w:p>
    <w:p>
      <w:pPr>
        <w:spacing w:after="0" w:line="7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before administrative bodies in the United States or abroad.</w:t>
      </w:r>
    </w:p>
    <w:p>
      <w:pPr>
        <w:spacing w:after="0" w:line="51"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8"/>
          <w:szCs w:val="18"/>
          <w:color w:val="auto"/>
        </w:rPr>
        <w:t>Our patents or pending patent applications, or the patents or pending patent applications that we license, may be challenged in the courts or administrative bodies in the United States and other foreign jurisdictions. Such proceedings to challenges in enforceability or validity could result in the revocation of, cancellation of or amendment to our owned and in-licensed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Such a loss of patent protection would have a material adverse impact on our business, financial condition, results of operations and prospects.</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also raise similar claims before the USPTO, even outside the context of litigation or infringement. Such mechanisms could include re-examination, post-grant review, inter partes review, derivation proceedings, and equivalent proceedings in foreign jurisdictions (e.g., opposition proceedings). For example, we are currently a party to an opposition proceeding with the European Patent Office with respect to EP Patent No. 3,784,233, a Revocation Proceeding with respect to EP Patent No. 3,784,233 (the “’233 Patent”), and a Unified Patent Court (UPC) Revocation Proceeding with respect to EP Patent No. 3,784,233. Oral proceedings took place on November 25, 2025, and on December 16, 2025, the Opposition Division issued a Decision of the Opposition Division stating the ’233 Patent is revoked. The Decision of the Opposition Division may be appealed by filing a notice of appeal and grounds of appeal with the EPO’s Boards of Appeal, due within a non-extendable period of two months and four months respectively from the date of the written decision. We may be subject to new or additional third-party pre-issuance submission of prior art to the USPTO or become involved in other post-grant review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procedures, derivations, reexaminations, or </w:t>
      </w:r>
      <w:r>
        <w:rPr>
          <w:rFonts w:ascii="Times New Roman" w:cs="Times New Roman" w:eastAsia="Times New Roman" w:hAnsi="Times New Roman"/>
          <w:sz w:val="18"/>
          <w:szCs w:val="18"/>
          <w:i w:val="1"/>
          <w:iCs w:val="1"/>
          <w:color w:val="auto"/>
        </w:rPr>
        <w:t>inter partes review</w:t>
      </w:r>
      <w:r>
        <w:rPr>
          <w:rFonts w:ascii="Times New Roman" w:cs="Times New Roman" w:eastAsia="Times New Roman" w:hAnsi="Times New Roman"/>
          <w:sz w:val="18"/>
          <w:szCs w:val="18"/>
          <w:color w:val="auto"/>
        </w:rPr>
        <w:t xml:space="preserve"> proceedings, in the United States or oppositions or similar proceedings in foreign jurisdictions, challenging our patent rights. The legal threshold for initiating such proceedings may be low, so that even proceedings with a low probability of success might be initiated.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spacing w:after="0" w:line="7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any future product candidates to market.</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administrative proceedings are very costly and time-consuming and could interfere with our ability to sell and market our products.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6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position,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5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including the HBM License Agreement, will depend heavily on the efforts and activities of our collaborators. Collaborations are subject to numerous risks, which may include that:</w:t>
      </w:r>
    </w:p>
    <w:p>
      <w:pPr>
        <w:spacing w:after="0" w:line="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any future product candidates;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9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personal health information (including clinical trial data) (“Information Systems and Data”).</w:t>
      </w:r>
    </w:p>
    <w:p>
      <w:pPr>
        <w:spacing w:after="0" w:line="72" w:lineRule="exact"/>
        <w:rPr>
          <w:sz w:val="20"/>
          <w:szCs w:val="20"/>
          <w:color w:val="auto"/>
        </w:rPr>
      </w:pPr>
    </w:p>
    <w:p>
      <w:pPr>
        <w:jc w:val="both"/>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information technology function, which is led by Samir Gharib, our President, Chief Financial Officer, and Chief Compliance Officer, helps identify, assess and manage the Company’s cybersecurity threats and risks. Our information technology function works to identify and assess risks from cybersecurity threats by monitoring and evaluating our threat environment and the Company’s risk profile using various methods including, employing both automated and manual tools and controls; conducting threat and vulnerability assessments; utilizing third-party services to monitor our information technology infrastructure; and performing internal audits.</w:t>
      </w:r>
    </w:p>
    <w:p>
      <w:pPr>
        <w:spacing w:after="0" w:line="75"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risk assessments, incident detection and response policies, network security controls for certain systems (including as applicable data segregation, data encryption, access controls, physical security, and systems threat monitoring), disaster recovery and business continuity plans, vendor risk management program, and dedicated cybersecurity staff and employee training.</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cybersecurity risk is addressed as a component of the Company’s enterprise risk management program and the information technology function works with management to prioritize our risk management processes and mitigate cybersecurity threats that are more likely to lead to a material impact to our business. Additionally, Mr. Gharib and the audit committee of the board of directors evaluate material risks from cybersecurity threats against our overall business objectives and reports to the board of directors, which evaluates our overall enterprise risk.</w:t>
      </w:r>
    </w:p>
    <w:p>
      <w:pPr>
        <w:spacing w:after="0" w:line="75"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cybersecurity software providers and managed cybersecurity service providers.</w:t>
      </w:r>
    </w:p>
    <w:p>
      <w:pPr>
        <w:spacing w:after="0" w:line="5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hosting companies, contract research organizations, contract manufacturing organizations, and supply chain providers. We have a vendor management program to manage cybersecurity risks associated with our use of service providers. The program includes, as applicable, risk assessment for certain vendors, security questionnaires, review of certain vendors’ security programs and security assessments, and imposition of cybersecurity-related contractual obligations for some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we may impose contractual obligations related to cybersecurity on the provider.</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including the sections titled “Risk Factors—If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and “Risk Factors—We and the third parties with whom we work are subject to stringent and evolving U.S. and foreign laws, regulations, and rules; contractual obligations; industry standards; policies; and other obligations, in each case related to data privacy or security. Our (or the third parties with whom we work) actual or perceived failure to comply with such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obligations could lead to regulatory investigations and actions (which could include civil or criminal penalties); private litigation (including class-action claims) and mass arbitration demands; disruptions to our business operations; adverse publicity; and other adverse business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audit committee of the board of directors is responsible for overseeing Company’s cybersecurity risk management processes, including oversight and mitigation of risks from cybersecurity threats.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Gharib, who oversees enterprise risk management and information security for the Company.</w:t>
      </w:r>
    </w:p>
    <w:p>
      <w:pPr>
        <w:spacing w:after="0" w:line="9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Mr. Gharib is responsible for hiring information security personnel, integrating cybersecurity risk considerations into the Company’s overall risk management strategy, and communicating key priorities to relevant personnel. Mr. Gharib is also responsible for approving budgets, helping prepare for cybersecurity incidents, approving cybersecurity processes, and reviewing security assessments and other security-related reports.</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incident response and vulnerability management processes and policies are designed to escalate certain cybersecurity incidents to members of management depending on the circumstances, including Mr. Gharib and the Chief Executive Officer. Mr. Gharib works with the Company’s incident response team to help the Company mitigate and remediate cybersecurity incidents of which they are notified. In addition, the Company’s incident response and vulnerability management processes and policies include reporting to the audit committee of the board of directors for certain cybersecurity incidents.</w:t>
      </w:r>
    </w:p>
    <w:p>
      <w:pPr>
        <w:spacing w:after="0" w:line="75"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reports from Mr. Gharib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611 Gateway Boulevard, Suite 740, South San Francisco, California 94080, where we occupy approximately 6,500 square feet of office space pursuant to a lease entered in December 2022, which began in December 2022 and expires in February 2028.</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existing facility meets our current needs.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January 2025, Neurocrine Biosciences, Inc. (“Neurocrine”) initiated proceedings seeking to invalidate European Patent 3,784,233 (the “Patent”) in the United Kingdom Patents Court (“UKPC”), and in August 2025, initiated similar proceeds before the Unified Patent Court (collectively, the “Patent Proceedings”). In February 2026, the UKPC issued a judgment ordering us to pay Neurocrine an interim payment of approximately $1.2 million for its legal costs. As of the year ended December 31, 2025, we accrued $1.9 million for loss contingencies associated with the Patent Proceedings.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8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“SPRB” since October 28, 2024. Between October 9, 2020 and October 27, 2024, our common stock was traded on the Nasdaq Global Select Market. Prior to October 9, 2020, there was no public market for our common stock.</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common stock trading on the Nasdaq Capital Market was suspended at the open of trading on April 29, 2025 and began trading on the OTCQB on a split-adjusted basis on August 7, 2025 under the ticker symbol “SPRBD”. Our common stock resumed trading on the Nasdaq Capital Market on September 15,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As of March 3, 2026, we had 1,372,043 shares of common stock outstanding held by 43 holders of record,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w:t>
      </w:r>
    </w:p>
    <w:p>
      <w:pPr>
        <w:spacing w:after="0" w:line="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12 of Part III of this Annual Report for information about our equity compensation plans which is incorporated by reference herein.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of our business and do not anticipate paying any cash dividends in the foreseeable future. In addition, pursuant to the Loan Agreement with Avenue Capital, we are prohibited from paying cash dividends without the prior written consent of Avenue Capital and future debt instruments may materially restrict our ability to pay dividends on our common stock.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firstLine="869"/>
        <w:spacing w:after="0" w:line="258" w:lineRule="auto"/>
        <w:rPr>
          <w:sz w:val="20"/>
          <w:szCs w:val="20"/>
          <w:color w:val="auto"/>
        </w:rPr>
      </w:pPr>
      <w:r>
        <w:rPr>
          <w:rFonts w:ascii="Times New Roman" w:cs="Times New Roman" w:eastAsia="Times New Roman" w:hAnsi="Times New Roman"/>
          <w:sz w:val="18"/>
          <w:szCs w:val="18"/>
          <w:color w:val="auto"/>
        </w:rPr>
        <w:t>In December 2025, 18 warrant holders affiliated with HBM Alpha Therapeutics, Inc. (“HBM”) exercised warrants to purchase 53,955 shares of common stock, each at a price per share of $0.75006. 3,978 shares of common stock were exercised on a cashless basis and 49,977 shares of common stock were exercised for cash. For each of the securities issued and sold, we relied on the exemption from the registration requirements of the Securities Act by virtue of Section 4(a)(2) thereof. The warrants were initially issued to HBM pursuant to the collaboration and license agreement by and between us and HBM. HBM subsequently assigned such warrants pursuant to the terms and conditions of the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Parties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 Unless otherwise indicated, all references in this Annual Report to “Spruce,” the “company,” “we,” “our,” “us” or similar terms refer to Spruce Biosciences,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15"/>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novel therapies for neurological disorders with significant unmet medical need. We have a diverse portfolio of product candidates aimed at addressing diseases with high unmet medical need and clear biology for treatment, for which there are either no approved therapies treating the underlying disease or suboptimal treatment options. We were founded in April 2016 and are led by a management team experienced in the development and commercialization of groundbreaking therapeutics.</w:t>
      </w:r>
    </w:p>
    <w:p>
      <w:pPr>
        <w:spacing w:after="0" w:line="72" w:lineRule="exact"/>
        <w:rPr>
          <w:sz w:val="20"/>
          <w:szCs w:val="20"/>
          <w:color w:val="auto"/>
        </w:rPr>
      </w:pPr>
    </w:p>
    <w:p>
      <w:pPr>
        <w:ind w:right="60" w:firstLine="515"/>
        <w:spacing w:after="0" w:line="254" w:lineRule="auto"/>
        <w:rPr>
          <w:sz w:val="20"/>
          <w:szCs w:val="20"/>
          <w:color w:val="auto"/>
        </w:rPr>
      </w:pPr>
      <w:r>
        <w:rPr>
          <w:rFonts w:ascii="Times New Roman" w:cs="Times New Roman" w:eastAsia="Times New Roman" w:hAnsi="Times New Roman"/>
          <w:sz w:val="18"/>
          <w:szCs w:val="18"/>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Since November 2024 we have shifted our focus to the development of tralesinidase alfa enzyme replacement therapy (“TA-ERT”), an investigational treatment for mucopolysaccharidoses type IIIB (“MPS IIIB”), or Sanfilippo Syndrome Type B. In October 2025, TA-ERT received breakthrough therapy designation from the U.S. Food and Drug Administration (“FDA”) for the treatment of Sanfilippo Syndrome Type B. TA-ERT has received Rare Pediatric Disease Designation, Fast Track Designation, Breakthrough Therapy Designation, and Orphan Drug Designation in the United States and European Union (“EU”). We anticipate submitting a biologics license application of TA-ERT for the treatment of Sanfilippo Syndrome Type B in the fourth quarter of 2026. Currently, there is no FDA-approved therapy for the treatment of MPS IIIB, and disease management consists of limited palliative care.</w:t>
      </w:r>
    </w:p>
    <w:p>
      <w:pPr>
        <w:spacing w:after="0" w:line="80" w:lineRule="exact"/>
        <w:rPr>
          <w:sz w:val="20"/>
          <w:szCs w:val="20"/>
          <w:color w:val="auto"/>
        </w:rPr>
      </w:pPr>
    </w:p>
    <w:p>
      <w:pPr>
        <w:ind w:right="120" w:firstLine="515"/>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TA-ERT and our other current and future product candidates.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During the years ended December 31, 2025 and 2024, we incurred net losses of $39.0 million and $53.0 million, respectively, and used $33.3 million and $56.0 million of cash in operations, respectively. As of December 31, 2025, we had an accumulated deficit of $289.2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Since inception through December 31, 2025, we have raised aggregate gross proceeds of $343.1 million, including $103.5 million from our initial public offering (“IPO”) in October 2020, $116.0 million from the sale of our redeemable convertible preferred stock, $5.0 million from the issuance of debt, $53.6 million from a private placement financing in February 2023, $15.0 million upfront payment from Kaken Pharmaceutical Co. Ltd. received in April 2023, and $50.0 million from a private placement financing in October 2025. As of December 31, 2025, we had cash and cash equivalents of $48.9 million.</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Without alternative financing or proceeds from other strategic alternatives, we believe, based on our current operating plan, that our cash and cash equivalents as of December 31, 2025 and gross proceeds received in January 2026 under the Loan Agreement with Avenue Capital (each as defined below) will be insufficient to fund our operations and debt obligations for at least 12 months following the issuance date of our financial statements included elsewhere in this Annual Report.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will increase significantly in connection with our ongoing activities, as we:</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 of TA-ERT in patients with MPS IIIB;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highly specialized commercial organization to support the commercialization of TA-ERT, if approved, in the United States;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collaborations to benefit from the resources of biopharmaceutical companies specialized in either relevant disease areas or geographies in markets outside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TA-ERT through a planned confirmatory study in patients with MPS IIIB and expanded access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manufacturing capacity to accommodate anticipated global demand of TA-ERT, if approved, for the treatment of MPS IIIB;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and clinical development of SPR202 in congenital adrenal hyperplasia (“CAH”);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Global economic and business activities continue to face widespread macroeconomic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and related legal challenges, and uncertainty about economic stability.</w:t>
      </w:r>
    </w:p>
    <w:p>
      <w:pPr>
        <w:spacing w:after="0" w:line="10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231F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effected a one-for-seventy-five (1:75) reverse stock split of our outstanding common stock (the “Reverse Stock Split”) on August 4, 2025.</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All of the outstanding common stock share numbers (including shares of common stock subject to our options), share prices, exercise prices and per share amounts contained in the financial statements have been retroactively adjusted in the financial statements to reflect this Reverse Stock Split for all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Avenue Capital</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January 7, 2026 (the “Closing Date”), the Company entered into a Loan and Security Agreement (the “Loan and Security Agreement”) and a Supplement to the Loan and Security Agreement (together with the Loan and Security Agreement, the “Loan Agreement”), with Avenue Capital Management II, L.P., as administrative agent and collateral agent (the “Agent”) and Avenue Venture Opportunities Fund II, L.P., as lender (the “Lender”, together with Agent, “Avenue Capital”).</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Loan Agreement makes available to the company term loans in an aggregate principal amount of up to $50.0 million with (i) $15.0 million funded within 5 business days after the Closing Date (“Tranche 1”), (ii) up to $10.0 million to be made available to the company between March 1, 2026 and September 30, 2026, subject to, among other things, the company’s achievement of a key regulatory milestone related to our development of TA-ERT for the treatment of MPS IIIB (“Tranche 2”) and (iii) up to $15.0 million to be made available to the company between September 1, 2026 and March 31, 2027, subject to, among other things, the company’s achievement of an additional key regulatory milestone with respect to our development of TA-ERT for the treatment of MPS IIIB (“Tranche 3”). The Lender may make additional term loans of up to an additional $10.0 million (the “Discretionary Tranche 4” and collectively with Tranche 1, Tranche 2 and Tranche 3, the “Loans”), to be funded between October 1, 2027 and June 30, 2028, subject to, among other things, (i) the company’s achievement of a certain commercial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milestone and (ii) the mutual written agreement of the company and the Lender (upon the Lender’s investment committee approval). The Loans bear interest at an annual rate equal to the greater of (x) the sum of 5.25% plus the prime rate as reported in The Wall Street Journal and (y) 12.25%. The Loans are secured by a lien on and security interest in all of our assets, including intellectual property, subject to agreed exceptions. The maturity date of the Loans is July 1, 2029 (the “Maturity Date”). The Loan Agreement does not contain any minimum cash requirement or other financial covenants. As of the date hereof, $15.0 million has been funded under the Loan Agreement.</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make interest only payments on the Loans until the 12-month anniversary of the Closing Date, subject to (i) a 6-month extension, so long as at least $5.0 million from Tranche 2 has been funded and (ii) an additional 12-month extension if the company achieves the Tranche 3 milestone. The Loan principal is repayable in equal monthly installments from the end of interest only period to the Maturity Date.</w:t>
      </w:r>
    </w:p>
    <w:p>
      <w:pPr>
        <w:spacing w:after="0" w:line="6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may, at our option at any time, prepay the Loans in their entirety by paying the then-outstanding principal balance and all accrued and unpaid interest on the Loans, subject to a prepayment fee equal to (i) 3.0% of the principal amount outstanding if the prepayment occurs on or prior to the first anniversary following the Closing Date, (ii) 2.0% of the principal amount outstanding if the prepayment occurs after the first anniversary following the Closing Date, but on or prior to the second anniversary following the Closing Date, and (iii) 1.0% of the principal amount outstanding if the prepayment occurs after the second anniversary following the Closing Date. We will pay a final payment of 4.00% of the aggregate commitment amounts for Tranche 1, Tranche 2 and Tranche 3, which shall be increased to include the commitment amount of Discretionary Tranche 4 upon the funding of such tranche, on the earlier of (x) the Maturity Date and (y) the date that we prepay all of the outstanding principal amount of the Loans in full. On the Closing Date, we paid to the Lender a commitment fee of $0.4 million.</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covenants, including covenants by the company limiting, among other things, additional indebtedness, liens, guaranties, mergers and consolidations, substantial asset sales, investments and loans, certain corporate changes, transactions with affiliates and fundamental changes. The Loan Agreement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Loan Agreement and (ii) exercise any other right or remedy provided by contract or applicable law, including a foreclosure on our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To date, all of our revenue has been derived from a collaboration and license agreement (the “Kaken License Agreement”) with Kaken Pharmaceutical Co. Ltd. (“Kaken”), pursuant to which we granted Kaken the exclusive right to develop and commercialize tildacerfont for CAH in Japan.</w:t>
      </w:r>
    </w:p>
    <w:p>
      <w:pPr>
        <w:spacing w:after="0" w:line="32"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revenues from the commercial sale of approved products and we do not expect to generate revenues from the commercial sale of our product candidates for at least the foreseeable future, if ever.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classify operating expenses into two main categories: (i) research and development expenses and (ii)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of external and internal expenses incurred in connection with our research activities and development programs.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consisting of:</w:t>
      </w:r>
    </w:p>
    <w:p>
      <w:pPr>
        <w:spacing w:after="0" w:line="117" w:lineRule="exact"/>
        <w:rPr>
          <w:sz w:val="20"/>
          <w:szCs w:val="20"/>
          <w:color w:val="auto"/>
        </w:rPr>
      </w:pPr>
    </w:p>
    <w:p>
      <w:pPr>
        <w:ind w:left="1440" w:right="380" w:hanging="384"/>
        <w:spacing w:after="0" w:line="282" w:lineRule="auto"/>
        <w:tabs>
          <w:tab w:leader="none" w:pos="1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development—expenses associated with clinical research organizations (“CROs”) engaged to manage and conduct clinical trials, in-process research and development and other outside services;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440" w:hanging="384"/>
        <w:spacing w:after="0"/>
        <w:tabs>
          <w:tab w:leader="none" w:pos="14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studies—expenses associated with preclinical studies and clinical pharmacology;</w:t>
      </w:r>
    </w:p>
    <w:p>
      <w:pPr>
        <w:spacing w:after="0" w:line="117" w:lineRule="exact"/>
        <w:rPr>
          <w:rFonts w:ascii="Times New Roman" w:cs="Times New Roman" w:eastAsia="Times New Roman" w:hAnsi="Times New Roman"/>
          <w:sz w:val="18"/>
          <w:szCs w:val="18"/>
          <w:color w:val="auto"/>
        </w:rPr>
      </w:pPr>
    </w:p>
    <w:p>
      <w:pPr>
        <w:ind w:left="1440" w:right="200" w:hanging="384"/>
        <w:spacing w:after="0" w:line="282" w:lineRule="auto"/>
        <w:tabs>
          <w:tab w:leader="none" w:pos="14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manufacturing—expenses associated with contract manufacturing; labeling, packaging, and distribution of clinical trial supplies, and other outside services;</w:t>
      </w:r>
    </w:p>
    <w:p>
      <w:pPr>
        <w:spacing w:after="0" w:line="53" w:lineRule="exact"/>
        <w:rPr>
          <w:rFonts w:ascii="Times New Roman" w:cs="Times New Roman" w:eastAsia="Times New Roman" w:hAnsi="Times New Roman"/>
          <w:sz w:val="18"/>
          <w:szCs w:val="18"/>
          <w:color w:val="auto"/>
        </w:rPr>
      </w:pPr>
    </w:p>
    <w:p>
      <w:pPr>
        <w:ind w:left="1440" w:hanging="384"/>
        <w:spacing w:after="0"/>
        <w:tabs>
          <w:tab w:leader="none" w:pos="14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development—expenses associated with business operations, quality and regulatory compliance;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expenses, consisting of personnel, including expenses for salaries, bonuses, benefits, stock-based compensation, as well as allocation of certain expenses.</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To date, these expenses have been incurred primarily to advance tildacerfont and acquire and develop TA-ERT. These expenses will primarily consist of personnel costs, expenses for the conduct of clinical trials, manufacturing costs for clinical drug supply, and in-process research and development. We expect that significant additional spending will be required to progress TA-ERT through clinical development and potential regulatory approval and advancing our other investigational product candidates through clinical and pre-clinical development.</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statements of operations and comprehensive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LLC (“Nasdaq”) listing rules.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continue to increase in the foreseeable future as additional administrative personnel and services are required to manage these functions of a public company, and as we advance TA-ERT through potential regulatory approval.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incurred and non-cash amortization of debt discount and issuance costs in connection with the debt previously outstanding with Silicon Valley Bank, which we voluntarily prepaid in full on November 3,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fair value of warrants consists of the change in the fair value of the warrant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net primarily consists of interest income earned on our cash and cash equivalents.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Comparisons of the Year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(38,966)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(53,036)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-728345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-728345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-728345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we recognized $4.9 million as collaboration revenue under the Kaken License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research and development expenses for the periods presented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8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Clinical development</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(15,911)</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Manufacturing</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Preclinical studies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Personnel</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and other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(26,896)</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$26.9 million during the year ended December 31, 2025 compared to the year ended December 31, 2024.</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decrease in clinical development expenses of $15.9 million was primarily related to the discontinuation of the tildacerfont CAH development program of $14.0 million. Additionally, there was a decrease in expenses associated with the TA-ERT development program for MPS IIIB of $7.4 million due to lower acquisition related costs and the reduction of certain contingent liabilities resulting from the concluded Allievex bankruptcy proceedings. These decreases in clinical development expenses were offset by the acquisition of SPR202 from HBM Alpha Therapeutics, Inc. for $5.7 million.</w:t>
      </w:r>
    </w:p>
    <w:p>
      <w:pPr>
        <w:spacing w:after="0" w:line="11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decrease in manufacturing expenses of $5.1 million was primarily related to one-time expenses incurred in connection with the TA-ERT development program of $3.5 million and the discontinuation of the tildacerfont CAH development program of $1.5 million.</w:t>
      </w:r>
    </w:p>
    <w:p>
      <w:pPr>
        <w:spacing w:after="0" w:line="8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There was also a decrease in personnel-related expenses of $5.5 million due to a decrease in headcount, including a decrease in stock-based compensation expense of $2.1 million.</w:t>
      </w: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research and development expenses will increase into the foreseeable future as we advance TA-ERT through an anticipated biologics license application in the fourth quarter of 2026 and potential FDA approval.</w:t>
      </w:r>
    </w:p>
    <w:p>
      <w:pPr>
        <w:spacing w:after="0" w:line="9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the terms of our license and purchase agreements, see Note 8 to our financial statements “License and Purchase Agreements” presented elsewhere in this Annual Report.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$2.3 million during the year ended December 31, 2025 compared to the year ended December 31, 2024, primarily due to an increase in professional fees of $3.1 million, driven by patent litigation and other legal costs, offset by a decrease in stock-based compensation expense of $0.7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Interest expense decreased by $0.2 million during the year ended December 31, 2025 compared to the year ended December 31, 2024 due to the decrease in the principal balance on the debt previously outstanding with Silicon Valley Bank year over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warrants of $3.5 million during the year ended December 31, 2025 was due to a loss on the fair value of the warrant liability due to an increase in the fair value of our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Interest and other income, net decreased by $2.3 million during the year ended December 31, 2025 compared to the year ended December 31, 2024, primarily due to a decrease in interest income of $2.3 million primarily due to lower average daily balances earning yield in money market accounts.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anticipate that we will continue to incur net losses for the foreseeable future. As of December 31, 2025, we had an accumulated deficit of $289.2 million. As of December 31, 2025, we had cash and cash equivalents of $48.9 million. Since inception through December 31, 2025, we have raised aggregate gross proceeds of $343.1 million, including $103.5 million from our IPO in October 2020, $116.0 million from the sale of our redeemable convertible preferred stock, $5.0 million from the issuance of debt, $53.6 million from a private placement financing in February 2023, $15.0 million from the Kaken upfront payment received in April 2023, and $50.0 million from a private placement financing in October 2025.</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January 7, 2026, we entered into a Loan Agreement with Avenue Capital, which makes available to us term loans in an aggregate principal amount of up to $50.0 million, subject to the company’s achievement of certain regulatory milestones. As of the date hereof, $15.0 million has been funded under the Loan Agreement.</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Until we can generate sufficient revenue, if ever, to fund our operations, we will need to finance future cash needs through public or private equity offerings, license agreements, debt financings or restructurings, collaborations, strategic alliances and marketing or distribution arrangements, and there can be no assurance that such arrangements will be available to us on a timely basis, or, if available, will be available on terms acceptable to us. Without alternative financing or proceeds from other strategic alternatives, we believe, based on our current operating plan, that our cash and cash equivalents as of December 31, 2025 and gross proceeds received in January 2026 under the Loan Agreement with Avenue Capital will be insufficient to fund our operations for at least 12 months following the issuance date of our financial statements included elsewhere in this Annual Report. These conditions raise substantial doubt about our ability to continue as a going concern.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product revenue. We do not expect to generate any meaningful revenue unless and until we obtain regulatory approval and commercialize TA-ERT or any other current or future product candidates, and we do not know when, or if at all, that will occur. We will continue to require additional capital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develop TA-ERT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5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and obtain regulatory approval for, TA-ERT or any of our other current or future product candidates. We expect our research and development expenses to increase significantly in the foreseeable future as we continue to invest in activities related to the clinical development and commercialization of TA-ERT and as we pursue regulatory approval of TA-ERT for the treatment of MPS IIIB. The process of conducting the necessary clinical research to obtain regulatory approval is costly and time-consuming, and we may never succeed in achieving regulatory approval for TA-ERT in patients with MPS IIIB.</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seek to raise capital through equity or debt financings, collaborative agreements, potentially including agreements to out-license rights to develop and commercialize TA-ERT,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75"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of, and timing of our ongoing and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clinical and commercial supplies, and sales, marketing, and distribution capabilities;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favorable out-licensing agreements for the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and product candidates and other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product candidates and any future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disruptions to and volatility in the credit and financial markets in the United States and worldwide from geopolitical and macroeconomic events, including global trade disputes, labor shortages, declines in consumer confidence, inflation and monetary supply shifts, recession risks,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tariffs and related legal challenges, and the ongoing wars in Ukraine and the Middle East and related sanctions.</w:t>
      </w:r>
    </w:p>
    <w:p>
      <w:pPr>
        <w:spacing w:after="0" w:line="11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global trade disputes, labor shortages, declines in consumer confidence, inflation and monetary supply shifts, recession risks, potential disruptions from the wars in Ukraine and the Middle East and related sanctions, declines in economic growth, tariffs and related legal challenges, and uncertainty about economic stability. If the equity and credit markets continue to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our product candidates or other research and development initiatives. We also could be required to seek collaborators for our product candidates and any future product candidates at an earlier stage than otherwise would be desirable or on terms that are less favorable than might otherwise be available or relinquish or license on unfavorable terms our rights to our product candidates and any future product candidates in markets where we otherwise would seek to pursue development or commercialization ourselves.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development efforts.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you that we will ever be profitable or generate positive cash flow from operating activities.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total undiscounted lease payments for our non-cancelable operating lease for office space, which terminates in February 2028 unless renewed, was $0.8 million. On January 7, 2026, we entered into the Loan Agreement with Avenue Capital, which makes available to us term loans in an aggregate principal amount of up to $50.0 million, subject to the company’s achievement of certain regulatory milestones. As of the date hereof, $15.0 million has been funded under the Loan Agreement.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except for certain contracts with contract manufacturing organizations containing minimum purchase obligations. Payments due upon cancellation consist only of payments for services provided or expenses incurred, including noncancelable obligations of our service providers, up to the date of cancellation.</w:t>
      </w:r>
    </w:p>
    <w:p>
      <w:pPr>
        <w:spacing w:after="0" w:line="75"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We have also entered into license and collaboration agreements under which we are obligated to make aggregate milestone payments upon the achievement of specified milestones as well as royalty payments. As of December 31, 2025, we were unable to estimate the timing or likelihood of achieving these milestones or generating future product sales. For a description of the terms of our license and collaboration agreements, see “Item 1. Business — License and Collaboration Agreements” above.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Statements of Cash Flows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the periods presented below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11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(33,327)</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(55,964)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(1,622)</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6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increase (decrease) in cash, cash equivalents,</w:t>
            </w: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24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(57,586)</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60" w:type="dxa"/>
            <w:vAlign w:val="bottom"/>
            <w:shd w:val="clear" w:color="auto" w:fill="CFF0FC"/>
          </w:tcPr>
          <w:p>
            <w:pPr>
              <w:ind w:left="220"/>
              <w:spacing w:after="0" w:line="194" w:lineRule="exact"/>
              <w:rPr>
                <w:sz w:val="20"/>
                <w:szCs w:val="20"/>
                <w:color w:val="auto"/>
              </w:rPr>
            </w:pPr>
            <w:r>
              <w:rPr>
                <w:rFonts w:ascii="Times New Roman" w:cs="Times New Roman" w:eastAsia="Times New Roman" w:hAnsi="Times New Roman"/>
                <w:sz w:val="18"/>
                <w:szCs w:val="18"/>
                <w:color w:val="auto"/>
              </w:rPr>
              <w:t>and restricted cash</w:t>
            </w:r>
          </w:p>
        </w:tc>
        <w:tc>
          <w:tcPr>
            <w:tcW w:w="32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-25400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decreased by $22.6 million during the year ended December 31, 2025 compared to the year ended December 31, 2024 primarily due to lower payments driven by decreased clinical development activities offset by payments made for asset acquisitions of $7.4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$43.5 million, consisting primarily of net proceeds from a private placement financing in October 2025 of $46.6 million offset by payments on the debt previously outstanding with Silicon Valley Bank of $2.1 million.</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was $1.6 million, consisting primarily of principal payments on the debt previously outstanding with Silicon Valley Bank of $1.6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operate and manage our business as one operating segment, which is the business of developing and commercializing novel therapies for serious neurological disorders with significant unmet medical need.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about future events that affect the amounts reported in the financial statements and accompanying notes. Future events and their effects cannot be determined with certainty; therefore, the determination of estimates requires the exercise of judgment. We believe our judgments related to these accounting estimates are appropriate. However, if different assumptions or conditions were to prevail, the results could be materially different from the amounts recorded. We have determined that we have no critical accounting estimates material to our financial position, results of operations or cash flow related to our financial statements included in this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cash and cash equivalents as of December 31, 2025 consisted of $48.9 million in bank deposits and money market funds. Previously, we have held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and cash equivalents do not contain excessive risk, we cannot provide absolute assurance that in the future our investments will not be subject to adverse changes in market value. Additionally, the interest rates for our loans are variable.</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a hypothetical 1% change in interest rates would not have had a material effect on our financial statements. We do not currently engage in hedging transactions to manage our exposure to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inflation due to geopolitical and macroeconomic uncertainties, as of December 31, 2025, we do not expect anticipated changes in inflation to have a material effect on our business, financial condition or results of operations for future reporting periods.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8380" w:type="dxa"/>
            <w:vAlign w:val="bottom"/>
            <w:gridSpan w:val="6"/>
          </w:tcPr>
          <w:p>
            <w:pPr>
              <w:spacing w:after="0"/>
              <w:rPr>
                <w:sz w:val="17"/>
                <w:szCs w:val="17"/>
                <w:color w:val="auto"/>
              </w:rPr>
            </w:pPr>
          </w:p>
        </w:tc>
        <w:tc>
          <w:tcPr>
            <w:tcW w:w="1540" w:type="dxa"/>
            <w:vAlign w:val="bottom"/>
          </w:tcPr>
          <w:p>
            <w:pPr>
              <w:spacing w:after="0"/>
              <w:rPr>
                <w:sz w:val="17"/>
                <w:szCs w:val="17"/>
                <w:color w:val="auto"/>
              </w:rPr>
            </w:pPr>
          </w:p>
        </w:tc>
      </w:tr>
      <w:tr>
        <w:trPr>
          <w:trHeight w:val="993"/>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8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540" w:type="dxa"/>
            <w:vAlign w:val="bottom"/>
          </w:tcPr>
          <w:p>
            <w:pPr>
              <w:spacing w:after="0"/>
              <w:rPr>
                <w:sz w:val="24"/>
                <w:szCs w:val="24"/>
                <w:color w:val="auto"/>
              </w:rPr>
            </w:pPr>
          </w:p>
        </w:tc>
      </w:tr>
      <w:tr>
        <w:trPr>
          <w:trHeight w:val="432"/>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P.C., San Jose, California, PCAOB ID #243)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12"/>
        </w:trPr>
        <w:tc>
          <w:tcPr>
            <w:tcW w:w="42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Balance Sheets</w:t>
            </w:r>
          </w:p>
        </w:tc>
        <w:tc>
          <w:tcPr>
            <w:tcW w:w="54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112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3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w:t>
            </w:r>
          </w:p>
        </w:tc>
        <w:tc>
          <w:tcPr>
            <w:tcW w:w="6000" w:type="dxa"/>
            <w:vAlign w:val="bottom"/>
            <w:gridSpan w:val="2"/>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12"/>
        </w:trPr>
        <w:tc>
          <w:tcPr>
            <w:tcW w:w="2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Statements of Stockholders’ Equity</w:t>
            </w:r>
          </w:p>
        </w:tc>
        <w:tc>
          <w:tcPr>
            <w:tcW w:w="7100" w:type="dxa"/>
            <w:vAlign w:val="bottom"/>
            <w:gridSpan w:val="3"/>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12"/>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Statements of Cash Flows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192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2"/>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884"/>
        </w:trPr>
        <w:tc>
          <w:tcPr>
            <w:tcW w:w="2160" w:type="dxa"/>
            <w:vAlign w:val="bottom"/>
            <w:tcBorders>
              <w:top w:val="single" w:sz="8" w:color="0000FF"/>
            </w:tcBorders>
            <w:gridSpan w:val="5"/>
          </w:tcPr>
          <w:p>
            <w:pPr>
              <w:spacing w:after="0"/>
              <w:rPr>
                <w:sz w:val="24"/>
                <w:szCs w:val="24"/>
                <w:color w:val="auto"/>
              </w:rPr>
            </w:pPr>
          </w:p>
        </w:tc>
        <w:tc>
          <w:tcPr>
            <w:tcW w:w="7540" w:type="dxa"/>
            <w:vAlign w:val="bottom"/>
            <w:gridSpan w:val="4"/>
          </w:tcPr>
          <w:p>
            <w:pPr>
              <w:jc w:val="right"/>
              <w:ind w:right="3890"/>
              <w:spacing w:after="0"/>
              <w:rPr>
                <w:sz w:val="20"/>
                <w:szCs w:val="20"/>
                <w:color w:val="auto"/>
              </w:rPr>
            </w:pPr>
            <w:r>
              <w:rPr>
                <w:rFonts w:ascii="Times New Roman" w:cs="Times New Roman" w:eastAsia="Times New Roman" w:hAnsi="Times New Roman"/>
                <w:sz w:val="18"/>
                <w:szCs w:val="18"/>
                <w:color w:val="auto"/>
              </w:rPr>
              <w:t>99</w:t>
            </w:r>
          </w:p>
        </w:tc>
        <w:tc>
          <w:tcPr>
            <w:tcW w:w="154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Spruce Biosciences,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Spruce Biosciences, Inc. (the “Company”) as of December 31, 2025 and 2024, the related statements of operations and comprehensive loss, stockholders’ equity, and cash flows for each of years then ended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incurred significant losses and negative cash flows from operations and does not expect positive cash flows from operations in the foreseeable future,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and Valuation of Pre-Funded Warrants Issued with HBM License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Notes 3 and 8 to the financial statements, in January 2025, the Company issued pre-funded warrants that in total will be equal to 4.99% of the Company’s outstanding common stock as of the date of exercise of the pre-funded warrants. The pre-funded warrants are recorded at fair value as a liability with the initial expense being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recognized as research and development and changes in the fair value of the warrant liability are included in the statement of operations and comprehensive loss.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classification and valuation of the pre-funded warrants issued with the HBM License Agreement as a critical audit matter. Our principal considerations included the existence of accounting complexities related to certain provisions of the warrant agreement, including settlement provisions. Auditing these elements involved especially complex auditor judgment due to the terms of the applicable agreements, including the extent of specialized knowledge and skills needed.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760" w:right="2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knowledge and skills in technical accounting to assist in: (i) evaluating the terms of the warrant agreements in relation to the relevant accounting literature, and (ii) assessing the appropriateness of conclusions reached by the Company.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estimate of fair value using alternative assumptions and comparing to the fair value estimates recorded by management.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8"/>
                <w:szCs w:val="18"/>
                <w:color w:val="auto"/>
              </w:rPr>
            </w:pPr>
          </w:p>
        </w:tc>
      </w:tr>
      <w:tr>
        <w:trPr>
          <w:trHeight w:val="216"/>
        </w:trPr>
        <w:tc>
          <w:tcPr>
            <w:tcW w:w="6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Right-of-use assets</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r>
      <w:tr>
        <w:trPr>
          <w:trHeight w:val="250"/>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45,209</w:t>
            </w:r>
          </w:p>
        </w:tc>
        <w:tc>
          <w:tcPr>
            <w:tcW w:w="100" w:type="dxa"/>
            <w:vAlign w:val="bottom"/>
            <w:shd w:val="clear" w:color="auto" w:fill="CFF0FC"/>
          </w:tcPr>
          <w:p>
            <w:pPr>
              <w:spacing w:after="0"/>
              <w:rPr>
                <w:sz w:val="21"/>
                <w:szCs w:val="21"/>
                <w:color w:val="auto"/>
              </w:rPr>
            </w:pPr>
          </w:p>
        </w:tc>
      </w:tr>
      <w:tr>
        <w:trPr>
          <w:trHeight w:val="196"/>
        </w:trPr>
        <w:tc>
          <w:tcPr>
            <w:tcW w:w="6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8"/>
                <w:szCs w:val="18"/>
                <w:color w:val="auto"/>
              </w:rPr>
            </w:pPr>
          </w:p>
        </w:tc>
      </w:tr>
      <w:tr>
        <w:trPr>
          <w:trHeight w:val="209"/>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2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r>
      <w:tr>
        <w:trPr>
          <w:trHeight w:val="250"/>
        </w:trPr>
        <w:tc>
          <w:tcPr>
            <w:tcW w:w="66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7)</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Stockholders’ equity:</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and</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shares issued or outstanding as of December 31, 2025 and 2024</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as of</w:t>
            </w:r>
          </w:p>
        </w:tc>
        <w:tc>
          <w:tcPr>
            <w:tcW w:w="1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December 31, 2025 and 2024; 1,372,043 and 563,042 shares issued and</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1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331,750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279,089</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(289,234)</w:t>
            </w:r>
          </w:p>
        </w:tc>
        <w:tc>
          <w:tcPr>
            <w:tcW w:w="4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(250,268)</w:t>
            </w:r>
          </w:p>
        </w:tc>
      </w:tr>
      <w:tr>
        <w:trPr>
          <w:trHeight w:val="210"/>
        </w:trPr>
        <w:tc>
          <w:tcPr>
            <w:tcW w:w="662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42,516</w:t>
            </w: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28,821</w:t>
            </w:r>
          </w:p>
        </w:tc>
        <w:tc>
          <w:tcPr>
            <w:tcW w:w="100" w:type="dxa"/>
            <w:vAlign w:val="bottom"/>
            <w:tcBorders>
              <w:top w:val="single" w:sz="8" w:color="CFF0FC"/>
            </w:tcBorders>
          </w:tcPr>
          <w:p>
            <w:pPr>
              <w:spacing w:after="0"/>
              <w:rPr>
                <w:sz w:val="18"/>
                <w:szCs w:val="18"/>
                <w:color w:val="auto"/>
              </w:rPr>
            </w:pPr>
          </w:p>
        </w:tc>
      </w:tr>
      <w:tr>
        <w:trPr>
          <w:trHeight w:val="230"/>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45,209</w:t>
            </w:r>
          </w:p>
        </w:tc>
        <w:tc>
          <w:tcPr>
            <w:tcW w:w="100" w:type="dxa"/>
            <w:vAlign w:val="bottom"/>
            <w:shd w:val="clear" w:color="auto" w:fill="CFF0FC"/>
          </w:tcPr>
          <w:p>
            <w:pPr>
              <w:spacing w:after="0"/>
              <w:rPr>
                <w:sz w:val="19"/>
                <w:szCs w:val="19"/>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-3557270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-3557270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-2990850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-2973705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-1576705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-1559560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66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2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(36,513)</w:t>
            </w:r>
          </w:p>
        </w:tc>
        <w:tc>
          <w:tcPr>
            <w:tcW w:w="7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(56,151)</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7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w:t>
            </w:r>
          </w:p>
        </w:tc>
        <w:tc>
          <w:tcPr>
            <w:tcW w:w="7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5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(38,966)</w:t>
            </w:r>
          </w:p>
        </w:tc>
        <w:tc>
          <w:tcPr>
            <w:tcW w:w="7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(53,036)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(50.83)</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(96.40)</w:t>
            </w:r>
          </w:p>
        </w:tc>
        <w:tc>
          <w:tcPr>
            <w:tcW w:w="0" w:type="dxa"/>
            <w:vAlign w:val="bottom"/>
          </w:tcPr>
          <w:p>
            <w:pPr>
              <w:spacing w:after="0"/>
              <w:rPr>
                <w:sz w:val="1"/>
                <w:szCs w:val="1"/>
                <w:color w:val="auto"/>
              </w:rPr>
            </w:pPr>
          </w:p>
        </w:tc>
      </w:tr>
      <w:tr>
        <w:trPr>
          <w:trHeight w:val="178"/>
        </w:trPr>
        <w:tc>
          <w:tcPr>
            <w:tcW w:w="55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540" w:type="dxa"/>
            <w:vAlign w:val="bottom"/>
            <w:tcBorders>
              <w:top w:val="single" w:sz="8" w:color="CFF0F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766,598</w:t>
            </w:r>
          </w:p>
        </w:tc>
        <w:tc>
          <w:tcPr>
            <w:tcW w:w="280" w:type="dxa"/>
            <w:vAlign w:val="bottom"/>
            <w:tcBorders>
              <w:top w:val="single" w:sz="8" w:color="CFF0FC"/>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550,146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5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15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-1148080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-590550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-299720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-281940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5"/>
        </w:trPr>
        <w:tc>
          <w:tcPr>
            <w:tcW w:w="4580" w:type="dxa"/>
            <w:vAlign w:val="bottom"/>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6"/>
        </w:trPr>
        <w:tc>
          <w:tcPr>
            <w:tcW w:w="4580" w:type="dxa"/>
            <w:vAlign w:val="bottom"/>
          </w:tcPr>
          <w:p>
            <w:pPr>
              <w:spacing w:after="0"/>
              <w:rPr>
                <w:sz w:val="17"/>
                <w:szCs w:val="17"/>
                <w:color w:val="auto"/>
              </w:rPr>
            </w:pPr>
          </w:p>
        </w:tc>
        <w:tc>
          <w:tcPr>
            <w:tcW w:w="12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547,019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273,741</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(197,232)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76,509</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0"/>
                <w:szCs w:val="20"/>
                <w:color w:val="auto"/>
              </w:rPr>
            </w:pPr>
          </w:p>
        </w:tc>
      </w:tr>
      <w:tr>
        <w:trPr>
          <w:trHeight w:val="198"/>
        </w:trPr>
        <w:tc>
          <w:tcPr>
            <w:tcW w:w="45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 withholdings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(53,036)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(53,036)</w:t>
            </w:r>
          </w:p>
        </w:tc>
      </w:tr>
      <w:tr>
        <w:trPr>
          <w:trHeight w:val="20"/>
        </w:trPr>
        <w:tc>
          <w:tcPr>
            <w:tcW w:w="45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563,042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(250,268)</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28,821</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0"/>
                <w:szCs w:val="20"/>
                <w:color w:val="auto"/>
              </w:rPr>
            </w:pPr>
          </w:p>
        </w:tc>
      </w:tr>
      <w:tr>
        <w:trPr>
          <w:trHeight w:val="198"/>
        </w:trPr>
        <w:tc>
          <w:tcPr>
            <w:tcW w:w="45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 withholdings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(831)</w:t>
            </w:r>
          </w:p>
        </w:tc>
      </w:tr>
      <w:tr>
        <w:trPr>
          <w:trHeight w:val="198"/>
        </w:trPr>
        <w:tc>
          <w:tcPr>
            <w:tcW w:w="45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of offering costs of $3,400</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502,181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46,600</w:t>
            </w:r>
          </w:p>
        </w:tc>
        <w:tc>
          <w:tcPr>
            <w:tcW w:w="100" w:type="dxa"/>
            <w:vAlign w:val="bottom"/>
            <w:shd w:val="clear" w:color="auto" w:fill="CFF0FC"/>
          </w:tcPr>
          <w:p>
            <w:pPr>
              <w:spacing w:after="0"/>
              <w:rPr>
                <w:sz w:val="20"/>
                <w:szCs w:val="20"/>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(38,966)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(38,966)</w:t>
            </w:r>
          </w:p>
        </w:tc>
      </w:tr>
      <w:tr>
        <w:trPr>
          <w:trHeight w:val="20"/>
        </w:trPr>
        <w:tc>
          <w:tcPr>
            <w:tcW w:w="45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1,372,043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331,750</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(289,234)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42,516</w:t>
            </w:r>
          </w:p>
        </w:tc>
        <w:tc>
          <w:tcPr>
            <w:tcW w:w="10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-24765</wp:posOffset>
            </wp:positionV>
            <wp:extent cx="768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600" w:type="dxa"/>
            <w:vAlign w:val="bottom"/>
          </w:tcPr>
          <w:p>
            <w:pPr>
              <w:spacing w:after="0"/>
              <w:rPr>
                <w:sz w:val="17"/>
                <w:szCs w:val="17"/>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8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(38,966)</w:t>
            </w: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(53,036)</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(2,037)</w:t>
            </w:r>
          </w:p>
        </w:tc>
      </w:tr>
      <w:tr>
        <w:trPr>
          <w:trHeight w:val="216"/>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(2,271)</w:t>
            </w: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r>
      <w:tr>
        <w:trPr>
          <w:trHeight w:val="216"/>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r>
      <w:tr>
        <w:trPr>
          <w:trHeight w:val="20"/>
        </w:trPr>
        <w:tc>
          <w:tcPr>
            <w:tcW w:w="66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(33,327)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(55,964)</w:t>
            </w: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8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related to</w:t>
            </w:r>
          </w:p>
        </w:tc>
        <w:tc>
          <w:tcPr>
            <w:tcW w:w="1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20"/>
                <w:szCs w:val="20"/>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and equity offering costs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term loan</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withholding payments on restricted stock units</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r>
      <w:tr>
        <w:trPr>
          <w:trHeight w:val="20"/>
        </w:trPr>
        <w:tc>
          <w:tcPr>
            <w:tcW w:w="6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r>
      <w:tr>
        <w:trPr>
          <w:trHeight w:val="20"/>
        </w:trPr>
        <w:tc>
          <w:tcPr>
            <w:tcW w:w="66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(57,586)</w:t>
            </w: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8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38,788</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18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long-term (included in other assets)</w:t>
            </w:r>
          </w:p>
        </w:tc>
        <w:tc>
          <w:tcPr>
            <w:tcW w:w="1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8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38,788</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 on term loan</w:t>
            </w:r>
          </w:p>
        </w:tc>
        <w:tc>
          <w:tcPr>
            <w:tcW w:w="2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other current liabilities</w:t>
            </w:r>
          </w:p>
        </w:tc>
        <w:tc>
          <w:tcPr>
            <w:tcW w:w="21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0"/>
                <w:szCs w:val="20"/>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-3531235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-1996440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-1713865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-993775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Spruce Biosciences, Inc. (the “Company”) is a late-stage biopharmaceutical company focused on developing and commercializing novel therapies for neurological disorders with significant unmet medical need. The Company is located in South San Francisco, California and was incorporated in the state of Delaware in April 2016.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Effective April 29, 2025, the Company’s common stock was delisted from Nasdaq as a result of the Company’s ongoing failure to comply with the minimum bid price requirement under Nasdaq. As a result, the Company’s common stock began trading publicly on the over-the-counter market on April 29, 2025 under its symbol “SPRB”.</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Subsequently, the Company effected a one-for-seventy-five (1:75) reverse stock split of its outstanding common stock (the “Reverse Stock Split”). The Company's </w:t>
      </w:r>
      <w:r>
        <w:rPr>
          <w:rFonts w:ascii="Times New Roman" w:cs="Times New Roman" w:eastAsia="Times New Roman" w:hAnsi="Times New Roman"/>
          <w:sz w:val="18"/>
          <w:szCs w:val="18"/>
          <w:color w:val="231F20"/>
        </w:rPr>
        <w:t>common stock began trading on the OTCQB on a split-adjusted basis on August 7, 2025 (the “Split Effective Date”) under the ticker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symbol “SPRBD”. The Company’s common stock resumed trading on the Nasdaq Capital Market on September 15, 2025 under the ticker symbol </w:t>
      </w:r>
      <w:r>
        <w:rPr>
          <w:rFonts w:ascii="Times New Roman" w:cs="Times New Roman" w:eastAsia="Times New Roman" w:hAnsi="Times New Roman"/>
          <w:sz w:val="18"/>
          <w:szCs w:val="18"/>
          <w:color w:val="000000"/>
        </w:rPr>
        <w:t>“SPRB”.</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the Split Effective Date, every 75 shares of the Company’s issued and outstanding common stock were automatically converted into one issued and outstanding share of common stock, without any change in authorized common stock or par value per share. The Reverse Stock Split affected all shares of the Company’s common stock outstanding immediately prior to the effective time of the Reverse Stock Split, as well as the number of shares of common stock available for issuance under the Company’s equity incentive plans and employee stock purchase plan. In addition, the Reverse Stock Split effected a reduction in the number of shares of common stock issuable upon the exercise of warrants, stock options and restricted stock units outstanding immediately prior to the effectiveness of the Reverse Stock Split with a corresponding increase in the exercise price per share applicable to such warrants and stock options. No fractional shares were issued because of the Reverse Stock Split. Stockholders who were otherwise entitled to receive a fractional share received a cash payment in lieu thereof.</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All of the outstanding common stock share numbers (including shares of common stock subject to the Company’s options), share prices, exercise prices and per share amounts contained in the financial statements have been retroactively adjusted in the financial statements to reflect this Reverse Stock Split for all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 Common Stock and Pre-Funded Warrants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On October 7, 2025, the Company entered into a Securities Purchase Agreement with certain institutional investors to sell and issue (i) 502,181 shares of the Company’s common stock and (ii) pre-funded warrants to purchase up to 233,144 shares of the Company’s common stock in a private placement transaction, which were exercised in full by December 31, 2025. The purchase price per share of common stock was $68.00 per share and the purchase price for the pre-funded warrants was $67.99. The private placement transaction closed on October 9, 2025. The total gross proceeds to the Company were $50.0 million, before deducting placement agent fees and other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in Force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April 21, 2025, the Company effected a workforce reduction of 55% to prioritize development and potential accelerated approval of tralesinidase alfa enzyme replacement therapy (“TA-ERT”) for the treatment of Sanfilippo Syndrome Type B (“MPS IIIB”). The workforce reduction was effective immediately, with a termination date of May 2, 2025 for affected individuals. During the year ended December 31, 2025, the Company incurred total operating expenses of $0.9 million in connection with the workforce reduction, consisting of expenses related to severance payments and healthcare coverage assistance and related costs. Of the total expense, $0.8 million was included in research and development expenses and $0.1 million in general and administrative expenses on the statement of operations and comprehensive loss during the year ended December 31, 2025. The workforce reduction was completed as of June 30,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During the year ended December 31, 2025,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a net loss of $39.0 million and used $33.3 million of cash in operations. As of December 31, 2025, the Company had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 million and does not expect positive cash flows from operations in the foreseeable future. The Company has funded its operations primarily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and sale of equity securities, debt and collaboration revenue.</w:t>
      </w:r>
    </w:p>
    <w:p>
      <w:pPr>
        <w:spacing w:after="0" w:line="9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assumes the realization of assets and satisfaction of liabilities and commitments in the normal course of business. Without alternative financing or proceeds from other strategic alternatives, the Company believes that based on its current operating plan, its cash and cash equivalents of $48.9 million as of December 31, 2025 and gross proceeds of $15.0 million received in January 2026 under the Loan Agreement with Avenue Capital (see Note 15), will be insufficient to fund its planned operations and debt obligations for at least 12 months following the issuance date of these financial statements. The Company’s ability to continue as a going concern will require the Company to raise additional capital to fund the Company's operations and there can be no assurance that additional financing will be available to the Company or that such financing, if available, will be available on terms acceptable to the Company. Accordingly, there is substantial doubt about the Company’s ability to continue as a going concern for at least 12 months following the issuance date of these financial statements.</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order to meet these additional cash requirements, the Company may seek to out-license rights to develop and commercialize its investigational product candidates or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financial condition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The financial statements and accompanying notes have been prepared in accordance with generally accepted accounting principles in the United States (“U.S. GAAP”) and include all adjustments necessary for the fair presentation of the Company’s financial position for the periods presented.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stock-based compensation, and uncertain tax positions. The Company bases its estimates on its historical experience and on assumptions that it believes are reasonable; however, actual results could significantly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Any product candidates developed by the Company will require approvals from the U.S. Food and Drug Administration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late-stage biopharmaceutical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spacing w:after="0" w:line="72"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Global economic and business activities continue to face widespread macroeconomic and geopolitical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and related legal challenges, the recent U.S. government shutdown and uncertainty about economic stability.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developing and commercializing novel therapies for serious neurological and disorders with significant unmet medical need. The Company’s chief executive officer, who is the chief operating decision maker (“CODM”), reviews financial information on an aggregate basis for allocating and evaluating financial performance. All long-lived assets are maintained in the United States of America.</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Company's prior year segment revenue is derived from a collaboration and license agreement with Kaken Pharmaceutical Co, Ltd. The CODM assesses performance and decides how to allocate resources based on net loss. Net loss is used to monitor budget versus actual results. The measure of segment revenue, segment net loss and segment expenses is reported on the statement of operations. The measure of segment assets is reported on the balance sheet as total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remaining maturities at the date of purchase of three months or less to be cash equivalents. Cash equivalents, which consist of amounts invested in money market funds, are stated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restricted cash is related to collateralized cash in connection with letters of credit issued on behalf of the Company for the security deposit required under an operating lease. Restricted cash is included in other assets on the balance sheets and is included in the reconciliation of cash, cash equivalents, and restricted cash on the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financial assets and liabilities using the fair value hierarchy that describes three levels of inputs that may be used to measure fair value, as follows:</w:t>
      </w:r>
    </w:p>
    <w:p>
      <w:pPr>
        <w:spacing w:after="0" w:line="54"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Company’s financial instruments primarily consist of cash and cash equivalents, prepaid expenses, accounts payable, warrant liability and accrued expenses. The carrying value of cash and cash equivalents, prepaid expenses, accounts payable and accrued expenses are generally considered to be representative of their respective fair values because of the short-term nature of those instruments. The estimated fair value of the warrant liability was based on the </w:t>
      </w:r>
      <w:r>
        <w:rPr>
          <w:rFonts w:ascii="Times New Roman" w:cs="Times New Roman" w:eastAsia="Times New Roman" w:hAnsi="Times New Roman"/>
          <w:sz w:val="18"/>
          <w:szCs w:val="18"/>
          <w:color w:val="231F20"/>
        </w:rPr>
        <w:t>Black-Scholes option pricing model</w:t>
      </w:r>
      <w:r>
        <w:rPr>
          <w:rFonts w:ascii="Times New Roman" w:cs="Times New Roman" w:eastAsia="Times New Roman" w:hAnsi="Times New Roman"/>
          <w:sz w:val="18"/>
          <w:szCs w:val="18"/>
          <w:color w:val="auto"/>
        </w:rPr>
        <w:t>, which was considered a Level 3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Right-of-use assets and lease liabilities are recognized based on the present value of the future minimum lease payments over the lease term at the commencement date. The right-of-use asset includes any lease payments made on or before the lease commencement date, less lease incentives received. The incremental borrowing rate is used in determining the present value of future payments. The Company utilizes its incremental borrowing rate, which is the rate incurred to borrow on a collateralized basis over a similar term an amount equal to the lease payments in a similar economic environment. The lease terms may include options to extend or terminate the lease. Lease expense for operating leases is recognized on a straight-line basis over the non-cancelable lease term. Variable lease expense relates primarily to office lease common area maintenance, insurance, and property taxes, is expensed as incurred, and is excluded from the calculation of the lease liability and right-of-use-asset.</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has elected not to recognize a right-of-use asset and lease liability for short-term leases. A short-term lease is a lease with an expected lease term of 12 months or less and which does not include an option to purchase the underlying asset that the lessee is reasonably certain to exercise. Lease agreements that include lease and non-lease components are accounted for as a single lease component.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are included in other assets on the balance sheets. Depreciation expense is calculated using the straight-line method over the estimated useful life of the respective asset and begins at the time the asset is placed into service. Maintenance and repairs are charged to expense as incurred, and improvements are capitalized.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useful lives of property and equipment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532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3 years</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3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3 years</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32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5 years</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machinery and equipment</w:t>
            </w:r>
          </w:p>
        </w:tc>
        <w:tc>
          <w:tcPr>
            <w:tcW w:w="53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7 years</w:t>
            </w:r>
          </w:p>
        </w:tc>
        <w:tc>
          <w:tcPr>
            <w:tcW w:w="1120" w:type="dxa"/>
            <w:vAlign w:val="bottom"/>
          </w:tcPr>
          <w:p>
            <w:pPr>
              <w:spacing w:after="0"/>
              <w:rPr>
                <w:sz w:val="20"/>
                <w:szCs w:val="20"/>
                <w:color w:val="auto"/>
              </w:rPr>
            </w:pPr>
          </w:p>
        </w:tc>
      </w:tr>
      <w:tr>
        <w:trPr>
          <w:trHeight w:val="846"/>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Research and Development Expenses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Clinical trial costs are charged to research and development expense as incurred. The Company accrues for expenses resulting from contracts with clinical research organizations (“CROs”),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The Company’s policy is to reflect the appropriate expense in the financial statements by matching the appropriate expenses with the period in which services and efforts are expended.</w:t>
      </w:r>
    </w:p>
    <w:p>
      <w:pPr>
        <w:spacing w:after="0" w:line="7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CRO contracts generally include pass-through fees including, but not limited to, regulatory expenses, investigator fees, laboratory fees and other miscellaneous costs. The Company determines accrual estimates through reports from and discussion with clinical personnel and outside service providers as to the progress or state of completion of trials, or the services completed. The Company estimates accrued expenses as of each balance sheet date based on the facts and circumstances known at that time. The clinical trial accrual is dependent, in part, upon the receipt of timely and accurate reporting from the CROs and other third-party vendors.</w:t>
      </w:r>
    </w:p>
    <w:p>
      <w:pPr>
        <w:spacing w:after="0" w:line="75"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If the actual timing of the performance of services or the level of effort varies from the original estimates, the Company will adjust the accrual accordingly. Payments associated with licensing agreements to acquire exclusive licenses to develop, use, manufacture and commercialize products that have not reached technological feasibility and do not have alternate commercial use are expensed as incurred. Payments made to third parties under these arrangements in advance of the performance of the related services by the third parties are recorded as prepaid expenses until the services are rendered.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revenues when, or as, the promised goods or services are transferred to customers in an amount that reflects the consideration to which the Company expects to be entitled in exchange for those services. To determine revenue recognition for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performance obligation(s) are satisfied.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previously entered into a licensing and collaboration agreement that primarily included the following: (i) upfront cash consideration;</w:t>
      </w:r>
    </w:p>
    <w:p>
      <w:pPr>
        <w:spacing w:after="0" w:line="27" w:lineRule="exact"/>
        <w:rPr>
          <w:sz w:val="20"/>
          <w:szCs w:val="20"/>
          <w:color w:val="auto"/>
        </w:rPr>
      </w:pPr>
    </w:p>
    <w:p>
      <w:pPr>
        <w:ind w:right="60" w:firstLine="8"/>
        <w:spacing w:after="0" w:line="255" w:lineRule="auto"/>
        <w:tabs>
          <w:tab w:leader="none" w:pos="2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associated with achieving certain milestones; and (iii) royalties based on specified percentages of net product sales, if any. At the initiation of an agreement, the Company analyzes each unit of account within the contract to determine if the counterparty is a customer in the context of the unit of account.</w:t>
      </w:r>
    </w:p>
    <w:p>
      <w:pPr>
        <w:spacing w:after="0" w:line="78"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and enforceable in a contract with a customer and identifies those distinct goods and services that represent a performance obligation. If a promised good or service is not distinct, the Company combines that good or service with other promised goods or services until it identifies a bundle of goods or services that is distinct. Promised goods and services that are not material in the context of the contract are not considered performance obligations. Additional goods or services that are exercisable at a customer’s discretion are assessed to determine if they provide a material right to the customer and if so, they are considered performance obligations.</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promised goods or services to a customer. The consideration promised in a contract with a customer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may include fixed amounts, variable amounts, or both. Non-refundable upfront payments are considered fixed consideration and included in the transaction price. At the inception of arrangements that include variable consideration, the Company uses judgment to estimate the amount of variable consideration to include in the transaction price using the most likely method. If it is probable that a significant revenue reversal will not occur, then the estimated amount is included in the transaction price. Milestone payments that are not within the Company’s or the licensee’s control, such as regulatory approvals, are not included in the transaction price until those approvals are received.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At the end of each reporting period, the Company re-evaluates the estimated variable consideration included in the transaction price and any related constraint and, as necessary, adjusts the estimate of the overall transaction price. Any adjustments will be recorded on a cumulative catch-up basis, which would affect revenues and earnings in the period of adjustment.</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it is determined that multiple performance obligations exist, the transaction price is allocated at the inception of the agreement to all identified performance obligations based on the relative standalone selling prices, unless the consideration is variable and meets the criteria to be allocated entirely to one or more, but not all, performance obligations in the contract. Other components of the transaction price are allocated based on the relative standalone selling price, over which the Company applies significant judgment. The Company develops assumptions that require judgment to determine the standalone selling price for license-related performance obligations under the adjusted market assessment approach, which may include forecasted revenues, development timelines, discount rates and probabilities of success.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The Company recognizes revenue over time by measuring the progress toward complete satisfaction of the relevant performance obligation using an appropriate input method based on the nature of the good or service promised to the customer. The Company uses judgment to assess the nature of the performance obligation to determine whether the performance obligation is satisfied over time or at a point in time. The selection of the method to measure progress towards completion requires judgment and is based on the nature of the products or services to be provided.</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a customer pays consideration, or the Company has an unconditional right to the consideration, before the satisfaction of the revenue recognition criteria, the amounts are recorded as deferred revenue in the Company’s balance sheet. The current portion of deferred revenue represents the amount of the performance obligation that is expected to be satisfied within the next twelve months. Amounts recognized as revenue prior to receipt or before they are due are recorded as contract assets in the Company’s balance sheet, excluding any amounts presented as accounts receivable. If the Company has an unconditional right to receive consideration, the contract assets are accounted for as accounts receivable and presented separately from contract assets. A net contract asset or liability is presented for each contract with a customer.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but are not limited to, purchases of acquired in-process research and development, personnel costs, fees paid to external entities that conduct certain non-clinical and clinical development activities on our behalf, manufacturing costs, outside service and consulting costs, and allocated overhead, including rent. Assets acquired that are utilized in research and development that have no alternative future use are also expensed as incurred. Purchases of acquired in-process research and development are included as an operating activity on the statements of cash flow.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using a fair value-based method, which requires the recognition of compensation expense for costs related to all stock-based payments including stock options, restricted stock units (“RSUs”) and purchase rights under the Employee Stock Purchase Plan (“ESPP”). The Company estimates the fair value of stock options and purchase rights granted under the ESPP on the date of grant using the Black-Scholes option pricing model, which is impacted by the fair value of the Company’s common stock, as well as changes in assumptions regarding a number of variables. The model requires management to make a number of assumptions which include the following: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020" w:right="140" w:hanging="503"/>
        <w:spacing w:after="0" w:line="284"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is based on the simplified method as the Company’s stock options qualify as “plain vanilla”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limited history of exercise data. For ESPP, the expected term is based on the term of the purchase period.</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is based on the historical volatility of the Company's stock.</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4"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U.S. Treasury constant maturity rates with remaining terms similar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options.</w:t>
      </w:r>
    </w:p>
    <w:p>
      <w:pPr>
        <w:spacing w:after="0" w:line="50" w:lineRule="exact"/>
        <w:rPr>
          <w:rFonts w:ascii="Times New Roman" w:cs="Times New Roman" w:eastAsia="Times New Roman" w:hAnsi="Times New Roman"/>
          <w:sz w:val="18"/>
          <w:szCs w:val="18"/>
          <w:color w:val="auto"/>
        </w:rPr>
      </w:pPr>
    </w:p>
    <w:p>
      <w:pPr>
        <w:ind w:left="1020" w:right="480" w:hanging="503"/>
        <w:spacing w:after="0" w:line="284"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Rate</w:t>
      </w:r>
      <w:r>
        <w:rPr>
          <w:rFonts w:ascii="Times New Roman" w:cs="Times New Roman" w:eastAsia="Times New Roman" w:hAnsi="Times New Roman"/>
          <w:sz w:val="18"/>
          <w:szCs w:val="18"/>
          <w:color w:val="auto"/>
        </w:rPr>
        <w:t>. The Company has never paid any dividends and does not plan to pay dividends in the foreseeable future,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used an expected dividend rate of zero in the valuation model.</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Forfeitures</w:t>
      </w:r>
      <w:r>
        <w:rPr>
          <w:rFonts w:ascii="Times New Roman" w:cs="Times New Roman" w:eastAsia="Times New Roman" w:hAnsi="Times New Roman"/>
          <w:sz w:val="18"/>
          <w:szCs w:val="18"/>
          <w:color w:val="auto"/>
        </w:rPr>
        <w:t>. The Company accounts for forfeitures as they occur.</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RSUs, including RSUs subject to performance-based vesting conditions, is based on the fair value of the Company's stock price on the grant-date.</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on a straight-line basis over the requisite service period of the award, which is generally the vesting period. The Company accounts for forfeitures as they occur.</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Options generally vest over a four-year period: 25% of the shares vest on the first anniversary from the vesting commencement date of the option and an additional 1/48th of the shares vest on each monthly anniversary thereafter, subject to the employee’s continuous service through each vesting date. RSUs generally vest ratably over four years.</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options and RSUs that vest upon the satisfaction of certain performance conditions, the Company recognizes compensation expense when it becomes probable that the performance conditions will be met. When the criteria are deemed probable of being met, the Company records cumulative compensation expense in the period the performance criteria are deemed probable of being met and recognizes the remaining compensation expense on a straight-line basis over the remaining period for which the performance criteria are expected to be completed.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7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assesses the likelihood that the Company’s deferred tax assets will be recovered from future taxable income, and to the extent the Company believes that recovery is not likely, the Company establishes a valuation allowance. The assessment of whether or not a valuation allowance is required often requires significant judgment, including the forecast of future taxable income and on-going prudent and feasible tax planning initiatives. Based upon the weight of available evidence, the Company has determined that net deferred tax assets should be fully offset by a valuation allowance. When the Company establishes or reduces the valuation allowance against its net deferred tax assets, its provision for income taxes will increase or decrease, respectively, in the period such determination is made.</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in accordance with Accounting Standards Codification (“ASC”) 740. Tax positions are evaluated in a two-step process, whereby the Company first determines whether it is more likely than not that a tax position will be sustained upon examination by tax authorities, including resolutions of any related appeals or litigation processes, based on technical merit. If a tax position meets the more-likely-than-not recognition threshold, it is then measured to determine the amount of benefit to be recognized in the financial statements. The tax position is measured as the largest amount of benefit that is greater than 50% likely of being realized upon ultimate settlement. The Company’s policy is to recognize interest and penalties related to the underpayment of income taxes as a component of income tax expense or benefit. To date, there have been no interest or penalties charged in relation to unrecognized tax benefits.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loss is equal to net loss as there are no components of other comprehensive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including any outstanding pre-funded warrants,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outstanding stock options, RSUs, outstanding common stock warrants and shares expected to be issued pursuant to the ESPP are considered to be potentially dilutive securities. Because the Company has reported a net loss for all periods presented, diluted net loss per share is the same as basic net loss per share for those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Adopted</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(the “FASB”) issued Accounting Standards Update 2023-09, </w:t>
      </w:r>
      <w:r>
        <w:rPr>
          <w:rFonts w:ascii="Times New Roman" w:cs="Times New Roman" w:eastAsia="Times New Roman" w:hAnsi="Times New Roman"/>
          <w:sz w:val="18"/>
          <w:szCs w:val="18"/>
          <w:i w:val="1"/>
          <w:iCs w:val="1"/>
          <w:color w:val="auto"/>
        </w:rPr>
        <w:t>Income Taxes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Income Tax Disclosures </w:t>
      </w:r>
      <w:r>
        <w:rPr>
          <w:rFonts w:ascii="Times New Roman" w:cs="Times New Roman" w:eastAsia="Times New Roman" w:hAnsi="Times New Roman"/>
          <w:sz w:val="18"/>
          <w:szCs w:val="18"/>
          <w:color w:val="auto"/>
        </w:rPr>
        <w:t>(“ASU 2023-09”) requiring enhancements and further transparency to certain income tax disclosures,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notably the tax rate reconciliation and income taxes paid. ASU 2023-09 does not change the recognition or measurement of income taxes under ASC 740. The Company adopted ASU 2023-09 on a prospective basis for the fiscal year ended December 31, 2025 and other than the presentation of additional disaggregated data in the income tax footnote disclosure, there was no material impact on the Company's financial statements. Prior-period comparative disclosures for the income tax footnote have not been recast to the expanded format required by ASU 2023-09, consistent with the transition guidance in ASU 2023-09.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 Not Yet Adopted</w:t>
      </w:r>
    </w:p>
    <w:p>
      <w:pPr>
        <w:spacing w:after="0" w:line="119"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which requires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financial statements and related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 classifies money market funds as Level 1 investments as the Company uses quoted prices in active markets for identical assets to determine the fair value. The Company classified its previous warrant liability as a Level 3 instrument as it was v</w:t>
      </w:r>
      <w:r>
        <w:rPr>
          <w:rFonts w:ascii="Times New Roman" w:cs="Times New Roman" w:eastAsia="Times New Roman" w:hAnsi="Times New Roman"/>
          <w:sz w:val="18"/>
          <w:szCs w:val="18"/>
          <w:color w:val="231F20"/>
        </w:rPr>
        <w:t>alued using the Black-Scholes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pricing model</w:t>
      </w:r>
      <w:r>
        <w:rPr>
          <w:rFonts w:ascii="Times New Roman" w:cs="Times New Roman" w:eastAsia="Times New Roman" w:hAnsi="Times New Roman"/>
          <w:sz w:val="18"/>
          <w:szCs w:val="18"/>
          <w:color w:val="000000"/>
        </w:rPr>
        <w:t>.</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by level within the fair value hierarchy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-1216660</wp:posOffset>
            </wp:positionV>
            <wp:extent cx="51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-1216660</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-1216660</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-1216660</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37,802</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6"/>
              </w:rPr>
              <w:t>37,802</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37,802</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1420" w:firstLine="509"/>
        <w:spacing w:after="0" w:line="375" w:lineRule="auto"/>
        <w:rPr>
          <w:sz w:val="20"/>
          <w:szCs w:val="20"/>
          <w:color w:val="auto"/>
        </w:rPr>
      </w:pPr>
      <w:r>
        <w:rPr>
          <w:rFonts w:ascii="Times New Roman" w:cs="Times New Roman" w:eastAsia="Times New Roman" w:hAnsi="Times New Roman"/>
          <w:sz w:val="18"/>
          <w:szCs w:val="18"/>
          <w:color w:val="auto"/>
        </w:rPr>
        <w:t xml:space="preserve">The Company did not have any financial liabilities recorded at fair value on a recurring basis as of December 31, 2025 and 2024. </w:t>
      </w:r>
      <w:r>
        <w:rPr>
          <w:rFonts w:ascii="Times New Roman" w:cs="Times New Roman" w:eastAsia="Times New Roman" w:hAnsi="Times New Roman"/>
          <w:sz w:val="18"/>
          <w:szCs w:val="18"/>
          <w:b w:val="1"/>
          <w:bCs w:val="1"/>
          <w:color w:val="auto"/>
        </w:rPr>
        <w:t>HBM Warrant Liability</w:t>
      </w:r>
    </w:p>
    <w:p>
      <w:pPr>
        <w:spacing w:after="0" w:line="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In January 2025, the Company issued pre-funded warrants that in total were to be equal to 4.99% of the Company's issued and outstanding common stock as of the date of exercise of such pre-funded warrants. See Note 8 “License and Purchase Agreements — HBM Alpha Therapeutics, Inc.” for further discussion regarding such pre-funded warrants. In June 2025, the Company amended these pre-funded warrants to extend the exercise period to December 31, 2025. In December 2025, these pre-funded warrants were fully exercised.</w:t>
      </w:r>
    </w:p>
    <w:p>
      <w:pPr>
        <w:spacing w:after="0" w:line="70"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 xml:space="preserve">These pre-funded warrants were accounted for as liabilities under ASC 815-40, </w:t>
      </w:r>
      <w:r>
        <w:rPr>
          <w:rFonts w:ascii="Times New Roman" w:cs="Times New Roman" w:eastAsia="Times New Roman" w:hAnsi="Times New Roman"/>
          <w:sz w:val="17"/>
          <w:szCs w:val="17"/>
          <w:i w:val="1"/>
          <w:iCs w:val="1"/>
          <w:color w:val="auto"/>
        </w:rPr>
        <w:t>Derivatives and Hedging, Contracts in Entity’s Own Equity</w:t>
      </w:r>
      <w:r>
        <w:rPr>
          <w:rFonts w:ascii="Times New Roman" w:cs="Times New Roman" w:eastAsia="Times New Roman" w:hAnsi="Times New Roman"/>
          <w:sz w:val="17"/>
          <w:szCs w:val="17"/>
          <w:color w:val="auto"/>
        </w:rPr>
        <w:t xml:space="preserve"> (“ASC 815-40”), as these pre-funded warrants provided for a settlement provision that did not meet the requirements of the indexation guidance under ASC 815-</w:t>
      </w:r>
    </w:p>
    <w:p>
      <w:pPr>
        <w:spacing w:after="0" w:line="1" w:lineRule="exact"/>
        <w:rPr>
          <w:sz w:val="20"/>
          <w:szCs w:val="20"/>
          <w:color w:val="auto"/>
        </w:rPr>
      </w:pPr>
    </w:p>
    <w:p>
      <w:pPr>
        <w:ind w:right="520" w:firstLine="8"/>
        <w:spacing w:after="0" w:line="260" w:lineRule="auto"/>
        <w:tabs>
          <w:tab w:leader="none" w:pos="2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pre-funded warrants were recorded at fair value as a liability. The change in fair value of the warrant liability is included on the face of the statement of operations and comprehensive loss.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pre-funded warrants were measured using a Black-Scholes option pricing model with the following inputs as of issuance and exercise: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Date</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0" w:type="dxa"/>
            <w:vAlign w:val="bottom"/>
            <w:tcBorders>
              <w:top w:val="single" w:sz="8" w:color="auto"/>
            </w:tcBorders>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3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0.0 - 0.1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- 3.8%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65.8%</w:t>
            </w:r>
          </w:p>
        </w:tc>
        <w:tc>
          <w:tcPr>
            <w:tcW w:w="24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 - 132.6%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42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The following table provides a roll forward of the aggregate fair value of the Company’s warrant liability (in thousands):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as of December 31, 2024</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date fair value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FF0FC"/>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 to additional paid-in capital upon exercise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(4,248)</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as of December 31, 2025</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7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9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6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Accrued general and administrative expenses</w:t>
            </w: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9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r>
      <w:tr>
        <w:trPr>
          <w:trHeight w:val="230"/>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6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80" w:type="dxa"/>
            <w:vAlign w:val="bottom"/>
            <w:shd w:val="clear" w:color="auto" w:fill="CFF0FC"/>
          </w:tcPr>
          <w:p>
            <w:pPr>
              <w:spacing w:after="0"/>
              <w:rPr>
                <w:sz w:val="19"/>
                <w:szCs w:val="19"/>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Accrued research and development expenses were primarily related to clinical trials and manufacturing of clinical drug supply as well as accruals related to the Allievex asset purchase. See Note 8 “License and Purchase Agreements — Allievex Corporation” for further information regarding such asset purchase.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leases space under a non-cancelable operating lease, which requires the Company to pay base rent, real estate taxes, insurance, general repairs, and maintenance.</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December 2022, the Company entered into a non-cancelable operating lease for approximately 6,500 square feet of office space in South San Francisco, California, which commenced in December 2022 and expires in February 2028 (the “South San Francisco Lease”). Total minimum rental payments for the South San Francisco Lease are $1.7 million over the lease term. The Company has an option to extend the lease term of the South San Francisco Lease for an additional three years which has not been included in the lease term as it is not reasonably certain that the Company will exercise this option. The Company will also be responsible for the payment of additional rent to cover the Company's share of the annual operating and tax expense for the building. Under the terms of the South San Francisco Lease, the Company issued a letter of credit to the landlord of $29 thousand, which is collateralized by a restricted cash deposit of $36 thousand as of December 31, 2025.</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the operating lease was as follows (dollar amounts in thousands):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2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4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0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0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8"/>
                <w:szCs w:val="18"/>
                <w:color w:val="auto"/>
              </w:rPr>
            </w:pPr>
          </w:p>
        </w:tc>
        <w:tc>
          <w:tcPr>
            <w:tcW w:w="108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bl>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Variable lease expense for the years ended December 31, 2025 and 2024 was immaterial.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commitments under the Company’s leases as of December 31, 2025 were as follows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70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Lease liabilities, current portion*</w:t>
            </w:r>
          </w:p>
        </w:tc>
        <w:tc>
          <w:tcPr>
            <w:tcW w:w="880" w:type="dxa"/>
            <w:vAlign w:val="bottom"/>
            <w:gridSpan w:val="2"/>
            <w:shd w:val="clear" w:color="auto" w:fill="CFF0FC"/>
          </w:tcPr>
          <w:p>
            <w:pPr>
              <w:jc w:val="right"/>
              <w:ind w:right="6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8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-899795</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-616585</wp:posOffset>
            </wp:positionV>
            <wp:extent cx="596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6" w:lineRule="exact"/>
        <w:rPr>
          <w:sz w:val="20"/>
          <w:szCs w:val="20"/>
          <w:color w:val="auto"/>
        </w:rPr>
      </w:pPr>
    </w:p>
    <w:p>
      <w:pPr>
        <w:ind w:left="1280" w:hanging="145"/>
        <w:spacing w:after="0"/>
        <w:tabs>
          <w:tab w:leader="none" w:pos="1280" w:val="left"/>
        </w:tabs>
        <w:numPr>
          <w:ilvl w:val="1"/>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accrued expenses and other current liabilities on the balance sheets</w:t>
      </w:r>
    </w:p>
    <w:p>
      <w:pPr>
        <w:spacing w:after="0" w:line="200" w:lineRule="exact"/>
        <w:rPr>
          <w:rFonts w:ascii="Times New Roman" w:cs="Times New Roman" w:eastAsia="Times New Roman" w:hAnsi="Times New Roman"/>
          <w:sz w:val="18"/>
          <w:szCs w:val="18"/>
          <w:i w:val="1"/>
          <w:iCs w:val="1"/>
          <w:color w:val="auto"/>
        </w:rPr>
      </w:pPr>
    </w:p>
    <w:p>
      <w:pPr>
        <w:spacing w:after="0" w:line="347" w:lineRule="exact"/>
        <w:rPr>
          <w:rFonts w:ascii="Times New Roman" w:cs="Times New Roman" w:eastAsia="Times New Roman" w:hAnsi="Times New Roman"/>
          <w:sz w:val="18"/>
          <w:szCs w:val="18"/>
          <w:i w:val="1"/>
          <w:iCs w:val="1"/>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SVB Term Loan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 Loan and Security Agreement, as subsequently amended in March 2021 and May 2022 (the “SVB Loan Agreement”) with Silicon Valley Bank (“SVB”) providing for a term loan (the “SVB Term Loan”) for an aggregate principal amount of $5.0 million.</w:t>
      </w:r>
    </w:p>
    <w:p>
      <w:pPr>
        <w:spacing w:after="0" w:line="5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On November 3, 2025, the Company terminated the SVB Loan Agreement and voluntarily prepaid in full the outstanding principal balance of the SVB Term Loan and all other outstanding obligations under the SVB Loan Agreement, which was $0.7 million, inclusive of all principal and all accrued and unpaid interest and fees under the SVB Loan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8 for discussion over commitments associated with the Company's license and purchase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440" w:firstLine="509"/>
        <w:spacing w:after="0" w:line="256" w:lineRule="auto"/>
        <w:rPr>
          <w:sz w:val="20"/>
          <w:szCs w:val="20"/>
          <w:color w:val="auto"/>
        </w:rPr>
      </w:pPr>
      <w:r>
        <w:rPr>
          <w:rFonts w:ascii="Times New Roman" w:cs="Times New Roman" w:eastAsia="Times New Roman" w:hAnsi="Times New Roman"/>
          <w:sz w:val="18"/>
          <w:szCs w:val="18"/>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Other than as disclosed below, the Company was not subject to any material legal proceedings during the years ended December 31, 2025 and 2024 and management is not aware of any pending or threatened litigation that, individually or in the aggregate, could have a material adverse effect on the Company's business, financial condition or results of operations.</w:t>
      </w:r>
    </w:p>
    <w:p>
      <w:pPr>
        <w:spacing w:after="0" w:line="7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January 2025, Neurocrine Biosciences, Inc. (“Neurocrine”) initiated proceedings seeking to invalidate European Patent 3,784,233 (the “Patent”) in the United Kingdom Patents Court (“UKPC”), and in August 2025, initiated similar proceeds before the Unified Patent Court (collectively, the “Patent Proceedings”). In February 2026, the UKPC issued a judgment ordering the Company to pay Neurocrine an interim payment of approximately $1.2</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60" w:firstLine="45"/>
        <w:spacing w:after="0" w:line="266" w:lineRule="auto"/>
        <w:rPr>
          <w:sz w:val="20"/>
          <w:szCs w:val="20"/>
          <w:color w:val="auto"/>
        </w:rPr>
      </w:pPr>
      <w:r>
        <w:rPr>
          <w:rFonts w:ascii="Times New Roman" w:cs="Times New Roman" w:eastAsia="Times New Roman" w:hAnsi="Times New Roman"/>
          <w:sz w:val="18"/>
          <w:szCs w:val="18"/>
          <w:color w:val="auto"/>
        </w:rPr>
        <w:t>million for its legal costs. As of the year ended December 31, 2025, the Company accrued $1.9 million for loss contingencies associated with the Patent Proceedings which is included in accrued expenses and other current liabilities on the balance sheet and in general and administrative expenses on the statement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License and Purchase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the Company under the Lilly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amounts were paid by the Company to Lilly during the years ended December 31, 2025 and 2024, nor were due as of such dates pursuant to the Lilly License Agreement.</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HMNC Holding GmbH</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license, development and option agreement (the “HMNC Agreement”) with HMNC Holding GmbH (“HMNC”). Under the terms of the HMNC Agreement, HMNC funded and conducted a Phase 2 proof-of-concept study of tildacerfont in MDD patients, who were screened using Cortibon Genetic Selection Tool (“Cortibon”), HMNC’s proprietary genetic selection tool.</w:t>
      </w:r>
    </w:p>
    <w:p>
      <w:pPr>
        <w:spacing w:after="0" w:line="68"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study was discontinued in the first quarter of 2026. The Company has an option to in-license exclusive worldwide rights to Cortibon. . If the Company exercises its option, it will be responsible for the future worldwide development and commercialization of tildacerfont and Cortibon for the treatment of MDD under a collaboration framework that leverages HMNC’s ongoing expertise in precision psychiatry and companion diagnostics. Pursuant to the license terms, HMNC would be entitled to receive certain milestone payments and tiered royalties on net sales of tildacerfont in MDD.</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No amounts were paid to the Company during the years ended December 31, 2025 and 2024, nor were due as of such dates pursuant to the HMNC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Allievex Corporation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October 4, 2024, the Company entered into that certain Asset Purchase Agreement (the “Allievex Purchase Agreement”) with AVX (ABC), LLC, a Delaware limited liability company, in its sole and limited capacity as the assignee for the benefit of creditors of Allievex Corporation (“Allievex”). Pursuant to the Allievex Purchase Agreement, the Company acquired all intellectual property and inventory relating to Allievex's product candidates and that certain Exclusive License Agreement, by and between BioMarin Pharmaceutical Inc. (“BioMarin”) and Allievex, dated October 22, 2019 (the “BioMarin License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consideration, the Company paid $5.0 million to Allievex in November 2024. The Company also assumed certain liabilities of Allievex of $8.3 million, of which $7.5 million was paid as of December 31, 2025 and the remaining $0.8 million is included in accrued expenses and other current liabilities on the balance sheet as of December 31, 2025. The Company also recorded an estimated receivable of $2.6 million in other current assets on the balance sheet as of December 31, 2025 related to the completed Allievex bankruptcy proceedings. The receivable was fully collected by the Company in January 2026. The Company also incurred transaction costs of $0.3 million during the year ended December 31, 2024, which were included in general and administrative expenses on the statement of operations and comprehensive loss.</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assets purchased in conjunction with the Allievex Purchase Agreement represent an asset acquisition whereby the underlying assets comprise in-process research and development assets with no alternative future use. The Company recognized aggregate net acquisition cost of $15.1 million, which was reported as a component of research and development expense for the year ended December 31, 2024. During the year ended December 31, 2025, changes in estimates to recorded liabilities associated with the Allievex Purchase Agreement reduced the aggregate net acquisition cost to $11.0 million.</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also assumed the obligations of Allievex to pay BioMarin up to an aggregate of $88.0 million upon the achievement of certain development and regulatory milestones (up to $25.5 million for the first MPS IIIB product) and up to an aggregate of $100.0 million per licensed product upon the achievement of certain sales milestones. In addition, the Company is required to pay to BioMarin certain (i) high-single digit to low-double digit tiered royalties on aggregate annual net sales of licensed MPS IIIB products and (i) mid-to-high single digit tiered royalties on aggregate annual net sales of licensed products other than MPS IIIB products, in each case during the applicable royalty term, subject to certain customary reductions and floors. No amounts were paid by the Company to BioMarin nor were any due as of December 31, 2025 pursuant to the Allievex Purchase Agreement.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may terminate the BioMarin License Agreement at any time for convenience upon prior written notice provided within a specified period of time. BioMarin may terminate the BioMarin License Agreement upon written notice if we (i) challenge the validity, enforceability or scope of any of the patents licensed by us under the BioMarin License Agreement, subject to certain conditions, or (ii) cease all material research and development activity for any licensed product for a specified period of time, subject to certain exceptions. Either the Company or BioMarin may also terminate the BioMarin License Agreement (i) in the event the other party shall have materially breached its obligations thereunder and such default shall have continued for a specified period after written notice thereof or (ii) upon the bankruptcy or insolvency of the other party.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HBM Alpha Therapeutics, Inc.</w:t>
      </w:r>
    </w:p>
    <w:p>
      <w:pPr>
        <w:spacing w:after="0" w:line="121"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On January 15, 2025, the Company entered into a collaboration and license agreement (the “HBM License Agreement”) with HBM Alpha Therapeutics, Inc. (“HBM”). Under the terms of the HBM License Agreement, HBM granted the Company a limited exclusivity, royalty bearing, and sublicensable license to certain technology, patent rights, manufacturing rights, know-how, and proprietary materials relating to certain compounds developed by HBM.</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consideration, the Company made a one-time upfront payment to HBM of $5.0 million in February 2025. Additionally, in January 2025, the Company issued pre-funded warrants to HBM and its affiliates that in total were to be equal to 4.99% of the Company's outstanding common stock as of the date of exercise of such pre-funded warrants. In June 2025, the Company amended the pre-funded warrants to extend the exercise period to December 2025. In December 2025, these pre-funded warrants were fully exercised.</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rights acquired under the HBM License Agreement have no alternative future use. Therefore, the consideration paid of $5.0 million, along with the initial fair value of the pre-funded warrants issued of $0.7 million (see Note 3 “Fair Value Measurements — Warrant Liability”), was recognized as acquired in-process research and development expense, which is reported as a component of research and development expense for the year ended December 31, 2025.</w:t>
      </w:r>
    </w:p>
    <w:p>
      <w:pPr>
        <w:spacing w:after="0" w:line="7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is also obligated to pay HBM up to an aggregate of $390.0 million upon the achievement of certain development, regulatory, and sales milestones. In addition, the Company is required to pay to HBM certain mid to high-single digit tiered royalties on aggregate annual net sales of licensed products during the applicable royalty term, subject to certain customary reductions.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terminate the HBM License Agreement on a licensed product-by-licensed product basis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its entirety at any time for convenience upon prior written notice provided within a specified period of time. Either the Company or HBM may also terminate the HBM License Agreement (i) in the event the other party shall have materially breached its obligations thereunder and such default shall have continued for a specified period after written notice thereof or (ii) upon the bankruptcy or insolvency of the other party. HBM may terminate the HBM License Agreement upon prior written notice if the Company (i) ceases all development or commercialization activities for a specified period of time, subject to certain exceptions, or (ii) challenges the validity, enforceability or scope of any of the patents licensed by the Company to HBM under the HBM License Agreement, subject to certain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Kaken Pharmaceutical Co. Ltd.</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5, 2023, the Company entered into a collaboration and license agreement (the “Kaken License Agreement”) with Kaken Pharmaceutical Co. Ltd. (“Kaken”). Under the terms of the Kaken License Agreement, the Company granted to Kaken the exclusive right to develop, manufacture and commercialize the Company’s product candidate, tildacerfont, for the treatment of CAH in Japan. Pursuant to the Kaken License Agreement, Kaken is responsible for securing and maintaining regulatory approvals necessary to commercialize tildacerfont in Japan. The Company will retain all rights to tildacerfont in all other geographies.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Kaken License Agreement, Kaken made an upfront payment to the Company of $15.0 million in April 2023. In addition to the upfront payment, the Company is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spacing w:after="0" w:line="86"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 million. The transaction price was recognized as revenue using the cost-based input method over the estimated period of its non-contingent research and development obligations, which was approximately two years. During the year ended December 31, 2024, the Company recognized collaboration revenue of $4.9 million. The transaction price was fully recognized as of December 31, 2024 as the performance obligation was satisfied.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and 2024, the Company was authorized to issue 200,000,000 shares of $0.0001 par value common stock,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Company’s common stock are entitled to dividends if and when declared by the Board of Directors of the Company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of each share of common stock is entitled to one vote. As of December 31, 2025, no dividends were declared.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on an as converted basis, consisted of the following:</w:t>
      </w:r>
    </w:p>
    <w:p>
      <w:pPr>
        <w:spacing w:after="0" w:line="273"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7620</wp:posOffset>
            </wp:positionV>
            <wp:extent cx="23742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 issued and outstanding</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169,147</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 issued and outstanding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42,421</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available for future issuance under 2020 Equity Incentive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19,715</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future issuance under 2020 Employee Stock</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240" w:type="dxa"/>
            <w:vAlign w:val="bottom"/>
            <w:vMerge w:val="restart"/>
            <w:shd w:val="clear" w:color="auto" w:fill="CFF0FC"/>
          </w:tcPr>
          <w:p>
            <w:pPr>
              <w:spacing w:after="0"/>
              <w:rPr>
                <w:sz w:val="17"/>
                <w:szCs w:val="17"/>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shares reserved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291,014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May 28, 2025, the Company entered into a Purchase Agreement with Michael Grey, the Executive Chairman of the Company’s Board of Directors, pursuant to which the Company issued and sold one share of the Company’s newly designated Series A Preferred Stock, par value $0.0001 per share (the “Series A Preferred”), to Mr. Grey for a purchase price of $100.00. On July 22, 2025, immediately following stockholder approval of the Reverse Stock Split (as defined in Note 1), the outstanding share of Series A Preferred was redeemed for a redemption price of $100.00.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adopted the 2020 Equity Incentive Plan (the “2020 Plan”) in October 2020. The 2020 Plan provides for the granting of stock options, stock appreciation rights, restricted stock, restricted stock units, and other stock or cash-based awards to individuals who are then employees, officers, directors or consultants. The number of shares of common stock available for issuance under the 2020 Plan will be automatically increased on the first day of each calendar year during the ten-year term of the 2020 Plan, beginning with January 1, 2021 and ending with January 1, 2030, by an amount equal to 5% of the outstanding number of shares of the Company’s common stock on December 31st of the preceding calendar year or such lesser amount as determined by the Company’s Board of Directors. As of December 31, 2025, 19,715 shares remained available for issuance under the 2020 Plan. On January 1, 2026, shares available for issuance under the 2020 Plan were automatically increased by 68,602 shares.</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Under the 2020 Plan, individuals can be granted the ability to early exercise their options. As of December 31, 2025, there were no shares subject to repurchase by the Company related to the early exercise of options.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is as follows (in thousands, except share and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5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42,421</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1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Vested and expected to vest as of December 31,</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42,421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2025</w:t>
            </w:r>
          </w:p>
        </w:tc>
        <w:tc>
          <w:tcPr>
            <w:tcW w:w="13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244.86</w:t>
            </w:r>
          </w:p>
        </w:tc>
        <w:tc>
          <w:tcPr>
            <w:tcW w:w="15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5.9</w:t>
            </w:r>
          </w:p>
        </w:tc>
        <w:tc>
          <w:tcPr>
            <w:tcW w:w="44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as of December 31, 2025</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36,295</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273.46</w:t>
            </w:r>
          </w:p>
        </w:tc>
        <w:tc>
          <w:tcPr>
            <w:tcW w:w="15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4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-462280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-445135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2025 and 2024, the weighted-average fair value of options granted was $50.72 and $48.06 per share,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The aggregate intrinsic values of options outstanding and exercisable were calculated as the difference between the exercise price of the options and the fair value of the Company’s common stock as of the respective balance sheet date. The total intrinsic value of options exercised was immaterial and $0.3 million for the years ended December 31, 2025 and 2024, respectively. The total fair value of options vested was $9.3 million and $2.1 million for the years ended December 31, 2025 and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is as follows (in thousands, except share and per share amounts):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Weight-Average Grant</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108.12</w:t>
            </w:r>
          </w:p>
        </w:tc>
        <w:tc>
          <w:tcPr>
            <w:tcW w:w="0" w:type="dxa"/>
            <w:vAlign w:val="bottom"/>
          </w:tcPr>
          <w:p>
            <w:pPr>
              <w:spacing w:after="0"/>
              <w:rPr>
                <w:sz w:val="1"/>
                <w:szCs w:val="1"/>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45,306</w:t>
            </w:r>
          </w:p>
        </w:tc>
        <w:tc>
          <w:tcPr>
            <w:tcW w:w="1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85.35</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(22,300)</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82.89</w:t>
            </w:r>
          </w:p>
        </w:tc>
        <w:tc>
          <w:tcPr>
            <w:tcW w:w="0" w:type="dxa"/>
            <w:vAlign w:val="bottom"/>
          </w:tcPr>
          <w:p>
            <w:pPr>
              <w:spacing w:after="0"/>
              <w:rPr>
                <w:sz w:val="1"/>
                <w:szCs w:val="1"/>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(5,669)</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198.41</w:t>
            </w:r>
          </w:p>
        </w:tc>
        <w:tc>
          <w:tcPr>
            <w:tcW w:w="0" w:type="dxa"/>
            <w:vAlign w:val="bottom"/>
          </w:tcPr>
          <w:p>
            <w:pPr>
              <w:spacing w:after="0"/>
              <w:rPr>
                <w:sz w:val="1"/>
                <w:szCs w:val="1"/>
                <w:color w:val="auto"/>
              </w:rPr>
            </w:pPr>
          </w:p>
        </w:tc>
      </w:tr>
      <w:tr>
        <w:trPr>
          <w:trHeight w:val="249"/>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87.33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-25400</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2025 and 2024, the weighted-average fair value of RSUs granted was $85.35 and $119.27 per share, respectively.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fair value of RSUs vested was $1.8 million and $2.8 million for the years ended December 31, 2025 and 2024,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RSUs</w:t>
      </w:r>
    </w:p>
    <w:p>
      <w:pPr>
        <w:spacing w:after="0" w:line="11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2,970 RSUs outstanding subject to performance-based vesting conditions, of which none are considered probable of achievement.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adopted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lessor of (i) 1% of the outstanding number of shares of the Company’s common stock on December 31st of the preceding calendar year, (ii) 5,883 shares of common stock or (iii) such lesser amount as determined by the Board of Directors. As of December 31, 2025, 12,531 shares of common stock remained available for issuance under the ESPP. On January 1, 2026, shares available for issuance under the ESPP were automatically increased by 5,883 shares.</w:t>
      </w:r>
    </w:p>
    <w:p>
      <w:pPr>
        <w:spacing w:after="0" w:line="87" w:lineRule="exact"/>
        <w:rPr>
          <w:sz w:val="20"/>
          <w:szCs w:val="20"/>
          <w:color w:val="auto"/>
        </w:rPr>
      </w:pPr>
    </w:p>
    <w:p>
      <w:pPr>
        <w:ind w:right="40" w:firstLine="509"/>
        <w:spacing w:after="0" w:line="227" w:lineRule="auto"/>
        <w:rPr>
          <w:sz w:val="20"/>
          <w:szCs w:val="20"/>
          <w:color w:val="auto"/>
        </w:rPr>
      </w:pPr>
      <w:r>
        <w:rPr>
          <w:rFonts w:ascii="Times New Roman" w:cs="Times New Roman" w:eastAsia="Times New Roman" w:hAnsi="Times New Roman"/>
          <w:sz w:val="18"/>
          <w:szCs w:val="18"/>
          <w:color w:val="auto"/>
        </w:rPr>
        <w:t>Except for the initial offering period, the ESPP provides for 24-month offering periods starting every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and July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each consisting of four six-month purchase periods.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stock options and purchase rights under ESPP using the Black-Scholes option-pricing model, with the following weighted-average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4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1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ESPP</w:t>
            </w:r>
          </w:p>
        </w:tc>
      </w:tr>
      <w:tr>
        <w:trPr>
          <w:trHeight w:val="210"/>
        </w:trPr>
        <w:tc>
          <w:tcPr>
            <w:tcW w:w="114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159.3%</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tcPr>
          <w:p>
            <w:pPr>
              <w:spacing w:after="0"/>
              <w:rPr>
                <w:sz w:val="20"/>
                <w:szCs w:val="20"/>
                <w:color w:val="auto"/>
              </w:rPr>
            </w:pPr>
          </w:p>
        </w:tc>
      </w:tr>
      <w:tr>
        <w:trPr>
          <w:trHeight w:val="846"/>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stock options, RSUs and ESPP that is included in the Company’s statements of operations and comprehensive loss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80" w:type="dxa"/>
            <w:vAlign w:val="bottom"/>
          </w:tcPr>
          <w:p>
            <w:pPr>
              <w:spacing w:after="0"/>
              <w:rPr>
                <w:sz w:val="18"/>
                <w:szCs w:val="18"/>
                <w:color w:val="auto"/>
              </w:rPr>
            </w:pPr>
          </w:p>
        </w:tc>
      </w:tr>
      <w:tr>
        <w:trPr>
          <w:trHeight w:val="230"/>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30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8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$3.5 million of total unrecognized stock-based compensation expense related to awards that are expected to vest, which is expected to be recognized over an estimated weighted-average vesting term of 1.8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have any income tax expense for the years ended December 31, 2025 and 2024. The reconciliation of the federal statutory income tax rate to the Company’s effective tax rate is as follows: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5"/>
                <w:szCs w:val="15"/>
                <w:color w:val="auto"/>
              </w:rPr>
            </w:pPr>
          </w:p>
        </w:tc>
      </w:tr>
      <w:tr>
        <w:trPr>
          <w:trHeight w:val="196"/>
        </w:trPr>
        <w:tc>
          <w:tcPr>
            <w:tcW w:w="4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15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20" w:type="dxa"/>
            <w:vAlign w:val="bottom"/>
          </w:tcPr>
          <w:p>
            <w:pPr>
              <w:spacing w:after="0"/>
              <w:rPr>
                <w:sz w:val="17"/>
                <w:szCs w:val="17"/>
                <w:color w:val="auto"/>
              </w:rPr>
            </w:pPr>
          </w:p>
        </w:tc>
      </w:tr>
      <w:tr>
        <w:trPr>
          <w:trHeight w:val="20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(8,183)</w:t>
            </w:r>
          </w:p>
        </w:tc>
        <w:tc>
          <w:tcPr>
            <w:tcW w:w="1880" w:type="dxa"/>
            <w:vAlign w:val="bottom"/>
            <w:gridSpan w:val="3"/>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fair value of warrant liability</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80" w:type="dxa"/>
            <w:vAlign w:val="bottom"/>
            <w:shd w:val="clear" w:color="auto" w:fill="CFF0FC"/>
          </w:tcPr>
          <w:p>
            <w:pPr>
              <w:spacing w:after="0"/>
              <w:rPr>
                <w:sz w:val="18"/>
                <w:szCs w:val="18"/>
                <w:color w:val="auto"/>
              </w:rPr>
            </w:pPr>
          </w:p>
        </w:tc>
        <w:tc>
          <w:tcPr>
            <w:tcW w:w="1880" w:type="dxa"/>
            <w:vAlign w:val="bottom"/>
            <w:gridSpan w:val="3"/>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Nondeductible expenses related to tax credits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tcPr>
          <w:p>
            <w:pPr>
              <w:spacing w:after="0"/>
              <w:rPr>
                <w:sz w:val="18"/>
                <w:szCs w:val="18"/>
                <w:color w:val="auto"/>
              </w:rPr>
            </w:pPr>
          </w:p>
        </w:tc>
        <w:tc>
          <w:tcPr>
            <w:tcW w:w="1880" w:type="dxa"/>
            <w:vAlign w:val="bottom"/>
            <w:gridSpan w:val="3"/>
          </w:tcPr>
          <w:p>
            <w:pPr>
              <w:jc w:val="right"/>
              <w:ind w:right="213"/>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Credits</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(3,713)</w:t>
            </w:r>
          </w:p>
        </w:tc>
        <w:tc>
          <w:tcPr>
            <w:tcW w:w="156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FF0FC"/>
          </w:tcPr>
          <w:p>
            <w:pPr>
              <w:spacing w:after="0"/>
              <w:rPr>
                <w:sz w:val="18"/>
                <w:szCs w:val="18"/>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383 limitation - credits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35,143</w:t>
            </w:r>
          </w:p>
        </w:tc>
        <w:tc>
          <w:tcPr>
            <w:tcW w:w="280" w:type="dxa"/>
            <w:vAlign w:val="bottom"/>
          </w:tcPr>
          <w:p>
            <w:pPr>
              <w:spacing w:after="0"/>
              <w:rPr>
                <w:sz w:val="18"/>
                <w:szCs w:val="18"/>
                <w:color w:val="auto"/>
              </w:rPr>
            </w:pPr>
          </w:p>
        </w:tc>
        <w:tc>
          <w:tcPr>
            <w:tcW w:w="1880" w:type="dxa"/>
            <w:vAlign w:val="bottom"/>
            <w:gridSpan w:val="3"/>
          </w:tcPr>
          <w:p>
            <w:pPr>
              <w:jc w:val="right"/>
              <w:ind w:right="213"/>
              <w:spacing w:after="0"/>
              <w:rPr>
                <w:sz w:val="20"/>
                <w:szCs w:val="20"/>
                <w:color w:val="auto"/>
              </w:rPr>
            </w:pPr>
            <w:r>
              <w:rPr>
                <w:rFonts w:ascii="Times New Roman" w:cs="Times New Roman" w:eastAsia="Times New Roman" w:hAnsi="Times New Roman"/>
                <w:sz w:val="18"/>
                <w:szCs w:val="18"/>
                <w:color w:val="auto"/>
              </w:rPr>
              <w:t>(90.2)</w:t>
            </w:r>
          </w:p>
        </w:tc>
      </w:tr>
      <w:tr>
        <w:trPr>
          <w:trHeight w:val="216"/>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shd w:val="clear" w:color="auto" w:fill="CFF0FC"/>
          </w:tcPr>
          <w:p>
            <w:pPr>
              <w:spacing w:after="0"/>
              <w:rPr>
                <w:sz w:val="18"/>
                <w:szCs w:val="18"/>
                <w:color w:val="auto"/>
              </w:rPr>
            </w:pPr>
          </w:p>
        </w:tc>
        <w:tc>
          <w:tcPr>
            <w:tcW w:w="1880" w:type="dxa"/>
            <w:vAlign w:val="bottom"/>
            <w:gridSpan w:val="3"/>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(21,441)</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true ups</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FF0FC"/>
          </w:tcPr>
          <w:p>
            <w:pPr>
              <w:spacing w:after="0"/>
              <w:rPr>
                <w:sz w:val="18"/>
                <w:szCs w:val="18"/>
                <w:color w:val="auto"/>
              </w:rPr>
            </w:pPr>
          </w:p>
        </w:tc>
        <w:tc>
          <w:tcPr>
            <w:tcW w:w="1880" w:type="dxa"/>
            <w:vAlign w:val="bottom"/>
            <w:gridSpan w:val="3"/>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(3,668)</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FF0FC"/>
          </w:tcPr>
          <w:p>
            <w:pPr>
              <w:jc w:val="right"/>
              <w:ind w:right="33"/>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bscript"/>
              </w:rPr>
              <w:t>%</w:t>
            </w:r>
          </w:p>
        </w:tc>
      </w:tr>
      <w:tr>
        <w:trPr>
          <w:trHeight w:val="399"/>
        </w:trPr>
        <w:tc>
          <w:tcPr>
            <w:tcW w:w="43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top w:val="single" w:sz="8" w:color="CFF0FC"/>
            </w:tcBorders>
          </w:tcPr>
          <w:p>
            <w:pPr>
              <w:spacing w:after="0"/>
              <w:rPr>
                <w:sz w:val="24"/>
                <w:szCs w:val="24"/>
                <w:color w:val="auto"/>
              </w:rPr>
            </w:pPr>
          </w:p>
        </w:tc>
      </w:tr>
      <w:tr>
        <w:trPr>
          <w:trHeight w:val="196"/>
        </w:trPr>
        <w:tc>
          <w:tcPr>
            <w:tcW w:w="4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w w:val="73"/>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3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FF0FC"/>
          </w:tcPr>
          <w:p>
            <w:pPr>
              <w:spacing w:after="0"/>
              <w:rPr>
                <w:sz w:val="18"/>
                <w:szCs w:val="18"/>
                <w:color w:val="auto"/>
              </w:rPr>
            </w:pPr>
          </w:p>
        </w:tc>
      </w:tr>
      <w:tr>
        <w:trPr>
          <w:trHeight w:val="210"/>
        </w:trPr>
        <w:tc>
          <w:tcPr>
            <w:tcW w:w="43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jc w:val="right"/>
              <w:ind w:right="153"/>
              <w:spacing w:after="0"/>
              <w:rPr>
                <w:sz w:val="20"/>
                <w:szCs w:val="20"/>
                <w:color w:val="auto"/>
              </w:rPr>
            </w:pPr>
            <w:r>
              <w:rPr>
                <w:rFonts w:ascii="Times New Roman" w:cs="Times New Roman" w:eastAsia="Times New Roman" w:hAnsi="Times New Roman"/>
                <w:sz w:val="13"/>
                <w:szCs w:val="13"/>
                <w:color w:val="auto"/>
                <w:w w:val="73"/>
              </w:rPr>
              <w:t>%</w:t>
            </w:r>
          </w:p>
        </w:tc>
      </w:tr>
      <w:tr>
        <w:trPr>
          <w:trHeight w:val="20"/>
        </w:trPr>
        <w:tc>
          <w:tcPr>
            <w:tcW w:w="4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-1293495</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-1276350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-1293495</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-1276350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51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Upon adoption of ASU 2023-09 for the year ended December 31, 2025, the Company expanded its income tax rate reconciliation disclosures to conform to the enhanced presentation requirements of the standard. As a result, certain reconciling items that were previously aggregated are now presented as separate categories in the rate reconciliation. For the year ended December 31, 2024, amounts reflected in the rate reconciliation were presented on a combined basis, including the impact of unrecognized tax benefits, which was included within tax credits. The prior-period presentation has not been recast to conform to the current-period presentation.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 assets and liabilities are as follows (in thousands):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3940" w:type="dxa"/>
            <w:vAlign w:val="bottom"/>
          </w:tcPr>
          <w:p>
            <w:pPr>
              <w:spacing w:after="0"/>
              <w:rPr>
                <w:sz w:val="17"/>
                <w:szCs w:val="17"/>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44,720</w:t>
            </w:r>
          </w:p>
        </w:tc>
        <w:tc>
          <w:tcPr>
            <w:tcW w:w="18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35,484</w:t>
            </w:r>
          </w:p>
        </w:tc>
        <w:tc>
          <w:tcPr>
            <w:tcW w:w="80" w:type="dxa"/>
            <w:vAlign w:val="bottom"/>
          </w:tcPr>
          <w:p>
            <w:pPr>
              <w:spacing w:after="0"/>
              <w:rPr>
                <w:sz w:val="18"/>
                <w:szCs w:val="18"/>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29,808</w:t>
            </w:r>
          </w:p>
        </w:tc>
        <w:tc>
          <w:tcPr>
            <w:tcW w:w="80" w:type="dxa"/>
            <w:vAlign w:val="bottom"/>
            <w:shd w:val="clear" w:color="auto" w:fill="CFF0FC"/>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80" w:type="dxa"/>
            <w:vAlign w:val="bottom"/>
          </w:tcPr>
          <w:p>
            <w:pPr>
              <w:spacing w:after="0"/>
              <w:rPr>
                <w:sz w:val="18"/>
                <w:szCs w:val="18"/>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shd w:val="clear" w:color="auto" w:fill="CFF0FC"/>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liability</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Accruals and reserves</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shd w:val="clear" w:color="auto" w:fill="CFF0FC"/>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80" w:type="dxa"/>
            <w:vAlign w:val="bottom"/>
          </w:tcPr>
          <w:p>
            <w:pPr>
              <w:spacing w:after="0"/>
              <w:rPr>
                <w:sz w:val="18"/>
                <w:szCs w:val="18"/>
                <w:color w:val="auto"/>
              </w:rPr>
            </w:pPr>
          </w:p>
        </w:tc>
      </w:tr>
      <w:tr>
        <w:trPr>
          <w:trHeight w:val="216"/>
        </w:trPr>
        <w:tc>
          <w:tcPr>
            <w:tcW w:w="3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85,546</w:t>
            </w:r>
          </w:p>
        </w:tc>
        <w:tc>
          <w:tcPr>
            <w:tcW w:w="80" w:type="dxa"/>
            <w:vAlign w:val="bottom"/>
          </w:tcPr>
          <w:p>
            <w:pPr>
              <w:spacing w:after="0"/>
              <w:rPr>
                <w:sz w:val="18"/>
                <w:szCs w:val="18"/>
                <w:color w:val="auto"/>
              </w:rPr>
            </w:pPr>
          </w:p>
        </w:tc>
      </w:tr>
      <w:tr>
        <w:trPr>
          <w:trHeight w:val="216"/>
        </w:trPr>
        <w:tc>
          <w:tcPr>
            <w:tcW w:w="3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(70,777)</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(85,349)</w:t>
            </w:r>
          </w:p>
        </w:tc>
      </w:tr>
      <w:tr>
        <w:trPr>
          <w:trHeight w:val="209"/>
        </w:trPr>
        <w:tc>
          <w:tcPr>
            <w:tcW w:w="39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Borders>
              <w:top w:val="single" w:sz="8" w:color="CFF0FC"/>
            </w:tcBorders>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right-of-use asset</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3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94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3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4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-1156970</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-1156970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-873760</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-873760</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-316230</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Management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the provision for income taxes in the period in which such determination is made. The Company’s management believes that, based on a number of factors, it is more likely than not, that all or some portion of the deferred tax assets will not be realized; and accordingly, for the year ended December 31, 2025, the Company has provided a valuation allowance against the Company’s U.S. net deferred tax assets. The valuation allowance decreased by $14.6 million during the year ended December 31, 2025, primarily due to the impact of Internal Revenue Code Section 382 ownership change limitations on the Company's tax attributes including research and development and Orphan Drug credits offset by an increase in net operating loss due to the election to expense Section 174 research and development costs in the current year. The valuation allowance increased by $18.2 million during the year ended December 31, 2024, primarily due to an increase in the net operating loss (primarily from pre-tax book loss) and the current year capitalization of Section 174 research and experimental costs.</w:t>
      </w:r>
    </w:p>
    <w:p>
      <w:pPr>
        <w:spacing w:after="0" w:line="8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net operating loss carryforwards for federal and state income tax purposes of approximately $163.1 million and $150.0 million, respectively, both of which will begin to expire in 2036 with $155.9 million of the Company's federal net operating loss carryforwards lasting indefinitely.</w:t>
      </w:r>
    </w:p>
    <w:p>
      <w:pPr>
        <w:spacing w:after="0" w:line="6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general business credit and state research and development credit carryforwards of approximately $34.2 million and $2.8 million, respectively. The federal general business credit carryforwards will begin to expire in 2036 while the California research credit carryforwards have an indefinite life.</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Internal Revenue Code of 1986, as amended, imposes restrictions on the utilization of net operating losses in the event of an “ownership change” of a corporation. Accordingly, a company’s ability to use net operating losses may be limited as prescribed under Internal Revenue Code Section 382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 The Company identified an ownership change in October 2025 and performed an analysis on potential limitations under IRC Section 382. The Company does not believe there is a limitation on its ability to utilize its net operating losses from the October 2025 ownership change.</w:t>
      </w:r>
    </w:p>
    <w:p>
      <w:pPr>
        <w:spacing w:after="0" w:line="8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ownership change identified in October of 2025, the Company analyzed potential limitations on the Company's tax attributes. Based on this analysis, the Company wrote off the deferred tax assets related to its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research and development credits and Orphan Drug credits to the extent that they are mathematically impossible to utilize with the calculated limitations under Section 382/383. Research and development credits of $1.8 million and $33.3 million of Orphan Drug credits were written off during the year ended December 31, 2025.</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California state jurisdiction. The Company is not currently under audit by the Internal Revenue Service or any other similar state, local, or foreign authority. All tax years remain open to examination by major taxing jurisdictions to which the Company is subject.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Income Tax Positions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had approximately $0.8 million and $4.3 million of unrecognized tax benefits as of December 31, 2025 and 2024, respectively. No liability related to uncertain tax positions is recorded in the financial statements due to the fact the liabilities have been netted against deferred attribute carryovers. The unrecognized tax benefits would not impact the annual effective tax rate if recognized because the Company has recorded a valuation allowance on its deferred tax assets. The Company does not expect the amount of unrecognized tax benefits to materially change in the next 12 months. As of December 31, 2025 and 2024, the Company has not recognized any tax-related penalties or interest in its financial statements.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the unrecognized tax benefits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60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4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based on tax positions related to current period</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Increases based on tax positions related to prior period</w:t>
            </w:r>
          </w:p>
        </w:tc>
        <w:tc>
          <w:tcPr>
            <w:tcW w:w="1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Decreases based on tax positions related to prior period</w:t>
            </w: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(3,752)</w:t>
            </w:r>
          </w:p>
        </w:tc>
        <w:tc>
          <w:tcPr>
            <w:tcW w:w="5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5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60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shd w:val="clear" w:color="auto" w:fill="CFF0FC"/>
          </w:tcPr>
          <w:p>
            <w:pPr>
              <w:spacing w:after="0"/>
              <w:rPr>
                <w:sz w:val="19"/>
                <w:szCs w:val="19"/>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401(k) Retirement Savings Plan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December 2017, the Company adopted a plan under Section 401(k) of the Internal Revenue Code (the “401(k) Plan”) for all employees who have met certain eligibility requirements. Under the 401(k) Plan, employees may elect to contribute a portion of their eligible compensation, subject to certain limitations. During the years ended December 31, 2025 and 2024, the Company incurred expense of $0.1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800" w:type="dxa"/>
            <w:vAlign w:val="bottom"/>
          </w:tcPr>
          <w:p>
            <w:pPr>
              <w:spacing w:after="0"/>
              <w:rPr>
                <w:sz w:val="17"/>
                <w:szCs w:val="17"/>
                <w:color w:val="auto"/>
              </w:rPr>
            </w:pPr>
          </w:p>
        </w:tc>
        <w:tc>
          <w:tcPr>
            <w:tcW w:w="3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3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5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(38,966)</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(53,036)</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3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766,598</w:t>
            </w:r>
          </w:p>
        </w:tc>
        <w:tc>
          <w:tcPr>
            <w:tcW w:w="3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550,146</w:t>
            </w:r>
          </w:p>
        </w:tc>
        <w:tc>
          <w:tcPr>
            <w:tcW w:w="100" w:type="dxa"/>
            <w:vAlign w:val="bottom"/>
          </w:tcPr>
          <w:p>
            <w:pPr>
              <w:spacing w:after="0"/>
              <w:rPr>
                <w:sz w:val="18"/>
                <w:szCs w:val="18"/>
                <w:color w:val="auto"/>
              </w:rPr>
            </w:pPr>
          </w:p>
        </w:tc>
      </w:tr>
      <w:tr>
        <w:trPr>
          <w:trHeight w:val="25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500" w:type="dxa"/>
            <w:vAlign w:val="bottom"/>
            <w:gridSpan w:val="2"/>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(50.83)</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(96.40)</w:t>
            </w:r>
          </w:p>
        </w:tc>
      </w:tr>
      <w:tr>
        <w:trPr>
          <w:trHeight w:val="844"/>
        </w:trPr>
        <w:tc>
          <w:tcPr>
            <w:tcW w:w="4800" w:type="dxa"/>
            <w:vAlign w:val="bottom"/>
            <w:tcBorders>
              <w:top w:val="single" w:sz="8" w:color="CFF0FC"/>
            </w:tcBorders>
          </w:tcPr>
          <w:p>
            <w:pPr>
              <w:spacing w:after="0"/>
              <w:rPr>
                <w:sz w:val="24"/>
                <w:szCs w:val="24"/>
                <w:color w:val="auto"/>
              </w:rPr>
            </w:pPr>
          </w:p>
        </w:tc>
        <w:tc>
          <w:tcPr>
            <w:tcW w:w="2380" w:type="dxa"/>
            <w:vAlign w:val="bottom"/>
            <w:tcBorders>
              <w:top w:val="single" w:sz="8" w:color="CFF0FC"/>
            </w:tcBorders>
          </w:tcPr>
          <w:p>
            <w:pPr>
              <w:jc w:val="right"/>
              <w:ind w:right="1335"/>
              <w:spacing w:after="0"/>
              <w:rPr>
                <w:sz w:val="20"/>
                <w:szCs w:val="20"/>
                <w:color w:val="auto"/>
              </w:rPr>
            </w:pPr>
            <w:r>
              <w:rPr>
                <w:rFonts w:ascii="Times New Roman" w:cs="Times New Roman" w:eastAsia="Times New Roman" w:hAnsi="Times New Roman"/>
                <w:sz w:val="18"/>
                <w:szCs w:val="18"/>
                <w:color w:val="auto"/>
              </w:rPr>
              <w:t>124</w:t>
            </w:r>
          </w:p>
        </w:tc>
        <w:tc>
          <w:tcPr>
            <w:tcW w:w="1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-1070610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-1053465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20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7620</wp:posOffset>
            </wp:positionV>
            <wp:extent cx="25285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8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warrants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169,147</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169,154</w:t>
            </w:r>
          </w:p>
        </w:tc>
        <w:tc>
          <w:tcPr>
            <w:tcW w:w="120" w:type="dxa"/>
            <w:vAlign w:val="bottom"/>
            <w:shd w:val="clear" w:color="auto" w:fill="CFF0FC"/>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46,122</w:t>
            </w:r>
          </w:p>
        </w:tc>
        <w:tc>
          <w:tcPr>
            <w:tcW w:w="120" w:type="dxa"/>
            <w:vAlign w:val="bottom"/>
          </w:tcPr>
          <w:p>
            <w:pPr>
              <w:spacing w:after="0"/>
              <w:rPr>
                <w:sz w:val="18"/>
                <w:szCs w:val="18"/>
                <w:color w:val="auto"/>
              </w:rPr>
            </w:pPr>
          </w:p>
        </w:tc>
      </w:tr>
      <w:tr>
        <w:trPr>
          <w:trHeight w:val="216"/>
        </w:trPr>
        <w:tc>
          <w:tcPr>
            <w:tcW w:w="8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outstanding RSUs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29,863</w:t>
            </w:r>
          </w:p>
        </w:tc>
        <w:tc>
          <w:tcPr>
            <w:tcW w:w="12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Estimated shares issuable under the ESPP</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20" w:type="dxa"/>
            <w:vAlign w:val="bottom"/>
          </w:tcPr>
          <w:p>
            <w:pPr>
              <w:spacing w:after="0"/>
              <w:rPr>
                <w:sz w:val="18"/>
                <w:szCs w:val="18"/>
                <w:color w:val="auto"/>
              </w:rPr>
            </w:pPr>
          </w:p>
        </w:tc>
      </w:tr>
      <w:tr>
        <w:trPr>
          <w:trHeight w:val="250"/>
        </w:trPr>
        <w:tc>
          <w:tcPr>
            <w:tcW w:w="7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259,996</w:t>
            </w:r>
          </w:p>
        </w:tc>
        <w:tc>
          <w:tcPr>
            <w:tcW w:w="24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249,353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Effective December 20, 2024, Kirk Ways, M.D., a member of the Board of Directors, began serving as the Company’s interim Chief Medical Officer pursuant to a consulting agreement. During the year ended December 31, 2025, the Company recognized compensation expense of $0.6 million, which is included in research and development expenses on the statement of operations and comprehensive loss.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Agreement with Avenue Capital</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January 7, 2026 (the “Closing Date”), the Company entered into a Loan and Security Agreement (the “Loan and Security Agreement”) and a Supplement to the Loan and Security Agreement (together with the Loan and Security Agreement, the “Loan Agreement”), with Avenue Capital Management II, L.P., as administrative agent and collateral agent (the “Agent”) and Avenue Venture Opportunities Fund II, L.P., as lender (the “Lender”, together with Agent, “Avenue Capital”). As of the date hereof, $15.0 million has been funded under the Loan Agreement.</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Loan Agreement makes available to the Company term loans in an aggregate principal amount of up to $50.0 million with (i) $15.0 million funded within 5 business days after the Closing Date (“Tranche 1”), (ii) up to $10.0 million to be made available to the Company between March 1, 2026 and September 30, 2026, subject to, among other things, the Company’s achievement of a key regulatory milestone related to the Company’s development of TA-ERT for the treatment of MPS IIIB (“Tranche 2”) and (iii) up to $15.0 million to be made available to the Company between September 1, 2026 and March 31, 2027, subject to, among other things, the Company’s achievement of an additional key regulatory milestone with respect to the Company’s development of TA-ERT for the treatment of MPS IIIB (“Tranche 3”). The Lender may make additional term loans of up to an additional $10.0 million (the “Discretionary Tranche 4” and collectively with Tranche 1, Tranche 2 and Tranche 3, the “Loans”), to be funded between October 1, 2027 and June 30, 2028, subject to, among other things, (i) the Company’s achievement of a certain commercial milestone and (ii) the mutual written agreement of the Company and the Lender (upon the Lender’s investment committee approval). The Loans bear interest at an annual rate equal to the greater of (x) the sum of 5.25% plus the prime rate as reported in The Wall Street Journal and (y) 12.25%. The Loans are secured by a lien upon and security interest in all of the Company’s assets, including intellectual property, subject to agreed exceptions. The maturity date of the Loans is July 1, 2029 (the “Maturity Date”). The Loan Agreement does not contain any minimum cash requirement or other financial covenants.</w:t>
      </w:r>
    </w:p>
    <w:p>
      <w:pPr>
        <w:spacing w:after="0" w:line="8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will make interest only payments on the Loans until the 12-month anniversary of the Closing Date, subject to (i) a 6-month extension, so long as at least $5.0 million from Tranche 2 has been funded and (ii) an additional 12-month extension if the Company achieves the Tranche 3 milestone. The Loan principal is repayable in equal monthly installments from the end of interest only period to the Maturity Date.</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may, at its option at any time, prepay the Loans in their entirety by paying the then-outstanding principal balance and all accrued and unpaid interest on the Loans, subject to a prepayment fee equal to (i) 3.0% of the principal amount outstanding if the prepayment occurs on or prior to the first anniversary following the Closing Date, (ii) 2.0% of the principal amount outstanding if the prepayment occurs after the first anniversary following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Closing Date, but on or prior to the second anniversary following the Closing Date, and (iii) 1.0% of the principal amount outstanding if the prepayment occurs after the second anniversary following the Closing Date. The Company will pay a final payment of 4.00% of the aggregate commitment amounts for Tranche 1, Tranche 2 and Tranche 3, which shall be increased to include the commitment amount of Discretionary Tranche 4 upon the funding of such tranche, on the earlier of (x) the Maturity Date and (y) the date that the Company prepays all of the outstanding principal amount of the Loans in full. On the Closing Date, the Company paid the Lender a commitment fee of $0.4 million.</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covenants, including covenants by the Company limiting, among other things, additional indebtedness, liens, guaranties, mergers and consolidations, substantial asset sales, investments and loans, certain corporate changes, transactions with affiliates and fundamental changes. The Loan Agreement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Loan Agreement and (ii) exercise any other right or remedy provided by contract or applicable law including a foreclosure on our assets.</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Pursuant to the Loan Agreement, upon and following the filing of this Annual Report, the Lender will have the right to convert up to $4.0 million of the outstanding principal of the Loans (the “Conversion Option”) at a price per share equal to 120% of the exercise price of the 2026 Warrant (further discussed below), subject to certain terms and conditions, including beneficial ownership limitations.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subject to applicable law, the Lender may participate in certain equity financing transactions of the Company in an aggregate amount of up to $1.0 million on the same terms, conditions and pricing offered by the Company to other investors participating in such financing transaction (such right, the “Participation Right”). The Participation Right terminates upon the earlier of the Maturity Date and the repayment in full of all of the obligations under the Loan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Loans, the Company will issue to the Lender a warrant (the “2026 Warrant”) to purchase up to $3.2 million worth of shares of the Company’s common stock upon the filing of this Annual Report. The 2026 Warrant will expire on January 31, 2031 (the “Expiration Date”) and is anticipated to have an exercise price per share equal the lower of (i) the 5-day daily volume-weighted average price of common stock, determined for the five (5) consecutive trading days immediately preceding the date of issuance, (ii) the 5-day daily volume-weighted average price of common stock, determined for the five (5) consecutive trading days prior to December 3, 2025 or (iii) the price per share of the Company’s next bona fide round of equity financing before June 30, 2026 for the purposes of raising capital, provided that any exercise of such 2026 Warrant is subject to certain beneficial ownership limitations. In addition, upon a change of control, the Lender is entitled to receive the shares of the Company's common stock underlying the 2026 Warrant without payment of the exercise price. In the event a change of control occurs prior to the issuance of the 2026 Warrant, the Company will pay Lender a success fee of $6.4 million in lieu of issuing the 2026 Warrant (the “Success Fee”). The obligation to pay the Lender the Success Fee shall terminate upon the issuance of the 2026 Warrant.</w:t>
      </w:r>
    </w:p>
    <w:p>
      <w:pPr>
        <w:spacing w:after="0" w:line="8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Lender may exercise the 2026 Warrant at any time, or from time to time up to and including the Expiration Date, by making a cash payment equal to the exercise price multiplied by the quantity of shares. The Lender may also exercise the 2026 Warrant on a cashless basis by receiving a net number of shares calculated pursuant to the formula set forth in the 2026 Warrant. The 2026 Warrant will be subject to anti-dilution adjustments for stock dividends, stock splits, and reverse stock splits.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Securities and Exchange Commission's (“SEC’s”) rules and forms, and that such information is accumulated and communicated to the Company’s management, including its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2025.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in the United States.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our management assessed the effectiveness of our internal control over financial reporting using the criteria set forth by the Committee of Sponsoring Organizations of the Treadway Commission in Internal Control-Integrated Framework (2013). Based on this assessment, our management concluded that, as of December 31, 2025, our internal control over financial reporting was effective based on those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due to an exemption established by the JOBS Act because we qualify as a “non-accelerated filer” (i.e., we do not qualify as either an “accelerated filer” or a “large accelerated filer” as defined in Rule 12b-2 under the Exchange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2025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are no disclosures required by this Item 9B relating to “Rule 10b5-1 trading arrangements” and “non-Rule 10b5-1 trading arrangements,” as those terms are defined in Item 408 of Regulation S-K.</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2026 Annual Meeting of the Stockholders, or the 2026 Annual Meeting, has been tentatively scheduled to occur on May 21, 2026. The time and location of the 2026 Annual Meeting, and the matters to be considered, will be as set forth in our definitive proxy statement to be filed on Schedule 14A with the SEC for the 2026 Annual Meeting.</w:t>
      </w:r>
    </w:p>
    <w:p>
      <w:pPr>
        <w:spacing w:after="0" w:line="6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date of our 2026 Annual Meeting will have changed by more than 30 days from the anniversary of our 2025 Annual Meeting of the Stockholders. In accordance with Rule 14a-5(f) and Rule 14a-8(e) under the Exchange Act, we will consider shareholder proposals submitted pursuant to Rule 14a-8 for inclusion in our proxy materials for the 2026 Annual Meeting to have been submitted in a timely fashion if such proposals are received by us no later than March 19, 2026. Any proposal intended to be considered for inclusion in our proxy materials must comply with Rule 14a-8 of Regulation 14A of the proxy rules of the SEC. Such proposals should be delivered to 611 Gateway Boulevard, Suite 740, South San Francisco, California 94080, Attention: Corporate Secretary. The submission of a proposal does not guarantee that it will be included in our proxy materials.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in light of the foregoing and in accordance with Rule 14a-5(e)(2) and Rule 14a-5(f) under the Exchange Act, in order for shareholder proposals submitted outside of Rule 14a-8 in connection with the 2026 Annual Meeting to be considered timely for purposes of Rule 14(a)-4(c) under the Exchange Act, such proposals must be received by us no later than March 19, 2026. Such proposals should be delivered to our 611 Gateway Boulevard, Suite 740, South San Francisco, California 94080, Attention: Corporate Secretary. Proposals must comply with the procedures and include the information required by our bylaws.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“Proposal 1 Election of Directors” and “Information Regarding the Board and Corporate Governance” in the Company’s definitive Proxy Statement for its 2026 Annual Stockholder Meeting, to be filed with the SEC within 120 days after December 31, 2025,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Insider Trading Policy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a Code of Conduct that applies to all our employees, officers and directors. This includes our principal executive officer, principal financial officer and principal accounting officer or controller, or persons performing similar functions. The full text of our Code of Conduct is posted on our website at www.sprucebio.com. The information on our website is not incorporated by reference into this Annual Report or our Proxy Statement.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w:t>
      </w:r>
    </w:p>
    <w:p>
      <w:pPr>
        <w:spacing w:after="0" w:line="7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 copy of the Insider Trading Policy is filed as an exhibit to this Annual Report. In addition, it is our practice to comply with the applicable laws and regulations relating to insider trading.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 to furnish the Company with copies of all Section 16(a) forms they file.</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Due to administrative delays, Dr. Szwarcberg failed to timely file one Form 4 report reflecting the effect of an option repricing on an outstanding option grant. Due to administrative delays, Dr. Ways failed to timely file one Form 4 report reflecting the effect of an option repricing on outstanding options and the vesting and net settlement of certain RSUs.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“Executive Compensation” and “Information Regarding the Board and Corporate Governance” in the Company’s definitive Proxy Statement for its 2026 Annual Stockholder Meeting, to be filed with the SEC within 120 days after December 31, 2025,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“Security Ownership of Certain Beneficial Owners and Management” and “Equity Compensation Plan Information” in the Company’s definitive Proxy Statement for its 2026 Annual Stockholder Meeting, to be filed with the SEC within 120 days after December 31, 2025,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“Transactions with Related Persons and Indemnification” and “Information Regarding the Board and Corporate Governance” in the Company’s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definitive Proxy Statement for its 2026 Annual Stockholder Meeting, to be filed with the SEC within 120 days after December 31, 2025,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“Principal Accountant Fees and Services” in the Company’s definitive Proxy Statement for its 2026 Annual Stockholder Meeting, to be filed with the SEC within 120 days after December 31, 2025, and is incorporated herein by reference.</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113" w:lineRule="exact"/>
        <w:rPr>
          <w:rFonts w:ascii="Times New Roman" w:cs="Times New Roman" w:eastAsia="Times New Roman" w:hAnsi="Times New Roman"/>
          <w:sz w:val="18"/>
          <w:szCs w:val="18"/>
          <w:color w:val="auto"/>
        </w:rPr>
      </w:pPr>
    </w:p>
    <w:p>
      <w:pPr>
        <w:ind w:left="1420" w:hanging="514"/>
        <w:spacing w:after="0"/>
        <w:tabs>
          <w:tab w:leader="none" w:pos="142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are included in Item 8. “Financial Statements and Supplementary Data.”</w:t>
      </w:r>
    </w:p>
    <w:p>
      <w:pPr>
        <w:spacing w:after="0" w:line="113" w:lineRule="exact"/>
        <w:rPr>
          <w:rFonts w:ascii="Times New Roman" w:cs="Times New Roman" w:eastAsia="Times New Roman" w:hAnsi="Times New Roman"/>
          <w:sz w:val="18"/>
          <w:szCs w:val="18"/>
          <w:b w:val="1"/>
          <w:bCs w:val="1"/>
          <w:color w:val="auto"/>
        </w:rPr>
      </w:pPr>
    </w:p>
    <w:p>
      <w:pPr>
        <w:ind w:left="1420" w:hanging="514"/>
        <w:spacing w:after="0"/>
        <w:tabs>
          <w:tab w:leader="none" w:pos="142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rFonts w:ascii="Times New Roman" w:cs="Times New Roman" w:eastAsia="Times New Roman" w:hAnsi="Times New Roman"/>
          <w:sz w:val="18"/>
          <w:szCs w:val="18"/>
          <w:b w:val="1"/>
          <w:bCs w:val="1"/>
          <w:color w:val="auto"/>
        </w:rPr>
      </w:pPr>
    </w:p>
    <w:p>
      <w:pPr>
        <w:ind w:left="142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schedules are omitted as information required is inapplicable or the information is presented in the financial statements and the related notes.</w:t>
      </w:r>
    </w:p>
    <w:p>
      <w:pPr>
        <w:spacing w:after="0" w:line="49" w:lineRule="exact"/>
        <w:rPr>
          <w:rFonts w:ascii="Times New Roman" w:cs="Times New Roman" w:eastAsia="Times New Roman" w:hAnsi="Times New Roman"/>
          <w:sz w:val="18"/>
          <w:szCs w:val="18"/>
          <w:b w:val="1"/>
          <w:bCs w:val="1"/>
          <w:color w:val="auto"/>
        </w:rPr>
      </w:pPr>
    </w:p>
    <w:p>
      <w:pPr>
        <w:ind w:left="1420" w:hanging="514"/>
        <w:spacing w:after="0"/>
        <w:tabs>
          <w:tab w:leader="none" w:pos="1420"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is a list of exhibits filed with this Annual Report incorporated herein by reference (numbered in accordance with Item</w:t>
      </w:r>
    </w:p>
    <w:p>
      <w:pPr>
        <w:spacing w:after="0" w:line="38"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601 of Regulation S-K):</w:t>
      </w:r>
    </w:p>
    <w:p>
      <w:pPr>
        <w:sectPr>
          <w:pgSz w:w="11900" w:h="16838" w:orient="portrait"/>
          <w:cols w:equalWidth="0" w:num="1">
            <w:col w:w="11240"/>
          </w:cols>
          <w:pgMar w:left="320" w:top="769" w:right="339" w:bottom="1440" w:gutter="0" w:footer="0" w:header="0"/>
        </w:sectPr>
      </w:pPr>
    </w:p>
    <w:p>
      <w:pPr>
        <w:spacing w:after="0" w:line="2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426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3.3</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4.2</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4.3</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4.4</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4.5</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4.6</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4.7</w:t>
      </w:r>
    </w:p>
    <w:p>
      <w:pPr>
        <w:spacing w:after="0" w:line="22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4.8</w:t>
      </w:r>
    </w:p>
    <w:p>
      <w:pPr>
        <w:spacing w:after="0" w:line="7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4.9</w:t>
      </w:r>
    </w:p>
    <w:p>
      <w:pPr>
        <w:spacing w:after="0" w:line="7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10.1+</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33775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04">
        <w:r>
          <w:rPr>
            <w:rFonts w:ascii="Times New Roman" w:cs="Times New Roman" w:eastAsia="Times New Roman" w:hAnsi="Times New Roman"/>
            <w:sz w:val="18"/>
            <w:szCs w:val="18"/>
            <w:u w:val="single" w:color="auto"/>
            <w:color w:val="0000FF"/>
          </w:rPr>
          <w:t>Amended and Restated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3444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2344420" cy="8255"/>
                    </a:xfrm>
                    <a:prstGeom prst="rect">
                      <a:avLst/>
                    </a:prstGeom>
                    <a:noFill/>
                  </pic:spPr>
                </pic:pic>
              </a:graphicData>
            </a:graphic>
          </wp:anchor>
        </w:drawing>
      </w:r>
    </w:p>
    <w:p>
      <w:pPr>
        <w:spacing w:after="0" w:line="1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06">
        <w:r>
          <w:rPr>
            <w:rFonts w:ascii="Times New Roman" w:cs="Times New Roman" w:eastAsia="Times New Roman" w:hAnsi="Times New Roman"/>
            <w:sz w:val="18"/>
            <w:szCs w:val="18"/>
            <w:u w:val="single" w:color="auto"/>
            <w:color w:val="0000FF"/>
          </w:rPr>
          <w:t>Certificate of Amendment of the Amended and Restated Certificate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32423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3242310" cy="8255"/>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06">
        <w:r>
          <w:rPr>
            <w:rFonts w:ascii="Times New Roman" w:cs="Times New Roman" w:eastAsia="Times New Roman" w:hAnsi="Times New Roman"/>
            <w:sz w:val="18"/>
            <w:szCs w:val="18"/>
            <w:u w:val="single" w:color="auto"/>
            <w:color w:val="0000FF"/>
          </w:rPr>
          <w:t>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166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line="1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09">
        <w:r>
          <w:rPr>
            <w:rFonts w:ascii="Times New Roman" w:cs="Times New Roman" w:eastAsia="Times New Roman" w:hAnsi="Times New Roman"/>
            <w:sz w:val="18"/>
            <w:szCs w:val="18"/>
            <w:u w:val="single" w:color="auto"/>
            <w:color w:val="0000FF"/>
          </w:rPr>
          <w:t>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4306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11">
        <w:r>
          <w:rPr>
            <w:rFonts w:ascii="Times New Roman" w:cs="Times New Roman" w:eastAsia="Times New Roman" w:hAnsi="Times New Roman"/>
            <w:sz w:val="18"/>
            <w:szCs w:val="18"/>
            <w:u w:val="single" w:color="auto"/>
            <w:color w:val="0000FF"/>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65290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1652905" cy="8890"/>
                    </a:xfrm>
                    <a:prstGeom prst="rect">
                      <a:avLst/>
                    </a:prstGeom>
                    <a:noFill/>
                  </pic:spPr>
                </pic:pic>
              </a:graphicData>
            </a:graphic>
          </wp:anchor>
        </w:drawing>
      </w:r>
    </w:p>
    <w:p>
      <w:pPr>
        <w:spacing w:after="0" w:line="16" w:lineRule="exact"/>
        <w:rPr>
          <w:sz w:val="20"/>
          <w:szCs w:val="20"/>
          <w:color w:val="auto"/>
        </w:rPr>
      </w:pPr>
    </w:p>
    <w:p>
      <w:pPr>
        <w:ind w:right="420"/>
        <w:spacing w:after="0" w:line="273" w:lineRule="auto"/>
        <w:rPr>
          <w:rFonts w:ascii="Times New Roman" w:cs="Times New Roman" w:eastAsia="Times New Roman" w:hAnsi="Times New Roman"/>
          <w:sz w:val="18"/>
          <w:szCs w:val="18"/>
          <w:u w:val="single" w:color="auto"/>
          <w:color w:val="0000FF"/>
        </w:rPr>
      </w:pPr>
      <w:hyperlink r:id="rId413">
        <w:r>
          <w:rPr>
            <w:rFonts w:ascii="Times New Roman" w:cs="Times New Roman" w:eastAsia="Times New Roman" w:hAnsi="Times New Roman"/>
            <w:sz w:val="18"/>
            <w:szCs w:val="18"/>
            <w:u w:val="single" w:color="auto"/>
            <w:color w:val="0000FF"/>
          </w:rPr>
          <w:t>Certificate of Designation of Preferences, Rights and Limitations of</w:t>
        </w:r>
      </w:hyperlink>
      <w:r>
        <w:rPr>
          <w:rFonts w:ascii="Times New Roman" w:cs="Times New Roman" w:eastAsia="Times New Roman" w:hAnsi="Times New Roman"/>
          <w:sz w:val="18"/>
          <w:szCs w:val="18"/>
          <w:u w:val="single" w:color="auto"/>
          <w:color w:val="0000FF"/>
        </w:rPr>
        <w:t xml:space="preserve"> </w:t>
      </w:r>
      <w:hyperlink r:id="rId413">
        <w:r>
          <w:rPr>
            <w:rFonts w:ascii="Times New Roman" w:cs="Times New Roman" w:eastAsia="Times New Roman" w:hAnsi="Times New Roman"/>
            <w:sz w:val="18"/>
            <w:szCs w:val="18"/>
            <w:u w:val="single" w:color="auto"/>
            <w:color w:val="0000FF"/>
          </w:rPr>
          <w:t>Series A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-175260</wp:posOffset>
            </wp:positionV>
            <wp:extent cx="312864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-38100</wp:posOffset>
            </wp:positionV>
            <wp:extent cx="11328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416">
        <w:r>
          <w:rPr>
            <w:rFonts w:ascii="Times New Roman" w:cs="Times New Roman" w:eastAsia="Times New Roman" w:hAnsi="Times New Roman"/>
            <w:sz w:val="18"/>
            <w:szCs w:val="18"/>
            <w:u w:val="single" w:color="auto"/>
            <w:color w:val="0000FF"/>
          </w:rPr>
          <w:t>Description of Common Stock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1799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2179955" cy="889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18">
        <w:r>
          <w:rPr>
            <w:rFonts w:ascii="Times New Roman" w:cs="Times New Roman" w:eastAsia="Times New Roman" w:hAnsi="Times New Roman"/>
            <w:sz w:val="18"/>
            <w:szCs w:val="18"/>
            <w:u w:val="single" w:color="auto"/>
            <w:color w:val="0000FF"/>
          </w:rPr>
          <w:t>Form of 2023 Common Stock Purchase Warrant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2148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2214880" cy="8255"/>
                    </a:xfrm>
                    <a:prstGeom prst="rect">
                      <a:avLst/>
                    </a:prstGeom>
                    <a:noFill/>
                  </pic:spPr>
                </pic:pic>
              </a:graphicData>
            </a:graphic>
          </wp:anchor>
        </w:drawing>
      </w:r>
    </w:p>
    <w:p>
      <w:pPr>
        <w:spacing w:after="0" w:line="1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20">
        <w:r>
          <w:rPr>
            <w:rFonts w:ascii="Times New Roman" w:cs="Times New Roman" w:eastAsia="Times New Roman" w:hAnsi="Times New Roman"/>
            <w:sz w:val="18"/>
            <w:szCs w:val="18"/>
            <w:u w:val="single" w:color="auto"/>
            <w:color w:val="0000FF"/>
          </w:rPr>
          <w:t>Form of 2025 Pre-Funded Warrant to Purchase Common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89433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9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422">
        <w:r>
          <w:rPr>
            <w:rFonts w:ascii="Times New Roman" w:cs="Times New Roman" w:eastAsia="Times New Roman" w:hAnsi="Times New Roman"/>
            <w:sz w:val="17"/>
            <w:szCs w:val="17"/>
            <w:u w:val="single" w:color="auto"/>
            <w:color w:val="0000FF"/>
          </w:rPr>
          <w:t>Form of Amended 2025 Pre-Funded Warrant to Purchase Common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33667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336677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Amended and Restated 2025 Pre-Funded Warrant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326771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4">
                      <a:extLst>
                        <a:ext uri="{28A0092B-C50C-407E-A947-70E740481C1C}"/>
                      </a:extLst>
                    </a:blip>
                    <a:srcRect/>
                    <a:stretch>
                      <a:fillRect/>
                    </a:stretch>
                  </pic:blipFill>
                  <pic:spPr bwMode="auto">
                    <a:xfrm>
                      <a:off x="0" y="0"/>
                      <a:ext cx="32677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1437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426">
        <w:r>
          <w:rPr>
            <w:rFonts w:ascii="Times New Roman" w:cs="Times New Roman" w:eastAsia="Times New Roman" w:hAnsi="Times New Roman"/>
            <w:sz w:val="18"/>
            <w:szCs w:val="18"/>
            <w:u w:val="single" w:color="auto"/>
            <w:color w:val="0000FF"/>
          </w:rPr>
          <w:t>Form of Pre-Funded Warrant to Purchase Common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26371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263715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2026 Warrant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3609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2360930" cy="8255"/>
                    </a:xfrm>
                    <a:prstGeom prst="rect">
                      <a:avLst/>
                    </a:prstGeom>
                    <a:noFill/>
                  </pic:spPr>
                </pic:pic>
              </a:graphicData>
            </a:graphic>
          </wp:anchor>
        </w:drawing>
      </w:r>
    </w:p>
    <w:p>
      <w:pPr>
        <w:spacing w:after="0" w:line="97" w:lineRule="exact"/>
        <w:rPr>
          <w:sz w:val="20"/>
          <w:szCs w:val="20"/>
          <w:color w:val="auto"/>
        </w:rPr>
      </w:pPr>
    </w:p>
    <w:p>
      <w:pPr>
        <w:ind w:right="180"/>
        <w:spacing w:after="0" w:line="282" w:lineRule="auto"/>
        <w:rPr>
          <w:rFonts w:ascii="Times New Roman" w:cs="Times New Roman" w:eastAsia="Times New Roman" w:hAnsi="Times New Roman"/>
          <w:sz w:val="18"/>
          <w:szCs w:val="18"/>
          <w:u w:val="single" w:color="auto"/>
          <w:color w:val="0000FF"/>
        </w:rPr>
      </w:pPr>
      <w:hyperlink r:id="rId429">
        <w:r>
          <w:rPr>
            <w:rFonts w:ascii="Times New Roman" w:cs="Times New Roman" w:eastAsia="Times New Roman" w:hAnsi="Times New Roman"/>
            <w:sz w:val="18"/>
            <w:szCs w:val="18"/>
            <w:u w:val="single" w:color="auto"/>
            <w:color w:val="0000FF"/>
          </w:rPr>
          <w:t>Spruce Biosciences, Inc. Amended and Restated 2016 Equity Incentive</w:t>
        </w:r>
      </w:hyperlink>
      <w:r>
        <w:rPr>
          <w:rFonts w:ascii="Times New Roman" w:cs="Times New Roman" w:eastAsia="Times New Roman" w:hAnsi="Times New Roman"/>
          <w:sz w:val="18"/>
          <w:szCs w:val="18"/>
          <w:u w:val="single" w:color="auto"/>
          <w:color w:val="0000FF"/>
        </w:rPr>
        <w:t xml:space="preserve"> </w:t>
      </w:r>
      <w:hyperlink r:id="rId429">
        <w:r>
          <w:rPr>
            <w:rFonts w:ascii="Times New Roman" w:cs="Times New Roman" w:eastAsia="Times New Roman" w:hAnsi="Times New Roman"/>
            <w:sz w:val="18"/>
            <w:szCs w:val="18"/>
            <w:u w:val="single" w:color="auto"/>
            <w:color w:val="0000FF"/>
          </w:rPr>
          <w:t>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328358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32835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3177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jc w:val="both"/>
        <w:ind w:right="80"/>
        <w:spacing w:after="0" w:line="266" w:lineRule="auto"/>
        <w:rPr>
          <w:rFonts w:ascii="Times New Roman" w:cs="Times New Roman" w:eastAsia="Times New Roman" w:hAnsi="Times New Roman"/>
          <w:sz w:val="18"/>
          <w:szCs w:val="18"/>
          <w:u w:val="single" w:color="auto"/>
          <w:color w:val="0000FF"/>
        </w:rPr>
      </w:pPr>
      <w:hyperlink r:id="rId432">
        <w:r>
          <w:rPr>
            <w:rFonts w:ascii="Times New Roman" w:cs="Times New Roman" w:eastAsia="Times New Roman" w:hAnsi="Times New Roman"/>
            <w:sz w:val="18"/>
            <w:szCs w:val="18"/>
            <w:u w:val="single" w:color="auto"/>
            <w:color w:val="0000FF"/>
          </w:rPr>
          <w:t>Forms of Grant Notice, Stock Option Agreement and Notice of Exercise</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under the Spruce Biosciences, Inc. Amended and Restated 2016 Equity</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Incentive Plan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33375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333756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-175895</wp:posOffset>
            </wp:positionV>
            <wp:extent cx="32867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32867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68516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436">
        <w:r>
          <w:rPr>
            <w:rFonts w:ascii="Times New Roman" w:cs="Times New Roman" w:eastAsia="Times New Roman" w:hAnsi="Times New Roman"/>
            <w:sz w:val="18"/>
            <w:szCs w:val="18"/>
            <w:u w:val="single" w:color="auto"/>
            <w:color w:val="0000FF"/>
          </w:rPr>
          <w:t>Spruce Biosciences, Inc. 2020 Equity Incentive Plan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-7620</wp:posOffset>
            </wp:positionV>
            <wp:extent cx="239839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2398395" cy="889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37"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95"/>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55"/>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3.1</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October 14, 2020</w:t>
            </w:r>
          </w:p>
        </w:tc>
      </w:tr>
      <w:tr>
        <w:trPr>
          <w:trHeight w:val="28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3.1</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July 24, 2025</w:t>
            </w:r>
          </w:p>
        </w:tc>
      </w:tr>
      <w:tr>
        <w:trPr>
          <w:trHeight w:val="43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3.2</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October 14, 2020</w:t>
            </w:r>
          </w:p>
        </w:tc>
      </w:tr>
      <w:tr>
        <w:trPr>
          <w:trHeight w:val="28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4.1</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October 5, 2020</w:t>
            </w:r>
          </w:p>
        </w:tc>
      </w:tr>
      <w:tr>
        <w:trPr>
          <w:trHeight w:val="28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3.1</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43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4.4</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28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4.2</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February 9, 2023</w:t>
            </w:r>
          </w:p>
        </w:tc>
      </w:tr>
      <w:tr>
        <w:trPr>
          <w:trHeight w:val="297"/>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4.7</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April 15, 2025</w:t>
            </w:r>
          </w:p>
        </w:tc>
      </w:tr>
      <w:tr>
        <w:trPr>
          <w:trHeight w:val="32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4.2</w:t>
            </w:r>
          </w:p>
        </w:tc>
        <w:tc>
          <w:tcPr>
            <w:tcW w:w="14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August 14, 2025</w:t>
            </w:r>
          </w:p>
        </w:tc>
      </w:tr>
      <w:tr>
        <w:trPr>
          <w:trHeight w:val="310"/>
        </w:trPr>
        <w:tc>
          <w:tcPr>
            <w:tcW w:w="960" w:type="dxa"/>
            <w:vAlign w:val="bottom"/>
          </w:tcPr>
          <w:p>
            <w:pPr>
              <w:spacing w:after="0"/>
              <w:rPr>
                <w:sz w:val="24"/>
                <w:szCs w:val="24"/>
                <w:color w:val="auto"/>
              </w:rPr>
            </w:pPr>
          </w:p>
        </w:tc>
        <w:tc>
          <w:tcPr>
            <w:tcW w:w="2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Filed herewith</w:t>
            </w:r>
          </w:p>
        </w:tc>
        <w:tc>
          <w:tcPr>
            <w:tcW w:w="1420" w:type="dxa"/>
            <w:vAlign w:val="bottom"/>
          </w:tcPr>
          <w:p>
            <w:pPr>
              <w:spacing w:after="0"/>
              <w:rPr>
                <w:sz w:val="24"/>
                <w:szCs w:val="24"/>
                <w:color w:val="auto"/>
              </w:rPr>
            </w:pPr>
          </w:p>
        </w:tc>
      </w:tr>
      <w:tr>
        <w:trPr>
          <w:trHeight w:val="43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4.1</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October 8, 2025</w:t>
            </w:r>
          </w:p>
        </w:tc>
      </w:tr>
      <w:tr>
        <w:trPr>
          <w:trHeight w:val="283"/>
        </w:trPr>
        <w:tc>
          <w:tcPr>
            <w:tcW w:w="960" w:type="dxa"/>
            <w:vAlign w:val="bottom"/>
          </w:tcPr>
          <w:p>
            <w:pPr>
              <w:spacing w:after="0"/>
              <w:rPr>
                <w:sz w:val="24"/>
                <w:szCs w:val="24"/>
                <w:color w:val="auto"/>
              </w:rPr>
            </w:pPr>
          </w:p>
        </w:tc>
        <w:tc>
          <w:tcPr>
            <w:tcW w:w="2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Filed herewith</w:t>
            </w:r>
          </w:p>
        </w:tc>
        <w:tc>
          <w:tcPr>
            <w:tcW w:w="1420" w:type="dxa"/>
            <w:vAlign w:val="bottom"/>
          </w:tcPr>
          <w:p>
            <w:pPr>
              <w:spacing w:after="0"/>
              <w:rPr>
                <w:sz w:val="24"/>
                <w:szCs w:val="24"/>
                <w:color w:val="auto"/>
              </w:rPr>
            </w:pPr>
          </w:p>
        </w:tc>
      </w:tr>
      <w:tr>
        <w:trPr>
          <w:trHeight w:val="265"/>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65"/>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2020</w:t>
            </w:r>
          </w:p>
        </w:tc>
      </w:tr>
      <w:tr>
        <w:trPr>
          <w:trHeight w:val="50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10.3</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October 5, 2020</w:t>
            </w:r>
          </w:p>
        </w:tc>
      </w:tr>
    </w:tbl>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760" w:space="380"/>
            <w:col w:w="5300" w:space="140"/>
            <w:col w:w="4660"/>
          </w:cols>
          <w:pgMar w:left="320" w:top="769" w:right="339" w:bottom="1440" w:gutter="0" w:footer="0" w:header="0"/>
          <w:type w:val="continuous"/>
        </w:sectPr>
      </w:pPr>
    </w:p>
    <w:p>
      <w:pPr>
        <w:spacing w:after="0" w:line="24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10.4+</w:t>
            </w:r>
          </w:p>
        </w:tc>
        <w:tc>
          <w:tcPr>
            <w:tcW w:w="52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Forms of Grant Notice, Stock Option Agreement and Notice of Exercise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under the Spruce Biosciences, Inc. 2020 Equity Incentive Plan</w:t>
              </w:r>
            </w:hyperlink>
          </w:p>
        </w:tc>
        <w:tc>
          <w:tcPr>
            <w:tcW w:w="7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10.5+</w:t>
            </w:r>
          </w:p>
        </w:tc>
        <w:tc>
          <w:tcPr>
            <w:tcW w:w="49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Forms of Restricted Stock Unit Grant Notice and Award Agreement</w:t>
              </w:r>
            </w:hyperlink>
          </w:p>
        </w:tc>
        <w:tc>
          <w:tcPr>
            <w:tcW w:w="3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5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441">
              <w:r>
                <w:rPr>
                  <w:rFonts w:ascii="Times New Roman" w:cs="Times New Roman" w:eastAsia="Times New Roman" w:hAnsi="Times New Roman"/>
                  <w:sz w:val="18"/>
                  <w:szCs w:val="18"/>
                  <w:color w:val="0000FF"/>
                  <w:w w:val="99"/>
                </w:rPr>
                <w:t>under the Spruce Biosciences, Inc. 2020 Equity Incentive Plan</w:t>
              </w:r>
            </w:hyperlink>
          </w:p>
        </w:tc>
        <w:tc>
          <w:tcPr>
            <w:tcW w:w="8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10.6+</w:t>
            </w:r>
          </w:p>
        </w:tc>
        <w:tc>
          <w:tcPr>
            <w:tcW w:w="4500" w:type="dxa"/>
            <w:vAlign w:val="bottom"/>
            <w:tcBorders>
              <w:bottom w:val="single" w:sz="8" w:color="0000EE"/>
            </w:tcBorders>
            <w:gridSpan w:val="21"/>
          </w:tcPr>
          <w:p>
            <w:pPr>
              <w:spacing w:after="0"/>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Spruce Biosciences, Inc. 2020 Employee Stock Purchase Plan</w:t>
              </w:r>
            </w:hyperlink>
          </w:p>
        </w:tc>
        <w:tc>
          <w:tcPr>
            <w:tcW w:w="80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10.7+</w:t>
            </w:r>
          </w:p>
        </w:tc>
        <w:tc>
          <w:tcPr>
            <w:tcW w:w="51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Spruce Biosciences, Inc. 2020 Employee Stock Purchase Plan Offering</w:t>
              </w:r>
            </w:hyperlink>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443">
              <w:r>
                <w:rPr>
                  <w:rFonts w:ascii="Times New Roman" w:cs="Times New Roman" w:eastAsia="Times New Roman" w:hAnsi="Times New Roman"/>
                  <w:sz w:val="18"/>
                  <w:szCs w:val="18"/>
                  <w:color w:val="0000FF"/>
                  <w:w w:val="98"/>
                </w:rPr>
                <w:t>Document</w:t>
              </w:r>
            </w:hyperlink>
          </w:p>
        </w:tc>
        <w:tc>
          <w:tcPr>
            <w:tcW w:w="40" w:type="dxa"/>
            <w:vAlign w:val="bottom"/>
            <w:tcBorders>
              <w:bottom w:val="single" w:sz="8" w:color="0000EE"/>
            </w:tcBorders>
          </w:tcPr>
          <w:p>
            <w:pPr>
              <w:spacing w:after="0"/>
              <w:rPr>
                <w:sz w:val="17"/>
                <w:szCs w:val="17"/>
                <w:color w:val="auto"/>
              </w:rPr>
            </w:pPr>
          </w:p>
        </w:tc>
        <w:tc>
          <w:tcPr>
            <w:tcW w:w="45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10.8+</w:t>
            </w:r>
          </w:p>
        </w:tc>
        <w:tc>
          <w:tcPr>
            <w:tcW w:w="50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Form of Stock Option Grant Notice, Option Agreement and Notice of</w:t>
              </w:r>
            </w:hyperlink>
          </w:p>
        </w:tc>
        <w:tc>
          <w:tcPr>
            <w:tcW w:w="2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1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Exercise for Inducement Grant Outside of the Spruce Biosciences, Inc.</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00" w:type="dxa"/>
            <w:vAlign w:val="bottom"/>
            <w:gridSpan w:val="35"/>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2020 Equity Incentive Plan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10.9+</w:t>
            </w:r>
          </w:p>
        </w:tc>
        <w:tc>
          <w:tcPr>
            <w:tcW w:w="51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Spruce Biosciences, Inc. 2020 Non-Employee Director Compensation</w:t>
            </w:r>
          </w:p>
        </w:tc>
        <w:tc>
          <w:tcPr>
            <w:tcW w:w="2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0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Policy, as amended on December 11, 2025</w:t>
            </w:r>
          </w:p>
        </w:tc>
        <w:tc>
          <w:tcPr>
            <w:tcW w:w="20" w:type="dxa"/>
            <w:vAlign w:val="bottom"/>
            <w:tcBorders>
              <w:bottom w:val="single" w:sz="8" w:color="0000EE"/>
            </w:tcBorders>
          </w:tcPr>
          <w:p>
            <w:pPr>
              <w:spacing w:after="0"/>
              <w:rPr>
                <w:sz w:val="17"/>
                <w:szCs w:val="17"/>
                <w:color w:val="auto"/>
              </w:rPr>
            </w:pPr>
          </w:p>
        </w:tc>
        <w:tc>
          <w:tcPr>
            <w:tcW w:w="22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10.10+</w:t>
            </w:r>
          </w:p>
        </w:tc>
        <w:tc>
          <w:tcPr>
            <w:tcW w:w="53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445">
              <w:r>
                <w:rPr>
                  <w:rFonts w:ascii="Times New Roman" w:cs="Times New Roman" w:eastAsia="Times New Roman" w:hAnsi="Times New Roman"/>
                  <w:sz w:val="18"/>
                  <w:szCs w:val="18"/>
                  <w:color w:val="0000FF"/>
                  <w:w w:val="99"/>
                </w:rPr>
                <w:t>Form of Indemnification Agreement by and between the registrant and its</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00" w:type="dxa"/>
            <w:vAlign w:val="bottom"/>
            <w:gridSpan w:val="35"/>
          </w:tcPr>
          <w:p>
            <w:pPr>
              <w:spacing w:after="0" w:line="196" w:lineRule="exact"/>
              <w:rPr>
                <w:rFonts w:ascii="Times New Roman" w:cs="Times New Roman" w:eastAsia="Times New Roman" w:hAnsi="Times New Roman"/>
                <w:sz w:val="18"/>
                <w:szCs w:val="18"/>
                <w:color w:val="0000FF"/>
              </w:rPr>
            </w:pPr>
            <w:hyperlink r:id="rId445">
              <w:r>
                <w:rPr>
                  <w:rFonts w:ascii="Times New Roman" w:cs="Times New Roman" w:eastAsia="Times New Roman" w:hAnsi="Times New Roman"/>
                  <w:sz w:val="18"/>
                  <w:szCs w:val="18"/>
                  <w:color w:val="0000FF"/>
                </w:rPr>
                <w:t>directors and executive officers</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10.11+</w:t>
            </w:r>
          </w:p>
        </w:tc>
        <w:tc>
          <w:tcPr>
            <w:tcW w:w="4640" w:type="dxa"/>
            <w:vAlign w:val="bottom"/>
            <w:tcBorders>
              <w:bottom w:val="single" w:sz="8" w:color="0000EE"/>
            </w:tcBorders>
            <w:gridSpan w:val="23"/>
          </w:tcPr>
          <w:p>
            <w:pPr>
              <w:spacing w:after="0"/>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Spruce Biosciences, Inc. Severance and Change in Control Plan</w:t>
              </w:r>
            </w:hyperlink>
          </w:p>
        </w:tc>
        <w:tc>
          <w:tcPr>
            <w:tcW w:w="66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10.12+¥</w:t>
            </w:r>
          </w:p>
        </w:tc>
        <w:tc>
          <w:tcPr>
            <w:tcW w:w="53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447">
              <w:r>
                <w:rPr>
                  <w:rFonts w:ascii="Times New Roman" w:cs="Times New Roman" w:eastAsia="Times New Roman" w:hAnsi="Times New Roman"/>
                  <w:sz w:val="18"/>
                  <w:szCs w:val="18"/>
                  <w:color w:val="0000FF"/>
                  <w:w w:val="99"/>
                </w:rPr>
                <w:t>Offer Letter, by and between the registrant and Samir Gharib, dated April</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447">
              <w:r>
                <w:rPr>
                  <w:rFonts w:ascii="Times New Roman" w:cs="Times New Roman" w:eastAsia="Times New Roman" w:hAnsi="Times New Roman"/>
                  <w:sz w:val="18"/>
                  <w:szCs w:val="18"/>
                  <w:color w:val="0000FF"/>
                  <w:w w:val="96"/>
                </w:rPr>
                <w:t>8, 2020</w:t>
              </w:r>
            </w:hyperlink>
          </w:p>
        </w:tc>
        <w:tc>
          <w:tcPr>
            <w:tcW w:w="20" w:type="dxa"/>
            <w:vAlign w:val="bottom"/>
            <w:tcBorders>
              <w:bottom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10.13+</w:t>
            </w:r>
          </w:p>
        </w:tc>
        <w:tc>
          <w:tcPr>
            <w:tcW w:w="53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448">
              <w:r>
                <w:rPr>
                  <w:rFonts w:ascii="Times New Roman" w:cs="Times New Roman" w:eastAsia="Times New Roman" w:hAnsi="Times New Roman"/>
                  <w:sz w:val="18"/>
                  <w:szCs w:val="18"/>
                  <w:color w:val="0000FF"/>
                  <w:w w:val="99"/>
                </w:rPr>
                <w:t>Letter Agreement, by and between the registrant and Michael Grey, dated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448">
              <w:r>
                <w:rPr>
                  <w:rFonts w:ascii="Times New Roman" w:cs="Times New Roman" w:eastAsia="Times New Roman" w:hAnsi="Times New Roman"/>
                  <w:sz w:val="18"/>
                  <w:szCs w:val="18"/>
                  <w:color w:val="0000FF"/>
                </w:rPr>
                <w:t>March 24, 2017</w:t>
              </w:r>
            </w:hyperlink>
          </w:p>
        </w:tc>
        <w:tc>
          <w:tcPr>
            <w:tcW w:w="41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10.14+</w:t>
            </w:r>
          </w:p>
        </w:tc>
        <w:tc>
          <w:tcPr>
            <w:tcW w:w="46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Letter Agreement, by and between the registrant and Camilla V.</w:t>
              </w:r>
            </w:hyperlink>
          </w:p>
        </w:tc>
        <w:tc>
          <w:tcPr>
            <w:tcW w:w="64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Simpson, dated October 11, 2017</w:t>
              </w:r>
            </w:hyperlink>
          </w:p>
        </w:tc>
        <w:tc>
          <w:tcPr>
            <w:tcW w:w="28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10.15+</w:t>
            </w:r>
          </w:p>
        </w:tc>
        <w:tc>
          <w:tcPr>
            <w:tcW w:w="53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Letter Agreement, by and between the registrant and Daniel Spiegelman,</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50">
              <w:r>
                <w:rPr>
                  <w:rFonts w:ascii="Times New Roman" w:cs="Times New Roman" w:eastAsia="Times New Roman" w:hAnsi="Times New Roman"/>
                  <w:sz w:val="18"/>
                  <w:szCs w:val="18"/>
                  <w:color w:val="0000FF"/>
                  <w:w w:val="99"/>
                </w:rPr>
                <w:t>dated August 31, 2020</w:t>
              </w:r>
            </w:hyperlink>
          </w:p>
        </w:tc>
        <w:tc>
          <w:tcPr>
            <w:tcW w:w="20" w:type="dxa"/>
            <w:vAlign w:val="bottom"/>
            <w:tcBorders>
              <w:bottom w:val="single" w:sz="8" w:color="0000EE"/>
            </w:tcBorders>
          </w:tcPr>
          <w:p>
            <w:pPr>
              <w:spacing w:after="0"/>
              <w:rPr>
                <w:sz w:val="17"/>
                <w:szCs w:val="17"/>
                <w:color w:val="auto"/>
              </w:rPr>
            </w:pPr>
          </w:p>
        </w:tc>
        <w:tc>
          <w:tcPr>
            <w:tcW w:w="36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10.16+</w:t>
            </w:r>
          </w:p>
        </w:tc>
        <w:tc>
          <w:tcPr>
            <w:tcW w:w="53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Offer Letter, by and between the registrant and Javier Szwarcberg, M.D.,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3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51">
              <w:r>
                <w:rPr>
                  <w:rFonts w:ascii="Times New Roman" w:cs="Times New Roman" w:eastAsia="Times New Roman" w:hAnsi="Times New Roman"/>
                  <w:sz w:val="18"/>
                  <w:szCs w:val="18"/>
                  <w:color w:val="0000FF"/>
                  <w:w w:val="99"/>
                </w:rPr>
                <w:t>MPH, dated December 29, 2021</w:t>
              </w:r>
            </w:hyperlink>
          </w:p>
        </w:tc>
        <w:tc>
          <w:tcPr>
            <w:tcW w:w="20" w:type="dxa"/>
            <w:vAlign w:val="bottom"/>
            <w:tcBorders>
              <w:bottom w:val="single" w:sz="8" w:color="0000EE"/>
            </w:tcBorders>
          </w:tcPr>
          <w:p>
            <w:pPr>
              <w:spacing w:after="0"/>
              <w:rPr>
                <w:sz w:val="17"/>
                <w:szCs w:val="17"/>
                <w:color w:val="auto"/>
              </w:rPr>
            </w:pPr>
          </w:p>
        </w:tc>
        <w:tc>
          <w:tcPr>
            <w:tcW w:w="29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10.17+</w:t>
            </w:r>
          </w:p>
        </w:tc>
        <w:tc>
          <w:tcPr>
            <w:tcW w:w="50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Amendment to Offer Letter, by and between the registrant and Javier</w:t>
              </w:r>
            </w:hyperlink>
          </w:p>
        </w:tc>
        <w:tc>
          <w:tcPr>
            <w:tcW w:w="2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3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452">
              <w:r>
                <w:rPr>
                  <w:rFonts w:ascii="Times New Roman" w:cs="Times New Roman" w:eastAsia="Times New Roman" w:hAnsi="Times New Roman"/>
                  <w:sz w:val="18"/>
                  <w:szCs w:val="18"/>
                  <w:color w:val="0000FF"/>
                  <w:w w:val="99"/>
                </w:rPr>
                <w:t>Szwarcberg, M.D., MPH, dated April 6, 2022</w:t>
              </w:r>
            </w:hyperlink>
          </w:p>
        </w:tc>
        <w:tc>
          <w:tcPr>
            <w:tcW w:w="20" w:type="dxa"/>
            <w:vAlign w:val="bottom"/>
            <w:tcBorders>
              <w:bottom w:val="single" w:sz="8" w:color="0000EE"/>
            </w:tcBorders>
          </w:tcPr>
          <w:p>
            <w:pPr>
              <w:spacing w:after="0"/>
              <w:rPr>
                <w:sz w:val="17"/>
                <w:szCs w:val="17"/>
                <w:color w:val="auto"/>
              </w:rPr>
            </w:pPr>
          </w:p>
        </w:tc>
        <w:tc>
          <w:tcPr>
            <w:tcW w:w="19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10.18#</w:t>
            </w:r>
          </w:p>
        </w:tc>
        <w:tc>
          <w:tcPr>
            <w:tcW w:w="49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License Agreement, by and between the registrant and Eli Lilly and</w:t>
              </w:r>
            </w:hyperlink>
          </w:p>
        </w:tc>
        <w:tc>
          <w:tcPr>
            <w:tcW w:w="3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00" w:type="dxa"/>
            <w:vAlign w:val="bottom"/>
            <w:gridSpan w:val="35"/>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Company, dated May 2, 2016</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80" w:type="dxa"/>
            <w:vAlign w:val="bottom"/>
            <w:tcBorders>
              <w:right w:val="single" w:sz="8" w:color="0000FF"/>
            </w:tcBorders>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10.19</w:t>
            </w:r>
          </w:p>
        </w:tc>
        <w:tc>
          <w:tcPr>
            <w:tcW w:w="53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454">
              <w:r>
                <w:rPr>
                  <w:rFonts w:ascii="Times New Roman" w:cs="Times New Roman" w:eastAsia="Times New Roman" w:hAnsi="Times New Roman"/>
                  <w:sz w:val="18"/>
                  <w:szCs w:val="18"/>
                  <w:color w:val="0000FF"/>
                  <w:w w:val="99"/>
                </w:rPr>
                <w:t>Lease Agreement, by and between the registrant and 611 Gateway Center</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00" w:type="dxa"/>
            <w:vAlign w:val="bottom"/>
            <w:gridSpan w:val="35"/>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LP, dated December 1, 2022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80" w:type="dxa"/>
            <w:vAlign w:val="bottom"/>
            <w:tcBorders>
              <w:right w:val="single" w:sz="8" w:color="0000EE"/>
            </w:tcBorders>
            <w:gridSpan w:val="9"/>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10.20#</w:t>
            </w:r>
          </w:p>
        </w:tc>
        <w:tc>
          <w:tcPr>
            <w:tcW w:w="53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Collaboration and License Agreement, by and between the registrant and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455">
              <w:r>
                <w:rPr>
                  <w:rFonts w:ascii="Times New Roman" w:cs="Times New Roman" w:eastAsia="Times New Roman" w:hAnsi="Times New Roman"/>
                  <w:sz w:val="18"/>
                  <w:szCs w:val="18"/>
                  <w:color w:val="0000FF"/>
                  <w:w w:val="99"/>
                </w:rPr>
                <w:t>Kaken Pharmaceutical Co., LTD., dated January 5, 2023</w:t>
              </w:r>
            </w:hyperlink>
          </w:p>
        </w:tc>
        <w:tc>
          <w:tcPr>
            <w:tcW w:w="1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10.21</w:t>
            </w:r>
          </w:p>
        </w:tc>
        <w:tc>
          <w:tcPr>
            <w:tcW w:w="51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Securities Purchase Agreement, dated February 8, 2023, by and among</w:t>
              </w:r>
            </w:hyperlink>
          </w:p>
        </w:tc>
        <w:tc>
          <w:tcPr>
            <w:tcW w:w="14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3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the registrant and the Purchasers</w:t>
              </w:r>
            </w:hyperlink>
          </w:p>
        </w:tc>
        <w:tc>
          <w:tcPr>
            <w:tcW w:w="29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10.22#</w:t>
            </w:r>
          </w:p>
        </w:tc>
        <w:tc>
          <w:tcPr>
            <w:tcW w:w="52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Exclusive License Agreement, dated October 22, 2019, by and between</w:t>
              </w:r>
            </w:hyperlink>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940" w:type="dxa"/>
            <w:vAlign w:val="bottom"/>
            <w:vMerge w:val="continue"/>
          </w:tcPr>
          <w:p>
            <w:pPr>
              <w:spacing w:after="0"/>
              <w:rPr>
                <w:sz w:val="5"/>
                <w:szCs w:val="5"/>
                <w:color w:val="auto"/>
              </w:rPr>
            </w:pPr>
          </w:p>
        </w:tc>
        <w:tc>
          <w:tcPr>
            <w:tcW w:w="3600" w:type="dxa"/>
            <w:vAlign w:val="bottom"/>
            <w:gridSpan w:val="19"/>
            <w:vMerge w:val="restart"/>
          </w:tcPr>
          <w:p>
            <w:pPr>
              <w:spacing w:after="0" w:line="196" w:lineRule="exact"/>
              <w:rPr>
                <w:rFonts w:ascii="Times New Roman" w:cs="Times New Roman" w:eastAsia="Times New Roman" w:hAnsi="Times New Roman"/>
                <w:sz w:val="18"/>
                <w:szCs w:val="18"/>
                <w:color w:val="0000FF"/>
                <w:w w:val="99"/>
              </w:rPr>
            </w:pPr>
            <w:hyperlink r:id="rId457">
              <w:r>
                <w:rPr>
                  <w:rFonts w:ascii="Times New Roman" w:cs="Times New Roman" w:eastAsia="Times New Roman" w:hAnsi="Times New Roman"/>
                  <w:sz w:val="18"/>
                  <w:szCs w:val="18"/>
                  <w:color w:val="0000FF"/>
                  <w:w w:val="99"/>
                </w:rPr>
                <w:t>BioMarin Pharmaceutical Inc. and Allievex Corp.</w:t>
              </w:r>
            </w:hyperlink>
          </w:p>
        </w:tc>
        <w:tc>
          <w:tcPr>
            <w:tcW w:w="1700" w:type="dxa"/>
            <w:vAlign w:val="bottom"/>
            <w:gridSpan w:val="16"/>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40" w:type="dxa"/>
            <w:vAlign w:val="bottom"/>
          </w:tcPr>
          <w:p>
            <w:pPr>
              <w:spacing w:after="0"/>
              <w:rPr>
                <w:sz w:val="11"/>
                <w:szCs w:val="11"/>
                <w:color w:val="auto"/>
              </w:rPr>
            </w:pPr>
          </w:p>
        </w:tc>
        <w:tc>
          <w:tcPr>
            <w:tcW w:w="3600" w:type="dxa"/>
            <w:vAlign w:val="bottom"/>
            <w:tcBorders>
              <w:bottom w:val="single" w:sz="8" w:color="0000FF"/>
            </w:tcBorders>
            <w:gridSpan w:val="19"/>
            <w:vMerge w:val="continue"/>
          </w:tcPr>
          <w:p>
            <w:pPr>
              <w:spacing w:after="0"/>
              <w:rPr>
                <w:sz w:val="11"/>
                <w:szCs w:val="11"/>
                <w:color w:val="auto"/>
              </w:rPr>
            </w:pPr>
          </w:p>
        </w:tc>
        <w:tc>
          <w:tcPr>
            <w:tcW w:w="1700" w:type="dxa"/>
            <w:vAlign w:val="bottom"/>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9"/>
        </w:trPr>
        <w:tc>
          <w:tcPr>
            <w:tcW w:w="940" w:type="dxa"/>
            <w:vAlign w:val="bottom"/>
          </w:tcPr>
          <w:p>
            <w:pPr>
              <w:spacing w:after="0"/>
              <w:rPr>
                <w:sz w:val="24"/>
                <w:szCs w:val="24"/>
                <w:color w:val="auto"/>
              </w:rPr>
            </w:pPr>
          </w:p>
        </w:tc>
        <w:tc>
          <w:tcPr>
            <w:tcW w:w="4640" w:type="dxa"/>
            <w:vAlign w:val="bottom"/>
            <w:gridSpan w:val="23"/>
          </w:tcPr>
          <w:p>
            <w:pPr>
              <w:ind w:left="434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10.4</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83"/>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March 16, 2023</w:t>
            </w:r>
          </w:p>
        </w:tc>
      </w:tr>
      <w:tr>
        <w:trPr>
          <w:trHeight w:val="499"/>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October 5, 2020</w:t>
            </w:r>
          </w:p>
        </w:tc>
      </w:tr>
      <w:tr>
        <w:trPr>
          <w:trHeight w:val="283"/>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March 22, 2021</w:t>
            </w:r>
          </w:p>
        </w:tc>
      </w:tr>
      <w:tr>
        <w:trPr>
          <w:trHeight w:val="500"/>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January 5, 2022</w:t>
            </w:r>
          </w:p>
        </w:tc>
      </w:tr>
      <w:tr>
        <w:trPr>
          <w:trHeight w:val="715"/>
        </w:trPr>
        <w:tc>
          <w:tcPr>
            <w:tcW w:w="720" w:type="dxa"/>
            <w:vAlign w:val="bottom"/>
          </w:tcPr>
          <w:p>
            <w:pPr>
              <w:spacing w:after="0"/>
              <w:rPr>
                <w:sz w:val="24"/>
                <w:szCs w:val="24"/>
                <w:color w:val="auto"/>
              </w:rPr>
            </w:pPr>
          </w:p>
        </w:tc>
        <w:tc>
          <w:tcPr>
            <w:tcW w:w="2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Filed herewith</w:t>
            </w:r>
          </w:p>
        </w:tc>
        <w:tc>
          <w:tcPr>
            <w:tcW w:w="1380" w:type="dxa"/>
            <w:vAlign w:val="bottom"/>
          </w:tcPr>
          <w:p>
            <w:pPr>
              <w:spacing w:after="0"/>
              <w:rPr>
                <w:sz w:val="24"/>
                <w:szCs w:val="24"/>
                <w:color w:val="auto"/>
              </w:rPr>
            </w:pPr>
          </w:p>
        </w:tc>
      </w:tr>
      <w:tr>
        <w:trPr>
          <w:trHeight w:val="481"/>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10.7</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65"/>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10.9</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65"/>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10.16</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65"/>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10.18</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65"/>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10.19</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65"/>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10.20</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83"/>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January 5, 2022</w:t>
            </w:r>
          </w:p>
        </w:tc>
      </w:tr>
      <w:tr>
        <w:trPr>
          <w:trHeight w:val="500"/>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April 8, 2022</w:t>
            </w:r>
          </w:p>
        </w:tc>
      </w:tr>
      <w:tr>
        <w:trPr>
          <w:trHeight w:val="481"/>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333-248924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10.22</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18,</w:t>
            </w:r>
          </w:p>
        </w:tc>
      </w:tr>
      <w:tr>
        <w:trPr>
          <w:trHeight w:val="234"/>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65"/>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December 2,</w:t>
            </w:r>
          </w:p>
        </w:tc>
      </w:tr>
      <w:tr>
        <w:trPr>
          <w:trHeight w:val="234"/>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83"/>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10.27</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March 16, 2023</w:t>
            </w:r>
          </w:p>
        </w:tc>
      </w:tr>
      <w:tr>
        <w:trPr>
          <w:trHeight w:val="500"/>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February 8, 2023</w:t>
            </w:r>
          </w:p>
        </w:tc>
      </w:tr>
      <w:tr>
        <w:trPr>
          <w:trHeight w:val="500"/>
        </w:trPr>
        <w:tc>
          <w:tcPr>
            <w:tcW w:w="7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10.27</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April 15, 2025</w:t>
            </w:r>
          </w:p>
        </w:tc>
      </w:tr>
    </w:tbl>
    <w:p>
      <w:pPr>
        <w:sectPr>
          <w:pgSz w:w="11900" w:h="16838" w:orient="portrait"/>
          <w:cols w:equalWidth="0" w:num="2">
            <w:col w:w="6440" w:space="380"/>
            <w:col w:w="4380"/>
          </w:cols>
          <w:pgMar w:left="320" w:top="769" w:right="3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88"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9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10.23#</w:t>
            </w:r>
          </w:p>
        </w:tc>
        <w:tc>
          <w:tcPr>
            <w:tcW w:w="51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Collaboration and License Agreement, dated January 15, 2025, by and</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960" w:type="dxa"/>
            <w:vAlign w:val="bottom"/>
            <w:vMerge w:val="continue"/>
          </w:tcPr>
          <w:p>
            <w:pPr>
              <w:spacing w:after="0"/>
              <w:rPr>
                <w:sz w:val="5"/>
                <w:szCs w:val="5"/>
                <w:color w:val="auto"/>
              </w:rPr>
            </w:pPr>
          </w:p>
        </w:tc>
        <w:tc>
          <w:tcPr>
            <w:tcW w:w="4180" w:type="dxa"/>
            <w:vAlign w:val="bottom"/>
            <w:gridSpan w:val="13"/>
            <w:vMerge w:val="restart"/>
          </w:tcPr>
          <w:p>
            <w:pPr>
              <w:spacing w:after="0" w:line="196" w:lineRule="exact"/>
              <w:rPr>
                <w:rFonts w:ascii="Times New Roman" w:cs="Times New Roman" w:eastAsia="Times New Roman" w:hAnsi="Times New Roman"/>
                <w:sz w:val="18"/>
                <w:szCs w:val="18"/>
                <w:color w:val="0000FF"/>
                <w:w w:val="99"/>
              </w:rPr>
            </w:pPr>
            <w:hyperlink r:id="rId460">
              <w:r>
                <w:rPr>
                  <w:rFonts w:ascii="Times New Roman" w:cs="Times New Roman" w:eastAsia="Times New Roman" w:hAnsi="Times New Roman"/>
                  <w:sz w:val="18"/>
                  <w:szCs w:val="18"/>
                  <w:color w:val="0000FF"/>
                  <w:w w:val="99"/>
                </w:rPr>
                <w:t>between the registrant and HBM Alpha Therapeutics, Inc.</w:t>
              </w:r>
            </w:hyperlink>
          </w:p>
        </w:tc>
        <w:tc>
          <w:tcPr>
            <w:tcW w:w="1140" w:type="dxa"/>
            <w:vAlign w:val="bottom"/>
            <w:gridSpan w:val="13"/>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tcPr>
          <w:p>
            <w:pPr>
              <w:spacing w:after="0"/>
              <w:rPr>
                <w:sz w:val="11"/>
                <w:szCs w:val="11"/>
                <w:color w:val="auto"/>
              </w:rPr>
            </w:pPr>
          </w:p>
        </w:tc>
        <w:tc>
          <w:tcPr>
            <w:tcW w:w="4180" w:type="dxa"/>
            <w:vAlign w:val="bottom"/>
            <w:tcBorders>
              <w:bottom w:val="single" w:sz="8" w:color="0000FF"/>
            </w:tcBorders>
            <w:gridSpan w:val="13"/>
            <w:vMerge w:val="continue"/>
          </w:tcPr>
          <w:p>
            <w:pPr>
              <w:spacing w:after="0"/>
              <w:rPr>
                <w:sz w:val="11"/>
                <w:szCs w:val="11"/>
                <w:color w:val="auto"/>
              </w:rPr>
            </w:pPr>
          </w:p>
        </w:tc>
        <w:tc>
          <w:tcPr>
            <w:tcW w:w="114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10.24</w:t>
            </w:r>
          </w:p>
        </w:tc>
        <w:tc>
          <w:tcPr>
            <w:tcW w:w="52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Form of Securities Purchase Agreement, dated October 7, 2025, by and</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960" w:type="dxa"/>
            <w:vAlign w:val="bottom"/>
            <w:vMerge w:val="continue"/>
          </w:tcPr>
          <w:p>
            <w:pPr>
              <w:spacing w:after="0"/>
              <w:rPr>
                <w:sz w:val="5"/>
                <w:szCs w:val="5"/>
                <w:color w:val="auto"/>
              </w:rPr>
            </w:pPr>
          </w:p>
        </w:tc>
        <w:tc>
          <w:tcPr>
            <w:tcW w:w="2880" w:type="dxa"/>
            <w:vAlign w:val="bottom"/>
            <w:gridSpan w:val="8"/>
            <w:vMerge w:val="restart"/>
          </w:tcPr>
          <w:p>
            <w:pPr>
              <w:spacing w:after="0" w:line="196" w:lineRule="exact"/>
              <w:rPr>
                <w:rFonts w:ascii="Times New Roman" w:cs="Times New Roman" w:eastAsia="Times New Roman" w:hAnsi="Times New Roman"/>
                <w:sz w:val="18"/>
                <w:szCs w:val="18"/>
                <w:color w:val="0000FF"/>
                <w:w w:val="99"/>
              </w:rPr>
            </w:pPr>
            <w:hyperlink r:id="rId461">
              <w:r>
                <w:rPr>
                  <w:rFonts w:ascii="Times New Roman" w:cs="Times New Roman" w:eastAsia="Times New Roman" w:hAnsi="Times New Roman"/>
                  <w:sz w:val="18"/>
                  <w:szCs w:val="18"/>
                  <w:color w:val="0000FF"/>
                  <w:w w:val="99"/>
                </w:rPr>
                <w:t>among the registrant and the Purchasers</w:t>
              </w:r>
            </w:hyperlink>
          </w:p>
        </w:tc>
        <w:tc>
          <w:tcPr>
            <w:tcW w:w="20" w:type="dxa"/>
            <w:vAlign w:val="bottom"/>
            <w:vMerge w:val="restart"/>
          </w:tcPr>
          <w:p>
            <w:pPr>
              <w:spacing w:after="0"/>
              <w:rPr>
                <w:sz w:val="5"/>
                <w:szCs w:val="5"/>
                <w:color w:val="auto"/>
              </w:rPr>
            </w:pPr>
          </w:p>
        </w:tc>
        <w:tc>
          <w:tcPr>
            <w:tcW w:w="2420" w:type="dxa"/>
            <w:vAlign w:val="bottom"/>
            <w:gridSpan w:val="17"/>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tcPr>
          <w:p>
            <w:pPr>
              <w:spacing w:after="0"/>
              <w:rPr>
                <w:sz w:val="11"/>
                <w:szCs w:val="11"/>
                <w:color w:val="auto"/>
              </w:rPr>
            </w:pPr>
          </w:p>
        </w:tc>
        <w:tc>
          <w:tcPr>
            <w:tcW w:w="2880" w:type="dxa"/>
            <w:vAlign w:val="bottom"/>
            <w:tcBorders>
              <w:bottom w:val="single" w:sz="8" w:color="0000FF"/>
            </w:tcBorders>
            <w:gridSpan w:val="8"/>
            <w:vMerge w:val="continue"/>
          </w:tcPr>
          <w:p>
            <w:pPr>
              <w:spacing w:after="0"/>
              <w:rPr>
                <w:sz w:val="11"/>
                <w:szCs w:val="11"/>
                <w:color w:val="auto"/>
              </w:rPr>
            </w:pPr>
          </w:p>
        </w:tc>
        <w:tc>
          <w:tcPr>
            <w:tcW w:w="20" w:type="dxa"/>
            <w:vAlign w:val="bottom"/>
            <w:tcBorders>
              <w:bottom w:val="single" w:sz="8" w:color="0000EE"/>
            </w:tcBorders>
            <w:vMerge w:val="continue"/>
          </w:tcPr>
          <w:p>
            <w:pPr>
              <w:spacing w:after="0"/>
              <w:rPr>
                <w:sz w:val="11"/>
                <w:szCs w:val="11"/>
                <w:color w:val="auto"/>
              </w:rPr>
            </w:pPr>
          </w:p>
        </w:tc>
        <w:tc>
          <w:tcPr>
            <w:tcW w:w="242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10.25</w:t>
            </w:r>
          </w:p>
        </w:tc>
        <w:tc>
          <w:tcPr>
            <w:tcW w:w="5280" w:type="dxa"/>
            <w:vAlign w:val="bottom"/>
            <w:tcBorders>
              <w:bottom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Purchase Agreement, dated May 28, 2025, by and between the registrant</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60" w:type="dxa"/>
            <w:vAlign w:val="bottom"/>
            <w:vMerge w:val="continue"/>
          </w:tcPr>
          <w:p>
            <w:pPr>
              <w:spacing w:after="0"/>
              <w:rPr>
                <w:sz w:val="5"/>
                <w:szCs w:val="5"/>
                <w:color w:val="auto"/>
              </w:rPr>
            </w:pPr>
          </w:p>
        </w:tc>
        <w:tc>
          <w:tcPr>
            <w:tcW w:w="2340" w:type="dxa"/>
            <w:vAlign w:val="bottom"/>
            <w:gridSpan w:val="7"/>
            <w:vMerge w:val="restart"/>
          </w:tcPr>
          <w:p>
            <w:pPr>
              <w:spacing w:after="0" w:line="196" w:lineRule="exact"/>
              <w:rPr>
                <w:rFonts w:ascii="Times New Roman" w:cs="Times New Roman" w:eastAsia="Times New Roman" w:hAnsi="Times New Roman"/>
                <w:sz w:val="18"/>
                <w:szCs w:val="18"/>
                <w:color w:val="0000FF"/>
                <w:w w:val="99"/>
              </w:rPr>
            </w:pPr>
            <w:hyperlink r:id="rId462">
              <w:r>
                <w:rPr>
                  <w:rFonts w:ascii="Times New Roman" w:cs="Times New Roman" w:eastAsia="Times New Roman" w:hAnsi="Times New Roman"/>
                  <w:sz w:val="18"/>
                  <w:szCs w:val="18"/>
                  <w:color w:val="0000FF"/>
                  <w:w w:val="99"/>
                </w:rPr>
                <w:t>and the purchaser named therein</w:t>
              </w:r>
            </w:hyperlink>
          </w:p>
        </w:tc>
        <w:tc>
          <w:tcPr>
            <w:tcW w:w="2980" w:type="dxa"/>
            <w:vAlign w:val="bottom"/>
            <w:gridSpan w:val="19"/>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tcPr>
          <w:p>
            <w:pPr>
              <w:spacing w:after="0"/>
              <w:rPr>
                <w:sz w:val="11"/>
                <w:szCs w:val="11"/>
                <w:color w:val="auto"/>
              </w:rPr>
            </w:pPr>
          </w:p>
        </w:tc>
        <w:tc>
          <w:tcPr>
            <w:tcW w:w="2340" w:type="dxa"/>
            <w:vAlign w:val="bottom"/>
            <w:tcBorders>
              <w:bottom w:val="single" w:sz="8" w:color="0000FF"/>
            </w:tcBorders>
            <w:gridSpan w:val="7"/>
            <w:vMerge w:val="continue"/>
          </w:tcPr>
          <w:p>
            <w:pPr>
              <w:spacing w:after="0"/>
              <w:rPr>
                <w:sz w:val="11"/>
                <w:szCs w:val="11"/>
                <w:color w:val="auto"/>
              </w:rPr>
            </w:pPr>
          </w:p>
        </w:tc>
        <w:tc>
          <w:tcPr>
            <w:tcW w:w="2980" w:type="dxa"/>
            <w:vAlign w:val="bottom"/>
            <w:gridSpan w:val="1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10.26</w:t>
            </w:r>
          </w:p>
        </w:tc>
        <w:tc>
          <w:tcPr>
            <w:tcW w:w="5100" w:type="dxa"/>
            <w:vAlign w:val="bottom"/>
            <w:tcBorders>
              <w:bottom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Loan and Security Agreement, dated January 7, 2026, by and between</w:t>
              </w:r>
            </w:hyperlink>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60" w:type="dxa"/>
            <w:vAlign w:val="bottom"/>
            <w:vMerge w:val="continue"/>
          </w:tcPr>
          <w:p>
            <w:pPr>
              <w:spacing w:after="0"/>
              <w:rPr>
                <w:sz w:val="5"/>
                <w:szCs w:val="5"/>
                <w:color w:val="auto"/>
              </w:rPr>
            </w:pPr>
          </w:p>
        </w:tc>
        <w:tc>
          <w:tcPr>
            <w:tcW w:w="5280" w:type="dxa"/>
            <w:vAlign w:val="bottom"/>
            <w:gridSpan w:val="24"/>
            <w:vMerge w:val="restart"/>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the registrant, Avenue Capital Management II, L.P. and Avenue Venture</w:t>
              </w:r>
            </w:hyperlink>
          </w:p>
        </w:tc>
        <w:tc>
          <w:tcPr>
            <w:tcW w:w="4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tcPr>
          <w:p>
            <w:pPr>
              <w:spacing w:after="0"/>
              <w:rPr>
                <w:sz w:val="11"/>
                <w:szCs w:val="11"/>
                <w:color w:val="auto"/>
              </w:rPr>
            </w:pPr>
          </w:p>
        </w:tc>
        <w:tc>
          <w:tcPr>
            <w:tcW w:w="5280" w:type="dxa"/>
            <w:vAlign w:val="bottom"/>
            <w:tcBorders>
              <w:bottom w:val="single" w:sz="8" w:color="0000FF"/>
            </w:tcBorders>
            <w:gridSpan w:val="24"/>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320" w:type="dxa"/>
            <w:vAlign w:val="bottom"/>
            <w:gridSpan w:val="26"/>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Opportunities Fund II, L.P.</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10.27</w:t>
            </w:r>
          </w:p>
        </w:tc>
        <w:tc>
          <w:tcPr>
            <w:tcW w:w="5300" w:type="dxa"/>
            <w:vAlign w:val="bottom"/>
            <w:tcBorders>
              <w:bottom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Supplement to the Loan and Security Agreement, dated January 7,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60" w:type="dxa"/>
            <w:vAlign w:val="bottom"/>
            <w:vMerge w:val="continue"/>
          </w:tcPr>
          <w:p>
            <w:pPr>
              <w:spacing w:after="0"/>
              <w:rPr>
                <w:sz w:val="5"/>
                <w:szCs w:val="5"/>
                <w:color w:val="auto"/>
              </w:rPr>
            </w:pPr>
          </w:p>
        </w:tc>
        <w:tc>
          <w:tcPr>
            <w:tcW w:w="5220" w:type="dxa"/>
            <w:vAlign w:val="bottom"/>
            <w:gridSpan w:val="22"/>
            <w:vMerge w:val="restart"/>
          </w:tcPr>
          <w:p>
            <w:pPr>
              <w:spacing w:after="0" w:line="196" w:lineRule="exact"/>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by and between the registrant, Avenue Capital Management II, L.P. and</w:t>
              </w:r>
            </w:hyperlink>
          </w:p>
        </w:tc>
        <w:tc>
          <w:tcPr>
            <w:tcW w:w="100" w:type="dxa"/>
            <w:vAlign w:val="bottom"/>
            <w:gridSpan w:val="4"/>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60" w:type="dxa"/>
            <w:vAlign w:val="bottom"/>
          </w:tcPr>
          <w:p>
            <w:pPr>
              <w:spacing w:after="0"/>
              <w:rPr>
                <w:sz w:val="11"/>
                <w:szCs w:val="11"/>
                <w:color w:val="auto"/>
              </w:rPr>
            </w:pPr>
          </w:p>
        </w:tc>
        <w:tc>
          <w:tcPr>
            <w:tcW w:w="5220" w:type="dxa"/>
            <w:vAlign w:val="bottom"/>
            <w:tcBorders>
              <w:bottom w:val="single" w:sz="8" w:color="0000FF"/>
            </w:tcBorders>
            <w:gridSpan w:val="22"/>
            <w:vMerge w:val="continue"/>
          </w:tcPr>
          <w:p>
            <w:pPr>
              <w:spacing w:after="0"/>
              <w:rPr>
                <w:sz w:val="11"/>
                <w:szCs w:val="11"/>
                <w:color w:val="auto"/>
              </w:rPr>
            </w:pPr>
          </w:p>
        </w:tc>
        <w:tc>
          <w:tcPr>
            <w:tcW w:w="1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2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64">
              <w:r>
                <w:rPr>
                  <w:rFonts w:ascii="Times New Roman" w:cs="Times New Roman" w:eastAsia="Times New Roman" w:hAnsi="Times New Roman"/>
                  <w:sz w:val="18"/>
                  <w:szCs w:val="18"/>
                  <w:color w:val="0000FF"/>
                  <w:w w:val="99"/>
                </w:rPr>
                <w:t>Avenue Venture Opportunities Fund II, L.P.</w:t>
              </w:r>
            </w:hyperlink>
          </w:p>
        </w:tc>
        <w:tc>
          <w:tcPr>
            <w:tcW w:w="21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19.1</w:t>
            </w:r>
          </w:p>
        </w:tc>
        <w:tc>
          <w:tcPr>
            <w:tcW w:w="5320" w:type="dxa"/>
            <w:vAlign w:val="bottom"/>
            <w:gridSpan w:val="26"/>
          </w:tcPr>
          <w:p>
            <w:pPr>
              <w:spacing w:after="0"/>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Insider Trading Policy</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23.1</w:t>
            </w:r>
          </w:p>
        </w:tc>
        <w:tc>
          <w:tcPr>
            <w:tcW w:w="5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Consent of BDO USA, P.C., independent registered public accounting</w:t>
            </w:r>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firm</w:t>
            </w:r>
          </w:p>
        </w:tc>
        <w:tc>
          <w:tcPr>
            <w:tcW w:w="20" w:type="dxa"/>
            <w:vAlign w:val="bottom"/>
            <w:tcBorders>
              <w:bottom w:val="single" w:sz="8" w:color="0000EE"/>
            </w:tcBorders>
          </w:tcPr>
          <w:p>
            <w:pPr>
              <w:spacing w:after="0"/>
              <w:rPr>
                <w:sz w:val="17"/>
                <w:szCs w:val="17"/>
                <w:color w:val="auto"/>
              </w:rPr>
            </w:pPr>
          </w:p>
        </w:tc>
        <w:tc>
          <w:tcPr>
            <w:tcW w:w="49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24.1</w:t>
            </w: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Power of Attorney (see signature pages)</w:t>
            </w:r>
          </w:p>
        </w:tc>
        <w:tc>
          <w:tcPr>
            <w:tcW w:w="20" w:type="dxa"/>
            <w:vAlign w:val="bottom"/>
            <w:tcBorders>
              <w:bottom w:val="single" w:sz="8" w:color="0000EE"/>
            </w:tcBorders>
          </w:tcPr>
          <w:p>
            <w:pPr>
              <w:spacing w:after="0"/>
              <w:rPr>
                <w:sz w:val="22"/>
                <w:szCs w:val="22"/>
                <w:color w:val="auto"/>
              </w:rPr>
            </w:pPr>
          </w:p>
        </w:tc>
        <w:tc>
          <w:tcPr>
            <w:tcW w:w="240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31.1</w:t>
            </w:r>
          </w:p>
        </w:tc>
        <w:tc>
          <w:tcPr>
            <w:tcW w:w="52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2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0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31.2</w:t>
            </w:r>
          </w:p>
        </w:tc>
        <w:tc>
          <w:tcPr>
            <w:tcW w:w="51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1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2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0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32.1†</w:t>
            </w:r>
          </w:p>
        </w:tc>
        <w:tc>
          <w:tcPr>
            <w:tcW w:w="47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54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32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3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3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5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97</w:t>
            </w:r>
          </w:p>
        </w:tc>
        <w:tc>
          <w:tcPr>
            <w:tcW w:w="32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466">
              <w:r>
                <w:rPr>
                  <w:rFonts w:ascii="Times New Roman" w:cs="Times New Roman" w:eastAsia="Times New Roman" w:hAnsi="Times New Roman"/>
                  <w:sz w:val="18"/>
                  <w:szCs w:val="18"/>
                  <w:color w:val="0000FF"/>
                  <w:w w:val="99"/>
                </w:rPr>
                <w:t>Incentive Compensation Recoupment Policy</w:t>
              </w:r>
            </w:hyperlink>
          </w:p>
        </w:tc>
        <w:tc>
          <w:tcPr>
            <w:tcW w:w="210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101.INS</w:t>
            </w:r>
          </w:p>
        </w:tc>
        <w:tc>
          <w:tcPr>
            <w:tcW w:w="53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65"/>
        </w:trPr>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101.SCH</w:t>
            </w:r>
          </w:p>
        </w:tc>
        <w:tc>
          <w:tcPr>
            <w:tcW w:w="53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532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40" w:right="660" w:hanging="767"/>
        <w:spacing w:after="0" w:line="282" w:lineRule="auto"/>
        <w:tabs>
          <w:tab w:leader="none" w:pos="11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80"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001-39594</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10.28</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500"/>
        </w:trPr>
        <w:tc>
          <w:tcPr>
            <w:tcW w:w="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001-39594</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October 8, 2025</w:t>
            </w:r>
          </w:p>
        </w:tc>
        <w:tc>
          <w:tcPr>
            <w:tcW w:w="0" w:type="dxa"/>
            <w:vAlign w:val="bottom"/>
          </w:tcPr>
          <w:p>
            <w:pPr>
              <w:spacing w:after="0"/>
              <w:rPr>
                <w:sz w:val="1"/>
                <w:szCs w:val="1"/>
                <w:color w:val="auto"/>
              </w:rPr>
            </w:pPr>
          </w:p>
        </w:tc>
      </w:tr>
      <w:tr>
        <w:trPr>
          <w:trHeight w:val="432"/>
        </w:trPr>
        <w:tc>
          <w:tcPr>
            <w:tcW w:w="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001-39594</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May 29, 2025</w:t>
            </w: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001-39594</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January 8, 2026</w:t>
            </w: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001-39594</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January 8, 2026</w:t>
            </w: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1"/>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001-39594</w:t>
            </w:r>
          </w:p>
        </w:tc>
        <w:tc>
          <w:tcPr>
            <w:tcW w:w="8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5"/>
              </w:rPr>
              <w:t>19.1</w:t>
            </w:r>
          </w:p>
        </w:tc>
        <w:tc>
          <w:tcPr>
            <w:tcW w:w="13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001-39594</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1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7"/>
              </w:rPr>
              <w:t>March 18, 2024</w:t>
            </w: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804" w:lineRule="exact"/>
        <w:rPr>
          <w:sz w:val="20"/>
          <w:szCs w:val="20"/>
          <w:color w:val="auto"/>
        </w:rPr>
      </w:pPr>
    </w:p>
    <w:p>
      <w:pPr>
        <w:sectPr>
          <w:pgSz w:w="11900" w:h="16838" w:orient="portrait"/>
          <w:cols w:equalWidth="0" w:num="2">
            <w:col w:w="6440" w:space="400"/>
            <w:col w:w="4340"/>
          </w:cols>
          <w:pgMar w:left="320" w:top="769" w:right="399" w:bottom="1440" w:gutter="0" w:footer="0" w:header="0"/>
        </w:sectPr>
      </w:pPr>
    </w:p>
    <w:p>
      <w:pPr>
        <w:ind w:right="80" w:firstLine="8"/>
        <w:spacing w:after="0" w:line="266" w:lineRule="auto"/>
        <w:tabs>
          <w:tab w:leader="none" w:pos="1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portions of this exhibit have been omitted by means of marking such portions with asterisks because the registrant has determined that the information is the type that the registrant customarily and actually treats as private or confidential and is not material.</w:t>
      </w:r>
    </w:p>
    <w:p>
      <w:pPr>
        <w:spacing w:after="0" w:line="68" w:lineRule="exact"/>
        <w:rPr>
          <w:sz w:val="20"/>
          <w:szCs w:val="20"/>
          <w:color w:val="auto"/>
        </w:rPr>
      </w:pPr>
    </w:p>
    <w:p>
      <w:pPr>
        <w:ind w:right="500" w:firstLine="8"/>
        <w:spacing w:after="0" w:line="282" w:lineRule="auto"/>
        <w:tabs>
          <w:tab w:leader="none" w:pos="1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registrant undertakes to furnish supplemental copies of any of the omitted schedules upon request by the SEC.</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8"/>
        <w:spacing w:after="0" w:line="266" w:lineRule="auto"/>
        <w:tabs>
          <w:tab w:leader="none" w:pos="1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Annual Report), unless the Registrant specifically incorporates the foregoing information into those documents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SPRUCE BIOSCIENCES,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March 9, 2026</w:t>
            </w:r>
          </w:p>
        </w:tc>
        <w:tc>
          <w:tcPr>
            <w:tcW w:w="27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Javier Szwarcberg, M.D., MPH</w:t>
            </w:r>
          </w:p>
        </w:tc>
      </w:tr>
      <w:tr>
        <w:trPr>
          <w:trHeight w:val="191"/>
        </w:trPr>
        <w:tc>
          <w:tcPr>
            <w:tcW w:w="33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Javier Szwarcberg, M.D., MPH</w:t>
            </w:r>
          </w:p>
        </w:tc>
      </w:tr>
      <w:tr>
        <w:trPr>
          <w:trHeight w:val="234"/>
        </w:trPr>
        <w:tc>
          <w:tcPr>
            <w:tcW w:w="3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80" w:firstLine="629"/>
        <w:spacing w:after="0" w:line="219" w:lineRule="exact"/>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Javier Szwarcberg, M.D., MPH and Samir Gharib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substitute or substitutes, may lawfully do or cause to be done by virtue hereof.</w:t>
      </w:r>
    </w:p>
    <w:p>
      <w:pPr>
        <w:spacing w:after="0" w:line="9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9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Javier Szwarcberg, M.D., MPH</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Javier Szwarcberg, M.D., MPH</w:t>
            </w:r>
          </w:p>
        </w:tc>
        <w:tc>
          <w:tcPr>
            <w:tcW w:w="12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Samir Gharib</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Samir Gharib</w:t>
            </w:r>
          </w:p>
        </w:tc>
        <w:tc>
          <w:tcPr>
            <w:tcW w:w="12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Michael Grey</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Chairman</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Grey</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Percival Barretto-Ko</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Percival Barretto-Ko</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Camilla V. Simpson, M.Sc.</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Camilla V. Simpson, M.Sc.</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Spiegelman</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Spiegelman</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Keli Walbert</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Keli Walbert</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Kirk Ways, M.D, Ph.D.</w:t>
            </w:r>
          </w:p>
        </w:tc>
        <w:tc>
          <w:tcPr>
            <w:tcW w:w="1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Kirk Ways, M.D,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846"/>
        </w:trPr>
        <w:tc>
          <w:tcPr>
            <w:tcW w:w="3720" w:type="dxa"/>
            <w:vAlign w:val="bottom"/>
          </w:tcPr>
          <w:p>
            <w:pPr>
              <w:spacing w:after="0"/>
              <w:rPr>
                <w:sz w:val="24"/>
                <w:szCs w:val="24"/>
                <w:color w:val="auto"/>
              </w:rPr>
            </w:pPr>
          </w:p>
        </w:tc>
        <w:tc>
          <w:tcPr>
            <w:tcW w:w="5000" w:type="dxa"/>
            <w:vAlign w:val="bottom"/>
            <w:gridSpan w:val="2"/>
          </w:tcPr>
          <w:p>
            <w:pPr>
              <w:jc w:val="right"/>
              <w:ind w:right="287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Exhibit 4.7</w:t>
      </w:r>
    </w:p>
    <w:p>
      <w:pPr>
        <w:spacing w:after="0" w:line="200" w:lineRule="exact"/>
        <w:rPr>
          <w:sz w:val="20"/>
          <w:szCs w:val="20"/>
          <w:color w:val="auto"/>
        </w:rPr>
      </w:pP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PRE-FUNDED WARRANT TO PURCHASE COMMON STOCK</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SPRUCE BIOSCIENCES, INC.</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Warrant Shares: [______]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 Date: January 17, 2025</w:t>
      </w:r>
    </w:p>
    <w:p>
      <w:pPr>
        <w:spacing w:after="0" w:line="16" w:lineRule="exact"/>
        <w:rPr>
          <w:sz w:val="20"/>
          <w:szCs w:val="20"/>
          <w:color w:val="auto"/>
        </w:rPr>
      </w:pPr>
    </w:p>
    <w:p>
      <w:pPr>
        <w:sectPr>
          <w:pgSz w:w="11900" w:h="16838" w:orient="portrait"/>
          <w:cols w:equalWidth="0" w:num="2">
            <w:col w:w="6300" w:space="720"/>
            <w:col w:w="4220"/>
          </w:cols>
          <w:pgMar w:left="320" w:top="75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Original Amended and Restated Date: June 25, 2025</w:t>
      </w:r>
    </w:p>
    <w:p>
      <w:pPr>
        <w:spacing w:after="0"/>
        <w:rPr>
          <w:sz w:val="20"/>
          <w:szCs w:val="20"/>
          <w:color w:val="auto"/>
        </w:rPr>
      </w:pPr>
      <w:r>
        <w:rPr>
          <w:rFonts w:ascii="Times New Roman" w:cs="Times New Roman" w:eastAsia="Times New Roman" w:hAnsi="Times New Roman"/>
          <w:sz w:val="22"/>
          <w:szCs w:val="22"/>
          <w:color w:val="auto"/>
        </w:rPr>
        <w:t>Amended and Restated Date:</w:t>
      </w:r>
    </w:p>
    <w:p>
      <w:pPr>
        <w:spacing w:after="0" w:line="200" w:lineRule="exact"/>
        <w:rPr>
          <w:sz w:val="20"/>
          <w:szCs w:val="20"/>
          <w:color w:val="auto"/>
        </w:rPr>
      </w:pPr>
    </w:p>
    <w:p>
      <w:pPr>
        <w:spacing w:after="0" w:line="22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THIS AMENDED AND RESTATED PRE-FUNDED WARRANT TO PURCHASE COMMON STOCK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certifies that, for value received, [_________] or its assigns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is entitled, upon the terms and subject to</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limitations on exercise and the conditions hereinafter set forth, at any time on or after the Issue Date and until 5:00 p.m. (New York City time) on December 31, 2025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but not thereafter, to subscribe for and purchase from Spruce Biosciences,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Warrant Shares. The purchase price of one share of Common Stock under this Warrant shall be equal to the Exercise Price, as defined in Section 2(b). This Warrant shall supersede and replace all prior agreements and understandings, oral or written, between the Company and the Holder concerning the subject matter herein.</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In addition to the terms defined elsewhere in this Warrant, the following terms have the meanings indicated in this Section 1:</w:t>
      </w:r>
    </w:p>
    <w:p>
      <w:pPr>
        <w:spacing w:after="0" w:line="158"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3" w:lineRule="exact"/>
        <w:rPr>
          <w:sz w:val="20"/>
          <w:szCs w:val="20"/>
          <w:color w:val="auto"/>
        </w:rPr>
      </w:pPr>
    </w:p>
    <w:p>
      <w:pPr>
        <w:jc w:val="both"/>
        <w:ind w:left="76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Bid Price</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listed or quoted on the</w:t>
      </w: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38" w:name="page139"/>
    <w:bookmarkEnd w:id="138"/>
    <w:p>
      <w:pPr>
        <w:jc w:val="both"/>
        <w:ind w:left="420"/>
        <w:spacing w:after="0" w:line="241" w:lineRule="auto"/>
        <w:rPr>
          <w:sz w:val="20"/>
          <w:szCs w:val="20"/>
          <w:color w:val="auto"/>
        </w:rPr>
      </w:pPr>
      <w:r>
        <w:rPr>
          <w:rFonts w:ascii="Times New Roman" w:cs="Times New Roman" w:eastAsia="Times New Roman" w:hAnsi="Times New Roman"/>
          <w:sz w:val="22"/>
          <w:szCs w:val="22"/>
          <w:color w:val="auto"/>
        </w:rPr>
        <w:t>OTCQB Venture Market (the “</w:t>
      </w:r>
      <w:r>
        <w:rPr>
          <w:rFonts w:ascii="Times New Roman" w:cs="Times New Roman" w:eastAsia="Times New Roman" w:hAnsi="Times New Roman"/>
          <w:sz w:val="22"/>
          <w:szCs w:val="22"/>
          <w:u w:val="single" w:color="auto"/>
          <w:color w:val="auto"/>
        </w:rPr>
        <w:t>OTCQB</w:t>
      </w:r>
      <w:r>
        <w:rPr>
          <w:rFonts w:ascii="Times New Roman" w:cs="Times New Roman" w:eastAsia="Times New Roman" w:hAnsi="Times New Roman"/>
          <w:sz w:val="22"/>
          <w:szCs w:val="22"/>
          <w:color w:val="auto"/>
        </w:rPr>
        <w:t>”) or the OTCQX Best Market (the “</w:t>
      </w:r>
      <w:r>
        <w:rPr>
          <w:rFonts w:ascii="Times New Roman" w:cs="Times New Roman" w:eastAsia="Times New Roman" w:hAnsi="Times New Roman"/>
          <w:sz w:val="22"/>
          <w:szCs w:val="22"/>
          <w:u w:val="single" w:color="auto"/>
          <w:color w:val="auto"/>
        </w:rPr>
        <w:t>OTCQX</w:t>
      </w:r>
      <w:r>
        <w:rPr>
          <w:rFonts w:ascii="Times New Roman" w:cs="Times New Roman" w:eastAsia="Times New Roman" w:hAnsi="Times New Roman"/>
          <w:sz w:val="22"/>
          <w:szCs w:val="22"/>
          <w:color w:val="auto"/>
        </w:rPr>
        <w:t>”), the volume weighted average price of the Common Stock for such date (or the nearest preceding date) on the OTCQB or the OTCQX as applicable,</w:t>
      </w:r>
    </w:p>
    <w:p>
      <w:pPr>
        <w:spacing w:after="0" w:line="2" w:lineRule="exact"/>
        <w:rPr>
          <w:sz w:val="20"/>
          <w:szCs w:val="20"/>
          <w:color w:val="auto"/>
        </w:rPr>
      </w:pPr>
    </w:p>
    <w:p>
      <w:pPr>
        <w:jc w:val="both"/>
        <w:ind w:left="420" w:hanging="3"/>
        <w:spacing w:after="0" w:line="233" w:lineRule="auto"/>
        <w:tabs>
          <w:tab w:leader="none" w:pos="71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not then listed or quoted for trading on a Trading Market, the OTCQB or the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mutually agreed upon by the Holder and the Company, the fees and expenses of which shall be paid by the Company.</w:t>
      </w:r>
    </w:p>
    <w:p>
      <w:pPr>
        <w:spacing w:after="0" w:line="179" w:lineRule="exact"/>
        <w:rPr>
          <w:sz w:val="20"/>
          <w:szCs w:val="20"/>
          <w:color w:val="auto"/>
        </w:rPr>
      </w:pPr>
    </w:p>
    <w:p>
      <w:pPr>
        <w:jc w:val="both"/>
        <w:ind w:left="420"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jc w:val="both"/>
        <w:ind w:left="4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common stock of the Company, par value $0.0001 per share, and any other class of securities into which such securities may hereafter be reclassified or changed.</w:t>
      </w:r>
    </w:p>
    <w:p>
      <w:pPr>
        <w:spacing w:after="0" w:line="158" w:lineRule="exact"/>
        <w:rPr>
          <w:sz w:val="20"/>
          <w:szCs w:val="20"/>
          <w:color w:val="auto"/>
        </w:rPr>
      </w:pPr>
    </w:p>
    <w:p>
      <w:pPr>
        <w:jc w:val="both"/>
        <w:ind w:left="4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 Equivalents</w:t>
      </w:r>
      <w:r>
        <w:rPr>
          <w:rFonts w:ascii="Times New Roman" w:cs="Times New Roman" w:eastAsia="Times New Roman" w:hAnsi="Times New Roman"/>
          <w:sz w:val="22"/>
          <w:szCs w:val="22"/>
          <w:color w:val="auto"/>
        </w:rPr>
        <w:t>” means any securities of the Company or any subsidiaries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80" w:lineRule="exact"/>
        <w:rPr>
          <w:sz w:val="20"/>
          <w:szCs w:val="20"/>
          <w:color w:val="auto"/>
        </w:rPr>
      </w:pPr>
    </w:p>
    <w:p>
      <w:pPr>
        <w:ind w:left="420" w:right="8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58" w:lineRule="exact"/>
        <w:rPr>
          <w:sz w:val="20"/>
          <w:szCs w:val="20"/>
          <w:color w:val="auto"/>
        </w:rPr>
      </w:pPr>
    </w:p>
    <w:p>
      <w:pPr>
        <w:jc w:val="both"/>
        <w:ind w:left="420" w:firstLine="74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Marketable Securities</w:t>
      </w:r>
      <w:r>
        <w:rPr>
          <w:rFonts w:ascii="Times New Roman" w:cs="Times New Roman" w:eastAsia="Times New Roman" w:hAnsi="Times New Roman"/>
          <w:sz w:val="21"/>
          <w:szCs w:val="21"/>
          <w:color w:val="auto"/>
        </w:rPr>
        <w:t>” means securities issued or to be issued as consideration in connection with a Fundamental Transaction meeting all of the following requirements: (i) at the time of the Fundamental Transaction the issuer of such securities is then subject to the reporting requirements of Section 13 or Section 15(d) of the Exchange Act, and is then current in its filing of all required reports and other information under the Securities Act and the Exchange Act; (ii) the class and series of shares or other security of the issuer that would be received by the Holder in connection with the Fundamental Transaction (as defined below) were the Holder to exercise this Warrant on or prior to the closing of such Fundamental Transaction is then traded or quoted on a Trading Market, the OTCQB or the OTCQX,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except to the extent that any such restriction (x) arises solely under federal or state securities laws, rules or regulations, and (y) does not extend beyond six (6) months from the closing of such Fundamental Transaction.</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39" w:name="page140"/>
    <w:bookmarkEnd w:id="139"/>
    <w:p>
      <w:pPr>
        <w:jc w:val="both"/>
        <w:ind w:left="4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change, event, development, occurrence, condition, state of fact or effect (each an “</w:t>
      </w:r>
      <w:r>
        <w:rPr>
          <w:rFonts w:ascii="Times New Roman" w:cs="Times New Roman" w:eastAsia="Times New Roman" w:hAnsi="Times New Roman"/>
          <w:sz w:val="22"/>
          <w:szCs w:val="22"/>
          <w:u w:val="single" w:color="auto"/>
          <w:color w:val="auto"/>
        </w:rPr>
        <w:t>Effect</w:t>
      </w:r>
      <w:r>
        <w:rPr>
          <w:rFonts w:ascii="Times New Roman" w:cs="Times New Roman" w:eastAsia="Times New Roman" w:hAnsi="Times New Roman"/>
          <w:sz w:val="22"/>
          <w:szCs w:val="22"/>
          <w:color w:val="auto"/>
        </w:rPr>
        <w:t>” which, individually or in the aggregate with all other Effects that have occurred through the date of determination, has had or would reasonably be expected to have (a) a material adverse effect on the business, operations, prospects, assets and liabilities or condition (financial or otherwise) of the Company, taken as a whole, (b) has had or would reasonably be expected to have a material adverse effect on, or otherwise prevent or materially impair, the ability of the Company to perform its obligations pursuant to the transactions contemplated by this Warrant, or (c) has had or would reasonably be expected to have a material adverse effect on, or otherwise prevent or materially impair, the legality or enforceability of this Warrant or the Warrant Shares.</w:t>
      </w:r>
    </w:p>
    <w:p>
      <w:pPr>
        <w:spacing w:after="0" w:line="178" w:lineRule="exact"/>
        <w:rPr>
          <w:sz w:val="20"/>
          <w:szCs w:val="20"/>
          <w:color w:val="auto"/>
        </w:rPr>
      </w:pPr>
    </w:p>
    <w:p>
      <w:pPr>
        <w:jc w:val="both"/>
        <w:ind w:left="4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means the preferred stock, par value $0.0001 per share, of the Company.</w:t>
      </w:r>
    </w:p>
    <w:p>
      <w:pPr>
        <w:spacing w:after="0" w:line="206" w:lineRule="exact"/>
        <w:rPr>
          <w:sz w:val="20"/>
          <w:szCs w:val="20"/>
          <w:color w:val="auto"/>
        </w:rPr>
      </w:pPr>
    </w:p>
    <w:p>
      <w:pPr>
        <w:jc w:val="both"/>
        <w:ind w:left="420"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58" w:lineRule="exact"/>
        <w:rPr>
          <w:sz w:val="20"/>
          <w:szCs w:val="20"/>
          <w:color w:val="auto"/>
        </w:rPr>
      </w:pPr>
    </w:p>
    <w:p>
      <w:pPr>
        <w:jc w:val="both"/>
        <w:ind w:left="4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 Approval</w:t>
      </w:r>
      <w:r>
        <w:rPr>
          <w:rFonts w:ascii="Times New Roman" w:cs="Times New Roman" w:eastAsia="Times New Roman" w:hAnsi="Times New Roman"/>
          <w:sz w:val="22"/>
          <w:szCs w:val="22"/>
          <w:color w:val="auto"/>
        </w:rPr>
        <w:t>” means, such approval as may be required by the applicable rules and regulations of the Nasdaq Stock Market (or any successor entity) from the stockholders of the Company with respect to the transactions contemplated by this Warrant.</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Common Stock is traded on a Trading Market.</w:t>
      </w:r>
    </w:p>
    <w:p>
      <w:pPr>
        <w:spacing w:after="0" w:line="206" w:lineRule="exact"/>
        <w:rPr>
          <w:sz w:val="20"/>
          <w:szCs w:val="20"/>
          <w:color w:val="auto"/>
        </w:rPr>
      </w:pPr>
    </w:p>
    <w:p>
      <w:pPr>
        <w:jc w:val="both"/>
        <w:ind w:left="420"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Trading Market</w:t>
      </w:r>
      <w:r>
        <w:rPr>
          <w:rFonts w:ascii="Times New Roman" w:cs="Times New Roman" w:eastAsia="Times New Roman" w:hAnsi="Times New Roman"/>
          <w:sz w:val="21"/>
          <w:szCs w:val="21"/>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57" w:lineRule="exact"/>
        <w:rPr>
          <w:sz w:val="20"/>
          <w:szCs w:val="20"/>
          <w:color w:val="auto"/>
        </w:rPr>
      </w:pPr>
    </w:p>
    <w:p>
      <w:pPr>
        <w:jc w:val="both"/>
        <w:ind w:left="420" w:right="20" w:firstLine="74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means Computershare Trust Company, N.A., the current transfer agent of the Company, with a mailing address of 150 Royall St., Suite 101, Canton, MA 02021, and any successor transfer agent of the Company.</w:t>
      </w:r>
    </w:p>
    <w:p>
      <w:pPr>
        <w:spacing w:after="0" w:line="135" w:lineRule="exact"/>
        <w:rPr>
          <w:sz w:val="20"/>
          <w:szCs w:val="20"/>
          <w:color w:val="auto"/>
        </w:rPr>
      </w:pPr>
    </w:p>
    <w:p>
      <w:pPr>
        <w:jc w:val="both"/>
        <w:ind w:left="4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listed or quoted on the OTCQB or the OTCQX, the volume weighted average price of the Common Stock for such date (or the nearest preceding date) on the OTCQB or the OTCQX as applicable, (c) if the Common Stock is not then listed or quoted for trading on a Trading Market, the OTCQB or the OTCQX, and if prices for the Common Stock are then reported on the Pink</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0" w:name="page141"/>
    <w:bookmarkEnd w:id="140"/>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Open Market (or a similar organization or agency succeeding to its functions of reporting prices), the most recent bid price per share of the Common Stock so reported, or (d) in all other cases, the fair market value of a share of Common Stock as mutually agreed upon by the Holder and the Company, the fees and expenses of which shall be paid by the Company.</w:t>
      </w:r>
    </w:p>
    <w:p>
      <w:pPr>
        <w:spacing w:after="0" w:line="1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means up to [_____]</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shares (as subject to adjustment hereunder) of Common Stock,</w:t>
      </w: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provided, that, if the Company issues shares of Common Stock subsequent to the Issue Date, the Warrant shall automatically and without any further action required on the part of the Holder become exercisable for a number of Warrant Shares to be calculated as follows, rounded down to the nearest whole share: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X = [(4.99%)(Y)] * [(A)/(B)]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“X” equals the number of Warrant Shares this Warrant shall be exercisable for;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 equals the number of shares of Common Stock outstanding immediately prior to the exercise of this Warrant;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equals [______]</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and</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 equals 28,095.63242</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firstLine="745"/>
        <w:spacing w:after="0" w:line="233" w:lineRule="auto"/>
        <w:tabs>
          <w:tab w:leader="none" w:pos="20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Warrants</w:t>
      </w:r>
      <w:r>
        <w:rPr>
          <w:rFonts w:ascii="Times New Roman" w:cs="Times New Roman" w:eastAsia="Times New Roman" w:hAnsi="Times New Roman"/>
          <w:sz w:val="22"/>
          <w:szCs w:val="22"/>
          <w:color w:val="auto"/>
        </w:rPr>
        <w:t>. Subject to Section 2(e), exercise of the purchase rights represented by this Warrant may be made, in whole or in part, at any time or times on or after the Issue Date and on or before the Termination Date by delivery to the Company of a duly executed e-mail attachment of the Notice of Exercise in the form annexed hereto (the “</w:t>
      </w:r>
      <w:r>
        <w:rPr>
          <w:rFonts w:ascii="Times New Roman" w:cs="Times New Roman" w:eastAsia="Times New Roman" w:hAnsi="Times New Roman"/>
          <w:sz w:val="22"/>
          <w:szCs w:val="22"/>
          <w:u w:val="single" w:color="auto"/>
          <w:color w:val="auto"/>
        </w:rPr>
        <w:t>Notice of Exercise</w:t>
      </w:r>
      <w:r>
        <w:rPr>
          <w:rFonts w:ascii="Times New Roman" w:cs="Times New Roman" w:eastAsia="Times New Roman" w:hAnsi="Times New Roman"/>
          <w:sz w:val="22"/>
          <w:szCs w:val="22"/>
          <w:color w:val="auto"/>
        </w:rPr>
        <w:t>”). Within the earlier of (i) two (2) Trading Days and (ii) the number of Trading Days comprising the Standard Settlement Period (as defined in Section 2(d)(i) herein) following the date of exercise as aforesaid, the Holder shall deliver the aggregate Exercise Price to the Company for the Warrant Shares specified in the applicable Notice of Exercise by wire transfer or cashier’s check drawn on a United States bank unless the cashless exercise procedure specified in Section 2(c) below is then permitted and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Notice of Exercise is delivered to the Company. Partial exercises of this Warrant resulting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1688465" cy="508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89" w:lineRule="exact"/>
        <w:rPr>
          <w:sz w:val="20"/>
          <w:szCs w:val="20"/>
          <w:color w:val="auto"/>
        </w:rPr>
      </w:pPr>
    </w:p>
    <w:p>
      <w:pPr>
        <w:ind w:left="120" w:hanging="112"/>
        <w:spacing w:after="0"/>
        <w:tabs>
          <w:tab w:leader="none" w:pos="12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NTD: To be the number of Warrant Shares this Warrant is currently exercisable for.</w:t>
      </w:r>
    </w:p>
    <w:p>
      <w:pPr>
        <w:spacing w:after="0" w:line="15" w:lineRule="exact"/>
        <w:rPr>
          <w:rFonts w:ascii="Times New Roman" w:cs="Times New Roman" w:eastAsia="Times New Roman" w:hAnsi="Times New Roman"/>
          <w:sz w:val="24"/>
          <w:szCs w:val="24"/>
          <w:color w:val="auto"/>
          <w:vertAlign w:val="superscript"/>
        </w:rPr>
      </w:pPr>
    </w:p>
    <w:p>
      <w:pPr>
        <w:spacing w:after="0" w:line="199"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NTD: To be the number of Warrant Shares this Warrant is currently exercisable for.</w:t>
      </w: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NTD: Represents the aggregate number of Warrant Shares outstanding as of the Amended and Restated Date.</w:t>
      </w:r>
    </w:p>
    <w:p>
      <w:pPr>
        <w:spacing w:after="0" w:line="3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jc w:val="both"/>
        <w:ind w:left="420"/>
        <w:spacing w:after="0" w:line="247" w:lineRule="auto"/>
        <w:rPr>
          <w:sz w:val="20"/>
          <w:szCs w:val="20"/>
          <w:color w:val="auto"/>
        </w:rPr>
      </w:pPr>
      <w:r>
        <w:rPr>
          <w:rFonts w:ascii="Times New Roman" w:cs="Times New Roman" w:eastAsia="Times New Roman" w:hAnsi="Times New Roman"/>
          <w:sz w:val="21"/>
          <w:szCs w:val="21"/>
          <w:color w:val="auto"/>
        </w:rPr>
        <w:t>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w:t>
      </w:r>
    </w:p>
    <w:p>
      <w:pPr>
        <w:spacing w:after="0" w:line="2" w:lineRule="exact"/>
        <w:rPr>
          <w:sz w:val="20"/>
          <w:szCs w:val="20"/>
          <w:color w:val="auto"/>
        </w:rPr>
      </w:pPr>
    </w:p>
    <w:p>
      <w:pPr>
        <w:jc w:val="both"/>
        <w:ind w:left="420" w:hanging="3"/>
        <w:spacing w:after="0" w:line="234" w:lineRule="auto"/>
        <w:tabs>
          <w:tab w:leader="none" w:pos="74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 of receipt of such notice.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7" w:lineRule="exact"/>
        <w:rPr>
          <w:rFonts w:ascii="Times New Roman" w:cs="Times New Roman" w:eastAsia="Times New Roman" w:hAnsi="Times New Roman"/>
          <w:sz w:val="22"/>
          <w:szCs w:val="22"/>
          <w:color w:val="auto"/>
        </w:rPr>
      </w:pPr>
    </w:p>
    <w:p>
      <w:pPr>
        <w:ind w:left="420" w:firstLine="745"/>
        <w:spacing w:after="0" w:line="258" w:lineRule="auto"/>
        <w:tabs>
          <w:tab w:leader="none" w:pos="170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of the Common Stock under this Warrant shall be $0.75006,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420" w:firstLine="745"/>
        <w:spacing w:after="0" w:line="239" w:lineRule="auto"/>
        <w:tabs>
          <w:tab w:leader="none" w:pos="170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X = Y [(A-B)/A]</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where:</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“X” equals the number of Warrant Shares to be issued to the Holder;</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“Y” equals the total number of Warrant Shares with respect to which this Warrant is then being exercised;</w:t>
      </w:r>
    </w:p>
    <w:p>
      <w:pPr>
        <w:spacing w:after="0" w:line="206" w:lineRule="exact"/>
        <w:rPr>
          <w:sz w:val="20"/>
          <w:szCs w:val="20"/>
          <w:color w:val="auto"/>
        </w:rPr>
      </w:pPr>
    </w:p>
    <w:p>
      <w:pPr>
        <w:jc w:val="both"/>
        <w:ind w:left="420" w:right="20"/>
        <w:spacing w:after="0" w:line="258" w:lineRule="auto"/>
        <w:rPr>
          <w:sz w:val="20"/>
          <w:szCs w:val="20"/>
          <w:color w:val="auto"/>
        </w:rPr>
      </w:pPr>
      <w:r>
        <w:rPr>
          <w:rFonts w:ascii="Times New Roman" w:cs="Times New Roman" w:eastAsia="Times New Roman" w:hAnsi="Times New Roman"/>
          <w:sz w:val="22"/>
          <w:szCs w:val="22"/>
          <w:color w:val="auto"/>
        </w:rPr>
        <w:t>“A” equals the Closing Sale Price per share of Common Stock as of the Trading Day on the date immediately preceding the Exercise Date; and</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 equals the Exercise Price per Warrant Share then in effect on the Exercise Date.</w:t>
      </w:r>
    </w:p>
    <w:p>
      <w:pPr>
        <w:spacing w:after="0" w:line="206" w:lineRule="exact"/>
        <w:rPr>
          <w:sz w:val="20"/>
          <w:szCs w:val="20"/>
          <w:color w:val="auto"/>
        </w:rPr>
      </w:pPr>
    </w:p>
    <w:p>
      <w:pPr>
        <w:jc w:val="both"/>
        <w:ind w:left="42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Issue Date (provided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Except as otherwise set forth herein, in no event will the exercise of this Warrant be settled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2" w:name="page143"/>
    <w:bookmarkEnd w:id="142"/>
    <w:p>
      <w:pPr>
        <w:ind w:left="1700" w:hanging="535"/>
        <w:spacing w:after="0"/>
        <w:tabs>
          <w:tab w:leader="none" w:pos="17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920" w:hanging="153"/>
        <w:spacing w:after="0" w:line="243" w:lineRule="auto"/>
        <w:tabs>
          <w:tab w:leader="none" w:pos="192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Warrant Shares Upon Exercise</w:t>
      </w:r>
      <w:r>
        <w:rPr>
          <w:rFonts w:ascii="Times New Roman" w:cs="Times New Roman" w:eastAsia="Times New Roman" w:hAnsi="Times New Roman"/>
          <w:sz w:val="21"/>
          <w:szCs w:val="21"/>
          <w:color w:val="auto"/>
        </w:rPr>
        <w:t>. The Company shall cause the Warrant Shares purchased hereunder to be transmitted by the Transfer Agent to the Holder by crediting the account of the Holder’s or its designee’s balance account with The Depository Trust Company (</w:t>
      </w:r>
      <w:r>
        <w:rPr>
          <w:rFonts w:ascii="Times New Roman" w:cs="Times New Roman" w:eastAsia="Times New Roman" w:hAnsi="Times New Roman"/>
          <w:sz w:val="21"/>
          <w:szCs w:val="21"/>
          <w:u w:val="single" w:color="auto"/>
          <w:color w:val="auto"/>
        </w:rPr>
        <w:t>“DTC</w:t>
      </w:r>
      <w:r>
        <w:rPr>
          <w:rFonts w:ascii="Times New Roman" w:cs="Times New Roman" w:eastAsia="Times New Roman" w:hAnsi="Times New Roman"/>
          <w:sz w:val="21"/>
          <w:szCs w:val="21"/>
          <w:color w:val="auto"/>
        </w:rPr>
        <w:t>”) through its Deposit or Withdrawal at Custodian system (“</w:t>
      </w:r>
      <w:r>
        <w:rPr>
          <w:rFonts w:ascii="Times New Roman" w:cs="Times New Roman" w:eastAsia="Times New Roman" w:hAnsi="Times New Roman"/>
          <w:sz w:val="21"/>
          <w:szCs w:val="21"/>
          <w:u w:val="single" w:color="auto"/>
          <w:color w:val="auto"/>
        </w:rPr>
        <w:t>DWAC</w:t>
      </w:r>
      <w:r>
        <w:rPr>
          <w:rFonts w:ascii="Times New Roman" w:cs="Times New Roman" w:eastAsia="Times New Roman" w:hAnsi="Times New Roman"/>
          <w:sz w:val="21"/>
          <w:szCs w:val="21"/>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 of sale limitations pursuant to Rule 144 (assuming cashless exercise of the Warrants, if then permitted), and otherwise by book-entry form or, if requested by the Holder, a physical delivery of a certificate, registered in the Company’s share register in the name of the Holder or its designee, for the number of Warrant Shares to which the Holder is entitled pursuant to such exercise to the address specified by the Holder in the Notice of Exercise promptly (but in no event later than the number of Trading Days comprising the Standard Settlement Period (as defined below) following delivery to the Company of the Notice of Exercise) (such date, the “</w:t>
      </w:r>
      <w:r>
        <w:rPr>
          <w:rFonts w:ascii="Times New Roman" w:cs="Times New Roman" w:eastAsia="Times New Roman" w:hAnsi="Times New Roman"/>
          <w:sz w:val="21"/>
          <w:szCs w:val="21"/>
          <w:u w:val="single" w:color="auto"/>
          <w:color w:val="auto"/>
        </w:rPr>
        <w:t>Warrant Share Delivery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provided that the Company shall not be obligated to deliver the Warrant Shares hereunder until the Company has received the aggregate Exercise Price (other than in the case of a cashless exercise) on or before the Warrant Share Delivery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if then permitted) is received within the earlier of (i) two (2) Trading Days and (ii) the number of Trading Days comprising the Standard Settlement Period following delivery of the Notice of Exercise. Notwithstanding anything herein to the contrary, upon delivery of the Notice of Exercise, the Holder shall be deemed for purposes of Regulation SHO under the Exchange Act to have become the holder of the Warrant Shares irrespective of the date of delivery of the Warrant Shares. As used herein, “</w:t>
      </w:r>
      <w:r>
        <w:rPr>
          <w:rFonts w:ascii="Times New Roman" w:cs="Times New Roman" w:eastAsia="Times New Roman" w:hAnsi="Times New Roman"/>
          <w:sz w:val="21"/>
          <w:szCs w:val="21"/>
          <w:u w:val="single" w:color="auto"/>
          <w:color w:val="auto"/>
        </w:rPr>
        <w:t>Standard Settlement Period</w:t>
      </w:r>
      <w:r>
        <w:rPr>
          <w:rFonts w:ascii="Times New Roman" w:cs="Times New Roman" w:eastAsia="Times New Roman" w:hAnsi="Times New Roman"/>
          <w:sz w:val="21"/>
          <w:szCs w:val="21"/>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rFonts w:ascii="Times New Roman" w:cs="Times New Roman" w:eastAsia="Times New Roman" w:hAnsi="Times New Roman"/>
          <w:sz w:val="21"/>
          <w:szCs w:val="21"/>
          <w:color w:val="auto"/>
        </w:rPr>
      </w:pPr>
    </w:p>
    <w:p>
      <w:pPr>
        <w:spacing w:after="0" w:line="219" w:lineRule="exact"/>
        <w:rPr>
          <w:rFonts w:ascii="Times New Roman" w:cs="Times New Roman" w:eastAsia="Times New Roman" w:hAnsi="Times New Roman"/>
          <w:sz w:val="21"/>
          <w:szCs w:val="21"/>
          <w:color w:val="auto"/>
        </w:rPr>
      </w:pPr>
    </w:p>
    <w:p>
      <w:pPr>
        <w:jc w:val="both"/>
        <w:ind w:left="1920" w:firstLine="940"/>
        <w:spacing w:after="0" w:line="238" w:lineRule="auto"/>
        <w:tabs>
          <w:tab w:leader="none" w:pos="3238"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New Warrants Upon Exercise</w:t>
      </w:r>
      <w:r>
        <w:rPr>
          <w:rFonts w:ascii="Times New Roman" w:cs="Times New Roman" w:eastAsia="Times New Roman" w:hAnsi="Times New Roman"/>
          <w:sz w:val="22"/>
          <w:szCs w:val="22"/>
          <w:color w:val="auto"/>
        </w:rPr>
        <w:t>. 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3" w:name="page144"/>
    <w:bookmarkEnd w:id="143"/>
    <w:p>
      <w:pPr>
        <w:jc w:val="both"/>
        <w:ind w:left="1920" w:firstLine="910"/>
        <w:spacing w:after="0" w:line="244" w:lineRule="auto"/>
        <w:tabs>
          <w:tab w:leader="none" w:pos="323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Rescission Rights</w:t>
      </w:r>
      <w:r>
        <w:rPr>
          <w:rFonts w:ascii="Times New Roman" w:cs="Times New Roman" w:eastAsia="Times New Roman" w:hAnsi="Times New Roman"/>
          <w:sz w:val="22"/>
          <w:szCs w:val="22"/>
          <w:color w:val="auto"/>
        </w:rPr>
        <w:t>. If the Company fails to cause the Transfer Agent to transmit to the Holder the Warrant Shares pursuant to Section 2(d)(i) by the Warrant Share Delivery Date, then the Holder will have the right to rescind such exercise upon written notice to the Company.</w:t>
      </w:r>
    </w:p>
    <w:p>
      <w:pPr>
        <w:spacing w:after="0" w:line="173" w:lineRule="exact"/>
        <w:rPr>
          <w:rFonts w:ascii="Times New Roman" w:cs="Times New Roman" w:eastAsia="Times New Roman" w:hAnsi="Times New Roman"/>
          <w:sz w:val="22"/>
          <w:szCs w:val="22"/>
          <w:color w:val="auto"/>
        </w:rPr>
      </w:pPr>
    </w:p>
    <w:p>
      <w:pPr>
        <w:jc w:val="both"/>
        <w:ind w:left="1920" w:firstLine="916"/>
        <w:spacing w:after="0" w:line="242" w:lineRule="auto"/>
        <w:tabs>
          <w:tab w:leader="none" w:pos="3238"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for Buy-In on Failure to Timely Deliver Warrant Shares Upon Exercise</w:t>
      </w:r>
      <w:r>
        <w:rPr>
          <w:rFonts w:ascii="Times New Roman" w:cs="Times New Roman" w:eastAsia="Times New Roman" w:hAnsi="Times New Roman"/>
          <w:sz w:val="21"/>
          <w:szCs w:val="21"/>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caused by incorrect or incomplete information provided by Holder to the Company), and if after such date the Holder is required to or otherwise purchases (in an open market transaction or otherwise) or the Holder’s brokerage firm otherwise purchases, shares of Common Stock to deliver in satisfaction of a sale by the Holder of the Warrant Shares which the Holder was entitled to receive upon the exercise relating to such Warrant Share Delivery Date (a “</w:t>
      </w:r>
      <w:r>
        <w:rPr>
          <w:rFonts w:ascii="Times New Roman" w:cs="Times New Roman" w:eastAsia="Times New Roman" w:hAnsi="Times New Roman"/>
          <w:sz w:val="21"/>
          <w:szCs w:val="21"/>
          <w:u w:val="single" w:color="auto"/>
          <w:color w:val="auto"/>
        </w:rPr>
        <w:t>Buy-In</w:t>
      </w:r>
      <w:r>
        <w:rPr>
          <w:rFonts w:ascii="Times New Roman" w:cs="Times New Roman" w:eastAsia="Times New Roman" w:hAnsi="Times New Roman"/>
          <w:sz w:val="21"/>
          <w:szCs w:val="21"/>
          <w:color w:val="auto"/>
        </w:rPr>
        <w:t>”), then the Company shall (A) pay in cash to the Holder (in addition to any other remedies available to or elected by the Holder) the amount, if any, by which (x) the Holder’s total purchase price (including brokerage commissions, if any) for the shares of Common Stock so purchased exceeds (y) the product of (1) the aggregate number of shares of Common Stock that the Holder was entitled to receive in connection with the exercise at issue multiplied by (2) the actual sale price at which the sell order giving rise to such purchase obligation was executed (including any brokerage commissions),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if the Company had timely complied with its exercise and delivery obligations requirements under Section 2(d)(i); provided, that, for purposes of clarity, under this clause (B), the Holder shall not be entitled to both (i) require the reinstatement of the portion of the Warrant and the equivalent Warrant Shares for which such exercise was not honored, and</w:t>
      </w:r>
    </w:p>
    <w:p>
      <w:pPr>
        <w:spacing w:after="0" w:line="13" w:lineRule="exact"/>
        <w:rPr>
          <w:rFonts w:ascii="Times New Roman" w:cs="Times New Roman" w:eastAsia="Times New Roman" w:hAnsi="Times New Roman"/>
          <w:sz w:val="21"/>
          <w:szCs w:val="21"/>
          <w:color w:val="auto"/>
        </w:rPr>
      </w:pPr>
    </w:p>
    <w:p>
      <w:pPr>
        <w:jc w:val="both"/>
        <w:ind w:left="1920" w:hanging="6"/>
        <w:spacing w:after="0" w:line="232" w:lineRule="auto"/>
        <w:tabs>
          <w:tab w:leader="none" w:pos="225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the number of shares of Common Stock that would have been issued if the Company had timely complied with its delivery requirements hereunder. For example, if the Holder purchases shares of Common Stock having a total purchase price of $11,000 to cover a Buy-In with respect to an attempted exercise of shares of Common Stock with respect to which the actual sale price (including any brokerage commissions) giving rise to such purchase obligation was a total of $10,000, under clause (A) of the immediately preceding sentence the Company shall be required to pay the Holder $1,000. The Holder shall provide the Company written notice, within three (3) Trading Days after the occurrence of a Buy-In, indicating the amounts payable to the Holder in respect of the Buy-In together with applicable confirmations and other evidence reasonably requested by the Company. Nothing herein shall limit the Holder’s right to pursue any other</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4" w:name="page145"/>
    <w:bookmarkEnd w:id="144"/>
    <w:p>
      <w:pPr>
        <w:jc w:val="both"/>
        <w:ind w:left="1920"/>
        <w:spacing w:after="0" w:line="235" w:lineRule="auto"/>
        <w:rPr>
          <w:sz w:val="20"/>
          <w:szCs w:val="20"/>
          <w:color w:val="auto"/>
        </w:rPr>
      </w:pPr>
      <w:r>
        <w:rPr>
          <w:rFonts w:ascii="Times New Roman" w:cs="Times New Roman" w:eastAsia="Times New Roman" w:hAnsi="Times New Roman"/>
          <w:sz w:val="22"/>
          <w:szCs w:val="22"/>
          <w:color w:val="auto"/>
        </w:rPr>
        <w:t>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Section 2(d)(i).</w:t>
      </w:r>
    </w:p>
    <w:p>
      <w:pPr>
        <w:spacing w:after="0" w:line="183" w:lineRule="exact"/>
        <w:rPr>
          <w:sz w:val="20"/>
          <w:szCs w:val="20"/>
          <w:color w:val="auto"/>
        </w:rPr>
      </w:pPr>
    </w:p>
    <w:p>
      <w:pPr>
        <w:jc w:val="both"/>
        <w:ind w:left="1920" w:firstLine="946"/>
        <w:spacing w:after="0" w:line="238" w:lineRule="auto"/>
        <w:tabs>
          <w:tab w:leader="none" w:pos="323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7" w:lineRule="exact"/>
        <w:rPr>
          <w:sz w:val="20"/>
          <w:szCs w:val="20"/>
          <w:color w:val="auto"/>
        </w:rPr>
      </w:pPr>
    </w:p>
    <w:p>
      <w:pPr>
        <w:jc w:val="both"/>
        <w:ind w:left="1920" w:firstLine="916"/>
        <w:spacing w:after="0" w:line="245" w:lineRule="auto"/>
        <w:tabs>
          <w:tab w:leader="none" w:pos="323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Charges, Taxes and Expenses</w:t>
      </w:r>
      <w:r>
        <w:rPr>
          <w:rFonts w:ascii="Times New Roman" w:cs="Times New Roman" w:eastAsia="Times New Roman" w:hAnsi="Times New Roman"/>
          <w:sz w:val="21"/>
          <w:szCs w:val="21"/>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DTC (or another established clearing corporation performing similar functions) required for same-day electronic delivery of the Warrant Shares.</w:t>
      </w:r>
    </w:p>
    <w:p>
      <w:pPr>
        <w:spacing w:after="0" w:line="177" w:lineRule="exact"/>
        <w:rPr>
          <w:sz w:val="20"/>
          <w:szCs w:val="20"/>
          <w:color w:val="auto"/>
        </w:rPr>
      </w:pPr>
    </w:p>
    <w:p>
      <w:pPr>
        <w:ind w:left="1920" w:firstLine="886"/>
        <w:spacing w:after="0" w:line="258" w:lineRule="auto"/>
        <w:tabs>
          <w:tab w:leader="none" w:pos="323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Warrant, pursuant to the terms hereof.</w:t>
      </w:r>
    </w:p>
    <w:p>
      <w:pPr>
        <w:spacing w:after="0" w:line="158" w:lineRule="exact"/>
        <w:rPr>
          <w:rFonts w:ascii="Times New Roman" w:cs="Times New Roman" w:eastAsia="Times New Roman" w:hAnsi="Times New Roman"/>
          <w:sz w:val="22"/>
          <w:szCs w:val="22"/>
          <w:color w:val="auto"/>
        </w:rPr>
      </w:pPr>
    </w:p>
    <w:p>
      <w:pPr>
        <w:jc w:val="both"/>
        <w:ind w:left="420" w:firstLine="745"/>
        <w:spacing w:after="0" w:line="249" w:lineRule="auto"/>
        <w:tabs>
          <w:tab w:leader="none" w:pos="170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Holder’s Exercise Limitations</w:t>
      </w:r>
      <w:r>
        <w:rPr>
          <w:rFonts w:ascii="Times New Roman" w:cs="Times New Roman" w:eastAsia="Times New Roman" w:hAnsi="Times New Roman"/>
          <w:sz w:val="21"/>
          <w:szCs w:val="21"/>
          <w:color w:val="auto"/>
        </w:rPr>
        <w:t>. The Company shall not effect any exercise of this Warrant, and the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21"/>
          <w:szCs w:val="21"/>
          <w:u w:val="single" w:color="auto"/>
          <w:color w:val="auto"/>
        </w:rPr>
        <w:t>Attribution Parties</w:t>
      </w:r>
      <w:r>
        <w:rPr>
          <w:rFonts w:ascii="Times New Roman" w:cs="Times New Roman" w:eastAsia="Times New Roman" w:hAnsi="Times New Roman"/>
          <w:sz w:val="21"/>
          <w:szCs w:val="21"/>
          <w:color w:val="auto"/>
        </w:rPr>
        <w:t>”)), would beneficially own in excess of the Beneficial Ownership Limitation (as defined below), unless Shareholder Approval is obtained prior to such issuance. For purposes of</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5" w:name="page146"/>
    <w:bookmarkEnd w:id="145"/>
    <w:p>
      <w:pPr>
        <w:jc w:val="both"/>
        <w:ind w:left="420"/>
        <w:spacing w:after="0" w:line="242" w:lineRule="auto"/>
        <w:rPr>
          <w:sz w:val="20"/>
          <w:szCs w:val="20"/>
          <w:color w:val="auto"/>
        </w:rPr>
      </w:pPr>
      <w:r>
        <w:rPr>
          <w:rFonts w:ascii="Times New Roman" w:cs="Times New Roman" w:eastAsia="Times New Roman" w:hAnsi="Times New Roman"/>
          <w:sz w:val="21"/>
          <w:szCs w:val="21"/>
          <w:color w:val="auto"/>
        </w:rPr>
        <w:t>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the Holder shall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the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the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21"/>
          <w:szCs w:val="21"/>
          <w:u w:val="single" w:color="auto"/>
          <w:color w:val="auto"/>
        </w:rPr>
        <w:t>Beneficial Ownership Limitation</w:t>
      </w:r>
      <w:r>
        <w:rPr>
          <w:rFonts w:ascii="Times New Roman" w:cs="Times New Roman" w:eastAsia="Times New Roman" w:hAnsi="Times New Roman"/>
          <w:sz w:val="21"/>
          <w:szCs w:val="21"/>
          <w:color w:val="auto"/>
        </w:rPr>
        <w:t>” shall be 19.99% of the lesser of (A) the number of shares of Common Stock outstanding immediately prior to the issuance of this Warrant and (B) the number of shares of Common Stock outstanding immediately after giving effect to the issuance of shares of Common Stock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1"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Certain Adjustments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20" w:firstLine="745"/>
        <w:spacing w:after="0" w:line="239" w:lineRule="auto"/>
        <w:tabs>
          <w:tab w:leader="none" w:pos="170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6" w:name="page147"/>
    <w:bookmarkEnd w:id="146"/>
    <w:p>
      <w:pPr>
        <w:jc w:val="both"/>
        <w:ind w:left="420"/>
        <w:spacing w:after="0" w:line="250" w:lineRule="exact"/>
        <w:rPr>
          <w:sz w:val="20"/>
          <w:szCs w:val="20"/>
          <w:color w:val="auto"/>
        </w:rPr>
      </w:pPr>
      <w:r>
        <w:rPr>
          <w:rFonts w:ascii="Times New Roman" w:cs="Times New Roman" w:eastAsia="Times New Roman" w:hAnsi="Times New Roman"/>
          <w:sz w:val="21"/>
          <w:szCs w:val="21"/>
          <w:color w:val="auto"/>
        </w:rPr>
        <w:t>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on the effective date,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provided, that, any reduction in nominal value of Common Stock without any dividend or distribution shall not lead to any such adjustment.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classification.</w:t>
      </w:r>
    </w:p>
    <w:p>
      <w:pPr>
        <w:spacing w:after="0" w:line="151" w:lineRule="exact"/>
        <w:rPr>
          <w:sz w:val="20"/>
          <w:szCs w:val="20"/>
          <w:color w:val="auto"/>
        </w:rPr>
      </w:pPr>
    </w:p>
    <w:p>
      <w:pPr>
        <w:jc w:val="both"/>
        <w:ind w:left="420" w:firstLine="745"/>
        <w:spacing w:after="0" w:line="244" w:lineRule="auto"/>
        <w:tabs>
          <w:tab w:leader="none" w:pos="170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Subsequent Rights Offerings</w:t>
      </w:r>
      <w:r>
        <w:rPr>
          <w:rFonts w:ascii="Times New Roman" w:cs="Times New Roman" w:eastAsia="Times New Roman" w:hAnsi="Times New Roman"/>
          <w:sz w:val="21"/>
          <w:szCs w:val="21"/>
          <w:color w:val="auto"/>
        </w:rPr>
        <w:t>. In addition to any adjustments pursuant to Section 3(a) above, if at any time the Company grants, issues or sells any Common Stock Equivalents or rights to purchase stock, warrants, securities or other property pro rata to all of the record holders of any class of shares of Common Stock (the “</w:t>
      </w:r>
      <w:r>
        <w:rPr>
          <w:rFonts w:ascii="Times New Roman" w:cs="Times New Roman" w:eastAsia="Times New Roman" w:hAnsi="Times New Roman"/>
          <w:sz w:val="21"/>
          <w:szCs w:val="21"/>
          <w:u w:val="single" w:color="auto"/>
          <w:color w:val="auto"/>
        </w:rPr>
        <w:t>Purchase Rights</w:t>
      </w:r>
      <w:r>
        <w:rPr>
          <w:rFonts w:ascii="Times New Roman" w:cs="Times New Roman" w:eastAsia="Times New Roman" w:hAnsi="Times New Roman"/>
          <w:sz w:val="21"/>
          <w:szCs w:val="21"/>
          <w:color w:val="auto"/>
        </w:rPr>
        <w:t>”), then in each case on the effective date,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0" w:lineRule="exact"/>
        <w:rPr>
          <w:rFonts w:ascii="Times New Roman" w:cs="Times New Roman" w:eastAsia="Times New Roman" w:hAnsi="Times New Roman"/>
          <w:sz w:val="21"/>
          <w:szCs w:val="21"/>
          <w:color w:val="auto"/>
        </w:rPr>
      </w:pPr>
    </w:p>
    <w:p>
      <w:pPr>
        <w:jc w:val="both"/>
        <w:ind w:left="420" w:firstLine="745"/>
        <w:spacing w:after="0" w:line="235" w:lineRule="auto"/>
        <w:tabs>
          <w:tab w:leader="none" w:pos="170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Distributions</w:t>
      </w:r>
      <w:r>
        <w:rPr>
          <w:rFonts w:ascii="Times New Roman" w:cs="Times New Roman" w:eastAsia="Times New Roman" w:hAnsi="Times New Roman"/>
          <w:sz w:val="22"/>
          <w:szCs w:val="22"/>
          <w:color w:val="auto"/>
        </w:rPr>
        <w:t>. During such time as this Warrant is outstanding, if the Company shall declare or make any dividend or other distribution of its assets (or rights to acquire its assets) to holders of shares of Common Stock other than as set forth in Section 3(a),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at any time after the issuance of this Warrant, then, in each such case on the effective date, the Holder shall be entitled to participate in such Distribution to the same extent that the Holder would have participated therein if the Holder had held the number of shares of Common Stock acquirable upon complete exercise of this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7" w:name="page148"/>
    <w:bookmarkEnd w:id="147"/>
    <w:p>
      <w:pPr>
        <w:jc w:val="both"/>
        <w:ind w:left="420"/>
        <w:spacing w:after="0" w:line="234" w:lineRule="auto"/>
        <w:rPr>
          <w:sz w:val="20"/>
          <w:szCs w:val="20"/>
          <w:color w:val="auto"/>
        </w:rPr>
      </w:pPr>
      <w:r>
        <w:rPr>
          <w:rFonts w:ascii="Times New Roman" w:cs="Times New Roman" w:eastAsia="Times New Roman" w:hAnsi="Times New Roman"/>
          <w:sz w:val="22"/>
          <w:szCs w:val="22"/>
          <w:color w:val="auto"/>
        </w:rPr>
        <w:t>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3" w:lineRule="exact"/>
        <w:rPr>
          <w:sz w:val="20"/>
          <w:szCs w:val="20"/>
          <w:color w:val="auto"/>
        </w:rPr>
      </w:pPr>
    </w:p>
    <w:p>
      <w:pPr>
        <w:jc w:val="both"/>
        <w:ind w:left="420" w:firstLine="745"/>
        <w:spacing w:after="0" w:line="231" w:lineRule="auto"/>
        <w:tabs>
          <w:tab w:leader="none" w:pos="170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(which, for the avoidance of doubt, shall not include transactions consummated by the Company for the principal purpose of raising capital for the Company) (each a “</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then, upon any subsequent exercise of this Warrant, the Holder shall have the right to receive, for each Warrant Share that would have been issuable upon such exercise immediately prior to the occurrence of such Fundamental Transaction (without regard to any limitation in Section 2(e) on the exercise of this Warrant), the number of shares of Common Stock of the successor or acquiring corporation or of the Company, if it is the surviving corporation, and/or any additional or other consideration (the “</w:t>
      </w:r>
      <w:r>
        <w:rPr>
          <w:rFonts w:ascii="Times New Roman" w:cs="Times New Roman" w:eastAsia="Times New Roman" w:hAnsi="Times New Roman"/>
          <w:sz w:val="22"/>
          <w:szCs w:val="22"/>
          <w:u w:val="single" w:color="auto"/>
          <w:color w:val="auto"/>
        </w:rPr>
        <w:t>Alternate Consideration</w:t>
      </w:r>
      <w:r>
        <w:rPr>
          <w:rFonts w:ascii="Times New Roman" w:cs="Times New Roman" w:eastAsia="Times New Roman" w:hAnsi="Times New Roman"/>
          <w:sz w:val="22"/>
          <w:szCs w:val="22"/>
          <w:color w:val="auto"/>
        </w:rPr>
        <w:t>”) as it would have been entitled to receive upon the occurrence of such Fundamental Transaction if it had been, immediately prior to such Fundamental Transaction, the holder of one share of Common Stock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8" w:name="page149"/>
    <w:bookmarkEnd w:id="148"/>
    <w:p>
      <w:pPr>
        <w:jc w:val="both"/>
        <w:ind w:left="420"/>
        <w:spacing w:after="0" w:line="242" w:lineRule="auto"/>
        <w:rPr>
          <w:sz w:val="20"/>
          <w:szCs w:val="20"/>
          <w:color w:val="auto"/>
        </w:rPr>
      </w:pPr>
      <w:r>
        <w:rPr>
          <w:rFonts w:ascii="Times New Roman" w:cs="Times New Roman" w:eastAsia="Times New Roman" w:hAnsi="Times New Roman"/>
          <w:sz w:val="21"/>
          <w:szCs w:val="21"/>
          <w:color w:val="auto"/>
        </w:rPr>
        <w:t>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21"/>
          <w:szCs w:val="21"/>
          <w:u w:val="single" w:color="auto"/>
          <w:color w:val="auto"/>
        </w:rPr>
        <w:t>Successor Entity</w:t>
      </w:r>
      <w:r>
        <w:rPr>
          <w:rFonts w:ascii="Times New Roman" w:cs="Times New Roman" w:eastAsia="Times New Roman" w:hAnsi="Times New Roman"/>
          <w:sz w:val="21"/>
          <w:szCs w:val="21"/>
          <w:color w:val="auto"/>
        </w:rPr>
        <w:t>”) to assume in writing all of the obligations of the Company under this Warrant in accordance with the provisions of this Section 3(d) pursuant to written agreements in form and substance reasonably satisfactory to the Holder and reasonably approved by the Holder (without unreasonable delay) prior to such Fundamental Transaction and shall, at the option of the Holder and to the extent applicable in light of the structure of the Fundamental Transaction,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(only to the extent such capital stock is the form of consideration paid in the Fundamental Transaction)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date of such Fundamental Transaction, the provisions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Notwithstanding the foregoing, in the event of a Fundamental Transaction where the consideration payable to holders of shares of Common Stock consists solely of cash, solely of Marketable Securities or a combination of cash and Marketable Securities, then this Warrant shall automatically be deemed to be exercised in full in a “cashless exercise” pursuant to Section 2(c) above effective immediately prior to and contingent upon the consummation of such Fundamental Transaction.</w:t>
      </w:r>
    </w:p>
    <w:p>
      <w:pPr>
        <w:spacing w:after="0" w:line="200" w:lineRule="exact"/>
        <w:rPr>
          <w:sz w:val="20"/>
          <w:szCs w:val="20"/>
          <w:color w:val="auto"/>
        </w:rPr>
      </w:pPr>
    </w:p>
    <w:p>
      <w:pPr>
        <w:spacing w:after="0" w:line="245" w:lineRule="exact"/>
        <w:rPr>
          <w:sz w:val="20"/>
          <w:szCs w:val="20"/>
          <w:color w:val="auto"/>
        </w:rPr>
      </w:pPr>
    </w:p>
    <w:p>
      <w:pPr>
        <w:jc w:val="both"/>
        <w:ind w:left="420" w:firstLine="745"/>
        <w:spacing w:after="0" w:line="236" w:lineRule="auto"/>
        <w:tabs>
          <w:tab w:leader="none" w:pos="170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 Scholes Value</w:t>
      </w:r>
      <w:r>
        <w:rPr>
          <w:rFonts w:ascii="Times New Roman" w:cs="Times New Roman" w:eastAsia="Times New Roman" w:hAnsi="Times New Roman"/>
          <w:sz w:val="22"/>
          <w:szCs w:val="22"/>
          <w:color w:val="auto"/>
        </w:rPr>
        <w:t>. Notwithstanding anything to the contrary, in the event of a Fundamental Transaction, the Company or any Successor Entity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49" w:name="page150"/>
    <w:bookmarkEnd w:id="149"/>
    <w:p>
      <w:pPr>
        <w:jc w:val="both"/>
        <w:ind w:left="420"/>
        <w:spacing w:after="0" w:line="243" w:lineRule="auto"/>
        <w:rPr>
          <w:sz w:val="20"/>
          <w:szCs w:val="20"/>
          <w:color w:val="auto"/>
        </w:rPr>
      </w:pPr>
      <w:r>
        <w:rPr>
          <w:rFonts w:ascii="Times New Roman" w:cs="Times New Roman" w:eastAsia="Times New Roman" w:hAnsi="Times New Roman"/>
          <w:sz w:val="21"/>
          <w:szCs w:val="21"/>
          <w:color w:val="auto"/>
        </w:rPr>
        <w:t xml:space="preserve">consummation of such Fundamental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if the Fundamental Transaction is not within the Company's control, including not approved by the Company's Board of Directors, the Holder shall only be entitled to receive from the Company or any Successor Entity, as of the date of consummation of such Fundamental Transaction, the same type or form of consideration (and in the same proportion), at the Black Scholes Value of the unexercised portion of this Warrant, that is being offered and paid to the holders of Common Stock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21"/>
          <w:szCs w:val="21"/>
          <w:u w:val="single" w:color="auto"/>
          <w:color w:val="auto"/>
        </w:rPr>
        <w:t>Black Scholes Value</w:t>
      </w:r>
      <w:r>
        <w:rPr>
          <w:rFonts w:ascii="Times New Roman" w:cs="Times New Roman" w:eastAsia="Times New Roman" w:hAnsi="Times New Roman"/>
          <w:sz w:val="21"/>
          <w:szCs w:val="21"/>
          <w:color w:val="auto"/>
        </w:rPr>
        <w:t>” means the value of this Warrant based on the Black and Scholes Option Pricing Model obtained from the “OV” function on Bloomberg L.P.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lesser of 100% and the 100 day volatility obtained from the HVT function on Bloomberg L.P. (determined utilizing a 365-day annualization factor) as of the Trading Day immediately following the public announcement of the applicable Fundamental Transaction, or, if the Fundamental Transaction is not publicly announced, the date the Fundamental Transaction is consummated,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3(e),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five Trading Days of the Holder’s election (or, if later, on the effective date of the Fundamental Transaction).</w:t>
      </w:r>
    </w:p>
    <w:p>
      <w:pPr>
        <w:spacing w:after="0" w:line="175" w:lineRule="exact"/>
        <w:rPr>
          <w:sz w:val="20"/>
          <w:szCs w:val="20"/>
          <w:color w:val="auto"/>
        </w:rPr>
      </w:pPr>
    </w:p>
    <w:p>
      <w:pPr>
        <w:jc w:val="both"/>
        <w:ind w:left="420" w:firstLine="745"/>
        <w:spacing w:after="0" w:line="239" w:lineRule="auto"/>
        <w:tabs>
          <w:tab w:leader="none" w:pos="170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0" w:lineRule="exact"/>
        <w:rPr>
          <w:rFonts w:ascii="Times New Roman" w:cs="Times New Roman" w:eastAsia="Times New Roman" w:hAnsi="Times New Roman"/>
          <w:sz w:val="22"/>
          <w:szCs w:val="22"/>
          <w:color w:val="auto"/>
        </w:rPr>
      </w:pPr>
    </w:p>
    <w:p>
      <w:pPr>
        <w:ind w:left="1700" w:hanging="535"/>
        <w:spacing w:after="0"/>
        <w:tabs>
          <w:tab w:leader="none" w:pos="17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20" w:firstLine="970"/>
        <w:spacing w:after="0" w:line="258" w:lineRule="auto"/>
        <w:tabs>
          <w:tab w:leader="none" w:pos="323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Whenever the Exercise Price and/or the number of Warrant Shares issuable pursuant to this Warrant is adjusted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0" w:name="page151"/>
    <w:bookmarkEnd w:id="150"/>
    <w:p>
      <w:pPr>
        <w:jc w:val="both"/>
        <w:ind w:left="1920"/>
        <w:spacing w:after="0" w:line="244" w:lineRule="auto"/>
        <w:rPr>
          <w:sz w:val="20"/>
          <w:szCs w:val="20"/>
          <w:color w:val="auto"/>
        </w:rPr>
      </w:pPr>
      <w:r>
        <w:rPr>
          <w:rFonts w:ascii="Times New Roman" w:cs="Times New Roman" w:eastAsia="Times New Roman" w:hAnsi="Times New Roman"/>
          <w:sz w:val="22"/>
          <w:szCs w:val="22"/>
          <w:color w:val="auto"/>
        </w:rPr>
        <w:t>pursuant to any provision of this Warrant,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3" w:lineRule="exact"/>
        <w:rPr>
          <w:sz w:val="20"/>
          <w:szCs w:val="20"/>
          <w:color w:val="auto"/>
        </w:rPr>
      </w:pPr>
    </w:p>
    <w:p>
      <w:pPr>
        <w:jc w:val="both"/>
        <w:ind w:left="1920" w:firstLine="940"/>
        <w:spacing w:after="0" w:line="249" w:lineRule="auto"/>
        <w:tabs>
          <w:tab w:leader="none" w:pos="3238"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Allow Exercise by Holder</w:t>
      </w:r>
      <w:r>
        <w:rPr>
          <w:rFonts w:ascii="Times New Roman" w:cs="Times New Roman" w:eastAsia="Times New Roman" w:hAnsi="Times New Roman"/>
          <w:sz w:val="21"/>
          <w:szCs w:val="21"/>
          <w:color w:val="auto"/>
        </w:rPr>
        <w:t>. If, following the Issue Date, (A) the Company shall declare a dividend (or any other distribution in whatever form) on the Common Stock, (B) the Company shall declare a special nonrecurring cash dividend on or a redemption of the Common Stock,</w:t>
      </w:r>
    </w:p>
    <w:p>
      <w:pPr>
        <w:spacing w:after="0" w:line="1" w:lineRule="exact"/>
        <w:rPr>
          <w:rFonts w:ascii="Times New Roman" w:cs="Times New Roman" w:eastAsia="Times New Roman" w:hAnsi="Times New Roman"/>
          <w:sz w:val="21"/>
          <w:szCs w:val="21"/>
          <w:color w:val="auto"/>
        </w:rPr>
      </w:pPr>
    </w:p>
    <w:p>
      <w:pPr>
        <w:jc w:val="both"/>
        <w:ind w:left="1920" w:hanging="6"/>
        <w:spacing w:after="0" w:line="242" w:lineRule="auto"/>
        <w:tabs>
          <w:tab w:leader="none" w:pos="227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directly or indirectly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liquidation,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liquidation,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subsidiaries of the Company,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3"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Transfer of Warrant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1" w:name="page152"/>
    <w:bookmarkEnd w:id="151"/>
    <w:p>
      <w:pPr>
        <w:jc w:val="both"/>
        <w:ind w:left="420" w:firstLine="745"/>
        <w:spacing w:after="0" w:line="233" w:lineRule="auto"/>
        <w:tabs>
          <w:tab w:leader="none" w:pos="170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Subject to the Company’s prior written consent (which consent shall not be required for transfers to any of HBM Alpha Therapeutics, Inc. recipients under the HBM Alpha Therapeutics, Inc. 2022 Stock Option and Grant Plan), compliance with any applicable securities laws and the condition set forth in Section 4(d) hereof,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7" w:lineRule="exact"/>
        <w:rPr>
          <w:rFonts w:ascii="Times New Roman" w:cs="Times New Roman" w:eastAsia="Times New Roman" w:hAnsi="Times New Roman"/>
          <w:sz w:val="22"/>
          <w:szCs w:val="22"/>
          <w:color w:val="auto"/>
        </w:rPr>
      </w:pPr>
    </w:p>
    <w:p>
      <w:pPr>
        <w:jc w:val="both"/>
        <w:ind w:left="420" w:firstLine="745"/>
        <w:spacing w:after="0" w:line="235" w:lineRule="auto"/>
        <w:tabs>
          <w:tab w:leader="none" w:pos="170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Warrants</w:t>
      </w:r>
      <w:r>
        <w:rPr>
          <w:rFonts w:ascii="Times New Roman" w:cs="Times New Roman" w:eastAsia="Times New Roman" w:hAnsi="Times New Roman"/>
          <w:sz w:val="22"/>
          <w:szCs w:val="2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3" w:lineRule="exact"/>
        <w:rPr>
          <w:rFonts w:ascii="Times New Roman" w:cs="Times New Roman" w:eastAsia="Times New Roman" w:hAnsi="Times New Roman"/>
          <w:sz w:val="22"/>
          <w:szCs w:val="22"/>
          <w:color w:val="auto"/>
        </w:rPr>
      </w:pPr>
    </w:p>
    <w:p>
      <w:pPr>
        <w:jc w:val="both"/>
        <w:ind w:left="420" w:firstLine="745"/>
        <w:spacing w:after="0" w:line="239" w:lineRule="auto"/>
        <w:tabs>
          <w:tab w:leader="none" w:pos="170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Company shall register this Warrant, upon records to be maintained by the Company for that purpose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rFonts w:ascii="Times New Roman" w:cs="Times New Roman" w:eastAsia="Times New Roman" w:hAnsi="Times New Roman"/>
          <w:sz w:val="22"/>
          <w:szCs w:val="22"/>
          <w:color w:val="auto"/>
        </w:rPr>
      </w:pPr>
    </w:p>
    <w:p>
      <w:pPr>
        <w:jc w:val="both"/>
        <w:ind w:left="420" w:firstLine="745"/>
        <w:spacing w:after="0" w:line="235" w:lineRule="auto"/>
        <w:tabs>
          <w:tab w:leader="none" w:pos="170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Except as otherwise permitted pursuant to Section 4(a) hereof, this Warrant shall not be transferable prior to exercise by the Holder. Following exercise of this Warrant, the Warrant Shares are distributable only to stockholders or to employees of HBM Alpha Therapeutics, Inc. until December 31, 2025; provided, however, that HBM Alpha Therapeutics, Inc. and Harbour BioMed Holdings Limited hereby agree not to sell, pledge, transfer, assign or otherwise dispose of, directly or indirectly, any Warrant Shares prior to December 31, 2025. For clarity, such restrictions in this Section 4(d) shall not apply to any of HBM Alpha Therapeutics, Inc.’s stockholders or employees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2" w:name="page153"/>
    <w:bookmarkEnd w:id="152"/>
    <w:p>
      <w:pPr>
        <w:ind w:left="420"/>
        <w:spacing w:after="0" w:line="258" w:lineRule="auto"/>
        <w:rPr>
          <w:sz w:val="20"/>
          <w:szCs w:val="20"/>
          <w:color w:val="auto"/>
        </w:rPr>
      </w:pPr>
      <w:r>
        <w:rPr>
          <w:rFonts w:ascii="Times New Roman" w:cs="Times New Roman" w:eastAsia="Times New Roman" w:hAnsi="Times New Roman"/>
          <w:sz w:val="22"/>
          <w:szCs w:val="22"/>
          <w:color w:val="auto"/>
        </w:rPr>
        <w:t>other than Harbour BioMed Holdings Limited and subsequent to December 31, 2025, the transfer restrictions in this Section 4(d) shall lapse and be of no further force and effect.</w:t>
      </w:r>
    </w:p>
    <w:p>
      <w:pPr>
        <w:spacing w:after="0" w:line="158" w:lineRule="exact"/>
        <w:rPr>
          <w:sz w:val="20"/>
          <w:szCs w:val="20"/>
          <w:color w:val="auto"/>
        </w:rPr>
      </w:pPr>
    </w:p>
    <w:p>
      <w:pPr>
        <w:jc w:val="both"/>
        <w:ind w:left="420" w:firstLine="745"/>
        <w:spacing w:after="0" w:line="238" w:lineRule="auto"/>
        <w:tabs>
          <w:tab w:leader="none" w:pos="170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by the Holder</w:t>
      </w:r>
      <w:r>
        <w:rPr>
          <w:rFonts w:ascii="Times New Roman" w:cs="Times New Roman" w:eastAsia="Times New Roman" w:hAnsi="Times New Roman"/>
          <w:sz w:val="22"/>
          <w:szCs w:val="22"/>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77"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Company Representations and Warranties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20" w:firstLine="745"/>
        <w:spacing w:after="0" w:line="245" w:lineRule="auto"/>
        <w:tabs>
          <w:tab w:leader="none" w:pos="170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Standing of the Company</w:t>
      </w:r>
      <w:r>
        <w:rPr>
          <w:rFonts w:ascii="Times New Roman" w:cs="Times New Roman" w:eastAsia="Times New Roman" w:hAnsi="Times New Roman"/>
          <w:sz w:val="21"/>
          <w:szCs w:val="21"/>
          <w:color w:val="auto"/>
        </w:rPr>
        <w:t>. The Company has been duly incorporated, is validly existing as a corporation in good standing under the laws of the jurisdiction of its incorporation, has the corporate power and authority to own its property and to conduct its business as described in the reports, schedules, forms, statements, proxy statements and other documents required to be filed by it with the Commission, pursuant to the reporting requirements of the Exchange Act (all of the foregoing filed prior to the date hereof and all exhibits included therein and financial statements and schedules thereto and documents (other than exhibits) incorporated by reference therein, and including all registration statements and prospectuses filed with the Commission, the “</w:t>
      </w:r>
      <w:r>
        <w:rPr>
          <w:rFonts w:ascii="Times New Roman" w:cs="Times New Roman" w:eastAsia="Times New Roman" w:hAnsi="Times New Roman"/>
          <w:sz w:val="21"/>
          <w:szCs w:val="21"/>
          <w:u w:val="single" w:color="auto"/>
          <w:color w:val="auto"/>
        </w:rPr>
        <w:t>SEC Documents</w:t>
      </w:r>
      <w:r>
        <w:rPr>
          <w:rFonts w:ascii="Times New Roman" w:cs="Times New Roman" w:eastAsia="Times New Roman" w:hAnsi="Times New Roman"/>
          <w:sz w:val="21"/>
          <w:szCs w:val="21"/>
          <w:color w:val="auto"/>
        </w:rPr>
        <w:t>”) and is duly qualified to transact business and is in good standing in each jurisdiction in which the conduct of its business or its ownership or leasing of property requires such qualification, and no proceeding has been instituted in any such jurisdiction revoking, limiting or curtailing or seeking to revoke, limit or curtail such qualification, in each case, except to the extent that the failure to be so qualified or be in good standing would not have a Material Adverse Effect on the Company.</w:t>
      </w:r>
    </w:p>
    <w:p>
      <w:pPr>
        <w:spacing w:after="0" w:line="177" w:lineRule="exact"/>
        <w:rPr>
          <w:rFonts w:ascii="Times New Roman" w:cs="Times New Roman" w:eastAsia="Times New Roman" w:hAnsi="Times New Roman"/>
          <w:sz w:val="21"/>
          <w:szCs w:val="21"/>
          <w:color w:val="auto"/>
        </w:rPr>
      </w:pPr>
    </w:p>
    <w:p>
      <w:pPr>
        <w:jc w:val="both"/>
        <w:ind w:left="420" w:firstLine="745"/>
        <w:spacing w:after="0" w:line="233" w:lineRule="auto"/>
        <w:tabs>
          <w:tab w:leader="none" w:pos="17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Capital Stock</w:t>
      </w:r>
      <w:r>
        <w:rPr>
          <w:rFonts w:ascii="Times New Roman" w:cs="Times New Roman" w:eastAsia="Times New Roman" w:hAnsi="Times New Roman"/>
          <w:sz w:val="22"/>
          <w:szCs w:val="22"/>
          <w:color w:val="auto"/>
        </w:rPr>
        <w:t>. The authorized capital stock of the Company consists of 200,000,000 shares of Common Stock and 10,000,000 shares of Preferred Stock. As of September 30, 2024, 41,302,599 shares of Common Stock were issued and outstanding and no shares of Preferred Stock were issued and outstanding. The shares of capital stock of the Company, including the Common Stock outstanding prior to the issuance of this Warrant, have been duly authorized and are validly issued, fully paid and non-assessable and were not issued in violation of the preemptive or similar rights of any security holder of the Company. The issuance of this Warrant and the Warrant Shares will not obligate the Company to issue shares of Common Stock or other securities to any Person (other than the Holder). There are no outstanding securities or instruments of the Company with any provision that adjusts the exercise, conversion, exchange or reset price of such security or instrument upon an issuance of securities by the Company. There are no outstanding securities or instruments of the Company that contain any redemption or similar provisions, and there are no contracts, commitments, understandings or arrangements by which the Company is or may become bound to redeem a security of the Company.</w:t>
      </w:r>
    </w:p>
    <w:p>
      <w:pPr>
        <w:spacing w:after="0" w:line="184" w:lineRule="exact"/>
        <w:rPr>
          <w:rFonts w:ascii="Times New Roman" w:cs="Times New Roman" w:eastAsia="Times New Roman" w:hAnsi="Times New Roman"/>
          <w:sz w:val="22"/>
          <w:szCs w:val="22"/>
          <w:color w:val="auto"/>
        </w:rPr>
      </w:pPr>
    </w:p>
    <w:p>
      <w:pPr>
        <w:ind w:left="420" w:firstLine="745"/>
        <w:spacing w:after="0" w:line="258" w:lineRule="auto"/>
        <w:tabs>
          <w:tab w:leader="none" w:pos="17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Placement</w:t>
      </w:r>
      <w:r>
        <w:rPr>
          <w:rFonts w:ascii="Times New Roman" w:cs="Times New Roman" w:eastAsia="Times New Roman" w:hAnsi="Times New Roman"/>
          <w:sz w:val="22"/>
          <w:szCs w:val="22"/>
          <w:color w:val="auto"/>
        </w:rPr>
        <w:t>. Neither the Company nor any of its Affiliates, nor any Person acting on its or their behalf, has, directly or indirectly, made any offers or sales of</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3" w:name="page154"/>
    <w:bookmarkEnd w:id="153"/>
    <w:p>
      <w:pPr>
        <w:jc w:val="both"/>
        <w:ind w:left="420"/>
        <w:spacing w:after="0" w:line="239" w:lineRule="auto"/>
        <w:rPr>
          <w:sz w:val="20"/>
          <w:szCs w:val="20"/>
          <w:color w:val="auto"/>
        </w:rPr>
      </w:pPr>
      <w:r>
        <w:rPr>
          <w:rFonts w:ascii="Times New Roman" w:cs="Times New Roman" w:eastAsia="Times New Roman" w:hAnsi="Times New Roman"/>
          <w:sz w:val="22"/>
          <w:szCs w:val="22"/>
          <w:color w:val="auto"/>
        </w:rPr>
        <w:t>any security or solicited any offers to buy any security, or taken any other action under any circumstances that would require registration of this Warrant or the Warrant Shares under the Securities Act. Assuming the accuracy of the representations and warranties of the Purchasers contained in Section 6 hereof, the issuance of the Warrant and the Warrant Shares are exempt from registration under the Securities Act.</w:t>
      </w:r>
    </w:p>
    <w:p>
      <w:pPr>
        <w:spacing w:after="0" w:line="180" w:lineRule="exact"/>
        <w:rPr>
          <w:sz w:val="20"/>
          <w:szCs w:val="20"/>
          <w:color w:val="auto"/>
        </w:rPr>
      </w:pPr>
    </w:p>
    <w:p>
      <w:pPr>
        <w:jc w:val="both"/>
        <w:ind w:left="420" w:firstLine="745"/>
        <w:spacing w:after="0" w:line="233" w:lineRule="auto"/>
        <w:tabs>
          <w:tab w:leader="none" w:pos="170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and Execution of Warrant</w:t>
      </w:r>
      <w:r>
        <w:rPr>
          <w:rFonts w:ascii="Times New Roman" w:cs="Times New Roman" w:eastAsia="Times New Roman" w:hAnsi="Times New Roman"/>
          <w:sz w:val="22"/>
          <w:szCs w:val="22"/>
          <w:color w:val="auto"/>
        </w:rPr>
        <w:t>. This Warrant has been duly authorized, executed and delivered by the Company. The Company has all requisite corporate power and authority to execute, deliver and perform its obligations under this Warrant. All corporate action required to be taken by the Board of Directors of the Company in order to authorize the Company to issue this Warrant, and the Warrant Shares upon exercise of this Warrant, has been taken or will be taken prior to the Issue Date. All action on the part of the officers of the Company necessary for the execution and delivery of this Warrant, the performance of all obligations of the Company under this Warrant to be performed as of the Issue Date, and the issuance and delivery of this Warrant and the Warrant Shares upon exercise of this Warrant has been taken or will be taken prior to the Issue Date. This Warrant, when executed and delivered by the Company, shall constitute the valid and legally binding obligation of the Company, enforceable against the Company in accordance with its terms except (i) as limited by applicable bankruptcy, insolvency, reorganization, moratorium or similar laws affecting creditors’ and contracting parties’ rights generally or (ii) as limited by laws relating to the availability of specific performance, injunctive relief, or other equitable remedies.</w:t>
      </w:r>
    </w:p>
    <w:p>
      <w:pPr>
        <w:spacing w:after="0" w:line="184" w:lineRule="exact"/>
        <w:rPr>
          <w:rFonts w:ascii="Times New Roman" w:cs="Times New Roman" w:eastAsia="Times New Roman" w:hAnsi="Times New Roman"/>
          <w:sz w:val="22"/>
          <w:szCs w:val="22"/>
          <w:color w:val="auto"/>
        </w:rPr>
      </w:pPr>
    </w:p>
    <w:p>
      <w:pPr>
        <w:jc w:val="both"/>
        <w:ind w:left="420" w:firstLine="745"/>
        <w:spacing w:after="0" w:line="245" w:lineRule="auto"/>
        <w:tabs>
          <w:tab w:leader="none" w:pos="170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Absence of Defaults and Conflicts</w:t>
      </w:r>
      <w:r>
        <w:rPr>
          <w:rFonts w:ascii="Times New Roman" w:cs="Times New Roman" w:eastAsia="Times New Roman" w:hAnsi="Times New Roman"/>
          <w:sz w:val="21"/>
          <w:szCs w:val="21"/>
          <w:color w:val="auto"/>
        </w:rPr>
        <w:t>. The Company is not (i) in violation of its certificate of incorporation, by-laws or similar incorporation or organizational documents, (ii) in violation or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property or assets of the Company is subject or (iii) in violation of any instrument, judgment, order, writ or decree (collectively, “</w:t>
      </w:r>
      <w:r>
        <w:rPr>
          <w:rFonts w:ascii="Times New Roman" w:cs="Times New Roman" w:eastAsia="Times New Roman" w:hAnsi="Times New Roman"/>
          <w:sz w:val="21"/>
          <w:szCs w:val="21"/>
          <w:u w:val="single" w:color="auto"/>
          <w:color w:val="auto"/>
        </w:rPr>
        <w:t>Agreements and Instruments</w:t>
      </w:r>
      <w:r>
        <w:rPr>
          <w:rFonts w:ascii="Times New Roman" w:cs="Times New Roman" w:eastAsia="Times New Roman" w:hAnsi="Times New Roman"/>
          <w:sz w:val="21"/>
          <w:szCs w:val="21"/>
          <w:color w:val="auto"/>
        </w:rPr>
        <w:t>”), except in the case of clauses</w:t>
      </w:r>
    </w:p>
    <w:p>
      <w:pPr>
        <w:spacing w:after="0" w:line="2" w:lineRule="exact"/>
        <w:rPr>
          <w:rFonts w:ascii="Times New Roman" w:cs="Times New Roman" w:eastAsia="Times New Roman" w:hAnsi="Times New Roman"/>
          <w:sz w:val="21"/>
          <w:szCs w:val="21"/>
          <w:color w:val="auto"/>
        </w:rPr>
      </w:pPr>
    </w:p>
    <w:p>
      <w:pPr>
        <w:jc w:val="both"/>
        <w:ind w:left="420" w:hanging="3"/>
        <w:spacing w:after="0" w:line="243" w:lineRule="auto"/>
        <w:tabs>
          <w:tab w:leader="none" w:pos="74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(iii), for such violations and defaults that would not result in a Material Adverse Effect on the Company; and the execution, delivery and performance of this Warrant and the consummation of the transactions contemplated in this Warrant, and compliance by the Company with its obligations under this Warrant, do not and will not, whether with or without the giving of notice or passage of time or both, conflict with or result in a breach of any of the terms and provisions of, or constitute a default or Repayment Event (as defined below) under, or result in the creation or imposition of any lien, charge or encumbrance upon any property or assets of the Company pursuant to, the Agreements and Instruments, nor will such action result in any violation of the provisions of the certificate of incorporation, by-laws or similar organizational documents of the Company or any applicable law, statute, rule, regulation, judgment, order, writ or decree of any government, government instrumentality or court, domestic or foreign, having jurisdiction over the Company or any of its assets, properties or operations, except in each case (other than with respect to such certificate of incorporation, by-laws or similar organizational documents of the Company) for such conflicts, violations, breaches or defaults which would not reasonably be expected to result in a Material Adverse Effect on the Company. As used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4" w:name="page155"/>
    <w:bookmarkEnd w:id="154"/>
    <w:p>
      <w:pPr>
        <w:jc w:val="both"/>
        <w:ind w:left="420"/>
        <w:spacing w:after="0" w:line="239" w:lineRule="auto"/>
        <w:rPr>
          <w:sz w:val="20"/>
          <w:szCs w:val="20"/>
          <w:color w:val="auto"/>
        </w:rPr>
      </w:pPr>
      <w:r>
        <w:rPr>
          <w:rFonts w:ascii="Times New Roman" w:cs="Times New Roman" w:eastAsia="Times New Roman" w:hAnsi="Times New Roman"/>
          <w:sz w:val="22"/>
          <w:szCs w:val="22"/>
          <w:color w:val="auto"/>
        </w:rPr>
        <w:t>herein, a “</w:t>
      </w:r>
      <w:r>
        <w:rPr>
          <w:rFonts w:ascii="Times New Roman" w:cs="Times New Roman" w:eastAsia="Times New Roman" w:hAnsi="Times New Roman"/>
          <w:sz w:val="22"/>
          <w:szCs w:val="22"/>
          <w:u w:val="single" w:color="auto"/>
          <w:color w:val="auto"/>
        </w:rPr>
        <w:t>Repayment Event</w:t>
      </w:r>
      <w:r>
        <w:rPr>
          <w:rFonts w:ascii="Times New Roman" w:cs="Times New Roman" w:eastAsia="Times New Roman" w:hAnsi="Times New Roman"/>
          <w:sz w:val="22"/>
          <w:szCs w:val="22"/>
          <w:color w:val="auto"/>
        </w:rPr>
        <w:t>” means any event or condition which gives the holder of any note, debenture or other evidence of indebtedness that is material to the operations or financial results of the Company (or any person acting on such holder’s behalf) the right to require the repurchase, redemption or repayment of all or a portion of such indebtedness by the Company.</w:t>
      </w:r>
    </w:p>
    <w:p>
      <w:pPr>
        <w:spacing w:after="0" w:line="180" w:lineRule="exact"/>
        <w:rPr>
          <w:sz w:val="20"/>
          <w:szCs w:val="20"/>
          <w:color w:val="auto"/>
        </w:rPr>
      </w:pPr>
    </w:p>
    <w:p>
      <w:pPr>
        <w:jc w:val="both"/>
        <w:ind w:left="420" w:firstLine="745"/>
        <w:spacing w:after="0" w:line="247" w:lineRule="auto"/>
        <w:tabs>
          <w:tab w:leader="none" w:pos="170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 Documents</w:t>
      </w:r>
      <w:r>
        <w:rPr>
          <w:rFonts w:ascii="Times New Roman" w:cs="Times New Roman" w:eastAsia="Times New Roman" w:hAnsi="Times New Roman"/>
          <w:sz w:val="21"/>
          <w:szCs w:val="21"/>
          <w:color w:val="auto"/>
        </w:rPr>
        <w:t>. The Company has timely filed or furnished the SEC Documents required to be filed or furnished by it with the Commission pursuant to the reporting requirements of the Exchange Act. As of their respective dates, the SEC Documents complied in all material respects with the requirements of the Exchange Act or the Securities Act, as the case may be, and the rules and regulations of the Commission promulgated thereunder applicable to the SEC Documents, and none of the SEC Documents (including any audited or unaudited financial statements and any notes thereto or schedules included therein), at the time they were filed with the Commission,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71" w:lineRule="exact"/>
        <w:rPr>
          <w:rFonts w:ascii="Times New Roman" w:cs="Times New Roman" w:eastAsia="Times New Roman" w:hAnsi="Times New Roman"/>
          <w:sz w:val="21"/>
          <w:szCs w:val="21"/>
          <w:color w:val="auto"/>
        </w:rPr>
      </w:pPr>
    </w:p>
    <w:p>
      <w:pPr>
        <w:jc w:val="both"/>
        <w:ind w:left="420" w:firstLine="745"/>
        <w:spacing w:after="0" w:line="235" w:lineRule="auto"/>
        <w:tabs>
          <w:tab w:leader="none" w:pos="170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and Maintenance Requirements</w:t>
      </w:r>
      <w:r>
        <w:rPr>
          <w:rFonts w:ascii="Times New Roman" w:cs="Times New Roman" w:eastAsia="Times New Roman" w:hAnsi="Times New Roman"/>
          <w:sz w:val="22"/>
          <w:szCs w:val="22"/>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Common Stock is currently eligible for electronic transfer through the DTC or another established clearing corporation and the Company is current in payment of the fees to the DTC (or such other established clearing corporation) in connection with such electronic transfer.</w:t>
      </w:r>
    </w:p>
    <w:p>
      <w:pPr>
        <w:spacing w:after="0" w:line="183" w:lineRule="exact"/>
        <w:rPr>
          <w:rFonts w:ascii="Times New Roman" w:cs="Times New Roman" w:eastAsia="Times New Roman" w:hAnsi="Times New Roman"/>
          <w:sz w:val="22"/>
          <w:szCs w:val="22"/>
          <w:color w:val="auto"/>
        </w:rPr>
      </w:pPr>
    </w:p>
    <w:p>
      <w:pPr>
        <w:jc w:val="both"/>
        <w:ind w:left="420" w:firstLine="745"/>
        <w:spacing w:after="0" w:line="239" w:lineRule="auto"/>
        <w:tabs>
          <w:tab w:leader="none" w:pos="170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Nasdaq Capital Market</w:t>
      </w:r>
      <w:r>
        <w:rPr>
          <w:rFonts w:ascii="Times New Roman" w:cs="Times New Roman" w:eastAsia="Times New Roman" w:hAnsi="Times New Roman"/>
          <w:sz w:val="22"/>
          <w:szCs w:val="22"/>
          <w:color w:val="auto"/>
        </w:rPr>
        <w:t>. The Common Stock is listed on the Nasdaq Capital Market, and to the Company’s knowledge, there are no proceedings to revoke or suspend such listing. Except as otherwise disclosed in the SEC Documents, the Company is in material compliance with the requirements of the Nasdaq Stock Market LLC for continued listing of the Common Stock thereon and any other listing and maintenance requirements.</w:t>
      </w:r>
    </w:p>
    <w:p>
      <w:pPr>
        <w:spacing w:after="0" w:line="180"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Holder Representations and Warranties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20" w:firstLine="745"/>
        <w:spacing w:after="0" w:line="239" w:lineRule="auto"/>
        <w:tabs>
          <w:tab w:leader="none" w:pos="170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Purpose</w:t>
      </w:r>
      <w:r>
        <w:rPr>
          <w:rFonts w:ascii="Times New Roman" w:cs="Times New Roman" w:eastAsia="Times New Roman" w:hAnsi="Times New Roman"/>
          <w:sz w:val="22"/>
          <w:szCs w:val="22"/>
          <w:color w:val="auto"/>
        </w:rPr>
        <w:t>. The Holder is acquiring this Warrant for its own account and not with a present view, toward the public sale or distribution thereof and has no intention of selling or distributing the Warrant or any of the Warrant Shares or any arrangement or understanding with any other Persons regarding the sale or distribution of the Warrant or Warrant Shares except as would not result in a violation of the Securities Act.</w:t>
      </w:r>
    </w:p>
    <w:p>
      <w:pPr>
        <w:spacing w:after="0" w:line="180" w:lineRule="exact"/>
        <w:rPr>
          <w:rFonts w:ascii="Times New Roman" w:cs="Times New Roman" w:eastAsia="Times New Roman" w:hAnsi="Times New Roman"/>
          <w:sz w:val="22"/>
          <w:szCs w:val="22"/>
          <w:color w:val="auto"/>
        </w:rPr>
      </w:pPr>
    </w:p>
    <w:p>
      <w:pPr>
        <w:jc w:val="both"/>
        <w:ind w:left="420" w:firstLine="745"/>
        <w:spacing w:after="0" w:line="239" w:lineRule="auto"/>
        <w:tabs>
          <w:tab w:leader="none" w:pos="170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The Holder will not, directly or indirectly, offer, sell, pledge, transfer or otherwise dispose of (or solicit any offers to buy, purchase or otherwise acquire or take a pledge of) this Warrant or the Warrant Shares acquired upon exercise of this Warrant except pursuant to and in accordance with state and federal securities laws.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5" w:name="page156"/>
    <w:bookmarkEnd w:id="155"/>
    <w:p>
      <w:pPr>
        <w:jc w:val="both"/>
        <w:ind w:left="420" w:firstLine="745"/>
        <w:spacing w:after="0" w:line="233" w:lineRule="auto"/>
        <w:tabs>
          <w:tab w:leader="none" w:pos="170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Holder has been furnished with all relevant materials relating to the business, finances and operations of the Company necessary to make an investment decision, and materials relating to the issuance of this Warrant, that have been requested by the Holder, including, without limitation, the SEC Documents, and the Holder has had the opportunity to review the SEC Documents. The Holder has been afforded the opportunity to ask questions of the Company. Neither such inquiries nor any other investigation conducted by or on behalf of the Holder or its representatives or counsel shall modify, amend or affect such Holder’s right to rely on the truth, accuracy and completeness of the SEC Documents and the Company’s representations and warranties contained in this Warrant. The Holder also specifically acknowledges that the Company would not issue this Warrant or any related documents in the absence of Holder’s representations and acknowledgments set out in this Warrant, and that this Warrant, including such representations and acknowledgments, are a fundamental inducement to the Company, and a substantial portion of the consideration provided by the Holder, in this transaction, and that the Company would not issue this Warrant but for this inducement.</w:t>
      </w:r>
    </w:p>
    <w:p>
      <w:pPr>
        <w:spacing w:after="0" w:line="184" w:lineRule="exact"/>
        <w:rPr>
          <w:rFonts w:ascii="Times New Roman" w:cs="Times New Roman" w:eastAsia="Times New Roman" w:hAnsi="Times New Roman"/>
          <w:sz w:val="22"/>
          <w:szCs w:val="22"/>
          <w:color w:val="auto"/>
        </w:rPr>
      </w:pPr>
    </w:p>
    <w:p>
      <w:pPr>
        <w:ind w:left="1700" w:hanging="535"/>
        <w:spacing w:after="0"/>
        <w:tabs>
          <w:tab w:leader="none" w:pos="17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of Risk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860" w:hanging="149"/>
        <w:spacing w:after="0" w:line="233" w:lineRule="auto"/>
        <w:tabs>
          <w:tab w:leader="none" w:pos="286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acknowledges and understands that its acquisition of the Warrant involves a significant degree of risk, including, without limitation, (i) the Company remains a development stage business with limited operating history and requires substantial funds in addition to the proceeds from the exercise of this Warrant; (ii) an investment in the Company is speculative, and the Holder may lose its entire investment; (iii) the Holder may not be able to liquidate its investment; (iv) transferability of the Warrant and Warrant Shares is extremely limited; (v) in the event of a disposition of this Warrant or the Warrant Shares, the Holder could sustain the loss of its entire investment; and (vi) the Company has not paid any dividends on its Common Stock since inception and does not anticipate the payment of dividends in the foreseeable future. Such risks are more fully set forth in the SEC Documents.</w:t>
      </w:r>
    </w:p>
    <w:p>
      <w:pPr>
        <w:spacing w:after="0" w:line="187" w:lineRule="exact"/>
        <w:rPr>
          <w:sz w:val="20"/>
          <w:szCs w:val="20"/>
          <w:color w:val="auto"/>
        </w:rPr>
      </w:pPr>
    </w:p>
    <w:p>
      <w:pPr>
        <w:jc w:val="both"/>
        <w:ind w:left="2860" w:hanging="176"/>
        <w:spacing w:after="0" w:line="244" w:lineRule="auto"/>
        <w:rPr>
          <w:sz w:val="20"/>
          <w:szCs w:val="20"/>
          <w:color w:val="auto"/>
        </w:rPr>
      </w:pPr>
      <w:r>
        <w:rPr>
          <w:rFonts w:ascii="Times New Roman" w:cs="Times New Roman" w:eastAsia="Times New Roman" w:hAnsi="Times New Roman"/>
          <w:sz w:val="22"/>
          <w:szCs w:val="22"/>
          <w:color w:val="auto"/>
        </w:rPr>
        <w:t>ii.The Holder is able to bear the economic risk of holding the Warrant or Warrant Shares for an indefinite period, and has knowledge and experience in financial and business matters such that it is capable of evaluating the risks of its investment in the Company.</w:t>
      </w:r>
    </w:p>
    <w:p>
      <w:pPr>
        <w:spacing w:after="0" w:line="173" w:lineRule="exact"/>
        <w:rPr>
          <w:sz w:val="20"/>
          <w:szCs w:val="20"/>
          <w:color w:val="auto"/>
        </w:rPr>
      </w:pPr>
    </w:p>
    <w:p>
      <w:pPr>
        <w:jc w:val="both"/>
        <w:ind w:left="2860" w:hanging="206"/>
        <w:spacing w:after="0" w:line="251" w:lineRule="auto"/>
        <w:rPr>
          <w:sz w:val="20"/>
          <w:szCs w:val="20"/>
          <w:color w:val="auto"/>
        </w:rPr>
      </w:pPr>
      <w:r>
        <w:rPr>
          <w:rFonts w:ascii="Times New Roman" w:cs="Times New Roman" w:eastAsia="Times New Roman" w:hAnsi="Times New Roman"/>
          <w:sz w:val="21"/>
          <w:szCs w:val="21"/>
          <w:color w:val="auto"/>
        </w:rPr>
        <w:t>iii.The Holder has, in connection with the Holder’s decision to acquire the Warrant, not relied upon any representations or other information (whether oral or written) other than as set forth in the representations and warranties of the Company contained herein and the information disclosed in the SEC Documents, and the Holder has, with respect to all matters relating to this Warrant and the offer and sale of the Warrant Shares, relied solely upon the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6" w:name="page157"/>
    <w:bookmarkEnd w:id="156"/>
    <w:p>
      <w:pPr>
        <w:ind w:left="2860"/>
        <w:spacing w:after="0" w:line="258" w:lineRule="auto"/>
        <w:rPr>
          <w:sz w:val="20"/>
          <w:szCs w:val="20"/>
          <w:color w:val="auto"/>
        </w:rPr>
      </w:pPr>
      <w:r>
        <w:rPr>
          <w:rFonts w:ascii="Times New Roman" w:cs="Times New Roman" w:eastAsia="Times New Roman" w:hAnsi="Times New Roman"/>
          <w:sz w:val="22"/>
          <w:szCs w:val="22"/>
          <w:color w:val="auto"/>
        </w:rPr>
        <w:t>advice of such Holder’s own counsel and has not relied upon or consulted counsel to the Company.</w:t>
      </w:r>
    </w:p>
    <w:p>
      <w:pPr>
        <w:spacing w:after="0" w:line="158" w:lineRule="exact"/>
        <w:rPr>
          <w:sz w:val="20"/>
          <w:szCs w:val="20"/>
          <w:color w:val="auto"/>
        </w:rPr>
      </w:pPr>
    </w:p>
    <w:p>
      <w:pPr>
        <w:ind w:left="1700" w:hanging="535"/>
        <w:spacing w:after="0"/>
        <w:tabs>
          <w:tab w:leader="none" w:pos="17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860" w:hanging="146"/>
        <w:spacing w:after="0" w:line="238" w:lineRule="auto"/>
        <w:rPr>
          <w:sz w:val="20"/>
          <w:szCs w:val="20"/>
          <w:color w:val="auto"/>
        </w:rPr>
      </w:pPr>
      <w:r>
        <w:rPr>
          <w:rFonts w:ascii="Times New Roman" w:cs="Times New Roman" w:eastAsia="Times New Roman" w:hAnsi="Times New Roman"/>
          <w:sz w:val="22"/>
          <w:szCs w:val="22"/>
          <w:color w:val="auto"/>
        </w:rPr>
        <w:t>i. The Holder understands the book entries representing the Warrant Shares will bear a restrictive legend in substantially the following form, in addition to any other legend required by applicable state securities laws or as may be appropriate to legend any restrictions on transfer set forth in this Warrant (and a stop-transfer order may be placed against transfer of the book entries for such Warrant Shares):</w:t>
      </w:r>
    </w:p>
    <w:p>
      <w:pPr>
        <w:spacing w:after="0" w:line="1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THE SECURITIES REPRESENTED HEREBY HAVE NOT BEEN REGISTERED</w:t>
      </w:r>
    </w:p>
    <w:p>
      <w:pPr>
        <w:spacing w:after="0" w:line="1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UNDER THE SECURITIES ACT OF 1933, AS AMENDED, OR THE SECURITIES</w:t>
      </w:r>
    </w:p>
    <w:p>
      <w:pPr>
        <w:ind w:left="3420"/>
        <w:spacing w:after="0" w:line="231" w:lineRule="auto"/>
        <w:rPr>
          <w:sz w:val="20"/>
          <w:szCs w:val="20"/>
          <w:color w:val="auto"/>
        </w:rPr>
      </w:pPr>
      <w:r>
        <w:rPr>
          <w:rFonts w:ascii="Times New Roman" w:cs="Times New Roman" w:eastAsia="Times New Roman" w:hAnsi="Times New Roman"/>
          <w:sz w:val="22"/>
          <w:szCs w:val="22"/>
          <w:color w:val="auto"/>
        </w:rPr>
        <w:t>LAWS OF ANY STATE OF THE UNITED STATES. THE SECURITIES MAY</w:t>
      </w:r>
    </w:p>
    <w:p>
      <w:pPr>
        <w:ind w:left="3420"/>
        <w:spacing w:after="0"/>
        <w:tabs>
          <w:tab w:leader="none" w:pos="4020" w:val="left"/>
          <w:tab w:leader="none" w:pos="4500" w:val="left"/>
          <w:tab w:leader="none" w:pos="5300" w:val="left"/>
          <w:tab w:leader="none" w:pos="6460" w:val="left"/>
          <w:tab w:leader="none" w:pos="7080" w:val="left"/>
          <w:tab w:leader="none" w:pos="7860" w:val="left"/>
          <w:tab w:leader="none" w:pos="9100" w:val="left"/>
        </w:tabs>
        <w:rPr>
          <w:sz w:val="20"/>
          <w:szCs w:val="20"/>
          <w:color w:val="auto"/>
        </w:rPr>
      </w:pPr>
      <w:r>
        <w:rPr>
          <w:rFonts w:ascii="Times New Roman" w:cs="Times New Roman" w:eastAsia="Times New Roman" w:hAnsi="Times New Roman"/>
          <w:sz w:val="22"/>
          <w:szCs w:val="22"/>
          <w:color w:val="auto"/>
        </w:rPr>
        <w:t>NOT</w:t>
        <w:tab/>
        <w:t>BE</w:t>
        <w:tab/>
        <w:t>SOLD,</w:t>
        <w:tab/>
        <w:t>OFFERED</w:t>
        <w:tab/>
        <w:t>FOR</w:t>
        <w:tab/>
        <w:t>SALE,</w:t>
        <w:tab/>
        <w:t>PLEDGED,</w:t>
      </w:r>
      <w:r>
        <w:rPr>
          <w:sz w:val="20"/>
          <w:szCs w:val="20"/>
          <w:color w:val="auto"/>
        </w:rPr>
        <w:tab/>
      </w:r>
      <w:r>
        <w:rPr>
          <w:rFonts w:ascii="Times New Roman" w:cs="Times New Roman" w:eastAsia="Times New Roman" w:hAnsi="Times New Roman"/>
          <w:sz w:val="21"/>
          <w:szCs w:val="21"/>
          <w:color w:val="auto"/>
        </w:rPr>
        <w:t>HYPOTHECATED,</w:t>
      </w:r>
    </w:p>
    <w:p>
      <w:pPr>
        <w:ind w:left="3420"/>
        <w:spacing w:after="0" w:line="231" w:lineRule="auto"/>
        <w:rPr>
          <w:sz w:val="20"/>
          <w:szCs w:val="20"/>
          <w:color w:val="auto"/>
        </w:rPr>
      </w:pPr>
      <w:r>
        <w:rPr>
          <w:rFonts w:ascii="Times New Roman" w:cs="Times New Roman" w:eastAsia="Times New Roman" w:hAnsi="Times New Roman"/>
          <w:sz w:val="22"/>
          <w:szCs w:val="22"/>
          <w:color w:val="auto"/>
        </w:rPr>
        <w:t>TRANSFERRED  OR  ASSIGNED  IN  THE  ABSENCE  OF  AN  EFFECTIVE</w:t>
      </w:r>
    </w:p>
    <w:p>
      <w:pPr>
        <w:ind w:left="3420"/>
        <w:spacing w:after="0" w:line="230" w:lineRule="auto"/>
        <w:rPr>
          <w:sz w:val="20"/>
          <w:szCs w:val="20"/>
          <w:color w:val="auto"/>
        </w:rPr>
      </w:pPr>
      <w:r>
        <w:rPr>
          <w:rFonts w:ascii="Times New Roman" w:cs="Times New Roman" w:eastAsia="Times New Roman" w:hAnsi="Times New Roman"/>
          <w:sz w:val="22"/>
          <w:szCs w:val="22"/>
          <w:color w:val="auto"/>
        </w:rPr>
        <w:t>REGISTRATION STATEMENT FOR THE SECURITIES UNDER APPLICABLE</w:t>
      </w:r>
    </w:p>
    <w:p>
      <w:pPr>
        <w:ind w:left="3420"/>
        <w:spacing w:after="0"/>
        <w:tabs>
          <w:tab w:leader="none" w:pos="4920" w:val="left"/>
          <w:tab w:leader="none" w:pos="5880" w:val="left"/>
          <w:tab w:leader="none" w:pos="6480" w:val="left"/>
          <w:tab w:leader="none" w:pos="7600" w:val="left"/>
          <w:tab w:leader="none" w:pos="8920" w:val="left"/>
          <w:tab w:leader="none" w:pos="9840" w:val="left"/>
        </w:tabs>
        <w:rPr>
          <w:sz w:val="20"/>
          <w:szCs w:val="20"/>
          <w:color w:val="auto"/>
        </w:rPr>
      </w:pPr>
      <w:r>
        <w:rPr>
          <w:rFonts w:ascii="Times New Roman" w:cs="Times New Roman" w:eastAsia="Times New Roman" w:hAnsi="Times New Roman"/>
          <w:sz w:val="22"/>
          <w:szCs w:val="22"/>
          <w:color w:val="auto"/>
        </w:rPr>
        <w:t>SECURITIES</w:t>
        <w:tab/>
        <w:t>LAWS,</w:t>
        <w:tab/>
        <w:t>OR</w:t>
        <w:tab/>
        <w:t>UNLESS</w:t>
        <w:tab/>
        <w:t>OFFERED,</w:t>
        <w:tab/>
        <w:t>SOLD,</w:t>
      </w:r>
      <w:r>
        <w:rPr>
          <w:sz w:val="20"/>
          <w:szCs w:val="20"/>
          <w:color w:val="auto"/>
        </w:rPr>
        <w:tab/>
      </w:r>
      <w:r>
        <w:rPr>
          <w:rFonts w:ascii="Times New Roman" w:cs="Times New Roman" w:eastAsia="Times New Roman" w:hAnsi="Times New Roman"/>
          <w:sz w:val="21"/>
          <w:szCs w:val="21"/>
          <w:color w:val="auto"/>
        </w:rPr>
        <w:t>PLEDGED,</w:t>
      </w:r>
    </w:p>
    <w:p>
      <w:pPr>
        <w:ind w:left="3420"/>
        <w:spacing w:after="0" w:line="230" w:lineRule="auto"/>
        <w:rPr>
          <w:sz w:val="20"/>
          <w:szCs w:val="20"/>
          <w:color w:val="auto"/>
        </w:rPr>
      </w:pPr>
      <w:r>
        <w:rPr>
          <w:rFonts w:ascii="Times New Roman" w:cs="Times New Roman" w:eastAsia="Times New Roman" w:hAnsi="Times New Roman"/>
          <w:sz w:val="22"/>
          <w:szCs w:val="22"/>
          <w:color w:val="auto"/>
        </w:rPr>
        <w:t>HYPOTHECATED  OR  TRANSFERRED  PURSUANT  TO  AN  AVAILABLE</w:t>
      </w:r>
    </w:p>
    <w:p>
      <w:pPr>
        <w:ind w:left="3420"/>
        <w:spacing w:after="0" w:line="231" w:lineRule="auto"/>
        <w:rPr>
          <w:sz w:val="20"/>
          <w:szCs w:val="20"/>
          <w:color w:val="auto"/>
        </w:rPr>
      </w:pPr>
      <w:r>
        <w:rPr>
          <w:rFonts w:ascii="Times New Roman" w:cs="Times New Roman" w:eastAsia="Times New Roman" w:hAnsi="Times New Roman"/>
          <w:sz w:val="22"/>
          <w:szCs w:val="22"/>
          <w:color w:val="auto"/>
        </w:rPr>
        <w:t>EXEMPTION  FROM  THE  REGISTRATION  REQUIREMENTS  OF  THOSE</w:t>
      </w:r>
    </w:p>
    <w:p>
      <w:pPr>
        <w:ind w:left="3420"/>
        <w:spacing w:after="0"/>
        <w:rPr>
          <w:sz w:val="20"/>
          <w:szCs w:val="20"/>
          <w:color w:val="auto"/>
        </w:rPr>
      </w:pPr>
      <w:r>
        <w:rPr>
          <w:rFonts w:ascii="Times New Roman" w:cs="Times New Roman" w:eastAsia="Times New Roman" w:hAnsi="Times New Roman"/>
          <w:sz w:val="22"/>
          <w:szCs w:val="22"/>
          <w:color w:val="auto"/>
        </w:rPr>
        <w:t>LAWS.</w:t>
      </w:r>
    </w:p>
    <w:p>
      <w:pPr>
        <w:spacing w:after="0" w:line="182" w:lineRule="exact"/>
        <w:rPr>
          <w:sz w:val="20"/>
          <w:szCs w:val="20"/>
          <w:color w:val="auto"/>
        </w:rPr>
      </w:pPr>
    </w:p>
    <w:p>
      <w:pPr>
        <w:jc w:val="both"/>
        <w:ind w:left="2860" w:hanging="176"/>
        <w:spacing w:after="0" w:line="233" w:lineRule="auto"/>
        <w:rPr>
          <w:sz w:val="20"/>
          <w:szCs w:val="20"/>
          <w:color w:val="auto"/>
        </w:rPr>
      </w:pPr>
      <w:r>
        <w:rPr>
          <w:rFonts w:ascii="Times New Roman" w:cs="Times New Roman" w:eastAsia="Times New Roman" w:hAnsi="Times New Roman"/>
          <w:sz w:val="22"/>
          <w:szCs w:val="22"/>
          <w:color w:val="auto"/>
        </w:rPr>
        <w:t>ii.The Holder may request that the Company remove, and the Company agrees to authorize the removal of any legend from any Warrant Shares issued to the Holder (i) following any sale, or certification by the Holder of the expected sale, of such Warrant Shares pursuant to Rule 144, or (ii) if such Warrant Shares are eligible for sale under Rule 144 following the expiration of the one-year holding requirement under subparagraphs (b)(1)(i) and (d) thereof and the Holder is not an affiliate of the Company, in each case following receipt from the Holder of an appropriate certification to such effect. Following the time a legend is no longer required for the Warrant Shares under this Section 6(d), the Company will, no later than two Trading Days following the delivery by the Holder to the Company or the Company’s Transfer Agent of the appropriate certifications that the applicable requirements have been satisfied deliver or cause to be delivered to the Holder a certificate or evidence of book entry representing such securities that is free from all restrictive and other legends or, if requested by the Holder, by crediting such Warrant Shares to the account of the Holder or its designee with the DTC through DWAC if the Company is then a participant in such system. The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7" w:name="page158"/>
    <w:bookmarkEnd w:id="157"/>
    <w:p>
      <w:pPr>
        <w:ind w:left="2860"/>
        <w:spacing w:after="0" w:line="258" w:lineRule="auto"/>
        <w:rPr>
          <w:sz w:val="20"/>
          <w:szCs w:val="20"/>
          <w:color w:val="auto"/>
        </w:rPr>
      </w:pPr>
      <w:r>
        <w:rPr>
          <w:rFonts w:ascii="Times New Roman" w:cs="Times New Roman" w:eastAsia="Times New Roman" w:hAnsi="Times New Roman"/>
          <w:sz w:val="22"/>
          <w:szCs w:val="22"/>
          <w:color w:val="auto"/>
        </w:rPr>
        <w:t>Company shall be responsible for the fees of its Transfer Agent and all DTC fees associated with such issuance.</w:t>
      </w:r>
    </w:p>
    <w:p>
      <w:pPr>
        <w:spacing w:after="0" w:line="158" w:lineRule="exact"/>
        <w:rPr>
          <w:sz w:val="20"/>
          <w:szCs w:val="20"/>
          <w:color w:val="auto"/>
        </w:rPr>
      </w:pPr>
    </w:p>
    <w:p>
      <w:pPr>
        <w:ind w:left="420" w:firstLine="745"/>
        <w:spacing w:after="0" w:line="258" w:lineRule="auto"/>
        <w:tabs>
          <w:tab w:leader="none" w:pos="170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The Holder is an “accredited investor” as that term is defined in Rule 501(a) of Regulation D as promulgated by the Commission under the Securities Act.</w:t>
      </w:r>
    </w:p>
    <w:p>
      <w:pPr>
        <w:spacing w:after="0" w:line="158" w:lineRule="exact"/>
        <w:rPr>
          <w:sz w:val="20"/>
          <w:szCs w:val="20"/>
          <w:color w:val="auto"/>
        </w:rPr>
      </w:pPr>
    </w:p>
    <w:p>
      <w:pPr>
        <w:ind w:left="420"/>
        <w:spacing w:after="0"/>
        <w:tabs>
          <w:tab w:leader="none" w:pos="1700" w:val="left"/>
        </w:tabs>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20" w:firstLine="745"/>
        <w:spacing w:after="0" w:line="238" w:lineRule="auto"/>
        <w:tabs>
          <w:tab w:leader="none" w:pos="170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 No Settlement in Cash</w:t>
      </w:r>
      <w:r>
        <w:rPr>
          <w:rFonts w:ascii="Times New Roman" w:cs="Times New Roman" w:eastAsia="Times New Roman" w:hAnsi="Times New Roman"/>
          <w:sz w:val="22"/>
          <w:szCs w:val="22"/>
          <w:color w:val="auto"/>
        </w:rPr>
        <w:t>. This Warrant does not entitle the Holder to any voting rights, dividends or other rights as a stockholder of the Company prior to the exercise hereof as set forth in Section 2(d)(i), except as expressly set forth in Section 3. Without limiting any rights of the Holder to receive Warrant Shares on a “cashless exercise” pursuant to Section 2(c) or to receive cash payments pursuant to Section 2(d)(i) and Section 2(d)(iv), in no event will the Company be required to net cash settle a Warrant exercise.</w:t>
      </w:r>
    </w:p>
    <w:p>
      <w:pPr>
        <w:spacing w:after="0" w:line="176" w:lineRule="exact"/>
        <w:rPr>
          <w:rFonts w:ascii="Times New Roman" w:cs="Times New Roman" w:eastAsia="Times New Roman" w:hAnsi="Times New Roman"/>
          <w:sz w:val="22"/>
          <w:szCs w:val="22"/>
          <w:color w:val="auto"/>
        </w:rPr>
      </w:pPr>
    </w:p>
    <w:p>
      <w:pPr>
        <w:jc w:val="both"/>
        <w:ind w:left="420" w:firstLine="745"/>
        <w:spacing w:after="0" w:line="235" w:lineRule="auto"/>
        <w:tabs>
          <w:tab w:leader="none" w:pos="170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 Theft, Destruction or Mutilation of Warrant</w:t>
      </w:r>
      <w:r>
        <w:rPr>
          <w:rFonts w:ascii="Times New Roman" w:cs="Times New Roman" w:eastAsia="Times New Roman" w:hAnsi="Times New Roman"/>
          <w:sz w:val="22"/>
          <w:szCs w:val="22"/>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any stock certificate, if mutilated, the Company will make and deliver a new Warrant or issue stock (in certificated or book entry form) of like tenor and dated as of such cancellation, in lieu of such Warrant or stock certificate.</w:t>
      </w:r>
    </w:p>
    <w:p>
      <w:pPr>
        <w:spacing w:after="0" w:line="183" w:lineRule="exact"/>
        <w:rPr>
          <w:rFonts w:ascii="Times New Roman" w:cs="Times New Roman" w:eastAsia="Times New Roman" w:hAnsi="Times New Roman"/>
          <w:sz w:val="22"/>
          <w:szCs w:val="22"/>
          <w:color w:val="auto"/>
        </w:rPr>
      </w:pPr>
    </w:p>
    <w:p>
      <w:pPr>
        <w:jc w:val="both"/>
        <w:ind w:left="420" w:right="20" w:firstLine="745"/>
        <w:spacing w:after="0" w:line="244" w:lineRule="auto"/>
        <w:tabs>
          <w:tab w:leader="none" w:pos="170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or Trading Day, then, such action may be taken or such right may be exercised on the next succeeding Business Day or Trading Day, as applicable.</w:t>
      </w:r>
    </w:p>
    <w:p>
      <w:pPr>
        <w:spacing w:after="0" w:line="173" w:lineRule="exact"/>
        <w:rPr>
          <w:rFonts w:ascii="Times New Roman" w:cs="Times New Roman" w:eastAsia="Times New Roman" w:hAnsi="Times New Roman"/>
          <w:sz w:val="22"/>
          <w:szCs w:val="22"/>
          <w:color w:val="auto"/>
        </w:rPr>
      </w:pPr>
    </w:p>
    <w:p>
      <w:pPr>
        <w:ind w:left="1700" w:hanging="535"/>
        <w:spacing w:after="0"/>
        <w:tabs>
          <w:tab w:leader="none" w:pos="17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Shares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160" w:firstLine="1498"/>
        <w:spacing w:after="0" w:line="234" w:lineRule="auto"/>
        <w:rPr>
          <w:sz w:val="20"/>
          <w:szCs w:val="20"/>
          <w:color w:val="auto"/>
        </w:rPr>
      </w:pPr>
      <w:r>
        <w:rPr>
          <w:rFonts w:ascii="Times New Roman" w:cs="Times New Roman" w:eastAsia="Times New Roman" w:hAnsi="Times New Roman"/>
          <w:sz w:val="22"/>
          <w:szCs w:val="22"/>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8" w:name="page159"/>
    <w:bookmarkEnd w:id="158"/>
    <w:p>
      <w:pPr>
        <w:jc w:val="both"/>
        <w:ind w:left="1160"/>
        <w:spacing w:after="0" w:line="244" w:lineRule="auto"/>
        <w:rPr>
          <w:sz w:val="20"/>
          <w:szCs w:val="20"/>
          <w:color w:val="auto"/>
        </w:rPr>
      </w:pPr>
      <w:r>
        <w:rPr>
          <w:rFonts w:ascii="Times New Roman" w:cs="Times New Roman" w:eastAsia="Times New Roman" w:hAnsi="Times New Roman"/>
          <w:sz w:val="22"/>
          <w:szCs w:val="22"/>
          <w:color w:val="auto"/>
        </w:rPr>
        <w:t>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3" w:lineRule="exact"/>
        <w:rPr>
          <w:sz w:val="20"/>
          <w:szCs w:val="20"/>
          <w:color w:val="auto"/>
        </w:rPr>
      </w:pPr>
    </w:p>
    <w:p>
      <w:pPr>
        <w:jc w:val="both"/>
        <w:ind w:left="1160" w:firstLine="749"/>
        <w:spacing w:after="0" w:line="245" w:lineRule="auto"/>
        <w:rPr>
          <w:sz w:val="20"/>
          <w:szCs w:val="20"/>
          <w:color w:val="auto"/>
        </w:rPr>
      </w:pPr>
      <w:r>
        <w:rPr>
          <w:rFonts w:ascii="Times New Roman" w:cs="Times New Roman" w:eastAsia="Times New Roman" w:hAnsi="Times New Roman"/>
          <w:sz w:val="21"/>
          <w:szCs w:val="21"/>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4" w:lineRule="exact"/>
        <w:rPr>
          <w:sz w:val="20"/>
          <w:szCs w:val="20"/>
          <w:color w:val="auto"/>
        </w:rPr>
      </w:pPr>
    </w:p>
    <w:p>
      <w:pPr>
        <w:jc w:val="both"/>
        <w:ind w:left="1160" w:firstLine="749"/>
        <w:spacing w:after="0" w:line="239" w:lineRule="auto"/>
        <w:rPr>
          <w:sz w:val="20"/>
          <w:szCs w:val="20"/>
          <w:color w:val="auto"/>
        </w:rPr>
      </w:pPr>
      <w:r>
        <w:rPr>
          <w:rFonts w:ascii="Times New Roman" w:cs="Times New Roman" w:eastAsia="Times New Roman" w:hAnsi="Times New Roman"/>
          <w:sz w:val="22"/>
          <w:szCs w:val="2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0" w:lineRule="exact"/>
        <w:rPr>
          <w:sz w:val="20"/>
          <w:szCs w:val="20"/>
          <w:color w:val="auto"/>
        </w:rPr>
      </w:pPr>
    </w:p>
    <w:p>
      <w:pPr>
        <w:jc w:val="both"/>
        <w:ind w:left="420" w:firstLine="745"/>
        <w:spacing w:after="0" w:line="233" w:lineRule="auto"/>
        <w:tabs>
          <w:tab w:leader="none" w:pos="170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(whether of the State of New York or any other jurisdiction) which would result in the application of the laws of any other jurisdiction.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59" w:name="page160"/>
    <w:bookmarkEnd w:id="159"/>
    <w:p>
      <w:pPr>
        <w:jc w:val="both"/>
        <w:ind w:left="420"/>
        <w:spacing w:after="0" w:line="235" w:lineRule="auto"/>
        <w:rPr>
          <w:sz w:val="20"/>
          <w:szCs w:val="20"/>
          <w:color w:val="auto"/>
        </w:rPr>
      </w:pPr>
      <w:r>
        <w:rPr>
          <w:rFonts w:ascii="Times New Roman" w:cs="Times New Roman" w:eastAsia="Times New Roman" w:hAnsi="Times New Roman"/>
          <w:sz w:val="22"/>
          <w:szCs w:val="22"/>
          <w:color w:val="auto"/>
        </w:rPr>
        <w:t>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Notwithstanding the foregoing, nothing in this paragraph shall limit or restrict the federal district court in which the Holder may bring a claim under federal securities laws.</w:t>
      </w:r>
    </w:p>
    <w:p>
      <w:pPr>
        <w:spacing w:after="0" w:line="178" w:lineRule="exact"/>
        <w:rPr>
          <w:sz w:val="20"/>
          <w:szCs w:val="20"/>
          <w:color w:val="auto"/>
        </w:rPr>
      </w:pPr>
    </w:p>
    <w:p>
      <w:pPr>
        <w:jc w:val="both"/>
        <w:ind w:left="420" w:firstLine="745"/>
        <w:spacing w:after="0" w:line="235" w:lineRule="auto"/>
        <w:tabs>
          <w:tab w:leader="none" w:pos="170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22"/>
          <w:szCs w:val="22"/>
          <w:color w:val="auto"/>
        </w:rPr>
      </w:pPr>
    </w:p>
    <w:p>
      <w:pPr>
        <w:jc w:val="both"/>
        <w:ind w:left="420" w:firstLine="745"/>
        <w:spacing w:after="0" w:line="244" w:lineRule="auto"/>
        <w:tabs>
          <w:tab w:leader="none" w:pos="1708"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and all notices or other communications or deliveries to be provided by the Holder hereunder including, without limitation, any Notice of Exercise, shall be in writing and delivered personally, by e-mail, or sent by a nationally recognized overnight courier service, addressed to the Company, at Spruce Biosciences, Inc., 611 Gateway Boulevard, Suite 740, South San Francisco, California 94080, Attention: President and Chief Financial Officer, email address: sgharib@sprucebiosciences.com, or such other email address or address as the Company may specify for such purposes by notice to the Holder. Any and all notices or other communications or deliveries to be provided by the Company hereunder shall be in writing and delivered personally, by e-mail, or sent by a nationally recognized overnight courier service addressed to the Holder at the e-mail address or address of the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date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73" w:lineRule="exact"/>
        <w:rPr>
          <w:rFonts w:ascii="Times New Roman" w:cs="Times New Roman" w:eastAsia="Times New Roman" w:hAnsi="Times New Roman"/>
          <w:sz w:val="21"/>
          <w:szCs w:val="21"/>
          <w:color w:val="auto"/>
        </w:rPr>
      </w:pPr>
    </w:p>
    <w:p>
      <w:pPr>
        <w:ind w:left="420" w:firstLine="745"/>
        <w:spacing w:after="0" w:line="258" w:lineRule="auto"/>
        <w:tabs>
          <w:tab w:leader="none" w:pos="170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the Holder to exercise this Warrant to purchase Warrant Shares, and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60" w:name="page161"/>
    <w:bookmarkEnd w:id="160"/>
    <w:p>
      <w:pPr>
        <w:jc w:val="both"/>
        <w:ind w:left="420"/>
        <w:spacing w:after="0" w:line="244" w:lineRule="auto"/>
        <w:rPr>
          <w:sz w:val="20"/>
          <w:szCs w:val="20"/>
          <w:color w:val="auto"/>
        </w:rPr>
      </w:pPr>
      <w:r>
        <w:rPr>
          <w:rFonts w:ascii="Times New Roman" w:cs="Times New Roman" w:eastAsia="Times New Roman" w:hAnsi="Times New Roman"/>
          <w:sz w:val="22"/>
          <w:szCs w:val="22"/>
          <w:color w:val="auto"/>
        </w:rPr>
        <w:t>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3" w:lineRule="exact"/>
        <w:rPr>
          <w:sz w:val="20"/>
          <w:szCs w:val="20"/>
          <w:color w:val="auto"/>
        </w:rPr>
      </w:pPr>
    </w:p>
    <w:p>
      <w:pPr>
        <w:jc w:val="both"/>
        <w:ind w:left="420" w:firstLine="745"/>
        <w:spacing w:after="0" w:line="238" w:lineRule="auto"/>
        <w:tabs>
          <w:tab w:leader="none" w:pos="170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6" w:lineRule="exact"/>
        <w:rPr>
          <w:rFonts w:ascii="Times New Roman" w:cs="Times New Roman" w:eastAsia="Times New Roman" w:hAnsi="Times New Roman"/>
          <w:sz w:val="22"/>
          <w:szCs w:val="22"/>
          <w:color w:val="auto"/>
        </w:rPr>
      </w:pPr>
    </w:p>
    <w:p>
      <w:pPr>
        <w:jc w:val="both"/>
        <w:ind w:left="420" w:firstLine="745"/>
        <w:spacing w:after="0" w:line="255" w:lineRule="auto"/>
        <w:tabs>
          <w:tab w:leader="none" w:pos="170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61" w:lineRule="exact"/>
        <w:rPr>
          <w:rFonts w:ascii="Times New Roman" w:cs="Times New Roman" w:eastAsia="Times New Roman" w:hAnsi="Times New Roman"/>
          <w:sz w:val="21"/>
          <w:szCs w:val="21"/>
          <w:color w:val="auto"/>
        </w:rPr>
      </w:pPr>
    </w:p>
    <w:p>
      <w:pPr>
        <w:ind w:left="420" w:right="20" w:firstLine="745"/>
        <w:spacing w:after="0" w:line="258" w:lineRule="auto"/>
        <w:tabs>
          <w:tab w:leader="none" w:pos="170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Warrant may be modified or amended or the provisions hereof waived with the written consent of the Company and the Holder.</w:t>
      </w:r>
    </w:p>
    <w:p>
      <w:pPr>
        <w:spacing w:after="0" w:line="158" w:lineRule="exact"/>
        <w:rPr>
          <w:rFonts w:ascii="Times New Roman" w:cs="Times New Roman" w:eastAsia="Times New Roman" w:hAnsi="Times New Roman"/>
          <w:sz w:val="22"/>
          <w:szCs w:val="22"/>
          <w:color w:val="auto"/>
        </w:rPr>
      </w:pPr>
    </w:p>
    <w:p>
      <w:pPr>
        <w:jc w:val="both"/>
        <w:ind w:left="420" w:firstLine="745"/>
        <w:spacing w:after="0" w:line="239" w:lineRule="auto"/>
        <w:tabs>
          <w:tab w:leader="none" w:pos="170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0" w:lineRule="exact"/>
        <w:rPr>
          <w:rFonts w:ascii="Times New Roman" w:cs="Times New Roman" w:eastAsia="Times New Roman" w:hAnsi="Times New Roman"/>
          <w:sz w:val="22"/>
          <w:szCs w:val="22"/>
          <w:color w:val="auto"/>
        </w:rPr>
      </w:pPr>
    </w:p>
    <w:p>
      <w:pPr>
        <w:ind w:left="420" w:firstLine="745"/>
        <w:spacing w:after="0" w:line="258" w:lineRule="auto"/>
        <w:tabs>
          <w:tab w:leader="none" w:pos="170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Warrant are for the convenience of reference only and shall not, for any purpose, be deemed a part of this Warrant.</w:t>
      </w: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478155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08" w:right="339" w:bottom="1440" w:gutter="0" w:footer="0" w:header="0"/>
        </w:sectPr>
      </w:pPr>
    </w:p>
    <w:bookmarkStart w:id="161" w:name="page162"/>
    <w:bookmarkEnd w:id="161"/>
    <w:p>
      <w:pPr>
        <w:spacing w:after="0" w:line="212"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SPRUCE BIOSCIENCES, INC.</w:t>
      </w:r>
    </w:p>
    <w:p>
      <w:pPr>
        <w:spacing w:after="0" w:line="200" w:lineRule="exact"/>
        <w:rPr>
          <w:sz w:val="20"/>
          <w:szCs w:val="20"/>
          <w:color w:val="auto"/>
        </w:rPr>
      </w:pPr>
    </w:p>
    <w:p>
      <w:pPr>
        <w:spacing w:after="0" w:line="2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By:__________________________________________</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Name: Samir Gharib</w:t>
      </w:r>
    </w:p>
    <w:p>
      <w:pPr>
        <w:ind w:left="380"/>
        <w:spacing w:after="0"/>
        <w:rPr>
          <w:sz w:val="20"/>
          <w:szCs w:val="20"/>
          <w:color w:val="auto"/>
        </w:rPr>
      </w:pPr>
      <w:r>
        <w:rPr>
          <w:rFonts w:ascii="Times New Roman" w:cs="Times New Roman" w:eastAsia="Times New Roman" w:hAnsi="Times New Roman"/>
          <w:sz w:val="22"/>
          <w:szCs w:val="22"/>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ind w:left="1400"/>
        <w:spacing w:after="0"/>
        <w:rPr>
          <w:sz w:val="20"/>
          <w:szCs w:val="20"/>
          <w:color w:val="auto"/>
        </w:rPr>
      </w:pPr>
      <w:r>
        <w:rPr>
          <w:rFonts w:ascii="Times New Roman" w:cs="Times New Roman" w:eastAsia="Times New Roman" w:hAnsi="Times New Roman"/>
          <w:sz w:val="22"/>
          <w:szCs w:val="22"/>
          <w:color w:val="auto"/>
        </w:rPr>
        <w:t>Agreed and acknowledged by:</w:t>
      </w:r>
    </w:p>
    <w:p>
      <w:pPr>
        <w:spacing w:after="0" w:line="20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By:__________________________________________</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Name:</w:t>
      </w:r>
    </w:p>
    <w:p>
      <w:pPr>
        <w:ind w:left="2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2203450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219" w:right="1440" w:bottom="1440" w:gutter="0" w:footer="0" w:header="0"/>
        </w:sectPr>
      </w:pPr>
    </w:p>
    <w:bookmarkStart w:id="163" w:name="page164"/>
    <w:bookmarkEnd w:id="163"/>
    <w:p>
      <w:pPr>
        <w:ind w:left="440"/>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SPRUCE BIOSCIENCES, INC.</w:t>
      </w:r>
    </w:p>
    <w:p>
      <w:pPr>
        <w:spacing w:after="0" w:line="237" w:lineRule="exact"/>
        <w:rPr>
          <w:sz w:val="20"/>
          <w:szCs w:val="20"/>
          <w:color w:val="auto"/>
        </w:rPr>
      </w:pPr>
    </w:p>
    <w:p>
      <w:pPr>
        <w:jc w:val="both"/>
        <w:ind w:firstLine="1505"/>
        <w:spacing w:after="0" w:line="244" w:lineRule="auto"/>
        <w:tabs>
          <w:tab w:leader="none" w:pos="203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shall take the form of (check applicable box):</w:t>
      </w:r>
    </w:p>
    <w:p>
      <w:pPr>
        <w:spacing w:after="0" w:line="20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 ] in lawful money of the United States; or</w:t>
      </w:r>
    </w:p>
    <w:p>
      <w:pPr>
        <w:spacing w:after="0" w:line="206" w:lineRule="exact"/>
        <w:rPr>
          <w:sz w:val="20"/>
          <w:szCs w:val="20"/>
          <w:color w:val="auto"/>
        </w:rPr>
      </w:pPr>
    </w:p>
    <w:p>
      <w:pPr>
        <w:jc w:val="both"/>
        <w:ind w:left="1500" w:firstLine="437"/>
        <w:spacing w:after="0" w:line="244" w:lineRule="auto"/>
        <w:tabs>
          <w:tab w:leader="none" w:pos="206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said Warrant Shares in the name of the undersigned or in such other name as is specified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Warrant Shares shall be delivered to the following DWAC Account Number: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Holder: ________________________________________________________________________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Holder</w:t>
      </w:r>
      <w:r>
        <w:rPr>
          <w:rFonts w:ascii="Times New Roman" w:cs="Times New Roman" w:eastAsia="Times New Roman" w:hAnsi="Times New Roman"/>
          <w:sz w:val="22"/>
          <w:szCs w:val="22"/>
          <w:color w:val="auto"/>
        </w:rPr>
        <w:t>: _________________________________________________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Name of Authorized Signatory: ___________________________________________________________________</w:t>
      </w:r>
    </w:p>
    <w:p>
      <w:pPr>
        <w:spacing w:after="0" w:line="231" w:lineRule="auto"/>
        <w:rPr>
          <w:sz w:val="20"/>
          <w:szCs w:val="20"/>
          <w:color w:val="auto"/>
        </w:rPr>
      </w:pPr>
      <w:r>
        <w:rPr>
          <w:rFonts w:ascii="Times New Roman" w:cs="Times New Roman" w:eastAsia="Times New Roman" w:hAnsi="Times New Roman"/>
          <w:sz w:val="22"/>
          <w:szCs w:val="22"/>
          <w:color w:val="auto"/>
        </w:rPr>
        <w:t>Title of Authorized Signatory: ____________________________________________________________________</w:t>
      </w:r>
    </w:p>
    <w:p>
      <w:pPr>
        <w:spacing w:after="0"/>
        <w:rPr>
          <w:sz w:val="20"/>
          <w:szCs w:val="20"/>
          <w:color w:val="auto"/>
        </w:rPr>
      </w:pPr>
      <w:r>
        <w:rPr>
          <w:rFonts w:ascii="Times New Roman" w:cs="Times New Roman" w:eastAsia="Times New Roman" w:hAnsi="Times New Roman"/>
          <w:sz w:val="22"/>
          <w:szCs w:val="22"/>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4" w:name="page165"/>
    <w:bookmarkEnd w:id="164"/>
    <w:p>
      <w:pPr>
        <w:ind w:left="44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ASSIGNMENT FORM</w:t>
      </w:r>
    </w:p>
    <w:p>
      <w:pPr>
        <w:spacing w:after="0" w:line="337" w:lineRule="exact"/>
        <w:rPr>
          <w:sz w:val="20"/>
          <w:szCs w:val="20"/>
          <w:color w:val="auto"/>
        </w:rPr>
      </w:pPr>
    </w:p>
    <w:p>
      <w:pPr>
        <w:ind w:firstLine="219"/>
        <w:spacing w:after="0" w:line="262" w:lineRule="auto"/>
        <w:rPr>
          <w:sz w:val="20"/>
          <w:szCs w:val="20"/>
          <w:color w:val="auto"/>
        </w:rPr>
      </w:pPr>
      <w:r>
        <w:rPr>
          <w:rFonts w:ascii="Times New Roman" w:cs="Times New Roman" w:eastAsia="Times New Roman" w:hAnsi="Times New Roman"/>
          <w:sz w:val="22"/>
          <w:szCs w:val="22"/>
          <w:i w:val="1"/>
          <w:iCs w:val="1"/>
          <w:color w:val="auto"/>
        </w:rPr>
        <w:t>(To assign the foregoing Warrant, execute this form and supply required information. Do not use this form to purchase shares.)</w:t>
      </w: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FOR VALUE RECEIVED, the foregoing Warrant and all rights evidenced thereby are hereby assigned to</w:t>
      </w:r>
    </w:p>
    <w:p>
      <w:pPr>
        <w:spacing w:after="0" w:line="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300" w:type="dxa"/>
            <w:vAlign w:val="bottom"/>
          </w:tcPr>
          <w:p>
            <w:pPr>
              <w:spacing w:after="0"/>
              <w:rPr>
                <w:sz w:val="24"/>
                <w:szCs w:val="24"/>
                <w:color w:val="auto"/>
              </w:rPr>
            </w:pPr>
          </w:p>
        </w:tc>
        <w:tc>
          <w:tcPr>
            <w:tcW w:w="69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435"/>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Address:</w:t>
            </w:r>
          </w:p>
        </w:tc>
        <w:tc>
          <w:tcPr>
            <w:tcW w:w="6940" w:type="dxa"/>
            <w:vAlign w:val="bottom"/>
            <w:vMerge w:val="restart"/>
          </w:tcPr>
          <w:p>
            <w:pPr>
              <w:ind w:left="920"/>
              <w:spacing w:after="0"/>
              <w:rPr>
                <w:sz w:val="20"/>
                <w:szCs w:val="20"/>
                <w:color w:val="auto"/>
              </w:rPr>
            </w:pPr>
            <w:r>
              <w:rPr>
                <w:rFonts w:ascii="Times New Roman" w:cs="Times New Roman" w:eastAsia="Times New Roman" w:hAnsi="Times New Roman"/>
                <w:sz w:val="22"/>
                <w:szCs w:val="22"/>
                <w:color w:val="auto"/>
              </w:rPr>
              <w:t>(Please Print)</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6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Phone Number:</w:t>
            </w:r>
          </w:p>
        </w:tc>
        <w:tc>
          <w:tcPr>
            <w:tcW w:w="69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Email Address:</w:t>
            </w:r>
          </w:p>
        </w:tc>
        <w:tc>
          <w:tcPr>
            <w:tcW w:w="69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______________________________________</w:t>
            </w: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Dated: _______________ __, ______</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Signature:</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Holder’s Address:</w:t>
            </w: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2"/>
        </w:trPr>
        <w:tc>
          <w:tcPr>
            <w:tcW w:w="43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color w:val="auto"/>
        </w:rPr>
        <w:t>Exhibit 4.9</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SPRUCE BIOSCIENCES, INC. OTHERWISE SATISFIES ITSELF THAT SUCH TRANSACTION IS COMPLIANT WITH SUCH LAWS.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March 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PURCHASE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SPRUCE BIOSCIENCES,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March 31, 2031)</w:t>
      </w:r>
    </w:p>
    <w:p>
      <w:pPr>
        <w:spacing w:after="0" w:line="2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This certifies that AVENUE VENTURE OPPORTUNITIES FUND II, L.P., a Delaware limited partnership, or permitted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to purchase from SPRUCE BIOSCIENCES,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the Company’s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for cash, at a purchase price per share equal to the Exercise Price (hereinafter defined). Holder may also exercise this Warrant on a cashless or “net issuance” basis as described in Section 1(b) below, and this Warrant shall be deemed to have been exercised in full on such basis on the Expiration Date (hereinafter defined), to the extent not fully exercised prior to such date. This Warrant is issued in connection with that certain Loan and Security Agreement and Supplement thereto, both dated as of January 7, 2026 (as amended, restated and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respectively), between Company, as borrower, and Holder, as lender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Capitalized terms used herein and not otherwise defined in this Warrant shall have the meaning(s) ascribed to them in the Loan Agreement and the Supplement, unless the context would otherwise require.</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addition to the terms defined elsewhere in this Warrant, the following terms have the meanings indicated below:</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Common Stock purchasable hereunder obtained by dividing (A) $3,200,000 by (B) the Exercise Price.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$54.60.</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the lower of the Closing Price or the Next Round Price (as hereinafter defined).</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Next Round Price</w:t>
      </w:r>
      <w:r>
        <w:rPr>
          <w:rFonts w:ascii="Times New Roman" w:cs="Times New Roman" w:eastAsia="Times New Roman" w:hAnsi="Times New Roman"/>
          <w:sz w:val="18"/>
          <w:szCs w:val="18"/>
          <w:color w:val="auto"/>
        </w:rPr>
        <w:t>” means the lowest effective price per share of any bona fide equity offering of the Common Stock after the Date of Issuance and prior to June 30, 2026.</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any governmental entity or any department or agency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1404620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6" w:name="page167"/>
    <w:bookmarkEnd w:id="166"/>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principal trading market for the Company’s Common Stock. The “Principal Trading Market” for the Common Stock is the Nasdaq Capital Market (or any successor thereof).</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when the Nasdaq Capital Market is open for trading in shares of the Common Stock.</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current transfer agent of the Company, with a mailing address of 150 Royall St., Suite 101, Canton, MA 02021, and any successor transfer agent of the Company.</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Subject to Section 4.3, this Warrant may be exercised at any time or from time to time up to and including 5:00 p.m. (Pacific time) on March 31, 2031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611 Gateway Boulevard, Suite 740, South San Francisco, CA 94080 (or at such other location as Company may advise Holder in writing) of this Warrant properly endorsed with the Form of Subscription attached hereto duly completed and signed and upon payment in cash or by check of the aggregate Exercise Price, or pursuant to Section 1(b) below, for the number of shares for which this Warrant is being exercised determined in accordance with the provisions hereof. The Exercise Price and the number of shares purchasable hereunder are subject to further adjustment as provided in Section 4 of this Warrant.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020" w:hanging="26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2" w:lineRule="auto"/>
        <w:tabs>
          <w:tab w:leader="none" w:pos="20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Common Stock (but not for a fraction of a share) which may be purchased hereunder for the Exercise Price multiplied by the number of shares to be purchased. Company agrees that the shares of Common Stock purchased under this Warrant shall be and are deemed to be issued to Holder as the record owner of such shares as of the close of business on the date on which the form of subscription shall have been delivered and payment made for such shares.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Company shall cause the shares of Common Stock purchased hereunder to be transmitted by the Transfer Agent to Holder by crediting the account of the Holder’s or its designee’s balance account with The Depository Trust Company through its Deposit or Withdrawal at Custodian system (“DWAC”) if the Company is then a participant in such system and either (A) there is an effective registration statement permitting the issuance of the shares of Common Stock purchased pursuant to this Warrant by the Holder or (B) the shares of Common Stock purchased pursuant to this Warrant by the Holder are eligible for resale by the Holder without volume or manner of sale limitations pursuant to Rule 144 (assuming cashless exercise of the Warrants, if then permitted), and otherwise by book-entry form or, if requested by the Holder, a physical delivery of a certificate, registered in Company’s share register in the name of the Holder or its designee, for the number of shares of Common Stock to which the Holder is entitled pursuant to such exercise to the address specified by the Holder in the form of subscription by the date that is three (3) Trading Days after the delivery to Company of the aggregate Exercise Price to the Company. Each stock certificate so delivered shall be in such denominations of Common Stock as may be requested by Holder and shall be registered in the name of such Holder or such other name as shall be designated by such Holder, subject to the limitations contained in Section 2.</w:t>
      </w:r>
    </w:p>
    <w:p>
      <w:pPr>
        <w:spacing w:after="0" w:line="193"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Exercise Price pursuant to clause (a) of this Section 1, may elect, at any time on or before the Expiration Date, to surrender this Warrant and receive that number of shares of Common Stock computed using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911860</wp:posOffset>
            </wp:positionV>
            <wp:extent cx="651510" cy="3511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760"/>
        <w:spacing w:after="0"/>
        <w:tabs>
          <w:tab w:leader="none" w:pos="1460" w:val="left"/>
          <w:tab w:leader="none" w:pos="1820" w:val="left"/>
          <w:tab w:leader="none" w:pos="2180" w:val="left"/>
        </w:tabs>
        <w:rPr>
          <w:sz w:val="20"/>
          <w:szCs w:val="20"/>
          <w:color w:val="auto"/>
        </w:rPr>
      </w:pPr>
      <w:r>
        <w:rPr>
          <w:rFonts w:ascii="Times New Roman" w:cs="Times New Roman" w:eastAsia="Times New Roman" w:hAnsi="Times New Roman"/>
          <w:sz w:val="18"/>
          <w:szCs w:val="18"/>
          <w:color w:val="auto"/>
        </w:rPr>
        <w:t>Where:</w:t>
        <w:tab/>
        <w:t>X</w:t>
        <w:tab/>
        <w:t>=</w:t>
      </w:r>
      <w:r>
        <w:rPr>
          <w:sz w:val="20"/>
          <w:szCs w:val="20"/>
          <w:color w:val="auto"/>
        </w:rPr>
        <w:tab/>
      </w:r>
      <w:r>
        <w:rPr>
          <w:rFonts w:ascii="Times New Roman" w:cs="Times New Roman" w:eastAsia="Times New Roman" w:hAnsi="Times New Roman"/>
          <w:sz w:val="17"/>
          <w:szCs w:val="17"/>
          <w:color w:val="auto"/>
        </w:rPr>
        <w:t>the number of shares of Common Stock to be issued to Holder.</w:t>
      </w:r>
    </w:p>
    <w:p>
      <w:pPr>
        <w:spacing w:after="0" w:line="225" w:lineRule="exact"/>
        <w:rPr>
          <w:sz w:val="20"/>
          <w:szCs w:val="20"/>
          <w:color w:val="auto"/>
        </w:rPr>
      </w:pPr>
    </w:p>
    <w:p>
      <w:pPr>
        <w:ind w:left="2260" w:right="60" w:hanging="1143"/>
        <w:spacing w:after="0" w:line="282" w:lineRule="auto"/>
        <w:tabs>
          <w:tab w:leader="none" w:pos="14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Applicable Number of shares of Common Stock (or such lesser number of shares as Holder may designate in the case of a partial exercise of this Warrant).</w:t>
      </w:r>
    </w:p>
    <w:p>
      <w:pPr>
        <w:spacing w:after="0" w:line="162" w:lineRule="exact"/>
        <w:rPr>
          <w:sz w:val="20"/>
          <w:szCs w:val="20"/>
          <w:color w:val="auto"/>
        </w:rPr>
      </w:pPr>
    </w:p>
    <w:p>
      <w:pPr>
        <w:ind w:left="2260" w:right="20" w:hanging="1143"/>
        <w:spacing w:after="0" w:line="282" w:lineRule="auto"/>
        <w:tabs>
          <w:tab w:leader="none" w:pos="148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closing price per share of the Common Stock on the Principal Trading Market as of the last Trading Day immediately prior to the date of exercise under this Section 1(b).</w:t>
      </w:r>
    </w:p>
    <w:p>
      <w:pPr>
        <w:spacing w:after="0" w:line="162" w:lineRule="exact"/>
        <w:rPr>
          <w:sz w:val="20"/>
          <w:szCs w:val="20"/>
          <w:color w:val="auto"/>
        </w:rPr>
      </w:pPr>
    </w:p>
    <w:p>
      <w:pPr>
        <w:ind w:left="1480" w:hanging="363"/>
        <w:spacing w:after="0"/>
        <w:tabs>
          <w:tab w:leader="none" w:pos="14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then in effect.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electronic mail or facsimile, to be followed by delivery of this Warrant. Notwithstanding anything to the contrary contained in this Warrant, if as of the close of business on the last business day preceding the Expiration Date this Warrant remains unexercised as to all or a portion of the shares of Common Stock purchasable hereunder, then effective at 9:00 a.m. (Pacific time) on the Expiration Date, Holder shall be deemed, automatically, to have elected to exercise this Warrant in full pursuant to the provisions of this Section 1(b), and upon surrender of this Warrant shall be entitled to receive that number of shares of Common Stock computed using the above formula, provided that the application of such formula as of the Expiration Date yields a positive number for “X” (such automatic exercise, the “</w:t>
      </w:r>
      <w:r>
        <w:rPr>
          <w:rFonts w:ascii="Times New Roman" w:cs="Times New Roman" w:eastAsia="Times New Roman" w:hAnsi="Times New Roman"/>
          <w:sz w:val="18"/>
          <w:szCs w:val="18"/>
          <w:u w:val="single" w:color="auto"/>
          <w:color w:val="auto"/>
        </w:rPr>
        <w:t>Expiration Exercise</w:t>
      </w:r>
      <w:r>
        <w:rPr>
          <w:rFonts w:ascii="Times New Roman" w:cs="Times New Roman" w:eastAsia="Times New Roman" w:hAnsi="Times New Roman"/>
          <w:sz w:val="18"/>
          <w:szCs w:val="18"/>
          <w:color w:val="auto"/>
        </w:rPr>
        <w:t>”); provided, however, that no Expiration Exercise shall be effective unless Holder provides written notice to the Company within ten (10) business days after the Expiration Date confirming that the Expiration Exercise has occurred.</w:t>
      </w:r>
    </w:p>
    <w:p>
      <w:pPr>
        <w:spacing w:after="0" w:line="192" w:lineRule="exact"/>
        <w:rPr>
          <w:sz w:val="20"/>
          <w:szCs w:val="20"/>
          <w:color w:val="auto"/>
        </w:rPr>
      </w:pPr>
    </w:p>
    <w:p>
      <w:pPr>
        <w:jc w:val="both"/>
        <w:ind w:firstLine="1505"/>
        <w:spacing w:after="0" w:line="252" w:lineRule="auto"/>
        <w:tabs>
          <w:tab w:leader="none" w:pos="20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effect the exercise of this Warrant, and the Holder shall not have the right to exercise this Warrant, to the extent that after giving effect to such exercise, such Person (together with such Person’s affiliates) would beneficially own in excess of 4.99%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this Warrant with respect to which the determination of such sentence is being made, but shall exclude shares of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For purposes of this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Securities and Exchange Commission, as the case may be, (2) a more recent public announcement by the Company or (3) any other notice by the Company or the Transfer Agent setting forth the number of shares of Common Stock outstanding. To the extent that the limitation contained in this Section 1(c) applies, the determination of whether this Warrant is exercisable (in relation to other securities owned by such Holder) and of which a portion of this Warrant is exercisable shall be in the sole discretion of a Holder, in each case subject to such aggregate percentage limitation, and the Company shall have no obligation to verify or confirm the accuracy of such determination. For any reason at any time, upon the written or oral request of the Holder, the Company shall within a reasonable time (but no later than two (2) business days) confirm to the Holder the number of shares of Common Stock then outstanding. In any case, the number of outstanding shares of Common Stock shall be determined after giving effect to the conversion or exercise of securities of the Company, including this Warrant, by the Holder and its affiliates since the date as of which such number of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jc w:val="both"/>
        <w:spacing w:after="0" w:line="253" w:lineRule="auto"/>
        <w:rPr>
          <w:sz w:val="20"/>
          <w:szCs w:val="20"/>
          <w:color w:val="auto"/>
        </w:rPr>
      </w:pPr>
      <w:r>
        <w:rPr>
          <w:rFonts w:ascii="Times New Roman" w:cs="Times New Roman" w:eastAsia="Times New Roman" w:hAnsi="Times New Roman"/>
          <w:sz w:val="18"/>
          <w:szCs w:val="18"/>
          <w:color w:val="auto"/>
        </w:rPr>
        <w:t>shares of Common Stock was reported. By written notice to the Company, the Holder may from time to time increase or decrease the Maximum Percentage to any other percentage specified in such notice; provided that (i) any such increase will not be effective until the sixty-first (61st) day after such notice is delivered to the Company, and (ii) any such increase or decrease will apply only to the Holder. The provisions of this paragraph shall be construed and implemented in a manner otherwise than in strict conformity with the terms of this Section 1(c) to correct this paragraph (or any portion hereof) which may be defective or inconsistent with the intended beneficial ownership limitation herein contained or to make changes or supplements necessary or desirable to properly give effect to such limitation. Notwithstanding anything anywhere in this Warrant to the contrary, the aggregate number of shares issued pursuant to the exercise of this Warrant shall not exceed the aggregate number of shares of Common Stock which the Holder may exercise pursuant to the terms of this Warrant without breaching the Company’s obligations under the rules or regulations of the Principal Trading Market (the number of shares which may be issued without violating such rules and regulations, the “Exchange Cap”), except that such limitation shall not apply in the event that the Company obtains the approval of its stockholders as required by the applicable rules of the Principal Trading Market.</w:t>
      </w:r>
    </w:p>
    <w:p>
      <w:pPr>
        <w:spacing w:after="0" w:line="194" w:lineRule="exact"/>
        <w:rPr>
          <w:sz w:val="20"/>
          <w:szCs w:val="20"/>
          <w:color w:val="auto"/>
        </w:rPr>
      </w:pPr>
    </w:p>
    <w:p>
      <w:pPr>
        <w:ind w:left="1020" w:hanging="26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Common Stock issued upon exercise of the Warrant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Each holder of this Warrant or the Common Stock issuable hereunder will cause any proposed transferee of the Warrant or such Common Stock to agree to take and hold such securities subject to the provisions and upon the conditions specified in this Section 2. Notwithstanding the foregoing and any other provision of this Section 2 but subject to the last sentence of Section 2(c), Holder may freely transfer all or part of this Warrant or the shares issuable upon exercise of this Warrant (or the securities issuable, directly or indirectly, upon conversion of the shares, if any) at any time to any affiliate of Lender under the Loan Agreement, by giving Company notice of the portion of the Warrant being transferred setting forth the name, address and taxpayer identification number of the transferee and surrendering this Warrant to Company for reissuance to the transferees(s) (and Holder, if applicable).</w:t>
      </w:r>
    </w:p>
    <w:p>
      <w:pPr>
        <w:spacing w:after="0" w:line="191"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Common Stock issued pursuant to this Warrant, and (iii) any other securities issued in respect of the Common Stock issued pursuant to this Warrant issued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SPRUCE BIOSCIENCES, INC. OTHERWISE SATISFIES ITSELF THAT SUCH TRANSACTION IS COMPLIANT WITH SUCH LAWS.</w:t>
      </w:r>
    </w:p>
    <w:p>
      <w:pPr>
        <w:spacing w:after="0" w:line="187" w:lineRule="exact"/>
        <w:rPr>
          <w:sz w:val="20"/>
          <w:szCs w:val="20"/>
          <w:color w:val="auto"/>
        </w:rPr>
      </w:pPr>
    </w:p>
    <w:p>
      <w:pPr>
        <w:jc w:val="both"/>
        <w:ind w:firstLine="1505"/>
        <w:spacing w:after="0" w:line="255" w:lineRule="auto"/>
        <w:tabs>
          <w:tab w:leader="none" w:pos="20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this Warrant and each person to whom this Warrant is subsequently transferred represents and warrants to Company and agrees (by acceptance of such transfer) that it will not transfer this Warrant (or securities issuable upon exercise hereof unless a registration statement under the Securities Act was in effect with respect to such securities at the time of issuance thereof) unless (i) there is an effective registration statement under the Securities Act and applicable state securities laws covering any such transaction, (ii) pursuant to Rule 144 under the Securities Act (or any other rule under the Securities Act relating to the disposition of securities), (iii) Company receives an opinion of counsel, reasonably satisfactory to Company, that an exemption from such registration is available or (iv) the Company otherwise satisfies itself that such transaction is exempt from registration. Notwithstanding the foregoing or any other provision of this Section 2, Holder shall not transfer this Warrant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9" w:name="page170"/>
    <w:bookmarkEnd w:id="169"/>
    <w:p>
      <w:pPr>
        <w:spacing w:after="0" w:line="282" w:lineRule="auto"/>
        <w:rPr>
          <w:sz w:val="20"/>
          <w:szCs w:val="20"/>
          <w:color w:val="auto"/>
        </w:rPr>
      </w:pPr>
      <w:r>
        <w:rPr>
          <w:rFonts w:ascii="Times New Roman" w:cs="Times New Roman" w:eastAsia="Times New Roman" w:hAnsi="Times New Roman"/>
          <w:sz w:val="18"/>
          <w:szCs w:val="18"/>
          <w:color w:val="auto"/>
        </w:rPr>
        <w:t>securities issuable upon exercise hereof, or securities issuable, directly or indirectly, upon conversion of such securities, if any) to any competitor of Company, as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without the prior written consent of Company.</w:t>
      </w:r>
    </w:p>
    <w:p>
      <w:pPr>
        <w:spacing w:after="0" w:line="162" w:lineRule="exact"/>
        <w:rPr>
          <w:sz w:val="20"/>
          <w:szCs w:val="20"/>
          <w:color w:val="auto"/>
        </w:rPr>
      </w:pPr>
    </w:p>
    <w:p>
      <w:pPr>
        <w:jc w:val="both"/>
        <w:ind w:firstLine="757"/>
        <w:spacing w:after="0" w:line="253"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Common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Common Stock, or other securities and property, when and as required to provide for the exercise of the rights represented by this Warrant. Company will take all such action as may be necessary to assure that such shares of Common Stock may be issued as provided herein without violation of any applicable law or regulation, or of any requirements of any domestic securities exchange upon which the Common Stock may be listed. Company will not take any action which would result in any adjustment of the Exercise Price (as described in Section 4 hereof) (i) if the total number of shares of Common Stock issuable after such action upon exercise of all outstanding warrants, together with all shares of Common Stock then outstanding and all shares of Common Stock then issuable upon exercise of all options and upon the conversion of all convertible securities then outstanding, would exceed the total number of shares of Common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or (ii) if the par value per share of the Common Stock would exceed the Exercise Price.</w:t>
      </w:r>
    </w:p>
    <w:p>
      <w:pPr>
        <w:spacing w:after="0" w:line="187"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Shares</w:t>
      </w:r>
      <w:r>
        <w:rPr>
          <w:rFonts w:ascii="Times New Roman" w:cs="Times New Roman" w:eastAsia="Times New Roman" w:hAnsi="Times New Roman"/>
          <w:sz w:val="18"/>
          <w:szCs w:val="18"/>
          <w:color w:val="auto"/>
        </w:rPr>
        <w:t>. The Exercise Price and the number of shares purchasable upon the exercise of this Warrant shall be subject to adjustment from time to time upon the occurrence of certain events described in this Section 4. Upon each adjustment of the Exercise Price,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183"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Stock</w:t>
      </w:r>
      <w:r>
        <w:rPr>
          <w:rFonts w:ascii="Times New Roman" w:cs="Times New Roman" w:eastAsia="Times New Roman" w:hAnsi="Times New Roman"/>
          <w:sz w:val="18"/>
          <w:szCs w:val="18"/>
          <w:color w:val="auto"/>
        </w:rPr>
        <w:t>. In case Company shall at any time subdivide its outstanding shares of Common Stock into a greater number of shares, the Exercise Price in effect immediately prior to such subdivision shall be proportionately reduced, and conversely, in case the outstanding shares of Common Stock of Company shall be combined into a smaller number of shares, the Exercise Price in effect immediately prior to such combination shall be proportionately increased.</w:t>
      </w:r>
    </w:p>
    <w:p>
      <w:pPr>
        <w:spacing w:after="0" w:line="180"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Common Stock (or any shares of stock or other securities at the time receivable upon the exercise of this Warrant) shall have received or become entitled to receive,</w:t>
      </w:r>
    </w:p>
    <w:p>
      <w:pPr>
        <w:spacing w:after="0" w:line="162" w:lineRule="exact"/>
        <w:rPr>
          <w:sz w:val="20"/>
          <w:szCs w:val="20"/>
          <w:color w:val="auto"/>
        </w:rPr>
      </w:pPr>
    </w:p>
    <w:p>
      <w:pPr>
        <w:jc w:val="both"/>
        <w:ind w:firstLine="1505"/>
        <w:spacing w:after="0" w:line="266" w:lineRule="auto"/>
        <w:tabs>
          <w:tab w:leader="none" w:pos="20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any shares of stock or other securities whether or not such securities are at any time directly or indirectly convertible into or exchangeable for Common Stock, or any rights or options to subscribe for, purchase or otherwise acquire any of the foregoing by way of dividend or other distribution,</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other or additional stock or other securities or property (including cash) by way of spin off, split-up, reclassification, combination of shares or similar corporate rearrangement, (other than shares of Common Stock issued as a stock split, adjustments in respect of which shall be covered by the terms of Section 4.1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0" w:name="page171"/>
    <w:bookmarkEnd w:id="170"/>
    <w:p>
      <w:pPr>
        <w:jc w:val="both"/>
        <w:spacing w:after="0" w:line="258" w:lineRule="auto"/>
        <w:rPr>
          <w:sz w:val="20"/>
          <w:szCs w:val="20"/>
          <w:color w:val="auto"/>
        </w:rPr>
      </w:pPr>
      <w:r>
        <w:rPr>
          <w:rFonts w:ascii="Times New Roman" w:cs="Times New Roman" w:eastAsia="Times New Roman" w:hAnsi="Times New Roman"/>
          <w:sz w:val="18"/>
          <w:szCs w:val="18"/>
          <w:color w:val="auto"/>
        </w:rPr>
        <w:t>then and in each such case, Holder hereof shall, upon the exercise of this Warrant, be entitled to receive, in addition to the number of shares of Common Stock receivable thereupon, and without payment of any additional consideration therefor, the amount of stock and other securities and property (including cash in the cases referred to in clauses (b) and (c) above) which such Holder would hold on the date of such exercise had it been the holder of record of such Common Stock as of the date on which holders of Common Stock received or became entitled to receive such shares and/or all other additional stock and other securities and property.</w:t>
      </w:r>
    </w:p>
    <w:p>
      <w:pPr>
        <w:spacing w:after="0" w:line="183"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event of a Change of Control (as hereinafter defined), this Warrant shall be automatically exchanged for a number of shares of Company’s securities, such number of shares being equal to the maximum number of shares issuable pursuant to the terms hereof as of immediately prior to such Change of Control (after taking into account all adjustments described herein) had Holder elected to exercise this Warrant immediately prior to the closing of such Change of Control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further consideration for their issuance pursuant to the terms of the preceding sentence.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Control</w:t>
      </w:r>
      <w:r>
        <w:rPr>
          <w:rFonts w:ascii="Times New Roman" w:cs="Times New Roman" w:eastAsia="Times New Roman" w:hAnsi="Times New Roman"/>
          <w:sz w:val="18"/>
          <w:szCs w:val="18"/>
          <w:color w:val="auto"/>
        </w:rPr>
        <w:t>” shall mean any sale, license, or other disposition of all or substantially all of the assets of Company, any reorganization, consolidation, merger or other transaction involving Company where the holders of Company’s securities before the transaction beneficially own less than 50% of the outstanding voting securities of the surviving entity after the transaction; provided that an issuance of equity securities for the primary purpose of raising capital shall not be considered a Change of Control under this Warrant. This Warrant shall terminate upon Holder’s receipt of the number of shares of Company’s equity securities described in this Section 4.3.</w:t>
      </w:r>
    </w:p>
    <w:p>
      <w:pPr>
        <w:spacing w:after="0" w:line="19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any adjustment of the Exercise Price, and/or any increase or decrease in the number of shares purchasable upon the exercise of this Warrant, Company shall give written notice thereof to Holder pursuant to Section 12. The notice, which may be substantially in the form of Exhibit “A” attached hereto, shall be signed by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25" w:lineRule="exact"/>
        <w:rPr>
          <w:sz w:val="20"/>
          <w:szCs w:val="20"/>
          <w:color w:val="auto"/>
        </w:rPr>
      </w:pPr>
    </w:p>
    <w:p>
      <w:pPr>
        <w:ind w:left="2040" w:hanging="535"/>
        <w:spacing w:after="0"/>
        <w:tabs>
          <w:tab w:leader="none" w:pos="2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Common Stock;</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Common Stock payable in stock or make any special dividend or other distribution to the holders of its Common Stock;</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Common Stock any additional shares of stock of any class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rights;</w:t>
      </w:r>
    </w:p>
    <w:p>
      <w:pPr>
        <w:spacing w:after="0" w:line="206"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consolidation or merger of Company with, or sale of all or substantially all of its assets to, another entity;</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1" w:name="page172"/>
    <w:bookmarkEnd w:id="171"/>
    <w:p>
      <w:pPr>
        <w:jc w:val="both"/>
        <w:spacing w:after="0" w:line="254" w:lineRule="auto"/>
        <w:rPr>
          <w:sz w:val="20"/>
          <w:szCs w:val="20"/>
          <w:color w:val="auto"/>
        </w:rPr>
      </w:pPr>
      <w:r>
        <w:rPr>
          <w:rFonts w:ascii="Times New Roman" w:cs="Times New Roman" w:eastAsia="Times New Roman" w:hAnsi="Times New Roman"/>
          <w:sz w:val="18"/>
          <w:szCs w:val="18"/>
          <w:color w:val="auto"/>
        </w:rPr>
        <w:t>then, in any one or more of said cases, Company shall give Holder, pursuant to Section 12,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Common Stock shall be entitled thereto. Any notice given in accordance with the foregoing clause (ii) shall also specify the date on which the holders of Common Stock shall be entitled to exchange their Common Stock for securities or other property deliverable upon such reorganization, reclassification, consolidation, merger, sale, dissolution, liquidation or winding-up, or other action as the case may be.</w:t>
      </w:r>
    </w:p>
    <w:p>
      <w:pPr>
        <w:spacing w:after="0" w:line="18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57"/>
        <w:spacing w:after="0" w:line="266" w:lineRule="auto"/>
        <w:tabs>
          <w:tab w:leader="none" w:pos="10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Common Stock upon the exercise of this Warrant shall be made without charge to Holder of this Warrant for any issue tax in respect thereof; provided, however, that Company shall not be required to pay any tax which may be payable in respect of any transfer involved in the issuance and delivery of any certificate in a name other than that of the then Holder of this Warrant being exercised.</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Common Stock issued or issuable upon the exercise of this Warrant in any manner which interferes with the timely exercise of this Warrant.</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hereof the right to vote or to consent as a stockholder in respect of meetings of stockholders for the election of directors of Company or any other matters or any rights whatsoever as a stockholder of Company. No dividends or interest shall be payable in respect of this Warrant or the interest represented hereby or the shares purchasable hereunder until, and only to the extent that, this Warrant shall have been exercised; provided, however, that if any dividends are due or paid at any time on the underlying securities for which this Warrant is exercisable, then upon exercise, the securities issued to Holder shall be deemed to have accrued dividends and be paid identical dividends from the same time as the outstanding shares for which this Warrant is exercisable were first issued (or, if later, the date of this Warrant). No provisions hereof, in the absence of affirmative action by Holder to purchase shares of Common Stock, and no mere enumeration herein of the rights or privileges of Holder hereof, shall give rise to any liability of such Holder for the Exercise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Charter</w:t>
      </w:r>
      <w:r>
        <w:rPr>
          <w:rFonts w:ascii="Times New Roman" w:cs="Times New Roman" w:eastAsia="Times New Roman" w:hAnsi="Times New Roman"/>
          <w:sz w:val="18"/>
          <w:szCs w:val="18"/>
          <w:color w:val="auto"/>
        </w:rPr>
        <w:t>. Unless Holder consents thereto in writing, Company shall not amend its Charter prior to the exercise of this Warrant if the Common Stock would be adversely affected by such amendment in a manner that would be more adverse to Holder with respect to the shares of Common Stock issuable upon the exercise of this Warrant than, and substantially dissimilar to, such amendment’s effect on the other holders of the Common Stock.</w:t>
      </w:r>
    </w:p>
    <w:p>
      <w:pPr>
        <w:spacing w:after="0" w:line="179" w:lineRule="exact"/>
        <w:rPr>
          <w:rFonts w:ascii="Times New Roman" w:cs="Times New Roman" w:eastAsia="Times New Roman" w:hAnsi="Times New Roman"/>
          <w:sz w:val="18"/>
          <w:szCs w:val="18"/>
          <w:color w:val="auto"/>
        </w:rPr>
      </w:pPr>
    </w:p>
    <w:p>
      <w:pPr>
        <w:jc w:val="both"/>
        <w:ind w:firstLine="757"/>
        <w:spacing w:after="0" w:line="255" w:lineRule="auto"/>
        <w:tabs>
          <w:tab w:leader="none" w:pos="10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If the Company has an effective shelf registration statement on Form S-3 (or any successor form) with available capacity for the resale of Registrable Securities (as defined below) and is not subject to any underlying restrictions that would prevent such registration (including, without limitation, any limitations on the aggregate market value of securities that may be sold by or on behalf of the Company pursuant to General Instruction I.B.6 of Form S-3), upon request from a Holder, the Company shall file a prospectus supplement to register for resale the shares of Common Stock issued upon exercise of this Warrant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In the event of an underwriter cutback in any offering, Holders of Registrable Securities will be subject to cutback before any other holders of securities with registration rights granted prior to the date hereof, and thereafter on a pro rata basis with other holders of Registrable Securities,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2" w:name="page173"/>
    <w:bookmarkEnd w:id="172"/>
    <w:p>
      <w:pPr>
        <w:ind w:firstLine="757"/>
        <w:spacing w:after="0" w:line="282" w:lineRule="auto"/>
        <w:tabs>
          <w:tab w:leader="none" w:pos="10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xml:space="preserve"> The rights and obligations of Company, of Holder of this Warrant and of the holder of shares of Common Stock issued upon exercise of this Warrant, contained in Sections 6, 8, 9 and 18 shall survive the exercise of this Warrant.</w:t>
      </w:r>
    </w:p>
    <w:p>
      <w:pPr>
        <w:spacing w:after="0" w:line="161" w:lineRule="exact"/>
        <w:rPr>
          <w:rFonts w:ascii="Times New Roman" w:cs="Times New Roman" w:eastAsia="Times New Roman" w:hAnsi="Times New Roman"/>
          <w:sz w:val="18"/>
          <w:szCs w:val="18"/>
          <w:color w:val="auto"/>
        </w:rPr>
      </w:pPr>
    </w:p>
    <w:p>
      <w:pPr>
        <w:ind w:right="20" w:firstLine="757"/>
        <w:spacing w:after="0" w:line="282" w:lineRule="auto"/>
        <w:tabs>
          <w:tab w:leader="none" w:pos="10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Holder or Company shall be deemed to have been given (i) upon receipt if delivered personally or by courier (ii) upon confirmation of receipt if by telecopy or (iii) three business days after deposit in the US mail, with postage prepaid and certified or registered, to each such Holder at its address as shown on the books of Company or to Company at the address indicated therefor in the opening paragraphs of this Warrant (or at such other location as Company may advise Holder in writing).</w:t>
      </w:r>
    </w:p>
    <w:p>
      <w:pPr>
        <w:spacing w:after="0" w:line="179"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obligations of Company relating to the Common Stock issuable upon the exercise of this Warrant shall survive the exercise and termination of this Warrant. All of the covenants and agreements of Company shall inure to the benefit of and be binding upon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Common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This Warrant shall be construed and enforced in accordance with, and the rights of the parties shall be governed by, the laws of the State of California.</w:t>
      </w:r>
    </w:p>
    <w:p>
      <w:pPr>
        <w:spacing w:after="0" w:line="175"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Warrants or Stock Certificates</w:t>
      </w:r>
      <w:r>
        <w:rPr>
          <w:rFonts w:ascii="Times New Roman" w:cs="Times New Roman" w:eastAsia="Times New Roman" w:hAnsi="Times New Roman"/>
          <w:sz w:val="18"/>
          <w:szCs w:val="18"/>
          <w:color w:val="auto"/>
        </w:rPr>
        <w:t>. Company agrees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pay the holder entitled to such fraction a sum in cash equal to such fraction multiplied by the then effective Exercise Price.</w:t>
      </w:r>
    </w:p>
    <w:p>
      <w:pPr>
        <w:spacing w:after="0" w:line="16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xml:space="preserve"> With respect to this Warrant, Holder represents and warrants to Company as follows:</w:t>
      </w:r>
    </w:p>
    <w:p>
      <w:pPr>
        <w:spacing w:after="0" w:line="22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xml:space="preserve">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risk of that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3" w:name="page174"/>
    <w:bookmarkEnd w:id="173"/>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It is acquiring this Warrant for investment for its own account and not with a view to, or for resale in connection with, any distribution thereof. It understands that this Warrant and the shares of Common Stock issuable upon exercise of this Warrant, have not been registered under the Securities Act, nor qualified under applicable state securities laws.</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It acknowledges that this Warrant and the Common Stock issuable upon exercise of this Warrant must be held indefinitely unless they are subsequently registered under the Securities Act or an exemption from such registration is available. It has been advised or is aware of the provisions of Rule 144 promulgated under the Securities Act.</w:t>
      </w:r>
    </w:p>
    <w:p>
      <w:pPr>
        <w:spacing w:after="0" w:line="176"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xml:space="preserve">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It is an “accredited investor” within the meaning of Regulation D promulgated under the Securities Act.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xml:space="preserve"> Company hereby represents, warrants and agrees as follows:</w:t>
      </w:r>
    </w:p>
    <w:p>
      <w:pPr>
        <w:spacing w:after="0" w:line="225"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Corporate Power.</w:t>
      </w:r>
      <w:r>
        <w:rPr>
          <w:rFonts w:ascii="Times New Roman" w:cs="Times New Roman" w:eastAsia="Times New Roman" w:hAnsi="Times New Roman"/>
          <w:sz w:val="18"/>
          <w:szCs w:val="18"/>
          <w:color w:val="auto"/>
        </w:rPr>
        <w:t xml:space="preserve"> Company has all requisite corporate power and corporate authority to issue this Warrant and to carry out and perform its obligations hereunder.</w:t>
      </w:r>
    </w:p>
    <w:p>
      <w:pPr>
        <w:spacing w:after="0" w:line="16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xml:space="preserve"> All corporate action on the part of Company, its directors and stockholders necessary for the authorization, execution, delivery and performance by Company of this Warrant has been taken. This Warrant is a valid and binding obligation of Company, enforceable in accordance with its terms.</w:t>
      </w:r>
    </w:p>
    <w:p>
      <w:pPr>
        <w:spacing w:after="0" w:line="17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xml:space="preserve"> Subject in part to the truth and accuracy of Holder’s representations set forth in Section 17 hereof, the offer, issuance and sale of this Warrant is, and the Common Stock issuable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Listing; Stock Issuance</w:t>
      </w:r>
      <w:r>
        <w:rPr>
          <w:rFonts w:ascii="Times New Roman" w:cs="Times New Roman" w:eastAsia="Times New Roman" w:hAnsi="Times New Roman"/>
          <w:sz w:val="18"/>
          <w:szCs w:val="18"/>
          <w:color w:val="auto"/>
        </w:rPr>
        <w:t>. Company shall secure and maintain the listing of the Common Stock issuable upon exercise of this Warrant and the shares of Common Stock or other securities issuable upon exercise of this Warrant, upon each securities exchange or over-the-counter market upon which securities of the same class or series issued by Company are listed, if any. Upon exercise of this Warrant, Company will use commercially reasonable efforts to cause stock certificates representing the shares of Common Stock purchased pursuant to the exercise to be issued in the names of Holder, its nominees or assignees, as appropriate at the time of such exercise.</w:t>
      </w:r>
    </w:p>
    <w:p>
      <w:pPr>
        <w:spacing w:after="0" w:line="183"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 Company has provided Holder with true and complete copies of Company’s Charter, By-Laws, and each Certificate of Designation or other charter document setting, forth any rights, preferences and privileges of Company’s capital stock, each as amended and in effect on the date of issuance of this Warrant.</w:t>
      </w:r>
    </w:p>
    <w:p>
      <w:pPr>
        <w:spacing w:after="0" w:line="17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57"/>
        <w:spacing w:after="0" w:line="258" w:lineRule="auto"/>
        <w:tabs>
          <w:tab w:leader="none" w:pos="10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Electronic Signatures</w:t>
      </w:r>
      <w:r>
        <w:rPr>
          <w:rFonts w:ascii="Times New Roman" w:cs="Times New Roman" w:eastAsia="Times New Roman" w:hAnsi="Times New Roman"/>
          <w:sz w:val="18"/>
          <w:szCs w:val="18"/>
          <w:color w:val="auto"/>
        </w:rPr>
        <w:t>. This Warrant may be executed by one or more of the parties hereto in any number of separate counterparts, all of which together shall constitute one and the same instrument. Holder’s execution and delivery of Holder’s counterpart signature page to this Warrant via facsimile or electronic mail (including pdf or any electronic signature complying with the U.S. federal ESIGN Act of 2000, e.g., www.docusign.com) shall constitute Holder’s effective execution and delivery of this Warrant and agreement to and acceptance of the terms hereof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4" w:name="page175"/>
    <w:bookmarkEnd w:id="174"/>
    <w:p>
      <w:pPr>
        <w:jc w:val="right"/>
        <w:ind w:right="1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579120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15" w:right="1440"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Company has caused this Warrant to be duly executed by its officer, thereunto duly authorized as of the date of issuance set forth on the first page hereof.</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SPRUCE BIOSCIENCES, INC.</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___/s/ Samir Gharib_____________</w:t>
            </w:r>
          </w:p>
        </w:tc>
      </w:tr>
      <w:tr>
        <w:trPr>
          <w:trHeight w:val="20"/>
        </w:trPr>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Samir Gharib</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FUND 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Avenue Venture Opportunities Partners II, LLC</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607"/>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_____/s/ Sonia Gardner___________</w:t>
            </w:r>
          </w:p>
        </w:tc>
      </w:tr>
      <w:tr>
        <w:trPr>
          <w:trHeight w:val="20"/>
        </w:trPr>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Sonia Gardner</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1627"/>
        </w:trPr>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80" w:hanging="372"/>
        <w:spacing w:after="0" w:line="238" w:lineRule="auto"/>
        <w:tabs>
          <w:tab w:leader="none" w:pos="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________________ (_____) shares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of __________ and herewith makes payment of</w:t>
      </w:r>
    </w:p>
    <w:p>
      <w:pPr>
        <w:ind w:left="3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 Dollars ($________) therefor, and requests that the certificates for such shares be issued in the name of, and delivered to, _________, whose address is ___________.</w:t>
      </w:r>
    </w:p>
    <w:p>
      <w:pPr>
        <w:spacing w:after="0" w:line="18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convert ______ percent (__%) of the value of the Warrant pursuant to the provisions of Section 1(b) of the Warrant.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200" w:lineRule="exact"/>
        <w:rPr>
          <w:sz w:val="20"/>
          <w:szCs w:val="20"/>
          <w:color w:val="auto"/>
        </w:rPr>
      </w:pPr>
    </w:p>
    <w:p>
      <w:pPr>
        <w:spacing w:after="0" w:line="394" w:lineRule="exact"/>
        <w:rPr>
          <w:sz w:val="20"/>
          <w:szCs w:val="20"/>
          <w:color w:val="auto"/>
        </w:rPr>
      </w:pPr>
    </w:p>
    <w:p>
      <w:pPr>
        <w:ind w:left="3760"/>
        <w:spacing w:after="0"/>
        <w:tabs>
          <w:tab w:leader="none" w:pos="44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______________________</w:t>
      </w:r>
    </w:p>
    <w:p>
      <w:pPr>
        <w:spacing w:after="0" w:line="225" w:lineRule="exact"/>
        <w:rPr>
          <w:sz w:val="20"/>
          <w:szCs w:val="20"/>
          <w:color w:val="auto"/>
        </w:rPr>
      </w:pPr>
    </w:p>
    <w:p>
      <w:pPr>
        <w:ind w:left="3760"/>
        <w:spacing w:after="0"/>
        <w:tabs>
          <w:tab w:leader="none" w:pos="4460" w:val="left"/>
        </w:tabs>
        <w:rPr>
          <w:sz w:val="20"/>
          <w:szCs w:val="20"/>
          <w:color w:val="auto"/>
        </w:rPr>
      </w:pPr>
      <w:r>
        <w:rPr>
          <w:rFonts w:ascii="Times New Roman" w:cs="Times New Roman" w:eastAsia="Times New Roman" w:hAnsi="Times New Roman"/>
          <w:sz w:val="18"/>
          <w:szCs w:val="18"/>
          <w:color w:val="auto"/>
        </w:rPr>
        <w:t>Holder:</w:t>
        <w:tab/>
        <w:t>______________________</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By: ______________________</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Its:  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1688465" cy="514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6">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367" w:lineRule="exact"/>
        <w:rPr>
          <w:sz w:val="20"/>
          <w:szCs w:val="20"/>
          <w:color w:val="auto"/>
        </w:rPr>
      </w:pPr>
    </w:p>
    <w:p>
      <w:pPr>
        <w:jc w:val="both"/>
        <w:ind w:firstLine="8"/>
        <w:spacing w:after="0" w:line="231" w:lineRule="auto"/>
        <w:tabs>
          <w:tab w:leader="none" w:pos="112" w:val="left"/>
        </w:tabs>
        <w:numPr>
          <w:ilvl w:val="0"/>
          <w:numId w:val="10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Insert here the Applicable Number of shares of Common Stock (or, in the case of a partial exercise, the portion thereof as to which the Warrant is being exercised), in either case without making any adjustment for additional Common Stock or any other stock or other securities or property or cash which, pursuant to the adjustment provisions of the Warrant, may be issuable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Common Stock covered thereby set forth herein below, unto: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Assignee Address  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tabs>
          <w:tab w:leader="none" w:pos="59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______________________</w:t>
      </w:r>
    </w:p>
    <w:p>
      <w:pPr>
        <w:spacing w:after="0" w:line="225" w:lineRule="exact"/>
        <w:rPr>
          <w:sz w:val="20"/>
          <w:szCs w:val="20"/>
          <w:color w:val="auto"/>
        </w:rPr>
      </w:pPr>
    </w:p>
    <w:p>
      <w:pPr>
        <w:ind w:left="5240"/>
        <w:spacing w:after="0"/>
        <w:tabs>
          <w:tab w:leader="none" w:pos="5940" w:val="left"/>
        </w:tabs>
        <w:rPr>
          <w:sz w:val="20"/>
          <w:szCs w:val="20"/>
          <w:color w:val="auto"/>
        </w:rPr>
      </w:pPr>
      <w:r>
        <w:rPr>
          <w:rFonts w:ascii="Times New Roman" w:cs="Times New Roman" w:eastAsia="Times New Roman" w:hAnsi="Times New Roman"/>
          <w:sz w:val="18"/>
          <w:szCs w:val="18"/>
          <w:color w:val="auto"/>
        </w:rPr>
        <w:t>Holder:</w:t>
        <w:tab/>
        <w:t>______________________</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______________________</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Its: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[On letterhead of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Reference is hereby made to that certain Warrant dated March 9, 2026 issued by SPRUCE BIOSCIENCES,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AVENUE VENTURE OPPORTUNITIES FUND II, L.P., a Delaware limited partnership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APPLICABLE] The Warrant provides that the actual number and type of shares of Company's capital stock issuable upon exercise of the Warrant and the initial exercise price per share are to be determined by reference to one or more events or conditions subsequent to the issuance of the Warrant. Such events or conditions have now occurred or lapsed, and Company wishes to confirm the actual number of shares issuable and the initial exercise price. The provisions of this Supplement to Warrant are incorporated into the Warrant by this reference, and shall control the interpretation and exercise of the Warrant.</w:t>
      </w:r>
    </w:p>
    <w:p>
      <w:pPr>
        <w:spacing w:after="0" w:line="183"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18"/>
          <w:szCs w:val="18"/>
          <w:color w:val="auto"/>
        </w:rPr>
        <w:t>[IF APPLICABLE]</w:t>
        <w:tab/>
        <w:t>Notice is hereby given pursuant to Section 4.5 of the Warrant that the following adjustment(s) have been made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[describe adjustments, setting forth details regarding method of calculation and facts upon which calculation is based].</w:t>
      </w:r>
    </w:p>
    <w:p>
      <w:pPr>
        <w:spacing w:after="0" w:line="207" w:lineRule="exact"/>
        <w:rPr>
          <w:sz w:val="20"/>
          <w:szCs w:val="20"/>
          <w:color w:val="auto"/>
        </w:rPr>
      </w:pPr>
    </w:p>
    <w:p>
      <w:pPr>
        <w:ind w:left="760"/>
        <w:spacing w:after="0"/>
        <w:tabs>
          <w:tab w:leader="none" w:pos="10520" w:val="left"/>
        </w:tabs>
        <w:rPr>
          <w:sz w:val="20"/>
          <w:szCs w:val="20"/>
          <w:color w:val="auto"/>
        </w:rPr>
      </w:pPr>
      <w:r>
        <w:rPr>
          <w:rFonts w:ascii="Times New Roman" w:cs="Times New Roman" w:eastAsia="Times New Roman" w:hAnsi="Times New Roman"/>
          <w:sz w:val="18"/>
          <w:szCs w:val="18"/>
          <w:color w:val="auto"/>
        </w:rPr>
        <w:t>This certifies that Holder is entitled to purchase from Company __________________________, at the Holder’s option,</w:t>
        <w:tab/>
        <w:t>either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fully paid and nonassessable shares of Company’s _________ Stock at a price of _________________________ Dollars ($__________)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or (ii) (____________) fully paid and nonassessable shares of Company’s _________ Stock at a price of _________________________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per share. The applicable Exercise Price and the number of shares purchasable under the Warrant remain subject to adjustment as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Section 4 of the Warrant.</w:t>
      </w:r>
    </w:p>
    <w:p>
      <w:pPr>
        <w:spacing w:after="0" w:line="200" w:lineRule="exact"/>
        <w:rPr>
          <w:sz w:val="20"/>
          <w:szCs w:val="20"/>
          <w:color w:val="auto"/>
        </w:rPr>
      </w:pPr>
    </w:p>
    <w:p>
      <w:pPr>
        <w:spacing w:after="0" w:line="3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Executed this ___ day of ________________, 20___.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SPRUCE BIOSCIENCES, INC.</w:t>
      </w:r>
    </w:p>
    <w:p>
      <w:pPr>
        <w:spacing w:after="0" w:line="200" w:lineRule="exact"/>
        <w:rPr>
          <w:sz w:val="20"/>
          <w:szCs w:val="20"/>
          <w:color w:val="auto"/>
        </w:rPr>
      </w:pPr>
    </w:p>
    <w:p>
      <w:pPr>
        <w:spacing w:after="0" w:line="241" w:lineRule="exact"/>
        <w:rPr>
          <w:sz w:val="20"/>
          <w:szCs w:val="20"/>
          <w:color w:val="auto"/>
        </w:rPr>
      </w:pPr>
    </w:p>
    <w:p>
      <w:pPr>
        <w:ind w:left="2160"/>
        <w:spacing w:after="0"/>
        <w:tabs>
          <w:tab w:leader="none" w:pos="2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________________________________</w:t>
      </w:r>
    </w:p>
    <w:p>
      <w:pPr>
        <w:spacing w:after="0" w:line="117" w:lineRule="exact"/>
        <w:rPr>
          <w:sz w:val="20"/>
          <w:szCs w:val="20"/>
          <w:color w:val="auto"/>
        </w:rPr>
      </w:pPr>
    </w:p>
    <w:p>
      <w:pPr>
        <w:ind w:left="2160"/>
        <w:spacing w:after="0"/>
        <w:tabs>
          <w:tab w:leader="none" w:pos="2860" w:val="left"/>
        </w:tabs>
        <w:rPr>
          <w:sz w:val="20"/>
          <w:szCs w:val="20"/>
          <w:color w:val="auto"/>
        </w:rPr>
      </w:pPr>
      <w:r>
        <w:rPr>
          <w:rFonts w:ascii="Times New Roman" w:cs="Times New Roman" w:eastAsia="Times New Roman" w:hAnsi="Times New Roman"/>
          <w:sz w:val="18"/>
          <w:szCs w:val="18"/>
          <w:color w:val="auto"/>
        </w:rPr>
        <w:t>Name:</w:t>
        <w:tab/>
        <w:t>________________________________</w:t>
      </w:r>
    </w:p>
    <w:p>
      <w:pPr>
        <w:spacing w:after="0" w:line="117" w:lineRule="exact"/>
        <w:rPr>
          <w:sz w:val="20"/>
          <w:szCs w:val="20"/>
          <w:color w:val="auto"/>
        </w:rPr>
      </w:pPr>
    </w:p>
    <w:p>
      <w:pPr>
        <w:ind w:left="2160"/>
        <w:spacing w:after="0"/>
        <w:tabs>
          <w:tab w:leader="none" w:pos="2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1444625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SPRUCE BIOSCIENCES,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00" w:lineRule="exact"/>
        <w:rPr>
          <w:sz w:val="20"/>
          <w:szCs w:val="20"/>
          <w:color w:val="auto"/>
        </w:rPr>
      </w:pPr>
    </w:p>
    <w:p>
      <w:pPr>
        <w:spacing w:after="0" w:line="2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Each member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who is not also serving as an employee of or consultant to Spruce Biosciences,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or any of its subsidiaries (each such member, an “</w:t>
      </w:r>
      <w:r>
        <w:rPr>
          <w:rFonts w:ascii="Times New Roman" w:cs="Times New Roman" w:eastAsia="Times New Roman" w:hAnsi="Times New Roman"/>
          <w:sz w:val="22"/>
          <w:szCs w:val="22"/>
          <w:b w:val="1"/>
          <w:bCs w:val="1"/>
          <w:i w:val="1"/>
          <w:iCs w:val="1"/>
          <w:color w:val="auto"/>
        </w:rPr>
        <w:t>Eligible Director</w:t>
      </w:r>
      <w:r>
        <w:rPr>
          <w:rFonts w:ascii="Times New Roman" w:cs="Times New Roman" w:eastAsia="Times New Roman" w:hAnsi="Times New Roman"/>
          <w:sz w:val="22"/>
          <w:szCs w:val="22"/>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common stock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pursuant to which the Common Stock is priced in such initial public offering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Cash Compensation</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208" w:lineRule="exact"/>
        <w:rPr>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Board Service Retainer</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Eligible Directors: $40,000</w:t>
      </w: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Executive Chairman of the Board Service Retainer (in addition to Eligible Director Service Retainer): $30,000</w:t>
      </w:r>
    </w:p>
    <w:p>
      <w:pPr>
        <w:spacing w:after="0" w:line="20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Chair Service Retainer (in lieu of Annual Committee Member Service Retainer)</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Audit Committee: $15,000</w:t>
      </w:r>
    </w:p>
    <w:p>
      <w:pPr>
        <w:ind w:left="1180" w:hanging="423"/>
        <w:spacing w:after="0" w:line="230" w:lineRule="auto"/>
        <w:tabs>
          <w:tab w:leader="none" w:pos="11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Compensation Committee: $11,000</w:t>
      </w:r>
    </w:p>
    <w:p>
      <w:pPr>
        <w:ind w:left="1180" w:hanging="423"/>
        <w:spacing w:after="0"/>
        <w:tabs>
          <w:tab w:leader="none" w:pos="11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Chair of the Nominating and Corporate Governance Committee: $10,000</w:t>
      </w:r>
    </w:p>
    <w:p>
      <w:pPr>
        <w:spacing w:after="0" w:line="20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Committee Member Service Retainer</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 $7,750</w:t>
      </w:r>
    </w:p>
    <w:p>
      <w:pPr>
        <w:ind w:left="1180" w:hanging="423"/>
        <w:spacing w:after="0" w:line="230" w:lineRule="auto"/>
        <w:tabs>
          <w:tab w:leader="none" w:pos="11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 $5,500</w:t>
      </w:r>
    </w:p>
    <w:p>
      <w:pPr>
        <w:ind w:left="1180" w:hanging="423"/>
        <w:spacing w:after="0"/>
        <w:tabs>
          <w:tab w:leader="none" w:pos="11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 $5,000</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equity compensation set forth below will be granted under the Company’s 2020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 provided that upon a termination of service other than for death, disability or cause, the post-termination exercise period will be three months from the date of termination).</w:t>
      </w:r>
    </w:p>
    <w:p>
      <w:pPr>
        <w:spacing w:after="0" w:line="208" w:lineRule="exact"/>
        <w:rPr>
          <w:sz w:val="20"/>
          <w:szCs w:val="20"/>
          <w:color w:val="auto"/>
        </w:rPr>
      </w:pPr>
    </w:p>
    <w:p>
      <w:pPr>
        <w:jc w:val="both"/>
        <w:ind w:firstLine="8"/>
        <w:spacing w:after="0" w:line="234" w:lineRule="auto"/>
        <w:tabs>
          <w:tab w:leader="none" w:pos="43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granted a stock option to purchase 3,400 shares of Common Stock (the “</w:t>
      </w:r>
      <w:r>
        <w:rPr>
          <w:rFonts w:ascii="Times New Roman" w:cs="Times New Roman" w:eastAsia="Times New Roman" w:hAnsi="Times New Roman"/>
          <w:sz w:val="22"/>
          <w:szCs w:val="22"/>
          <w:b w:val="1"/>
          <w:bCs w:val="1"/>
          <w:i w:val="1"/>
          <w:iCs w:val="1"/>
          <w:color w:val="auto"/>
        </w:rPr>
        <w:t>Initial Grant</w:t>
      </w:r>
      <w:r>
        <w:rPr>
          <w:rFonts w:ascii="Times New Roman" w:cs="Times New Roman" w:eastAsia="Times New Roman" w:hAnsi="Times New Roman"/>
          <w:sz w:val="22"/>
          <w:szCs w:val="22"/>
          <w:color w:val="auto"/>
        </w:rPr>
        <w:t>”). Each person who, after the Effective Date, served as an employee of, or consultant to, the Company and as a member of the Board, but who later ceases to provide such employment or consulting services shall not be entitled to an Initial Grant. The shares subject to each Initial Grant will vest in equal monthly installments over a three year period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210" w:lineRule="exact"/>
        <w:rPr>
          <w:rFonts w:ascii="Times New Roman" w:cs="Times New Roman" w:eastAsia="Times New Roman" w:hAnsi="Times New Roman"/>
          <w:sz w:val="22"/>
          <w:szCs w:val="22"/>
          <w:color w:val="auto"/>
        </w:rPr>
      </w:pPr>
    </w:p>
    <w:p>
      <w:pPr>
        <w:jc w:val="both"/>
        <w:ind w:firstLine="8"/>
        <w:spacing w:after="0" w:line="234" w:lineRule="auto"/>
        <w:tabs>
          <w:tab w:leader="none" w:pos="43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 On the date of each annual stockholder meeting of the Company held after the Effective Date, each Eligible Director who continues to serve as a non-employee member of the Board following such stockholder meeting will be automatically, and without further action by the Board, granted a stock option to purchase 1,700 shares of Common Stock (the “</w:t>
      </w:r>
      <w:r>
        <w:rPr>
          <w:rFonts w:ascii="Times New Roman" w:cs="Times New Roman" w:eastAsia="Times New Roman" w:hAnsi="Times New Roman"/>
          <w:sz w:val="22"/>
          <w:szCs w:val="22"/>
          <w:b w:val="1"/>
          <w:bCs w:val="1"/>
          <w:i w:val="1"/>
          <w:iCs w:val="1"/>
          <w:color w:val="auto"/>
        </w:rPr>
        <w:t>Annual Grant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Eligible Director has not served as member of the Board for 12 months prior to the applicable annual stockholder meeting, the number of shares subject to such individual’s Annual Grant will be pro-rated based on the number of full months served on the Board, rounded to the nearest whole share. The shares subject to the Annual Grant will vest on the first anniversary of the date of grant, provided that the Annual Grant will in any case be fully vested on the date of Company’s next annual stockholder meeting, subject to the Eligible Director’s Continuous Service (as defined in the Plan) through such vesting date and will vest in full upon a Change in Control (as defined in the Plan).</w:t>
      </w:r>
    </w:p>
    <w:p>
      <w:pPr>
        <w:spacing w:after="0" w:line="210" w:lineRule="exact"/>
        <w:rPr>
          <w:rFonts w:ascii="Times New Roman" w:cs="Times New Roman" w:eastAsia="Times New Roman" w:hAnsi="Times New Roman"/>
          <w:sz w:val="22"/>
          <w:szCs w:val="22"/>
          <w:color w:val="auto"/>
        </w:rPr>
      </w:pPr>
    </w:p>
    <w:p>
      <w:pPr>
        <w:jc w:val="both"/>
        <w:ind w:firstLine="8"/>
        <w:spacing w:after="0" w:line="233" w:lineRule="auto"/>
        <w:tabs>
          <w:tab w:leader="none" w:pos="45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Non-Employee Director Compensation Limit:</w:t>
      </w:r>
      <w:r>
        <w:rPr>
          <w:rFonts w:ascii="Times New Roman" w:cs="Times New Roman" w:eastAsia="Times New Roman" w:hAnsi="Times New Roman"/>
          <w:sz w:val="22"/>
          <w:szCs w:val="22"/>
          <w:color w:val="auto"/>
        </w:rPr>
        <w:t xml:space="preserve"> The aggregate value of all compensation granted or paid, as applicable, to any Eligible Director for service as a non-employee member of the Board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 w:cs="Times New Roman" w:eastAsia="Times New Roman" w:hAnsi="Times New Roman"/>
          <w:sz w:val="22"/>
          <w:szCs w:val="22"/>
          <w:b w:val="1"/>
          <w:bCs w:val="1"/>
          <w:i w:val="1"/>
          <w:iCs w:val="1"/>
          <w:color w:val="auto"/>
        </w:rPr>
        <w:t>Annual Period</w:t>
      </w:r>
      <w:r>
        <w:rPr>
          <w:rFonts w:ascii="Times New Roman" w:cs="Times New Roman" w:eastAsia="Times New Roman" w:hAnsi="Times New Roman"/>
          <w:sz w:val="22"/>
          <w:szCs w:val="22"/>
          <w:color w:val="auto"/>
        </w:rPr>
        <w:t>”), including equity awards granted and cash fees paid by the Company to such Eligible Director, will not exceed (i) $750,000 in total value or (ii) in the event such Eligible Director is first appointed or elected to the Board during such Annual Period, $1,000,000 in total value, in each case calculating the value of any equity awards based on the grant date fair value of such equity awards</w:t>
      </w:r>
    </w:p>
    <w:p>
      <w:pPr>
        <w:spacing w:after="0" w:line="5" w:lineRule="exact"/>
        <w:rPr>
          <w:rFonts w:ascii="Times New Roman" w:cs="Times New Roman" w:eastAsia="Times New Roman" w:hAnsi="Times New Roman"/>
          <w:sz w:val="22"/>
          <w:szCs w:val="22"/>
          <w:color w:val="auto"/>
        </w:rPr>
      </w:pPr>
    </w:p>
    <w:p>
      <w:pPr>
        <w:ind w:left="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925830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1" w:name="page182"/>
    <w:bookmarkEnd w:id="181"/>
    <w:p>
      <w:pPr>
        <w:spacing w:after="0" w:line="258" w:lineRule="auto"/>
        <w:rPr>
          <w:sz w:val="20"/>
          <w:szCs w:val="20"/>
          <w:color w:val="auto"/>
        </w:rPr>
      </w:pPr>
      <w:r>
        <w:rPr>
          <w:rFonts w:ascii="Times New Roman" w:cs="Times New Roman" w:eastAsia="Times New Roman" w:hAnsi="Times New Roman"/>
          <w:sz w:val="22"/>
          <w:szCs w:val="22"/>
          <w:color w:val="auto"/>
        </w:rPr>
        <w:t>for financial reporting purposes. The limitations in this section shall apply commencing with the Annual Period that begins on the Company’s first Annual Meeting of Stockholders following the Effective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Adopted: October 8, 2020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Amended: April 6, 2022</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Amended: March 30,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Amended: December 11, 2025</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9"/>
          <w:szCs w:val="19"/>
          <w:color w:val="auto"/>
        </w:rPr>
        <w:t>We hereby consent to the incorporation b</w:t>
      </w:r>
      <w:r>
        <w:rPr>
          <w:rFonts w:ascii="Times New Roman" w:cs="Times New Roman" w:eastAsia="Times New Roman" w:hAnsi="Times New Roman"/>
          <w:sz w:val="17"/>
          <w:szCs w:val="17"/>
          <w:color w:val="auto"/>
        </w:rPr>
        <w:t>y reference in the Registration Statements on Form S-3 (No. 333-270612, 333-291152, and 333-291153)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Form S-8 (No. 333-249431, 333-254593, 333-263534, 333-270610, 333-278036 and 333-286544) of Spruce Biosciences, Inc. (</w:t>
      </w:r>
      <w:r>
        <w:rPr>
          <w:rFonts w:ascii="Times New Roman" w:cs="Times New Roman" w:eastAsia="Times New Roman" w:hAnsi="Times New Roman"/>
          <w:sz w:val="18"/>
          <w:szCs w:val="18"/>
          <w:color w:val="auto"/>
        </w:rPr>
        <w:t>the Company) of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report dated March 9, 2026, relating to the financial statements, which appears in this Annual Report on Form 10-K. Our report contains an explanatory paragraph regarding the Company’s ability to continue as a going concern.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BDO USA, P.C.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 Jose, California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Javier Szwarcberg, certify that:</w:t>
      </w:r>
    </w:p>
    <w:p>
      <w:pPr>
        <w:spacing w:after="0" w:line="225"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Spruce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500" w:val="left"/>
          <w:tab w:leader="none" w:pos="7340" w:val="left"/>
        </w:tabs>
        <w:rPr>
          <w:sz w:val="20"/>
          <w:szCs w:val="20"/>
          <w:color w:val="auto"/>
        </w:rPr>
      </w:pPr>
      <w:r>
        <w:rPr>
          <w:rFonts w:ascii="Times New Roman" w:cs="Times New Roman" w:eastAsia="Times New Roman" w:hAnsi="Times New Roman"/>
          <w:sz w:val="18"/>
          <w:szCs w:val="18"/>
          <w:color w:val="auto"/>
        </w:rPr>
        <w:t>Date: March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spacing w:after="0" w:line="2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Samir Gharib, certify that:</w:t>
      </w:r>
    </w:p>
    <w:p>
      <w:pPr>
        <w:spacing w:after="0" w:line="225"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Spruce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460" w:val="left"/>
          <w:tab w:leader="none" w:pos="7980" w:val="left"/>
        </w:tabs>
        <w:rPr>
          <w:sz w:val="20"/>
          <w:szCs w:val="20"/>
          <w:color w:val="auto"/>
        </w:rPr>
      </w:pPr>
      <w:r>
        <w:rPr>
          <w:rFonts w:ascii="Times New Roman" w:cs="Times New Roman" w:eastAsia="Times New Roman" w:hAnsi="Times New Roman"/>
          <w:sz w:val="18"/>
          <w:szCs w:val="18"/>
          <w:color w:val="auto"/>
        </w:rPr>
        <w:t>Date: March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Samir Gharib</w:t>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Spruce Biosciences,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500" w:val="left"/>
          <w:tab w:leader="none" w:pos="7340" w:val="left"/>
        </w:tabs>
        <w:rPr>
          <w:sz w:val="20"/>
          <w:szCs w:val="20"/>
          <w:color w:val="auto"/>
        </w:rPr>
      </w:pPr>
      <w:r>
        <w:rPr>
          <w:rFonts w:ascii="Times New Roman" w:cs="Times New Roman" w:eastAsia="Times New Roman" w:hAnsi="Times New Roman"/>
          <w:sz w:val="18"/>
          <w:szCs w:val="18"/>
          <w:color w:val="auto"/>
        </w:rPr>
        <w:t>Date: March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Spruce Biosciences, Inc. (the Company) on Form 10-K for the period ending December 31,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380" w:val="left"/>
          <w:tab w:leader="none" w:pos="7940" w:val="left"/>
        </w:tabs>
        <w:rPr>
          <w:sz w:val="20"/>
          <w:szCs w:val="20"/>
          <w:color w:val="auto"/>
        </w:rPr>
      </w:pPr>
      <w:r>
        <w:rPr>
          <w:rFonts w:ascii="Times New Roman" w:cs="Times New Roman" w:eastAsia="Times New Roman" w:hAnsi="Times New Roman"/>
          <w:sz w:val="18"/>
          <w:szCs w:val="18"/>
          <w:color w:val="auto"/>
        </w:rPr>
        <w:t>Date: March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Samir Gharib</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1)"/>
      <w:numFmt w:val="lowerRoman"/>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1)"/>
      <w:numFmt w:val="lowerRoman"/>
      <w:start w:val="4"/>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o"/>
      <w:numFmt w:val="bullet"/>
      <w:start w:val="1"/>
    </w:lvl>
  </w:abstractNum>
  <w:abstractNum w:abstractNumId="45">
    <w:nsid w:val="3B0FD379"/>
    <w:multiLevelType w:val="hybridMultilevel"/>
    <w:lvl w:ilvl="0">
      <w:lvlJc w:val="left"/>
      <w:lvlText w:val="▪"/>
      <w:numFmt w:val="bullet"/>
      <w:start w:val="1"/>
    </w:lvl>
    <w:lvl w:ilvl="1">
      <w:lvlJc w:val="left"/>
      <w:lvlText w:val="o"/>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1)"/>
      <w:numFmt w:val="lowerRoman"/>
      <w:start w:val="2"/>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1."/>
      <w:numFmt w:val="decimal"/>
      <w:start w:val="40"/>
    </w:lvl>
  </w:abstractNum>
  <w:abstractNum w:abstractNumId="52">
    <w:nsid w:val="1A27709E"/>
    <w:multiLevelType w:val="hybridMultilevel"/>
    <w:lvl w:ilvl="0">
      <w:lvlJc w:val="left"/>
      <w:lvlText w:val="%1."/>
      <w:numFmt w:val="decimal"/>
      <w:start w:val="5"/>
    </w:lvl>
    <w:lvl w:ilvl="1">
      <w:lvlJc w:val="left"/>
      <w:lvlText w:val="*"/>
      <w:numFmt w:val="bullet"/>
      <w:start w:val="1"/>
    </w:lvl>
  </w:abstractNum>
  <w:abstractNum w:abstractNumId="53">
    <w:nsid w:val="71EA1109"/>
    <w:multiLevelType w:val="hybridMultilevel"/>
    <w:lvl w:ilvl="0">
      <w:lvlJc w:val="left"/>
      <w:lvlText w:val="%1)"/>
      <w:numFmt w:val="lowerLetter"/>
      <w:start w:val="1"/>
    </w:lvl>
    <w:lvl w:ilvl="1">
      <w:lvlJc w:val="left"/>
      <w:lvlText w:val="%2."/>
      <w:numFmt w:val="decimal"/>
      <w:start w:val="1"/>
    </w:lvl>
  </w:abstractNum>
  <w:abstractNum w:abstractNumId="54">
    <w:nsid w:val="100F59DC"/>
    <w:multiLevelType w:val="hybridMultilevel"/>
    <w:lvl w:ilvl="0">
      <w:lvlJc w:val="left"/>
      <w:lvlText w:val="+"/>
      <w:numFmt w:val="bullet"/>
      <w:start w:val="1"/>
    </w:lvl>
    <w:lvl w:ilvl="1">
      <w:lvlJc w:val="left"/>
      <w:lvlText w:val="%2"/>
      <w:numFmt w:val="decimal"/>
      <w:start w:val="104"/>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1)"/>
      <w:numFmt w:val="lowerLetter"/>
      <w:start w:val="3"/>
    </w:lvl>
  </w:abstractNum>
  <w:abstractNum w:abstractNumId="59">
    <w:nsid w:val="885E1B"/>
    <w:multiLevelType w:val="hybridMultilevel"/>
    <w:lvl w:ilvl="0">
      <w:lvlJc w:val="left"/>
      <w:lvlText w:val="%1)"/>
      <w:numFmt w:val="lowerLetter"/>
      <w:start w:val="1"/>
    </w:lvl>
  </w:abstractNum>
  <w:abstractNum w:abstractNumId="60">
    <w:nsid w:val="76272110"/>
    <w:multiLevelType w:val="hybridMultilevel"/>
    <w:lvl w:ilvl="0">
      <w:lvlJc w:val="left"/>
      <w:lvlText w:val="1"/>
      <w:numFmt w:val="bullet"/>
      <w:start w:val="1"/>
    </w:lvl>
  </w:abstractNum>
  <w:abstractNum w:abstractNumId="61">
    <w:nsid w:val="4C04A8AF"/>
    <w:multiLevelType w:val="hybridMultilevel"/>
    <w:lvl w:ilvl="0">
      <w:lvlJc w:val="left"/>
      <w:lvlText w:val="(%1)"/>
      <w:numFmt w:val="decimal"/>
      <w:start w:val="1"/>
    </w:lvl>
    <w:lvl w:ilvl="1">
      <w:lvlJc w:val="left"/>
      <w:lvlText w:val="%2)"/>
      <w:numFmt w:val="lowerLetter"/>
      <w:start w:val="2"/>
    </w:lvl>
  </w:abstractNum>
  <w:abstractNum w:abstractNumId="62">
    <w:nsid w:val="1716703B"/>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abstractNum>
  <w:abstractNum w:abstractNumId="63">
    <w:nsid w:val="14E17E33"/>
    <w:multiLevelType w:val="hybridMultilevel"/>
    <w:lvl w:ilvl="0">
      <w:lvlJc w:val="left"/>
      <w:lvlText w:val="%1"/>
      <w:numFmt w:val="lowerRoman"/>
      <w:start w:val="1"/>
    </w:lvl>
    <w:lvl w:ilvl="1">
      <w:lvlJc w:val="left"/>
      <w:lvlText w:val="%2."/>
      <w:numFmt w:val="lowerRoman"/>
      <w:start w:val="3"/>
    </w:lvl>
  </w:abstractNum>
  <w:abstractNum w:abstractNumId="64">
    <w:nsid w:val="3222E7CD"/>
    <w:multiLevelType w:val="hybridMultilevel"/>
    <w:lvl w:ilvl="0">
      <w:lvlJc w:val="left"/>
      <w:lvlText w:val="(%1)"/>
      <w:numFmt w:val="lowerRoman"/>
      <w:start w:val="2"/>
    </w:lvl>
    <w:lvl w:ilvl="1">
      <w:lvlJc w:val="left"/>
      <w:lvlText w:val="%2"/>
      <w:numFmt w:val="lowerRoman"/>
      <w:start w:val="1"/>
    </w:lvl>
  </w:abstractNum>
  <w:abstractNum w:abstractNumId="65">
    <w:nsid w:val="74DE0EE3"/>
    <w:multiLevelType w:val="hybridMultilevel"/>
    <w:lvl w:ilvl="0">
      <w:lvlJc w:val="left"/>
      <w:lvlText w:val="%1."/>
      <w:numFmt w:val="lowerRoman"/>
      <w:start w:val="5"/>
    </w:lvl>
  </w:abstractNum>
  <w:abstractNum w:abstractNumId="66">
    <w:nsid w:val="68EBC550"/>
    <w:multiLevelType w:val="hybridMultilevel"/>
    <w:lvl w:ilvl="0">
      <w:lvlJc w:val="left"/>
      <w:lvlText w:val="%1."/>
      <w:numFmt w:val="lowerRoman"/>
      <w:start w:val="6"/>
    </w:lvl>
  </w:abstractNum>
  <w:abstractNum w:abstractNumId="67">
    <w:nsid w:val="2DF6D648"/>
    <w:multiLevelType w:val="hybridMultilevel"/>
    <w:lvl w:ilvl="0">
      <w:lvlJc w:val="left"/>
      <w:lvlText w:val="%1"/>
      <w:numFmt w:val="lowerLetter"/>
      <w:start w:val="1"/>
    </w:lvl>
    <w:lvl w:ilvl="1">
      <w:lvlJc w:val="left"/>
      <w:lvlText w:val="%2."/>
      <w:numFmt w:val="lowerRoman"/>
      <w:start w:val="7"/>
    </w:lvl>
  </w:abstractNum>
  <w:abstractNum w:abstractNumId="68">
    <w:nsid w:val="46B7D447"/>
    <w:multiLevelType w:val="hybridMultilevel"/>
    <w:lvl w:ilvl="0">
      <w:lvlJc w:val="left"/>
      <w:lvlText w:val="%1)"/>
      <w:numFmt w:val="lowerLetter"/>
      <w:start w:val="5"/>
    </w:lvl>
    <w:lvl w:ilvl="1">
      <w:lvlJc w:val="left"/>
      <w:lvlText w:val="%2"/>
      <w:numFmt w:val="lowerRoman"/>
      <w:start w:val="1"/>
    </w:lvl>
  </w:abstractNum>
  <w:abstractNum w:abstractNumId="69">
    <w:nsid w:val="4A2AC315"/>
    <w:multiLevelType w:val="hybridMultilevel"/>
    <w:lvl w:ilvl="0">
      <w:lvlJc w:val="left"/>
      <w:lvlText w:val="%1)"/>
      <w:numFmt w:val="lowerLetter"/>
      <w:start w:val="1"/>
    </w:lvl>
  </w:abstractNum>
  <w:abstractNum w:abstractNumId="70">
    <w:nsid w:val="39EE015C"/>
    <w:multiLevelType w:val="hybridMultilevel"/>
    <w:lvl w:ilvl="0">
      <w:lvlJc w:val="left"/>
      <w:lvlText w:val="%1)"/>
      <w:numFmt w:val="lowerLetter"/>
      <w:start w:val="2"/>
    </w:lvl>
  </w:abstractNum>
  <w:abstractNum w:abstractNumId="71">
    <w:nsid w:val="57FC4FBB"/>
    <w:multiLevelType w:val="hybridMultilevel"/>
    <w:lvl w:ilvl="0">
      <w:lvlJc w:val="left"/>
      <w:lvlText w:val="%1)"/>
      <w:numFmt w:val="lowerLetter"/>
      <w:start w:val="4"/>
    </w:lvl>
  </w:abstractNum>
  <w:abstractNum w:abstractNumId="72">
    <w:nsid w:val="CC1016F"/>
    <w:multiLevelType w:val="hybridMultilevel"/>
    <w:lvl w:ilvl="0">
      <w:lvlJc w:val="left"/>
      <w:lvlText w:val="%1)"/>
      <w:numFmt w:val="lowerLetter"/>
      <w:start w:val="5"/>
    </w:lvl>
  </w:abstractNum>
  <w:abstractNum w:abstractNumId="73">
    <w:nsid w:val="43F18422"/>
    <w:multiLevelType w:val="hybridMultilevel"/>
    <w:lvl w:ilvl="0">
      <w:lvlJc w:val="left"/>
      <w:lvlText w:val="%1)"/>
      <w:numFmt w:val="lowerLetter"/>
      <w:start w:val="6"/>
    </w:lvl>
    <w:lvl w:ilvl="1">
      <w:lvlJc w:val="left"/>
      <w:lvlText w:val="%2."/>
      <w:numFmt w:val="lowerRoman"/>
      <w:start w:val="1"/>
    </w:lvl>
  </w:abstractNum>
  <w:abstractNum w:abstractNumId="74">
    <w:nsid w:val="60EF0119"/>
    <w:multiLevelType w:val="hybridMultilevel"/>
    <w:lvl w:ilvl="0">
      <w:lvlJc w:val="left"/>
      <w:lvlText w:val="%1"/>
      <w:numFmt w:val="upperLetter"/>
      <w:start w:val="1"/>
    </w:lvl>
    <w:lvl w:ilvl="1">
      <w:lvlJc w:val="left"/>
      <w:lvlText w:val="%2."/>
      <w:numFmt w:val="lowerRoman"/>
      <w:start w:val="2"/>
    </w:lvl>
  </w:abstractNum>
  <w:abstractNum w:abstractNumId="75">
    <w:nsid w:val="26F324BA"/>
    <w:multiLevelType w:val="hybridMultilevel"/>
    <w:lvl w:ilvl="0">
      <w:lvlJc w:val="left"/>
      <w:lvlText w:val="(%1)"/>
      <w:numFmt w:val="upperLetter"/>
      <w:start w:val="3"/>
    </w:lvl>
    <w:lvl w:ilvl="1">
      <w:lvlJc w:val="left"/>
      <w:lvlText w:val="%2"/>
      <w:numFmt w:val="lowerRoman"/>
      <w:start w:val="1"/>
    </w:lvl>
  </w:abstractNum>
  <w:abstractNum w:abstractNumId="76">
    <w:nsid w:val="7F01579B"/>
    <w:multiLevelType w:val="hybridMultilevel"/>
    <w:lvl w:ilvl="0">
      <w:lvlJc w:val="left"/>
      <w:lvlText w:val="%1)"/>
      <w:numFmt w:val="lowerLetter"/>
      <w:start w:val="1"/>
    </w:lvl>
  </w:abstractNum>
  <w:abstractNum w:abstractNumId="77">
    <w:nsid w:val="49DA307D"/>
    <w:multiLevelType w:val="hybridMultilevel"/>
    <w:lvl w:ilvl="0">
      <w:lvlJc w:val="left"/>
      <w:lvlText w:val="%1)"/>
      <w:numFmt w:val="lowerLetter"/>
      <w:start w:val="5"/>
    </w:lvl>
  </w:abstractNum>
  <w:abstractNum w:abstractNumId="78">
    <w:nsid w:val="7055A5F5"/>
    <w:multiLevelType w:val="hybridMultilevel"/>
    <w:lvl w:ilvl="0">
      <w:lvlJc w:val="left"/>
      <w:lvlText w:val="%1)"/>
      <w:numFmt w:val="lowerLetter"/>
      <w:start w:val="1"/>
    </w:lvl>
  </w:abstractNum>
  <w:abstractNum w:abstractNumId="79">
    <w:nsid w:val="5FB8370B"/>
    <w:multiLevelType w:val="hybridMultilevel"/>
    <w:lvl w:ilvl="0">
      <w:lvlJc w:val="left"/>
      <w:lvlText w:val="%1"/>
      <w:numFmt w:val="lowerRoman"/>
      <w:start w:val="1"/>
    </w:lvl>
    <w:lvl w:ilvl="1">
      <w:lvlJc w:val="left"/>
      <w:lvlText w:val="%2)"/>
      <w:numFmt w:val="lowerLetter"/>
      <w:start w:val="4"/>
    </w:lvl>
  </w:abstractNum>
  <w:abstractNum w:abstractNumId="80">
    <w:nsid w:val="50801EE1"/>
    <w:multiLevelType w:val="hybridMultilevel"/>
    <w:lvl w:ilvl="0">
      <w:lvlJc w:val="left"/>
      <w:lvlText w:val="(%1)"/>
      <w:numFmt w:val="lowerRoman"/>
      <w:start w:val="2"/>
    </w:lvl>
    <w:lvl w:ilvl="1">
      <w:lvlJc w:val="left"/>
      <w:lvlText w:val="%2"/>
      <w:numFmt w:val="lowerLetter"/>
      <w:start w:val="1"/>
    </w:lvl>
  </w:abstractNum>
  <w:abstractNum w:abstractNumId="81">
    <w:nsid w:val="488AC1A"/>
    <w:multiLevelType w:val="hybridMultilevel"/>
    <w:lvl w:ilvl="0">
      <w:lvlJc w:val="left"/>
      <w:lvlText w:val="%1)"/>
      <w:numFmt w:val="lowerLetter"/>
      <w:start w:val="6"/>
    </w:lvl>
  </w:abstractNum>
  <w:abstractNum w:abstractNumId="82">
    <w:nsid w:val="5FB8011C"/>
    <w:multiLevelType w:val="hybridMultilevel"/>
    <w:lvl w:ilvl="0">
      <w:lvlJc w:val="left"/>
      <w:lvlText w:val="%1)"/>
      <w:numFmt w:val="lowerLetter"/>
      <w:start w:val="1"/>
    </w:lvl>
  </w:abstractNum>
  <w:abstractNum w:abstractNumId="83">
    <w:nsid w:val="6AA78F7F"/>
    <w:multiLevelType w:val="hybridMultilevel"/>
    <w:lvl w:ilvl="0">
      <w:lvlJc w:val="left"/>
      <w:lvlText w:val="%1)"/>
      <w:numFmt w:val="lowerLetter"/>
      <w:start w:val="3"/>
    </w:lvl>
    <w:lvl w:ilvl="1">
      <w:lvlJc w:val="left"/>
      <w:lvlText w:val="%2."/>
      <w:numFmt w:val="lowerRoman"/>
      <w:start w:val="1"/>
    </w:lvl>
  </w:abstractNum>
  <w:abstractNum w:abstractNumId="84">
    <w:nsid w:val="7672BD23"/>
    <w:multiLevelType w:val="hybridMultilevel"/>
    <w:lvl w:ilvl="0">
      <w:lvlJc w:val="left"/>
      <w:lvlText w:val="%1)"/>
      <w:numFmt w:val="lowerLetter"/>
      <w:start w:val="5"/>
    </w:lvl>
  </w:abstractNum>
  <w:abstractNum w:abstractNumId="85">
    <w:nsid w:val="6FC75AF8"/>
    <w:multiLevelType w:val="hybridMultilevel"/>
    <w:lvl w:ilvl="0">
      <w:lvlJc w:val="left"/>
      <w:lvlText w:val="%1)"/>
      <w:numFmt w:val="lowerLetter"/>
      <w:start w:val="6"/>
    </w:lvl>
  </w:abstractNum>
  <w:abstractNum w:abstractNumId="86">
    <w:nsid w:val="6A5F7029"/>
    <w:multiLevelType w:val="hybridMultilevel"/>
    <w:lvl w:ilvl="0">
      <w:lvlJc w:val="left"/>
      <w:lvlText w:val="%1)"/>
      <w:numFmt w:val="lowerLetter"/>
      <w:start w:val="1"/>
    </w:lvl>
  </w:abstractNum>
  <w:abstractNum w:abstractNumId="87">
    <w:nsid w:val="7D5E18F8"/>
    <w:multiLevelType w:val="hybridMultilevel"/>
    <w:lvl w:ilvl="0">
      <w:lvlJc w:val="left"/>
      <w:lvlText w:val="%1)"/>
      <w:numFmt w:val="lowerLetter"/>
      <w:start w:val="5"/>
    </w:lvl>
  </w:abstractNum>
  <w:abstractNum w:abstractNumId="88">
    <w:nsid w:val="5F3534A4"/>
    <w:multiLevelType w:val="hybridMultilevel"/>
    <w:lvl w:ilvl="0">
      <w:lvlJc w:val="left"/>
      <w:lvlText w:val="%1)"/>
      <w:numFmt w:val="lowerLetter"/>
      <w:start w:val="6"/>
    </w:lvl>
  </w:abstractNum>
  <w:abstractNum w:abstractNumId="89">
    <w:nsid w:val="73A1821B"/>
    <w:multiLevelType w:val="hybridMultilevel"/>
    <w:lvl w:ilvl="0">
      <w:lvlJc w:val="left"/>
      <w:lvlText w:val="%1)"/>
      <w:numFmt w:val="lowerLetter"/>
      <w:start w:val="9"/>
    </w:lvl>
  </w:abstractNum>
  <w:abstractNum w:abstractNumId="90">
    <w:nsid w:val="7DE67713"/>
    <w:multiLevelType w:val="hybridMultilevel"/>
    <w:lvl w:ilvl="0">
      <w:lvlJc w:val="left"/>
      <w:lvlText w:val="(%1)"/>
      <w:numFmt w:val="decimal"/>
      <w:start w:val="1"/>
    </w:lvl>
  </w:abstractNum>
  <w:abstractNum w:abstractNumId="91">
    <w:nsid w:val="555C55B5"/>
    <w:multiLevelType w:val="hybridMultilevel"/>
    <w:lvl w:ilvl="0">
      <w:lvlJc w:val="left"/>
      <w:lvlText w:val="(%1)"/>
      <w:numFmt w:val="decimal"/>
      <w:start w:val="2"/>
    </w:lvl>
    <w:lvl w:ilvl="1">
      <w:lvlJc w:val="left"/>
      <w:lvlText w:val="["/>
      <w:numFmt w:val="bullet"/>
      <w:start w:val="1"/>
    </w:lvl>
  </w:abstractNum>
  <w:abstractNum w:abstractNumId="92">
    <w:nsid w:val="3FA62ACA"/>
    <w:multiLevelType w:val="hybridMultilevel"/>
    <w:lvl w:ilvl="0">
      <w:lvlJc w:val="left"/>
      <w:lvlText w:val="%1."/>
      <w:numFmt w:val="decimal"/>
      <w:start w:val="1"/>
    </w:lvl>
    <w:lvl w:ilvl="1">
      <w:lvlJc w:val="left"/>
      <w:lvlText w:val="(%2)"/>
      <w:numFmt w:val="lowerLetter"/>
      <w:start w:val="1"/>
    </w:lvl>
  </w:abstractNum>
  <w:abstractNum w:abstractNumId="93">
    <w:nsid w:val="14FCE74E"/>
    <w:multiLevelType w:val="hybridMultilevel"/>
    <w:lvl w:ilvl="0">
      <w:lvlJc w:val="left"/>
      <w:lvlText w:val="Y"/>
      <w:numFmt w:val="bullet"/>
      <w:start w:val="1"/>
    </w:lvl>
  </w:abstractNum>
  <w:abstractNum w:abstractNumId="94">
    <w:nsid w:val="6A3DD3E8"/>
    <w:multiLevelType w:val="hybridMultilevel"/>
    <w:lvl w:ilvl="0">
      <w:lvlJc w:val="left"/>
      <w:lvlText w:val="A"/>
      <w:numFmt w:val="bullet"/>
      <w:start w:val="1"/>
    </w:lvl>
  </w:abstractNum>
  <w:abstractNum w:abstractNumId="95">
    <w:nsid w:val="71C91298"/>
    <w:multiLevelType w:val="hybridMultilevel"/>
    <w:lvl w:ilvl="0">
      <w:lvlJc w:val="left"/>
      <w:lvlText w:val="B"/>
      <w:numFmt w:val="bullet"/>
      <w:start w:val="1"/>
    </w:lvl>
  </w:abstractNum>
  <w:abstractNum w:abstractNumId="96">
    <w:nsid w:val="9DAF632"/>
    <w:multiLevelType w:val="hybridMultilevel"/>
    <w:lvl w:ilvl="0">
      <w:lvlJc w:val="left"/>
      <w:lvlText w:val="(%1)"/>
      <w:numFmt w:val="lowerLetter"/>
      <w:start w:val="3"/>
    </w:lvl>
  </w:abstractNum>
  <w:abstractNum w:abstractNumId="97">
    <w:nsid w:val="53299938"/>
    <w:multiLevelType w:val="hybridMultilevel"/>
    <w:lvl w:ilvl="0">
      <w:lvlJc w:val="left"/>
      <w:lvlText w:val="%1."/>
      <w:numFmt w:val="decimal"/>
      <w:start w:val="2"/>
    </w:lvl>
    <w:lvl w:ilvl="1">
      <w:lvlJc w:val="left"/>
      <w:lvlText w:val="(%2)"/>
      <w:numFmt w:val="lowerLetter"/>
      <w:start w:val="1"/>
    </w:lvl>
  </w:abstractNum>
  <w:abstractNum w:abstractNumId="98">
    <w:nsid w:val="1FBFE8E0"/>
    <w:multiLevelType w:val="hybridMultilevel"/>
    <w:lvl w:ilvl="0">
      <w:lvlJc w:val="left"/>
      <w:lvlText w:val="(%1)"/>
      <w:numFmt w:val="lowerLetter"/>
      <w:start w:val="3"/>
    </w:lvl>
  </w:abstractNum>
  <w:abstractNum w:abstractNumId="99">
    <w:nsid w:val="5092CA79"/>
    <w:multiLevelType w:val="hybridMultilevel"/>
    <w:lvl w:ilvl="0">
      <w:lvlJc w:val="left"/>
      <w:lvlText w:val="%1."/>
      <w:numFmt w:val="decimal"/>
      <w:start w:val="3"/>
    </w:lvl>
  </w:abstractNum>
  <w:abstractNum w:abstractNumId="100">
    <w:nsid w:val="1D545C4D"/>
    <w:multiLevelType w:val="hybridMultilevel"/>
    <w:lvl w:ilvl="0">
      <w:lvlJc w:val="left"/>
      <w:lvlText w:val="(%1)"/>
      <w:numFmt w:val="lowerLetter"/>
      <w:start w:val="1"/>
    </w:lvl>
  </w:abstractNum>
  <w:abstractNum w:abstractNumId="101">
    <w:nsid w:val="59ADEA3D"/>
    <w:multiLevelType w:val="hybridMultilevel"/>
    <w:lvl w:ilvl="0">
      <w:lvlJc w:val="left"/>
      <w:lvlText w:val="(%1)"/>
      <w:numFmt w:val="lowerLetter"/>
      <w:start w:val="1"/>
    </w:lvl>
  </w:abstractNum>
  <w:abstractNum w:abstractNumId="102">
    <w:nsid w:val="288F1A34"/>
    <w:multiLevelType w:val="hybridMultilevel"/>
    <w:lvl w:ilvl="0">
      <w:lvlJc w:val="left"/>
      <w:lvlText w:val="%1."/>
      <w:numFmt w:val="decimal"/>
      <w:start w:val="5"/>
    </w:lvl>
  </w:abstractNum>
  <w:abstractNum w:abstractNumId="103">
    <w:nsid w:val="2A155DBC"/>
    <w:multiLevelType w:val="hybridMultilevel"/>
    <w:lvl w:ilvl="0">
      <w:lvlJc w:val="left"/>
      <w:lvlText w:val="%1."/>
      <w:numFmt w:val="decimal"/>
      <w:start w:val="10"/>
    </w:lvl>
  </w:abstractNum>
  <w:abstractNum w:abstractNumId="104">
    <w:nsid w:val="1D9F6E5F"/>
    <w:multiLevelType w:val="hybridMultilevel"/>
    <w:lvl w:ilvl="0">
      <w:lvlJc w:val="left"/>
      <w:lvlText w:val="%1."/>
      <w:numFmt w:val="decimal"/>
      <w:start w:val="19"/>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1"/>
      <w:numFmt w:val="bullet"/>
      <w:start w:val="1"/>
    </w:lvl>
  </w:abstractNum>
  <w:abstractNum w:abstractNumId="107">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8">
    <w:nsid w:val="53584BCB"/>
    <w:multiLevelType w:val="hybridMultilevel"/>
    <w:lvl w:ilvl="0">
      <w:lvlJc w:val="left"/>
      <w:lvlText w:val="%1."/>
      <w:numFmt w:val="decimal"/>
      <w:start w:val="1"/>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5"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10" Type="http://schemas.openxmlformats.org/officeDocument/2006/relationships/image" Target="media/image400.png"/><Relationship Id="rId412"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7" Type="http://schemas.openxmlformats.org/officeDocument/2006/relationships/image" Target="media/image404.png"/><Relationship Id="rId419" Type="http://schemas.openxmlformats.org/officeDocument/2006/relationships/image" Target="media/image405.png"/><Relationship Id="rId421" Type="http://schemas.openxmlformats.org/officeDocument/2006/relationships/image" Target="media/image406.png"/><Relationship Id="rId423" Type="http://schemas.openxmlformats.org/officeDocument/2006/relationships/image" Target="media/image407.png"/><Relationship Id="rId424" Type="http://schemas.openxmlformats.org/officeDocument/2006/relationships/image" Target="media/image408.png"/><Relationship Id="rId425" Type="http://schemas.openxmlformats.org/officeDocument/2006/relationships/image" Target="media/image409.png"/><Relationship Id="rId427" Type="http://schemas.openxmlformats.org/officeDocument/2006/relationships/image" Target="media/image410.png"/><Relationship Id="rId428"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58" Type="http://schemas.openxmlformats.org/officeDocument/2006/relationships/image" Target="media/image420.png"/><Relationship Id="rId459" Type="http://schemas.openxmlformats.org/officeDocument/2006/relationships/image" Target="media/image421.png"/><Relationship Id="rId467" Type="http://schemas.openxmlformats.org/officeDocument/2006/relationships/image" Target="media/image422.png"/><Relationship Id="rId468" Type="http://schemas.openxmlformats.org/officeDocument/2006/relationships/image" Target="media/image423.png"/><Relationship Id="rId469" Type="http://schemas.openxmlformats.org/officeDocument/2006/relationships/image" Target="media/image424.png"/><Relationship Id="rId470" Type="http://schemas.openxmlformats.org/officeDocument/2006/relationships/image" Target="media/image425.png"/><Relationship Id="rId471" Type="http://schemas.openxmlformats.org/officeDocument/2006/relationships/image" Target="media/image426.png"/><Relationship Id="rId472" Type="http://schemas.openxmlformats.org/officeDocument/2006/relationships/image" Target="media/image427.png"/><Relationship Id="rId473" Type="http://schemas.openxmlformats.org/officeDocument/2006/relationships/image" Target="media/image428.png"/><Relationship Id="rId474" Type="http://schemas.openxmlformats.org/officeDocument/2006/relationships/image" Target="media/image429.png"/><Relationship Id="rId475" Type="http://schemas.openxmlformats.org/officeDocument/2006/relationships/image" Target="media/image430.png"/><Relationship Id="rId476" Type="http://schemas.openxmlformats.org/officeDocument/2006/relationships/image" Target="media/image431.png"/><Relationship Id="rId477" Type="http://schemas.openxmlformats.org/officeDocument/2006/relationships/image" Target="media/image432.png"/><Relationship Id="rId478" Type="http://schemas.openxmlformats.org/officeDocument/2006/relationships/image" Target="media/image433.png"/><Relationship Id="rId479" Type="http://schemas.openxmlformats.org/officeDocument/2006/relationships/image" Target="media/image434.png"/><Relationship Id="rId480" Type="http://schemas.openxmlformats.org/officeDocument/2006/relationships/image" Target="media/image435.png"/><Relationship Id="rId481" Type="http://schemas.openxmlformats.org/officeDocument/2006/relationships/image" Target="media/image436.png"/><Relationship Id="rId482" Type="http://schemas.openxmlformats.org/officeDocument/2006/relationships/image" Target="media/image437.png"/><Relationship Id="rId483" Type="http://schemas.openxmlformats.org/officeDocument/2006/relationships/image" Target="media/image438.png"/><Relationship Id="rId484" Type="http://schemas.openxmlformats.org/officeDocument/2006/relationships/image" Target="media/image439.png"/><Relationship Id="rId485" Type="http://schemas.openxmlformats.org/officeDocument/2006/relationships/image" Target="media/image440.png"/><Relationship Id="rId486" Type="http://schemas.openxmlformats.org/officeDocument/2006/relationships/image" Target="media/image441.png"/><Relationship Id="rId487" Type="http://schemas.openxmlformats.org/officeDocument/2006/relationships/image" Target="media/image442.png"/><Relationship Id="rId488" Type="http://schemas.openxmlformats.org/officeDocument/2006/relationships/image" Target="media/image443.png"/><Relationship Id="rId489" Type="http://schemas.openxmlformats.org/officeDocument/2006/relationships/image" Target="media/image444.png"/><Relationship Id="rId490" Type="http://schemas.openxmlformats.org/officeDocument/2006/relationships/image" Target="media/image445.png"/><Relationship Id="rId491" Type="http://schemas.openxmlformats.org/officeDocument/2006/relationships/image" Target="media/image446.png"/><Relationship Id="rId492" Type="http://schemas.openxmlformats.org/officeDocument/2006/relationships/image" Target="media/image447.png"/><Relationship Id="rId493" Type="http://schemas.openxmlformats.org/officeDocument/2006/relationships/image" Target="media/image448.png"/><Relationship Id="rId494" Type="http://schemas.openxmlformats.org/officeDocument/2006/relationships/image" Target="media/image449.png"/><Relationship Id="rId495" Type="http://schemas.openxmlformats.org/officeDocument/2006/relationships/image" Target="media/image450.png"/><Relationship Id="rId496" Type="http://schemas.openxmlformats.org/officeDocument/2006/relationships/image" Target="media/image451.png"/><Relationship Id="rId497" Type="http://schemas.openxmlformats.org/officeDocument/2006/relationships/image" Target="media/image452.png"/><Relationship Id="rId498" Type="http://schemas.openxmlformats.org/officeDocument/2006/relationships/image" Target="media/image453.png"/><Relationship Id="rId499" Type="http://schemas.openxmlformats.org/officeDocument/2006/relationships/image" Target="media/image454.png"/><Relationship Id="rId500" Type="http://schemas.openxmlformats.org/officeDocument/2006/relationships/image" Target="media/image455.png"/><Relationship Id="rId501" Type="http://schemas.openxmlformats.org/officeDocument/2006/relationships/image" Target="media/image456.png"/><Relationship Id="rId502" Type="http://schemas.openxmlformats.org/officeDocument/2006/relationships/image" Target="media/image457.png"/><Relationship Id="rId503" Type="http://schemas.openxmlformats.org/officeDocument/2006/relationships/image" Target="media/image458.png"/><Relationship Id="rId504" Type="http://schemas.openxmlformats.org/officeDocument/2006/relationships/image" Target="media/image459.png"/><Relationship Id="rId505" Type="http://schemas.openxmlformats.org/officeDocument/2006/relationships/image" Target="media/image460.jpeg"/><Relationship Id="rId506" Type="http://schemas.openxmlformats.org/officeDocument/2006/relationships/image" Target="media/image461.png"/><Relationship Id="rId507" Type="http://schemas.openxmlformats.org/officeDocument/2006/relationships/image" Target="media/image462.png"/><Relationship Id="rId508" Type="http://schemas.openxmlformats.org/officeDocument/2006/relationships/image" Target="media/image463.png"/><Relationship Id="rId509" Type="http://schemas.openxmlformats.org/officeDocument/2006/relationships/image" Target="media/image464.png"/><Relationship Id="rId510" Type="http://schemas.openxmlformats.org/officeDocument/2006/relationships/image" Target="media/image465.png"/><Relationship Id="rId511" Type="http://schemas.openxmlformats.org/officeDocument/2006/relationships/image" Target="media/image466.png"/><Relationship Id="rId512" Type="http://schemas.openxmlformats.org/officeDocument/2006/relationships/image" Target="media/image467.png"/><Relationship Id="rId513" Type="http://schemas.openxmlformats.org/officeDocument/2006/relationships/image" Target="media/image468.png"/><Relationship Id="rId514" Type="http://schemas.openxmlformats.org/officeDocument/2006/relationships/image" Target="media/image469.png"/><Relationship Id="rId515" Type="http://schemas.openxmlformats.org/officeDocument/2006/relationships/image" Target="media/image470.png"/><Relationship Id="rId516" Type="http://schemas.openxmlformats.org/officeDocument/2006/relationships/image" Target="media/image471.png"/><Relationship Id="rId517" Type="http://schemas.openxmlformats.org/officeDocument/2006/relationships/image" Target="media/image472.png"/><Relationship Id="rId518" Type="http://schemas.openxmlformats.org/officeDocument/2006/relationships/image" Target="media/image473.png"/><Relationship Id="rId519" Type="http://schemas.openxmlformats.org/officeDocument/2006/relationships/image" Target="media/image474.png"/><Relationship Id="rId520" Type="http://schemas.openxmlformats.org/officeDocument/2006/relationships/image" Target="media/image475.png"/><Relationship Id="rId521" Type="http://schemas.openxmlformats.org/officeDocument/2006/relationships/image" Target="media/image476.png"/><Relationship Id="rId522" Type="http://schemas.openxmlformats.org/officeDocument/2006/relationships/image" Target="media/image477.png"/><Relationship Id="rId523" Type="http://schemas.openxmlformats.org/officeDocument/2006/relationships/image" Target="media/image478.png"/><Relationship Id="rId524" Type="http://schemas.openxmlformats.org/officeDocument/2006/relationships/image" Target="media/image479.png"/><Relationship Id="rId525" Type="http://schemas.openxmlformats.org/officeDocument/2006/relationships/image" Target="media/image480.png"/><Relationship Id="rId526" Type="http://schemas.openxmlformats.org/officeDocument/2006/relationships/image" Target="media/image481.png"/><Relationship Id="rId527" Type="http://schemas.openxmlformats.org/officeDocument/2006/relationships/image" Target="media/image482.png"/><Relationship Id="rId528" Type="http://schemas.openxmlformats.org/officeDocument/2006/relationships/image" Target="media/image483.png"/><Relationship Id="rId529" Type="http://schemas.openxmlformats.org/officeDocument/2006/relationships/image" Target="media/image484.png"/><Relationship Id="rId530" Type="http://schemas.openxmlformats.org/officeDocument/2006/relationships/image" Target="media/image485.png"/><Relationship Id="rId531" Type="http://schemas.openxmlformats.org/officeDocument/2006/relationships/image" Target="media/image486.png"/><Relationship Id="rId532" Type="http://schemas.openxmlformats.org/officeDocument/2006/relationships/image" Target="media/image487.png"/><Relationship Id="rId404" Type="http://schemas.openxmlformats.org/officeDocument/2006/relationships/hyperlink" Target="https://www.sec.gov/Archives/edgar/data/0001683553/000119312520269344/d12372dex31.htm" TargetMode="External"/><Relationship Id="rId406" Type="http://schemas.openxmlformats.org/officeDocument/2006/relationships/hyperlink" Target="https://www.sec.gov/Archives/edgar/data/1683553/000095017025098340/sprb-ex3_1.htm" TargetMode="External"/><Relationship Id="rId409" Type="http://schemas.openxmlformats.org/officeDocument/2006/relationships/hyperlink" Target="https://www.sec.gov/Archives/edgar/data/0001683553/000119312520269344/d12372dex32.htm" TargetMode="External"/><Relationship Id="rId411" Type="http://schemas.openxmlformats.org/officeDocument/2006/relationships/hyperlink" Target="https://www.sec.gov/Archives/edgar/data/0001683553/000119312520263195/d902020dex41.htm" TargetMode="External"/><Relationship Id="rId413" Type="http://schemas.openxmlformats.org/officeDocument/2006/relationships/hyperlink" Target="https://www.sec.gov/Archives/edgar/data/1683553/000095017025078590/sprb-ex3_1.htm" TargetMode="External"/><Relationship Id="rId416" Type="http://schemas.openxmlformats.org/officeDocument/2006/relationships/hyperlink" Target="https://www.sec.gov/Archives/edgar/data/0001683553/000156459021014593/sprb-ex44_801.htm" TargetMode="External"/><Relationship Id="rId418" Type="http://schemas.openxmlformats.org/officeDocument/2006/relationships/hyperlink" Target="https://www.sec.gov/Archives/edgar/data/1683553/000095017023002369/sprb-ex4_2.htm" TargetMode="External"/><Relationship Id="rId420" Type="http://schemas.openxmlformats.org/officeDocument/2006/relationships/hyperlink" Target="https://www.sec.gov/Archives/edgar/data/1683553/000095017025053945/sprb-ex4_7.htm" TargetMode="External"/><Relationship Id="rId422" Type="http://schemas.openxmlformats.org/officeDocument/2006/relationships/hyperlink" Target="https://www.sec.gov/Archives/edgar/data/1683553/000095017025108888/sprb-ex4_2.htm" TargetMode="External"/><Relationship Id="rId426" Type="http://schemas.openxmlformats.org/officeDocument/2006/relationships/hyperlink" Target="https://www.sec.gov/Archives/edgar/data/1683553/000119312525234516/d36248dex41.htm" TargetMode="External"/><Relationship Id="rId429" Type="http://schemas.openxmlformats.org/officeDocument/2006/relationships/hyperlink" Target="https://www.sec.gov/Archives/edgar/data/0001683553/000119312520249221/d902020dex101.htm" TargetMode="External"/><Relationship Id="rId432" Type="http://schemas.openxmlformats.org/officeDocument/2006/relationships/hyperlink" Target="https://www.sec.gov/Archives/edgar/data/0001683553/000119312520249221/d902020dex102.htm" TargetMode="External"/><Relationship Id="rId436" Type="http://schemas.openxmlformats.org/officeDocument/2006/relationships/hyperlink" Target="https://www.sec.gov/Archives/edgar/data/1683553/000119312520263195/d902020dex103.htm" TargetMode="External"/><Relationship Id="rId440" Type="http://schemas.openxmlformats.org/officeDocument/2006/relationships/hyperlink" Target="https://www.sec.gov/Archives/edgar/data/0001683553/000119312520249221/d902020dex104.htm" TargetMode="External"/><Relationship Id="rId441" Type="http://schemas.openxmlformats.org/officeDocument/2006/relationships/hyperlink" Target="https://www.sec.gov/Archives/edgar/data/1683553/000095017023008456/sprb-ex10_5.htm" TargetMode="External"/><Relationship Id="rId442" Type="http://schemas.openxmlformats.org/officeDocument/2006/relationships/hyperlink" Target="https://www.sec.gov/Archives/edgar/data/1683553/000119312520263195/d902020dex105.htm" TargetMode="External"/><Relationship Id="rId443" Type="http://schemas.openxmlformats.org/officeDocument/2006/relationships/hyperlink" Target="https://www.sec.gov/Archives/edgar/data/1683553/000156459021014593/sprb-ex106_1193.htm" TargetMode="External"/><Relationship Id="rId444" Type="http://schemas.openxmlformats.org/officeDocument/2006/relationships/hyperlink" Target="https://www.sec.gov/Archives/edgar/data/1683553/000156459022000432/sprb-ex102_6.htm" TargetMode="External"/><Relationship Id="rId445" Type="http://schemas.openxmlformats.org/officeDocument/2006/relationships/hyperlink" Target="https://www.sec.gov/Archives/edgar/data/0001683553/000119312520249221/d902020dex107.htm" TargetMode="External"/><Relationship Id="rId446" Type="http://schemas.openxmlformats.org/officeDocument/2006/relationships/hyperlink" Target="https://www.sec.gov/Archives/edgar/data/0001683553/000119312520249221/d902020dex109.htm" TargetMode="External"/><Relationship Id="rId447" Type="http://schemas.openxmlformats.org/officeDocument/2006/relationships/hyperlink" Target="https://www.sec.gov/Archives/edgar/data/0001683553/000119312520249221/d902020dex1016.htm" TargetMode="External"/><Relationship Id="rId448" Type="http://schemas.openxmlformats.org/officeDocument/2006/relationships/hyperlink" Target="https://www.sec.gov/Archives/edgar/data/0001683553/000119312520249221/d902020dex1018.htm" TargetMode="External"/><Relationship Id="rId449" Type="http://schemas.openxmlformats.org/officeDocument/2006/relationships/hyperlink" Target="https://www.sec.gov/Archives/edgar/data/0001683553/000119312520249221/d902020dex1019.htm" TargetMode="External"/><Relationship Id="rId450" Type="http://schemas.openxmlformats.org/officeDocument/2006/relationships/hyperlink" Target="https://www.sec.gov/Archives/edgar/data/0001683553/000119312520249221/d902020dex1020.htm" TargetMode="External"/><Relationship Id="rId451" Type="http://schemas.openxmlformats.org/officeDocument/2006/relationships/hyperlink" Target="https://www.sec.gov/Archives/edgar/data/1683553/000156459022000432/sprb-ex101_7.htm" TargetMode="External"/><Relationship Id="rId452" Type="http://schemas.openxmlformats.org/officeDocument/2006/relationships/hyperlink" Target="https://www.sec.gov/Archives/edgar/data/1683553/000095017022005528/sprb-ex10_1.htm" TargetMode="External"/><Relationship Id="rId453" Type="http://schemas.openxmlformats.org/officeDocument/2006/relationships/hyperlink" Target="https://www.sec.gov/Archives/edgar/data/0001683553/000119312520249221/d902020dex1022.htm" TargetMode="External"/><Relationship Id="rId454" Type="http://schemas.openxmlformats.org/officeDocument/2006/relationships/hyperlink" Target="https://www.sec.gov/Archives/edgar/data/1683553/000095017022026009/sprb-ex10_1.htm" TargetMode="External"/><Relationship Id="rId455" Type="http://schemas.openxmlformats.org/officeDocument/2006/relationships/hyperlink" Target="https://www.sec.gov/Archives/edgar/data/1683553/000095017023008456/sprb-ex10_27.htm" TargetMode="External"/><Relationship Id="rId456" Type="http://schemas.openxmlformats.org/officeDocument/2006/relationships/hyperlink" Target="https://www.sec.gov/Archives/edgar/data/1683553/000095017023002369/sprb-ex10_1.htm" TargetMode="External"/><Relationship Id="rId457" Type="http://schemas.openxmlformats.org/officeDocument/2006/relationships/hyperlink" Target="https://www.sec.gov/Archives/edgar/data/1683553/000095017025053945/sprb-ex10_27.htm" TargetMode="External"/><Relationship Id="rId460" Type="http://schemas.openxmlformats.org/officeDocument/2006/relationships/hyperlink" Target="https://www.sec.gov/Archives/edgar/data/1683553/000095017025053945/sprb-ex10_28.htm" TargetMode="External"/><Relationship Id="rId461" Type="http://schemas.openxmlformats.org/officeDocument/2006/relationships/hyperlink" Target="https://www.sec.gov/Archives/edgar/data/1683553/000119312525234516/d36248dex101.htm" TargetMode="External"/><Relationship Id="rId462" Type="http://schemas.openxmlformats.org/officeDocument/2006/relationships/hyperlink" Target="https://www.sec.gov/Archives/edgar/data/1683553/000095017025078590/sprb-ex10_1.htm" TargetMode="External"/><Relationship Id="rId463" Type="http://schemas.openxmlformats.org/officeDocument/2006/relationships/hyperlink" Target="https://www.sec.gov/Archives/edgar/data/1683553/000119312526007038/sprb-ex10_1.htm" TargetMode="External"/><Relationship Id="rId464" Type="http://schemas.openxmlformats.org/officeDocument/2006/relationships/hyperlink" Target="https://www.sec.gov/Archives/edgar/data/1683553/000119312526007038/sprb-ex10_2.htm" TargetMode="External"/><Relationship Id="rId465" Type="http://schemas.openxmlformats.org/officeDocument/2006/relationships/hyperlink" Target="https://www.sec.gov/Archives/edgar/data/1683553/000095017025053945/sprb-ex19_1.htm" TargetMode="External"/><Relationship Id="rId466" Type="http://schemas.openxmlformats.org/officeDocument/2006/relationships/hyperlink" Target="https://www.sec.gov/Archives/edgar/data/1683553/000095017024032819/sprb-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2026-03-09T06:31:00Z</dcterms:created>
  <dcterms:modified xsi:type="dcterms:W3CDTF">2026-03-09T06:31:00Z</dcterms:modified>
</cp:coreProperties>
</file>