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46990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69850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44" w:lineRule="exact"/>
        <w:rPr>
          <w:sz w:val="24"/>
          <w:szCs w:val="24"/>
          <w:color w:val="auto"/>
        </w:rPr>
      </w:pPr>
    </w:p>
    <w:p>
      <w:pPr>
        <w:ind w:left="3820" w:right="1620" w:hanging="3799"/>
        <w:spacing w:after="0" w:line="215" w:lineRule="auto"/>
        <w:tabs>
          <w:tab w:leader="none" w:pos="488" w:val="left"/>
        </w:tabs>
        <w:numPr>
          <w:ilvl w:val="0"/>
          <w:numId w:val="1"/>
        </w:numPr>
        <w:rPr>
          <w:rFonts w:ascii="MS PGothic" w:cs="MS PGothic" w:eastAsia="MS PGothic" w:hAnsi="MS PGothic"/>
          <w:sz w:val="36"/>
          <w:szCs w:val="36"/>
          <w:color w:val="auto"/>
          <w:highlight w:val="black"/>
          <w:vertAlign w:val="superscript"/>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2022</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0" w:lineRule="exact"/>
        <w:rPr>
          <w:sz w:val="24"/>
          <w:szCs w:val="24"/>
          <w:color w:val="auto"/>
        </w:rPr>
      </w:pPr>
    </w:p>
    <w:p>
      <w:pPr>
        <w:ind w:left="3280" w:right="1600" w:hanging="3259"/>
        <w:spacing w:after="0" w:line="320" w:lineRule="auto"/>
        <w:tabs>
          <w:tab w:leader="none" w:pos="476"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 to ____________</w:t>
      </w:r>
    </w:p>
    <w:p>
      <w:pPr>
        <w:spacing w:after="0" w:line="1" w:lineRule="exact"/>
        <w:rPr>
          <w:rFonts w:ascii="MS PGothic" w:cs="MS PGothic" w:eastAsia="MS PGothic" w:hAnsi="MS PGothic"/>
          <w:sz w:val="18"/>
          <w:szCs w:val="18"/>
          <w:color w:val="auto"/>
          <w:highlight w:val="black"/>
        </w:rPr>
      </w:pP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001-39594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62865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Spruce Biosciences, Inc.</w:t>
      </w:r>
    </w:p>
    <w:p>
      <w:pPr>
        <w:sectPr>
          <w:pgSz w:w="11900" w:h="16838" w:orient="portrait"/>
          <w:cols w:equalWidth="0" w:num="1">
            <w:col w:w="11240"/>
          </w:cols>
          <w:pgMar w:left="320" w:top="225" w:right="339" w:bottom="1440" w:gutter="0" w:footer="0" w:header="0"/>
        </w:sectPr>
      </w:pPr>
    </w:p>
    <w:p>
      <w:pPr>
        <w:spacing w:after="0" w:line="5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47625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4" w:lineRule="exact"/>
        <w:rPr>
          <w:sz w:val="24"/>
          <w:szCs w:val="24"/>
          <w:color w:val="auto"/>
        </w:rPr>
      </w:pPr>
    </w:p>
    <w:p>
      <w:pPr>
        <w:jc w:val="center"/>
        <w:ind w:right="19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3"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20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375"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81-2154263</w:t>
      </w: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2" w:lineRule="exact"/>
        <w:rPr>
          <w:sz w:val="24"/>
          <w:szCs w:val="24"/>
          <w:color w:val="auto"/>
        </w:rPr>
      </w:pPr>
    </w:p>
    <w:p>
      <w:pPr>
        <w:sectPr>
          <w:pgSz w:w="11900" w:h="16838" w:orient="portrait"/>
          <w:cols w:equalWidth="0" w:num="2">
            <w:col w:w="7620" w:space="320"/>
            <w:col w:w="3300"/>
          </w:cols>
          <w:pgMar w:left="320" w:top="225" w:right="339" w:bottom="1440" w:gutter="0" w:footer="0" w:header="0"/>
          <w:type w:val="continuous"/>
        </w:sectPr>
      </w:pPr>
    </w:p>
    <w:p>
      <w:pPr>
        <w:ind w:left="1220"/>
        <w:spacing w:after="0"/>
        <w:rPr>
          <w:sz w:val="20"/>
          <w:szCs w:val="20"/>
          <w:color w:val="auto"/>
        </w:rPr>
      </w:pPr>
      <w:r>
        <w:rPr>
          <w:rFonts w:ascii="Times New Roman" w:cs="Times New Roman" w:eastAsia="Times New Roman" w:hAnsi="Times New Roman"/>
          <w:sz w:val="18"/>
          <w:szCs w:val="18"/>
          <w:b w:val="1"/>
          <w:bCs w:val="1"/>
          <w:color w:val="auto"/>
        </w:rPr>
        <w:t>2001 Junipero Serra Boulevard, Suite 640</w:t>
      </w:r>
    </w:p>
    <w:p>
      <w:pPr>
        <w:ind w:left="2000"/>
        <w:spacing w:after="0"/>
        <w:tabs>
          <w:tab w:leader="none" w:pos="8180" w:val="left"/>
        </w:tabs>
        <w:rPr>
          <w:sz w:val="20"/>
          <w:szCs w:val="20"/>
          <w:color w:val="auto"/>
        </w:rPr>
      </w:pPr>
      <w:r>
        <w:rPr>
          <w:rFonts w:ascii="Times New Roman" w:cs="Times New Roman" w:eastAsia="Times New Roman" w:hAnsi="Times New Roman"/>
          <w:sz w:val="18"/>
          <w:szCs w:val="18"/>
          <w:b w:val="1"/>
          <w:bCs w:val="1"/>
          <w:color w:val="auto"/>
        </w:rPr>
        <w:t>Daly City, California</w:t>
      </w:r>
      <w:r>
        <w:rPr>
          <w:sz w:val="20"/>
          <w:szCs w:val="20"/>
          <w:color w:val="auto"/>
        </w:rPr>
        <w:tab/>
      </w:r>
      <w:r>
        <w:rPr>
          <w:rFonts w:ascii="Times New Roman" w:cs="Times New Roman" w:eastAsia="Times New Roman" w:hAnsi="Times New Roman"/>
          <w:sz w:val="18"/>
          <w:szCs w:val="18"/>
          <w:b w:val="1"/>
          <w:bCs w:val="1"/>
          <w:color w:val="auto"/>
        </w:rPr>
        <w:t>94014</w:t>
      </w:r>
    </w:p>
    <w:p>
      <w:pPr>
        <w:spacing w:after="0" w:line="17" w:lineRule="exact"/>
        <w:rPr>
          <w:sz w:val="24"/>
          <w:szCs w:val="24"/>
          <w:color w:val="auto"/>
        </w:rPr>
      </w:pPr>
    </w:p>
    <w:p>
      <w:pPr>
        <w:ind w:left="178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(415) 655-4168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62865</wp:posOffset>
            </wp:positionV>
            <wp:extent cx="1423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96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960" w:type="dxa"/>
            <w:vAlign w:val="bottom"/>
            <w:gridSpan w:val="3"/>
            <w:vMerge w:val="restart"/>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80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00" w:type="dxa"/>
            <w:vAlign w:val="bottom"/>
          </w:tcPr>
          <w:p>
            <w:pPr>
              <w:spacing w:after="0"/>
              <w:rPr>
                <w:sz w:val="19"/>
                <w:szCs w:val="19"/>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38"/>
        </w:trPr>
        <w:tc>
          <w:tcPr>
            <w:tcW w:w="4960" w:type="dxa"/>
            <w:vAlign w:val="bottom"/>
            <w:gridSpan w:val="3"/>
            <w:vMerge w:val="continue"/>
          </w:tcPr>
          <w:p>
            <w:pPr>
              <w:spacing w:after="0"/>
              <w:rPr>
                <w:sz w:val="20"/>
                <w:szCs w:val="20"/>
                <w:color w:val="auto"/>
              </w:rPr>
            </w:pPr>
          </w:p>
        </w:tc>
        <w:tc>
          <w:tcPr>
            <w:tcW w:w="180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100" w:type="dxa"/>
            <w:vAlign w:val="bottom"/>
          </w:tcPr>
          <w:p>
            <w:pPr>
              <w:spacing w:after="0"/>
              <w:rPr>
                <w:sz w:val="20"/>
                <w:szCs w:val="20"/>
                <w:color w:val="auto"/>
              </w:rPr>
            </w:pPr>
          </w:p>
        </w:tc>
        <w:tc>
          <w:tcPr>
            <w:tcW w:w="43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color w:val="auto"/>
                <w:w w:val="99"/>
              </w:rPr>
              <w:t>SPRB</w:t>
            </w:r>
          </w:p>
        </w:tc>
        <w:tc>
          <w:tcPr>
            <w:tcW w:w="100" w:type="dxa"/>
            <w:vAlign w:val="bottom"/>
          </w:tcPr>
          <w:p>
            <w:pPr>
              <w:spacing w:after="0"/>
              <w:rPr>
                <w:sz w:val="19"/>
                <w:szCs w:val="19"/>
                <w:color w:val="auto"/>
              </w:rPr>
            </w:pPr>
          </w:p>
        </w:tc>
        <w:tc>
          <w:tcPr>
            <w:tcW w:w="4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0" w:type="dxa"/>
            <w:vAlign w:val="bottom"/>
          </w:tcPr>
          <w:p>
            <w:pPr>
              <w:spacing w:after="0"/>
              <w:rPr>
                <w:sz w:val="1"/>
                <w:szCs w:val="1"/>
                <w:color w:val="auto"/>
              </w:rPr>
            </w:pPr>
          </w:p>
        </w:tc>
      </w:tr>
    </w:tbl>
    <w:p>
      <w:pPr>
        <w:spacing w:after="0" w:line="233" w:lineRule="exact"/>
        <w:rPr>
          <w:sz w:val="24"/>
          <w:szCs w:val="24"/>
          <w:color w:val="auto"/>
        </w:rPr>
      </w:pPr>
    </w:p>
    <w:p>
      <w:pPr>
        <w:ind w:right="60" w:firstLine="509"/>
        <w:spacing w:after="0" w:line="22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 w:lineRule="exact"/>
        <w:rPr>
          <w:sz w:val="24"/>
          <w:szCs w:val="24"/>
          <w:color w:val="auto"/>
        </w:rPr>
      </w:pPr>
    </w:p>
    <w:p>
      <w:pPr>
        <w:ind w:right="40" w:firstLine="509"/>
        <w:spacing w:after="0" w:line="22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 w:lineRule="exact"/>
        <w:rPr>
          <w:sz w:val="24"/>
          <w:szCs w:val="24"/>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283"/>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2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Accelerated filer</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513"/>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2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513"/>
        </w:trPr>
        <w:tc>
          <w:tcPr>
            <w:tcW w:w="21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10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Emerging growth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56" w:lineRule="exact"/>
        <w:rPr>
          <w:sz w:val="24"/>
          <w:szCs w:val="24"/>
          <w:color w:val="auto"/>
        </w:rPr>
      </w:pPr>
    </w:p>
    <w:p>
      <w:pPr>
        <w:ind w:firstLine="509"/>
        <w:spacing w:after="0" w:line="22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520" w:right="1160"/>
        <w:spacing w:after="0" w:line="25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May 10, 2022, the registrant had 23,492,873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374015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0580" w:type="dxa"/>
            <w:vAlign w:val="bottom"/>
            <w:gridSpan w:val="20"/>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SUMMARY OF RISKS ASSOCIATED WITH OUR BUSINESS</w:t>
            </w:r>
          </w:p>
        </w:tc>
        <w:tc>
          <w:tcPr>
            <w:tcW w:w="6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0"/>
        </w:trPr>
        <w:tc>
          <w:tcPr>
            <w:tcW w:w="10580" w:type="dxa"/>
            <w:vAlign w:val="bottom"/>
            <w:gridSpan w:val="20"/>
            <w:vMerge w:val="continue"/>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11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PART I.</w:t>
            </w:r>
          </w:p>
        </w:tc>
        <w:tc>
          <w:tcPr>
            <w:tcW w:w="9420" w:type="dxa"/>
            <w:vAlign w:val="bottom"/>
            <w:gridSpan w:val="19"/>
          </w:tcPr>
          <w:p>
            <w:pPr>
              <w:spacing w:after="0" w:line="198" w:lineRule="exact"/>
              <w:rPr>
                <w:sz w:val="20"/>
                <w:szCs w:val="20"/>
                <w:color w:val="auto"/>
              </w:rPr>
            </w:pPr>
            <w:r>
              <w:rPr>
                <w:rFonts w:ascii="Times New Roman" w:cs="Times New Roman" w:eastAsia="Times New Roman" w:hAnsi="Times New Roman"/>
                <w:sz w:val="18"/>
                <w:szCs w:val="18"/>
                <w:color w:val="0000FF"/>
              </w:rPr>
              <w:t>FINANCIAL INFORMATION</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1.</w:t>
            </w: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7100" w:type="dxa"/>
            <w:vAlign w:val="bottom"/>
            <w:gridSpan w:val="9"/>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0000FF"/>
              </w:rPr>
              <w:t>Statements for the Three Months Ended Mach 31, 2022 and 2021:</w:t>
            </w:r>
          </w:p>
        </w:tc>
        <w:tc>
          <w:tcPr>
            <w:tcW w:w="66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line="20" w:lineRule="exact"/>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2260" w:type="dxa"/>
            <w:vAlign w:val="bottom"/>
            <w:gridSpan w:val="9"/>
          </w:tcPr>
          <w:p>
            <w:pPr>
              <w:spacing w:after="0" w:line="182" w:lineRule="exact"/>
              <w:rPr>
                <w:sz w:val="20"/>
                <w:szCs w:val="20"/>
                <w:color w:val="auto"/>
              </w:rPr>
            </w:pPr>
            <w:r>
              <w:rPr>
                <w:rFonts w:ascii="Times New Roman" w:cs="Times New Roman" w:eastAsia="Times New Roman" w:hAnsi="Times New Roman"/>
                <w:sz w:val="18"/>
                <w:szCs w:val="18"/>
                <w:color w:val="0000FF"/>
                <w:w w:val="96"/>
              </w:rPr>
              <w:t>Unaudited Condensed Financial</w:t>
            </w:r>
          </w:p>
        </w:tc>
        <w:tc>
          <w:tcPr>
            <w:tcW w:w="60" w:type="dxa"/>
            <w:vAlign w:val="bottom"/>
            <w:vMerge w:val="continue"/>
          </w:tcPr>
          <w:p>
            <w:pPr>
              <w:spacing w:after="0"/>
              <w:rPr>
                <w:sz w:val="15"/>
                <w:szCs w:val="15"/>
                <w:color w:val="auto"/>
              </w:rPr>
            </w:pPr>
          </w:p>
        </w:tc>
        <w:tc>
          <w:tcPr>
            <w:tcW w:w="7100" w:type="dxa"/>
            <w:vAlign w:val="bottom"/>
            <w:gridSpan w:val="9"/>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300" w:type="dxa"/>
            <w:vAlign w:val="bottom"/>
            <w:vMerge w:val="restart"/>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7120" w:type="dxa"/>
            <w:vAlign w:val="bottom"/>
            <w:gridSpan w:val="18"/>
          </w:tcPr>
          <w:p>
            <w:pPr>
              <w:spacing w:after="0" w:line="182" w:lineRule="exact"/>
              <w:rPr>
                <w:sz w:val="20"/>
                <w:szCs w:val="20"/>
                <w:color w:val="auto"/>
              </w:rPr>
            </w:pPr>
            <w:r>
              <w:rPr>
                <w:rFonts w:ascii="Times New Roman" w:cs="Times New Roman" w:eastAsia="Times New Roman" w:hAnsi="Times New Roman"/>
                <w:sz w:val="18"/>
                <w:szCs w:val="18"/>
                <w:color w:val="0000FF"/>
              </w:rPr>
              <w:t>Condensed Balance Sheets</w:t>
            </w:r>
          </w:p>
        </w:tc>
        <w:tc>
          <w:tcPr>
            <w:tcW w:w="230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45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Statements of Operations and Comprehensive Loss</w:t>
            </w:r>
          </w:p>
        </w:tc>
        <w:tc>
          <w:tcPr>
            <w:tcW w:w="1920" w:type="dxa"/>
            <w:vAlign w:val="bottom"/>
          </w:tcPr>
          <w:p>
            <w:pPr>
              <w:spacing w:after="0"/>
              <w:rPr>
                <w:sz w:val="18"/>
                <w:szCs w:val="18"/>
                <w:color w:val="auto"/>
              </w:rPr>
            </w:pPr>
          </w:p>
        </w:tc>
        <w:tc>
          <w:tcPr>
            <w:tcW w:w="2960" w:type="dxa"/>
            <w:vAlign w:val="bottom"/>
            <w:gridSpan w:val="2"/>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94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Condensed Statement of Stockholders’ Equity</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4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100" w:type="dxa"/>
            <w:vAlign w:val="bottom"/>
            <w:gridSpan w:val="2"/>
            <w:vMerge w:val="restart"/>
          </w:tcPr>
          <w:p>
            <w:pPr>
              <w:spacing w:after="0" w:line="20" w:lineRule="exact"/>
              <w:rPr>
                <w:sz w:val="1"/>
                <w:szCs w:val="1"/>
                <w:color w:val="auto"/>
              </w:rPr>
            </w:pPr>
          </w:p>
        </w:tc>
        <w:tc>
          <w:tcPr>
            <w:tcW w:w="2960" w:type="dxa"/>
            <w:vAlign w:val="bottom"/>
            <w:gridSpan w:val="2"/>
            <w:vMerge w:val="restart"/>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3320" w:type="dxa"/>
            <w:vAlign w:val="bottom"/>
            <w:gridSpan w:val="12"/>
          </w:tcPr>
          <w:p>
            <w:pPr>
              <w:spacing w:after="0" w:line="182" w:lineRule="exact"/>
              <w:rPr>
                <w:sz w:val="20"/>
                <w:szCs w:val="20"/>
                <w:color w:val="auto"/>
              </w:rPr>
            </w:pPr>
            <w:r>
              <w:rPr>
                <w:rFonts w:ascii="Times New Roman" w:cs="Times New Roman" w:eastAsia="Times New Roman" w:hAnsi="Times New Roman"/>
                <w:sz w:val="18"/>
                <w:szCs w:val="18"/>
                <w:color w:val="0000FF"/>
              </w:rPr>
              <w:t>Condensed Statements of Cash Flows</w:t>
            </w:r>
          </w:p>
        </w:tc>
        <w:tc>
          <w:tcPr>
            <w:tcW w:w="74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100" w:type="dxa"/>
            <w:vAlign w:val="bottom"/>
            <w:gridSpan w:val="2"/>
            <w:vMerge w:val="continue"/>
          </w:tcPr>
          <w:p>
            <w:pPr>
              <w:spacing w:after="0"/>
              <w:rPr>
                <w:sz w:val="15"/>
                <w:szCs w:val="15"/>
                <w:color w:val="auto"/>
              </w:rPr>
            </w:pPr>
          </w:p>
        </w:tc>
        <w:tc>
          <w:tcPr>
            <w:tcW w:w="2960" w:type="dxa"/>
            <w:vAlign w:val="bottom"/>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700" w:type="dxa"/>
            <w:vAlign w:val="bottom"/>
            <w:gridSpan w:val="8"/>
            <w:vMerge w:val="restart"/>
          </w:tcPr>
          <w:p>
            <w:pPr>
              <w:spacing w:after="0" w:line="202" w:lineRule="exact"/>
              <w:rPr>
                <w:sz w:val="20"/>
                <w:szCs w:val="20"/>
                <w:color w:val="auto"/>
              </w:rPr>
            </w:pPr>
            <w:r>
              <w:rPr>
                <w:rFonts w:ascii="Times New Roman" w:cs="Times New Roman" w:eastAsia="Times New Roman" w:hAnsi="Times New Roman"/>
                <w:sz w:val="18"/>
                <w:szCs w:val="18"/>
                <w:color w:val="0000FF"/>
              </w:rPr>
              <w:t>Financial Statements</w:t>
            </w:r>
          </w:p>
        </w:tc>
        <w:tc>
          <w:tcPr>
            <w:tcW w:w="66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2720" w:type="dxa"/>
            <w:vAlign w:val="bottom"/>
            <w:gridSpan w:val="11"/>
          </w:tcPr>
          <w:p>
            <w:pPr>
              <w:spacing w:after="0" w:line="182" w:lineRule="exact"/>
              <w:rPr>
                <w:sz w:val="20"/>
                <w:szCs w:val="20"/>
                <w:color w:val="auto"/>
              </w:rPr>
            </w:pPr>
            <w:r>
              <w:rPr>
                <w:rFonts w:ascii="Times New Roman" w:cs="Times New Roman" w:eastAsia="Times New Roman" w:hAnsi="Times New Roman"/>
                <w:sz w:val="18"/>
                <w:szCs w:val="18"/>
                <w:color w:val="0000FF"/>
              </w:rPr>
              <w:t>Notes to the Unaudited Condensed</w:t>
            </w:r>
          </w:p>
        </w:tc>
        <w:tc>
          <w:tcPr>
            <w:tcW w:w="6700" w:type="dxa"/>
            <w:vAlign w:val="bottom"/>
            <w:gridSpan w:val="8"/>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2.</w:t>
            </w: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line="20" w:lineRule="exact"/>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9420" w:type="dxa"/>
            <w:vAlign w:val="bottom"/>
            <w:gridSpan w:val="19"/>
          </w:tcPr>
          <w:p>
            <w:pPr>
              <w:spacing w:after="0" w:line="182"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3.</w:t>
            </w: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2960" w:type="dxa"/>
            <w:vAlign w:val="bottom"/>
            <w:gridSpan w:val="2"/>
            <w:vMerge w:val="restart"/>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line="20" w:lineRule="exact"/>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6460" w:type="dxa"/>
            <w:vAlign w:val="bottom"/>
            <w:gridSpan w:val="17"/>
          </w:tcPr>
          <w:p>
            <w:pPr>
              <w:spacing w:after="0" w:line="182"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960" w:type="dxa"/>
            <w:vAlign w:val="bottom"/>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4.</w:t>
            </w: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60" w:type="dxa"/>
            <w:vAlign w:val="bottom"/>
            <w:gridSpan w:val="4"/>
            <w:vMerge w:val="restart"/>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line="20" w:lineRule="exact"/>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4360" w:type="dxa"/>
            <w:vAlign w:val="bottom"/>
            <w:gridSpan w:val="15"/>
          </w:tcPr>
          <w:p>
            <w:pPr>
              <w:spacing w:after="0" w:line="182" w:lineRule="exact"/>
              <w:rPr>
                <w:sz w:val="20"/>
                <w:szCs w:val="20"/>
                <w:color w:val="auto"/>
              </w:rPr>
            </w:pPr>
            <w:r>
              <w:rPr>
                <w:rFonts w:ascii="Times New Roman" w:cs="Times New Roman" w:eastAsia="Times New Roman" w:hAnsi="Times New Roman"/>
                <w:sz w:val="18"/>
                <w:szCs w:val="18"/>
                <w:color w:val="0000FF"/>
              </w:rPr>
              <w:t>Controls and Procedures</w:t>
            </w:r>
          </w:p>
        </w:tc>
        <w:tc>
          <w:tcPr>
            <w:tcW w:w="5060" w:type="dxa"/>
            <w:vAlign w:val="bottom"/>
            <w:gridSpan w:val="4"/>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08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60" w:type="dxa"/>
            <w:vAlign w:val="bottom"/>
            <w:vMerge w:val="continue"/>
          </w:tcPr>
          <w:p>
            <w:pPr>
              <w:spacing w:after="0"/>
              <w:rPr>
                <w:sz w:val="24"/>
                <w:szCs w:val="24"/>
                <w:color w:val="auto"/>
              </w:rPr>
            </w:pPr>
          </w:p>
        </w:tc>
        <w:tc>
          <w:tcPr>
            <w:tcW w:w="94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1.</w:t>
            </w: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40" w:type="dxa"/>
            <w:vAlign w:val="bottom"/>
            <w:gridSpan w:val="3"/>
            <w:vMerge w:val="restart"/>
          </w:tcPr>
          <w:p>
            <w:pPr>
              <w:spacing w:after="0" w:line="20" w:lineRule="exact"/>
              <w:rPr>
                <w:sz w:val="1"/>
                <w:szCs w:val="1"/>
                <w:color w:val="auto"/>
              </w:rPr>
            </w:pPr>
          </w:p>
        </w:tc>
        <w:tc>
          <w:tcPr>
            <w:tcW w:w="2020" w:type="dxa"/>
            <w:vAlign w:val="bottom"/>
            <w:gridSpan w:val="4"/>
            <w:vMerge w:val="restart"/>
          </w:tcPr>
          <w:p>
            <w:pPr>
              <w:spacing w:after="0" w:line="20" w:lineRule="exact"/>
              <w:rPr>
                <w:sz w:val="1"/>
                <w:szCs w:val="1"/>
                <w:color w:val="auto"/>
              </w:rPr>
            </w:pPr>
          </w:p>
        </w:tc>
        <w:tc>
          <w:tcPr>
            <w:tcW w:w="5080" w:type="dxa"/>
            <w:vAlign w:val="bottom"/>
            <w:gridSpan w:val="5"/>
            <w:vMerge w:val="restart"/>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line="20" w:lineRule="exact"/>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1880" w:type="dxa"/>
            <w:vAlign w:val="bottom"/>
            <w:gridSpan w:val="7"/>
          </w:tcPr>
          <w:p>
            <w:pPr>
              <w:spacing w:after="0" w:line="182" w:lineRule="exact"/>
              <w:rPr>
                <w:sz w:val="20"/>
                <w:szCs w:val="20"/>
                <w:color w:val="auto"/>
              </w:rPr>
            </w:pPr>
            <w:r>
              <w:rPr>
                <w:rFonts w:ascii="Times New Roman" w:cs="Times New Roman" w:eastAsia="Times New Roman" w:hAnsi="Times New Roman"/>
                <w:sz w:val="18"/>
                <w:szCs w:val="18"/>
                <w:color w:val="0000FF"/>
              </w:rPr>
              <w:t>Legal Proceedings</w:t>
            </w:r>
          </w:p>
        </w:tc>
        <w:tc>
          <w:tcPr>
            <w:tcW w:w="440" w:type="dxa"/>
            <w:vAlign w:val="bottom"/>
            <w:gridSpan w:val="3"/>
            <w:vMerge w:val="continue"/>
          </w:tcPr>
          <w:p>
            <w:pPr>
              <w:spacing w:after="0"/>
              <w:rPr>
                <w:sz w:val="15"/>
                <w:szCs w:val="15"/>
                <w:color w:val="auto"/>
              </w:rPr>
            </w:pPr>
          </w:p>
        </w:tc>
        <w:tc>
          <w:tcPr>
            <w:tcW w:w="2020" w:type="dxa"/>
            <w:vAlign w:val="bottom"/>
            <w:gridSpan w:val="4"/>
            <w:vMerge w:val="continue"/>
          </w:tcPr>
          <w:p>
            <w:pPr>
              <w:spacing w:after="0"/>
              <w:rPr>
                <w:sz w:val="15"/>
                <w:szCs w:val="15"/>
                <w:color w:val="auto"/>
              </w:rPr>
            </w:pPr>
          </w:p>
        </w:tc>
        <w:tc>
          <w:tcPr>
            <w:tcW w:w="5080" w:type="dxa"/>
            <w:vAlign w:val="bottom"/>
            <w:gridSpan w:val="5"/>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1A.</w:t>
            </w: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0" w:type="dxa"/>
            <w:vAlign w:val="bottom"/>
            <w:gridSpan w:val="5"/>
            <w:vMerge w:val="restart"/>
          </w:tcPr>
          <w:p>
            <w:pPr>
              <w:spacing w:after="0" w:line="20" w:lineRule="exact"/>
              <w:rPr>
                <w:sz w:val="1"/>
                <w:szCs w:val="1"/>
                <w:color w:val="auto"/>
              </w:rPr>
            </w:pPr>
          </w:p>
        </w:tc>
        <w:tc>
          <w:tcPr>
            <w:tcW w:w="2020" w:type="dxa"/>
            <w:vAlign w:val="bottom"/>
            <w:gridSpan w:val="4"/>
            <w:vMerge w:val="restart"/>
          </w:tcPr>
          <w:p>
            <w:pPr>
              <w:spacing w:after="0" w:line="20" w:lineRule="exact"/>
              <w:rPr>
                <w:sz w:val="1"/>
                <w:szCs w:val="1"/>
                <w:color w:val="auto"/>
              </w:rPr>
            </w:pPr>
          </w:p>
        </w:tc>
        <w:tc>
          <w:tcPr>
            <w:tcW w:w="5080" w:type="dxa"/>
            <w:vAlign w:val="bottom"/>
            <w:gridSpan w:val="5"/>
            <w:vMerge w:val="restart"/>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line="20" w:lineRule="exact"/>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1320" w:type="dxa"/>
            <w:vAlign w:val="bottom"/>
            <w:gridSpan w:val="5"/>
          </w:tcPr>
          <w:p>
            <w:pPr>
              <w:spacing w:after="0" w:line="182" w:lineRule="exact"/>
              <w:rPr>
                <w:sz w:val="20"/>
                <w:szCs w:val="20"/>
                <w:color w:val="auto"/>
              </w:rPr>
            </w:pPr>
            <w:r>
              <w:rPr>
                <w:rFonts w:ascii="Times New Roman" w:cs="Times New Roman" w:eastAsia="Times New Roman" w:hAnsi="Times New Roman"/>
                <w:sz w:val="18"/>
                <w:szCs w:val="18"/>
                <w:color w:val="0000FF"/>
              </w:rPr>
              <w:t>Risk Factors</w:t>
            </w:r>
          </w:p>
        </w:tc>
        <w:tc>
          <w:tcPr>
            <w:tcW w:w="1000" w:type="dxa"/>
            <w:vAlign w:val="bottom"/>
            <w:gridSpan w:val="5"/>
            <w:vMerge w:val="continue"/>
          </w:tcPr>
          <w:p>
            <w:pPr>
              <w:spacing w:after="0"/>
              <w:rPr>
                <w:sz w:val="15"/>
                <w:szCs w:val="15"/>
                <w:color w:val="auto"/>
              </w:rPr>
            </w:pPr>
          </w:p>
        </w:tc>
        <w:tc>
          <w:tcPr>
            <w:tcW w:w="2020" w:type="dxa"/>
            <w:vAlign w:val="bottom"/>
            <w:gridSpan w:val="4"/>
            <w:vMerge w:val="continue"/>
          </w:tcPr>
          <w:p>
            <w:pPr>
              <w:spacing w:after="0"/>
              <w:rPr>
                <w:sz w:val="15"/>
                <w:szCs w:val="15"/>
                <w:color w:val="auto"/>
              </w:rPr>
            </w:pPr>
          </w:p>
        </w:tc>
        <w:tc>
          <w:tcPr>
            <w:tcW w:w="5080" w:type="dxa"/>
            <w:vAlign w:val="bottom"/>
            <w:gridSpan w:val="5"/>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2.</w:t>
            </w: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8500" w:type="dxa"/>
            <w:vAlign w:val="bottom"/>
            <w:gridSpan w:val="16"/>
            <w:vMerge w:val="restart"/>
          </w:tcPr>
          <w:p>
            <w:pPr>
              <w:ind w:left="40"/>
              <w:spacing w:after="0" w:line="202" w:lineRule="exact"/>
              <w:rPr>
                <w:sz w:val="20"/>
                <w:szCs w:val="20"/>
                <w:color w:val="auto"/>
              </w:rPr>
            </w:pPr>
            <w:r>
              <w:rPr>
                <w:rFonts w:ascii="Times New Roman" w:cs="Times New Roman" w:eastAsia="Times New Roman" w:hAnsi="Times New Roman"/>
                <w:sz w:val="18"/>
                <w:szCs w:val="18"/>
                <w:color w:val="0000FF"/>
              </w:rPr>
              <w:t>Sales of Equity Securities and Use of Proceeds</w:t>
            </w:r>
          </w:p>
        </w:tc>
        <w:tc>
          <w:tcPr>
            <w:tcW w:w="66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line="20" w:lineRule="exact"/>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92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0000FF"/>
                <w:w w:val="94"/>
              </w:rPr>
              <w:t>Unregistered</w:t>
            </w:r>
          </w:p>
        </w:tc>
        <w:tc>
          <w:tcPr>
            <w:tcW w:w="8500" w:type="dxa"/>
            <w:vAlign w:val="bottom"/>
            <w:gridSpan w:val="16"/>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3.</w:t>
            </w: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20" w:type="dxa"/>
            <w:vAlign w:val="bottom"/>
            <w:gridSpan w:val="6"/>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5080" w:type="dxa"/>
            <w:vAlign w:val="bottom"/>
            <w:gridSpan w:val="5"/>
            <w:vMerge w:val="restart"/>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line="20" w:lineRule="exact"/>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4340" w:type="dxa"/>
            <w:vAlign w:val="bottom"/>
            <w:gridSpan w:val="14"/>
          </w:tcPr>
          <w:p>
            <w:pPr>
              <w:spacing w:after="0" w:line="182"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5080" w:type="dxa"/>
            <w:vAlign w:val="bottom"/>
            <w:gridSpan w:val="5"/>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4.</w:t>
            </w: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20" w:type="dxa"/>
            <w:vAlign w:val="bottom"/>
            <w:gridSpan w:val="6"/>
            <w:shd w:val="clear" w:color="auto" w:fill="0000FF"/>
          </w:tcPr>
          <w:p>
            <w:pPr>
              <w:spacing w:after="0" w:line="20" w:lineRule="exact"/>
              <w:rPr>
                <w:sz w:val="1"/>
                <w:szCs w:val="1"/>
                <w:color w:val="auto"/>
              </w:rPr>
            </w:pPr>
          </w:p>
        </w:tc>
        <w:tc>
          <w:tcPr>
            <w:tcW w:w="7100" w:type="dxa"/>
            <w:vAlign w:val="bottom"/>
            <w:gridSpan w:val="9"/>
            <w:vMerge w:val="restart"/>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line="20" w:lineRule="exact"/>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2320" w:type="dxa"/>
            <w:vAlign w:val="bottom"/>
            <w:gridSpan w:val="10"/>
          </w:tcPr>
          <w:p>
            <w:pPr>
              <w:spacing w:after="0" w:line="182" w:lineRule="exact"/>
              <w:rPr>
                <w:sz w:val="20"/>
                <w:szCs w:val="20"/>
                <w:color w:val="auto"/>
              </w:rPr>
            </w:pPr>
            <w:r>
              <w:rPr>
                <w:rFonts w:ascii="Times New Roman" w:cs="Times New Roman" w:eastAsia="Times New Roman" w:hAnsi="Times New Roman"/>
                <w:sz w:val="18"/>
                <w:szCs w:val="18"/>
                <w:color w:val="0000FF"/>
              </w:rPr>
              <w:t>Mine Safety Disclosures</w:t>
            </w:r>
          </w:p>
        </w:tc>
        <w:tc>
          <w:tcPr>
            <w:tcW w:w="7100" w:type="dxa"/>
            <w:vAlign w:val="bottom"/>
            <w:gridSpan w:val="9"/>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5.</w:t>
            </w: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7660" w:type="dxa"/>
            <w:vAlign w:val="bottom"/>
            <w:gridSpan w:val="13"/>
            <w:vMerge w:val="restart"/>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line="20" w:lineRule="exact"/>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1760" w:type="dxa"/>
            <w:vAlign w:val="bottom"/>
            <w:gridSpan w:val="6"/>
          </w:tcPr>
          <w:p>
            <w:pPr>
              <w:spacing w:after="0" w:line="182" w:lineRule="exact"/>
              <w:rPr>
                <w:sz w:val="20"/>
                <w:szCs w:val="20"/>
                <w:color w:val="auto"/>
              </w:rPr>
            </w:pPr>
            <w:r>
              <w:rPr>
                <w:rFonts w:ascii="Times New Roman" w:cs="Times New Roman" w:eastAsia="Times New Roman" w:hAnsi="Times New Roman"/>
                <w:sz w:val="18"/>
                <w:szCs w:val="18"/>
                <w:color w:val="0000FF"/>
              </w:rPr>
              <w:t>Other Information</w:t>
            </w:r>
          </w:p>
        </w:tc>
        <w:tc>
          <w:tcPr>
            <w:tcW w:w="7660" w:type="dxa"/>
            <w:vAlign w:val="bottom"/>
            <w:gridSpan w:val="13"/>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6.</w:t>
            </w: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120" w:type="dxa"/>
            <w:vAlign w:val="bottom"/>
            <w:gridSpan w:val="15"/>
            <w:vMerge w:val="restart"/>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line="20" w:lineRule="exact"/>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1300" w:type="dxa"/>
            <w:vAlign w:val="bottom"/>
            <w:gridSpan w:val="4"/>
          </w:tcPr>
          <w:p>
            <w:pPr>
              <w:spacing w:after="0" w:line="182" w:lineRule="exact"/>
              <w:rPr>
                <w:sz w:val="20"/>
                <w:szCs w:val="20"/>
                <w:color w:val="auto"/>
              </w:rPr>
            </w:pPr>
            <w:r>
              <w:rPr>
                <w:rFonts w:ascii="Times New Roman" w:cs="Times New Roman" w:eastAsia="Times New Roman" w:hAnsi="Times New Roman"/>
                <w:sz w:val="18"/>
                <w:szCs w:val="18"/>
                <w:color w:val="0000FF"/>
              </w:rPr>
              <w:t>Exhibits</w:t>
            </w:r>
          </w:p>
        </w:tc>
        <w:tc>
          <w:tcPr>
            <w:tcW w:w="8120" w:type="dxa"/>
            <w:vAlign w:val="bottom"/>
            <w:gridSpan w:val="15"/>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2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660" w:type="dxa"/>
            <w:vAlign w:val="bottom"/>
            <w:gridSpan w:val="17"/>
            <w:vMerge w:val="restart"/>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620" w:type="dxa"/>
            <w:vAlign w:val="bottom"/>
          </w:tcPr>
          <w:p>
            <w:pPr>
              <w:spacing w:after="0" w:line="182" w:lineRule="exact"/>
              <w:rPr>
                <w:sz w:val="20"/>
                <w:szCs w:val="20"/>
                <w:color w:val="auto"/>
              </w:rPr>
            </w:pPr>
            <w:r>
              <w:rPr>
                <w:rFonts w:ascii="Times New Roman" w:cs="Times New Roman" w:eastAsia="Times New Roman" w:hAnsi="Times New Roman"/>
                <w:sz w:val="18"/>
                <w:szCs w:val="18"/>
                <w:color w:val="0000FF"/>
                <w:w w:val="76"/>
              </w:rPr>
              <w:t>Signatures</w:t>
            </w:r>
          </w:p>
        </w:tc>
        <w:tc>
          <w:tcPr>
            <w:tcW w:w="140" w:type="dxa"/>
            <w:vAlign w:val="bottom"/>
            <w:vMerge w:val="continue"/>
          </w:tcPr>
          <w:p>
            <w:pPr>
              <w:spacing w:after="0"/>
              <w:rPr>
                <w:sz w:val="15"/>
                <w:szCs w:val="15"/>
                <w:color w:val="auto"/>
              </w:rPr>
            </w:pPr>
          </w:p>
        </w:tc>
        <w:tc>
          <w:tcPr>
            <w:tcW w:w="8660" w:type="dxa"/>
            <w:vAlign w:val="bottom"/>
            <w:gridSpan w:val="17"/>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94"/>
        </w:trPr>
        <w:tc>
          <w:tcPr>
            <w:tcW w:w="1160" w:type="dxa"/>
            <w:vAlign w:val="bottom"/>
            <w:tcBorders>
              <w:bottom w:val="single" w:sz="8" w:color="9A9A9A"/>
            </w:tcBorders>
          </w:tcPr>
          <w:p>
            <w:pPr>
              <w:spacing w:after="0"/>
              <w:rPr>
                <w:sz w:val="24"/>
                <w:szCs w:val="24"/>
                <w:color w:val="auto"/>
              </w:rPr>
            </w:pPr>
          </w:p>
        </w:tc>
        <w:tc>
          <w:tcPr>
            <w:tcW w:w="62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RISKS ASSOCIATED WITH OUR BUSINESSES</w:t>
      </w:r>
    </w:p>
    <w:p>
      <w:pPr>
        <w:spacing w:after="0" w:line="108"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We face risks and uncertainties associated with our business, many of which are beyond our control. Some of the material risks associated with our business include the following:</w:t>
      </w:r>
    </w:p>
    <w:p>
      <w:pPr>
        <w:spacing w:after="0" w:line="68" w:lineRule="exact"/>
        <w:rPr>
          <w:sz w:val="20"/>
          <w:szCs w:val="20"/>
          <w:color w:val="auto"/>
        </w:rPr>
      </w:pPr>
    </w:p>
    <w:p>
      <w:pPr>
        <w:ind w:left="1260" w:right="100" w:hanging="368"/>
        <w:spacing w:after="0" w:line="250" w:lineRule="auto"/>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have incurred significant net losses since our inception, and anticipate that we will continue to incur significant net losses for the foreseeable future. We expect these losses to increase as we continue our clinical development of, and seek regulatory approvals for, tildacerfont and any future product candidates.</w:t>
      </w:r>
    </w:p>
    <w:p>
      <w:pPr>
        <w:spacing w:after="0" w:line="82" w:lineRule="exact"/>
        <w:rPr>
          <w:rFonts w:ascii="Times New Roman" w:cs="Times New Roman" w:eastAsia="Times New Roman" w:hAnsi="Times New Roman"/>
          <w:sz w:val="18"/>
          <w:szCs w:val="18"/>
          <w:color w:val="auto"/>
        </w:rPr>
      </w:pPr>
    </w:p>
    <w:p>
      <w:pPr>
        <w:jc w:val="both"/>
        <w:ind w:left="1260" w:right="400" w:hanging="368"/>
        <w:spacing w:after="0" w:line="250" w:lineRule="auto"/>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substantial additional financing to develop tildacerfont and any future product candidates and implement our operating plans. If we fail to obtain additional financing, we may be forced to delay, reduce or eliminate our product development programs or commercialization efforts.</w:t>
      </w:r>
    </w:p>
    <w:p>
      <w:pPr>
        <w:spacing w:after="0" w:line="82" w:lineRule="exact"/>
        <w:rPr>
          <w:rFonts w:ascii="Times New Roman" w:cs="Times New Roman" w:eastAsia="Times New Roman" w:hAnsi="Times New Roman"/>
          <w:sz w:val="18"/>
          <w:szCs w:val="18"/>
          <w:color w:val="auto"/>
        </w:rPr>
      </w:pPr>
    </w:p>
    <w:p>
      <w:pPr>
        <w:jc w:val="both"/>
        <w:ind w:left="1260" w:right="80" w:hanging="368"/>
        <w:spacing w:after="0" w:line="250" w:lineRule="auto"/>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depend entirely on the success of tildacerfont, which is our only product candidate. If we are unable to advance tildacerfont in clinical development, obtain regulatory approval, and ultimately commercialize tildacerfont, or experience significant delays in doing so, our business will be materially harmed.</w:t>
      </w:r>
    </w:p>
    <w:p>
      <w:pPr>
        <w:spacing w:after="0" w:line="68" w:lineRule="exact"/>
        <w:rPr>
          <w:rFonts w:ascii="Times New Roman" w:cs="Times New Roman" w:eastAsia="Times New Roman" w:hAnsi="Times New Roman"/>
          <w:sz w:val="18"/>
          <w:szCs w:val="18"/>
          <w:color w:val="auto"/>
        </w:rPr>
      </w:pPr>
    </w:p>
    <w:p>
      <w:pPr>
        <w:ind w:left="1260" w:right="400" w:hanging="368"/>
        <w:spacing w:after="0" w:line="282" w:lineRule="auto"/>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trials may fail to adequately demonstrate the safety and efficacy of tildacerfont, which could prevent or delay regulatory approval and commercialization.</w:t>
      </w:r>
    </w:p>
    <w:p>
      <w:pPr>
        <w:spacing w:after="0" w:line="40" w:lineRule="exact"/>
        <w:rPr>
          <w:rFonts w:ascii="Times New Roman" w:cs="Times New Roman" w:eastAsia="Times New Roman" w:hAnsi="Times New Roman"/>
          <w:sz w:val="18"/>
          <w:szCs w:val="18"/>
          <w:color w:val="auto"/>
        </w:rPr>
      </w:pPr>
    </w:p>
    <w:p>
      <w:pPr>
        <w:ind w:left="1260" w:right="160" w:hanging="368"/>
        <w:spacing w:after="0" w:line="266" w:lineRule="auto"/>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delays in the commencement or completion, or termination or suspension, of our clinical trials could result in increased costs to us, delay or limit our ability to generate revenue, and adversely affect our commercial prospects.</w:t>
      </w:r>
    </w:p>
    <w:p>
      <w:pPr>
        <w:spacing w:after="0" w:line="67" w:lineRule="exact"/>
        <w:rPr>
          <w:rFonts w:ascii="Times New Roman" w:cs="Times New Roman" w:eastAsia="Times New Roman" w:hAnsi="Times New Roman"/>
          <w:sz w:val="18"/>
          <w:szCs w:val="18"/>
          <w:color w:val="auto"/>
        </w:rPr>
      </w:pPr>
    </w:p>
    <w:p>
      <w:pPr>
        <w:ind w:left="1260" w:right="40" w:hanging="368"/>
        <w:spacing w:after="0" w:line="250" w:lineRule="auto"/>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Food and Drug Administration, or FDA, and comparable foreign regulatory authorities may require us to initiate one or more additional clinical trials for tildacerfont in adult patients with classic congenital adrenal hyperplasia, or CAH, including a Phase 3 clinical trial or trials. The estimated timing or scope of any such future clinical trials is not currently ascertainable. Even if regulatory approvals are obtained, we may never be able to successfully commercialize tildacerfont.</w:t>
      </w:r>
    </w:p>
    <w:p>
      <w:pPr>
        <w:spacing w:after="0" w:line="69" w:lineRule="exact"/>
        <w:rPr>
          <w:rFonts w:ascii="Times New Roman" w:cs="Times New Roman" w:eastAsia="Times New Roman" w:hAnsi="Times New Roman"/>
          <w:sz w:val="18"/>
          <w:szCs w:val="18"/>
          <w:color w:val="auto"/>
        </w:rPr>
      </w:pPr>
    </w:p>
    <w:p>
      <w:pPr>
        <w:ind w:left="1260" w:hanging="368"/>
        <w:spacing w:after="0" w:line="258" w:lineRule="auto"/>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and clinical drug development involves a lengthy and expensive process with uncertain outcomes, and results of earlier studies and trials may not be predictive of future trial results. We may incur additional costs or experience delays in completing, or ultimately be unable to complete, the development and commercialization of tildacerfont and any future product candidates.</w:t>
      </w:r>
    </w:p>
    <w:p>
      <w:pPr>
        <w:spacing w:after="0" w:line="61" w:lineRule="exact"/>
        <w:rPr>
          <w:rFonts w:ascii="Times New Roman" w:cs="Times New Roman" w:eastAsia="Times New Roman" w:hAnsi="Times New Roman"/>
          <w:sz w:val="18"/>
          <w:szCs w:val="18"/>
          <w:color w:val="auto"/>
        </w:rPr>
      </w:pPr>
    </w:p>
    <w:p>
      <w:pPr>
        <w:ind w:left="1260" w:right="460" w:hanging="368"/>
        <w:spacing w:after="0" w:line="266" w:lineRule="auto"/>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encounter difficulties enrolling patients in our clinical trials, our clinical development activities could be delayed or otherwise adversely affected.</w:t>
      </w:r>
    </w:p>
    <w:p>
      <w:pPr>
        <w:spacing w:after="0" w:line="67" w:lineRule="exact"/>
        <w:rPr>
          <w:rFonts w:ascii="Times New Roman" w:cs="Times New Roman" w:eastAsia="Times New Roman" w:hAnsi="Times New Roman"/>
          <w:sz w:val="18"/>
          <w:szCs w:val="18"/>
          <w:color w:val="auto"/>
        </w:rPr>
      </w:pPr>
    </w:p>
    <w:p>
      <w:pPr>
        <w:ind w:left="1260" w:right="20" w:hanging="368"/>
        <w:spacing w:after="0" w:line="245" w:lineRule="auto"/>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has been and could continue to be adversely affected by the evolving and ongoing COVID-19 global pandemic in regions where we or third parties on which we rely have significant manufacturing facilities, concentrations of clinical trial sites or other business operations. The COVID-19 pandemic could adversely affect our operations, as well as the business or operations of our manufacturers, clinical research organizations, or CROs, or other third parties with whom we conduct business.</w:t>
      </w:r>
    </w:p>
    <w:p>
      <w:pPr>
        <w:spacing w:after="0" w:line="86" w:lineRule="exact"/>
        <w:rPr>
          <w:rFonts w:ascii="Times New Roman" w:cs="Times New Roman" w:eastAsia="Times New Roman" w:hAnsi="Times New Roman"/>
          <w:sz w:val="18"/>
          <w:szCs w:val="18"/>
          <w:color w:val="auto"/>
        </w:rPr>
      </w:pPr>
    </w:p>
    <w:p>
      <w:pPr>
        <w:ind w:left="1260" w:right="240" w:hanging="368"/>
        <w:spacing w:after="0" w:line="250" w:lineRule="auto"/>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Tildacerfont is, and any future product candidates will be, subject to extensive regulation and compliance obligations, which are costly and time-consuming, and such regulation may cause unanticipated delays or prevent the receipt of the required approvals to commercialize tildacerfont and any future product candidates.</w:t>
      </w:r>
    </w:p>
    <w:p>
      <w:pPr>
        <w:spacing w:after="0" w:line="82" w:lineRule="exact"/>
        <w:rPr>
          <w:rFonts w:ascii="Times New Roman" w:cs="Times New Roman" w:eastAsia="Times New Roman" w:hAnsi="Times New Roman"/>
          <w:sz w:val="18"/>
          <w:szCs w:val="18"/>
          <w:color w:val="auto"/>
        </w:rPr>
      </w:pPr>
    </w:p>
    <w:p>
      <w:pPr>
        <w:ind w:left="1260" w:hanging="368"/>
        <w:spacing w:after="0" w:line="266" w:lineRule="auto"/>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market opportunities for tildacerfont and any future product candidates are smaller than we believe they are, our future revenue may be adversely affected, and our business may suffer.</w:t>
      </w:r>
    </w:p>
    <w:p>
      <w:pPr>
        <w:spacing w:after="0" w:line="54" w:lineRule="exact"/>
        <w:rPr>
          <w:rFonts w:ascii="Times New Roman" w:cs="Times New Roman" w:eastAsia="Times New Roman" w:hAnsi="Times New Roman"/>
          <w:sz w:val="18"/>
          <w:szCs w:val="18"/>
          <w:color w:val="auto"/>
        </w:rPr>
      </w:pPr>
    </w:p>
    <w:p>
      <w:pPr>
        <w:ind w:left="1260" w:hanging="368"/>
        <w:spacing w:after="0" w:line="250" w:lineRule="auto"/>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expand our pipeline by identifying additional indications and formulations for which to investigate tildacerfont in the future. We may expend our limited resources to pursue a particular indication or formulation for tildacerfont and fail to capitalize on product candidates, indications, or formulations that may be more profitable or for which there is a greater likelihood of success.</w:t>
      </w:r>
    </w:p>
    <w:p>
      <w:pPr>
        <w:spacing w:after="0" w:line="82" w:lineRule="exact"/>
        <w:rPr>
          <w:rFonts w:ascii="Times New Roman" w:cs="Times New Roman" w:eastAsia="Times New Roman" w:hAnsi="Times New Roman"/>
          <w:sz w:val="18"/>
          <w:szCs w:val="18"/>
          <w:color w:val="auto"/>
        </w:rPr>
      </w:pPr>
    </w:p>
    <w:p>
      <w:pPr>
        <w:ind w:left="1260" w:right="20" w:hanging="368"/>
        <w:spacing w:after="0" w:line="250" w:lineRule="auto"/>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have no marketing and sales organization and have yet to commercialize a product. If we are unable to establish marketing and sales capabilities or enter into agreements with third parties to market and sell tildacerfont and any future product candidates, we may not be able to generate product revenues.</w:t>
      </w:r>
    </w:p>
    <w:p>
      <w:pPr>
        <w:spacing w:after="0" w:line="82" w:lineRule="exact"/>
        <w:rPr>
          <w:rFonts w:ascii="Times New Roman" w:cs="Times New Roman" w:eastAsia="Times New Roman" w:hAnsi="Times New Roman"/>
          <w:sz w:val="18"/>
          <w:szCs w:val="18"/>
          <w:color w:val="auto"/>
        </w:rPr>
      </w:pPr>
    </w:p>
    <w:p>
      <w:pPr>
        <w:ind w:left="1260" w:right="20" w:hanging="368"/>
        <w:spacing w:after="0" w:line="266" w:lineRule="auto"/>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our key personnel, and if we are not successful in attracting and retaining highly qualified personnel, we may not be able to successfully implement our business strategy.</w:t>
      </w:r>
    </w:p>
    <w:p>
      <w:pPr>
        <w:spacing w:after="0" w:line="54" w:lineRule="exact"/>
        <w:rPr>
          <w:rFonts w:ascii="Times New Roman" w:cs="Times New Roman" w:eastAsia="Times New Roman" w:hAnsi="Times New Roman"/>
          <w:sz w:val="18"/>
          <w:szCs w:val="18"/>
          <w:color w:val="auto"/>
        </w:rPr>
      </w:pPr>
    </w:p>
    <w:p>
      <w:pPr>
        <w:ind w:left="1260" w:right="240" w:hanging="368"/>
        <w:spacing w:after="0" w:line="266" w:lineRule="auto"/>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conduct our clinical trials. If these third parties do not successfully carry out their contractual duties or meet expected deadlines, we may not be able to obtain regulatory approval for or commercialize tildacerfont.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196215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left="1260" w:hanging="368"/>
        <w:spacing w:after="0" w:line="250" w:lineRule="auto"/>
        <w:tabs>
          <w:tab w:leader="none" w:pos="1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sufficient intellectual property protection for tildacerfont, any future product candidates, and other proprietary technologies we develop, or if the scope of the intellectual property protection obtained is not sufficiently broad, our competitors could develop and commercialize products similar or identical to ours, and our ability to successfully commercialize tildacerfont, if approved, and any future product candidates, and other proprietary technologies if approved, may be adversely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ind w:left="4400"/>
        <w:spacing w:after="0"/>
        <w:rPr>
          <w:sz w:val="20"/>
          <w:szCs w:val="20"/>
          <w:color w:val="auto"/>
        </w:rPr>
      </w:pPr>
      <w:r>
        <w:rPr>
          <w:rFonts w:ascii="Times New Roman" w:cs="Times New Roman" w:eastAsia="Times New Roman" w:hAnsi="Times New Roman"/>
          <w:sz w:val="18"/>
          <w:szCs w:val="18"/>
          <w:b w:val="1"/>
          <w:bCs w:val="1"/>
          <w:color w:val="auto"/>
        </w:rPr>
        <w:t>SPRUCE BIOSCIENCES, INC.</w:t>
      </w:r>
    </w:p>
    <w:p>
      <w:pPr>
        <w:spacing w:after="0" w:line="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(unaudited)</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3"/>
                <w:szCs w:val="13"/>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5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0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center"/>
              <w:ind w:right="151"/>
              <w:spacing w:after="0"/>
              <w:rPr>
                <w:sz w:val="20"/>
                <w:szCs w:val="20"/>
                <w:color w:val="auto"/>
              </w:rPr>
            </w:pPr>
            <w:r>
              <w:rPr>
                <w:rFonts w:ascii="Times New Roman" w:cs="Times New Roman" w:eastAsia="Times New Roman" w:hAnsi="Times New Roman"/>
                <w:sz w:val="18"/>
                <w:szCs w:val="18"/>
                <w:color w:val="auto"/>
              </w:rPr>
              <w:t>(unaudited)</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23,343</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42,748</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investments</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68,005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46,221</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3,423</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Pr>
          <w:p>
            <w:pPr>
              <w:spacing w:after="0"/>
              <w:rPr>
                <w:sz w:val="18"/>
                <w:szCs w:val="18"/>
                <w:color w:val="auto"/>
              </w:rPr>
            </w:pPr>
          </w:p>
        </w:tc>
      </w:tr>
      <w:tr>
        <w:trPr>
          <w:trHeight w:val="209"/>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95,096</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91,895</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Right-of-use assets, net</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32,459</w:t>
            </w:r>
          </w:p>
        </w:tc>
        <w:tc>
          <w:tcPr>
            <w:tcW w:w="100" w:type="dxa"/>
            <w:vAlign w:val="bottom"/>
          </w:tcPr>
          <w:p>
            <w:pPr>
              <w:spacing w:after="0"/>
              <w:rPr>
                <w:sz w:val="18"/>
                <w:szCs w:val="18"/>
                <w:color w:val="auto"/>
              </w:rPr>
            </w:pPr>
          </w:p>
        </w:tc>
      </w:tr>
      <w:tr>
        <w:trPr>
          <w:trHeight w:val="216"/>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114,988</w:t>
            </w:r>
          </w:p>
        </w:tc>
        <w:tc>
          <w:tcPr>
            <w:tcW w:w="26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126,486</w:t>
            </w:r>
          </w:p>
        </w:tc>
        <w:tc>
          <w:tcPr>
            <w:tcW w:w="10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70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2,823</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Term loan, current portion</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6,457</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4,613</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100" w:type="dxa"/>
            <w:vAlign w:val="bottom"/>
          </w:tcPr>
          <w:p>
            <w:pPr>
              <w:spacing w:after="0"/>
              <w:rPr>
                <w:sz w:val="18"/>
                <w:szCs w:val="18"/>
                <w:color w:val="auto"/>
              </w:rPr>
            </w:pPr>
          </w:p>
        </w:tc>
      </w:tr>
      <w:tr>
        <w:trPr>
          <w:trHeight w:val="210"/>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8,969</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8,871</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net of current portion</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4,878</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 liability, net of current portion</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8"/>
                <w:szCs w:val="18"/>
                <w:color w:val="auto"/>
              </w:rPr>
            </w:pPr>
          </w:p>
        </w:tc>
      </w:tr>
      <w:tr>
        <w:trPr>
          <w:trHeight w:val="210"/>
        </w:trPr>
        <w:tc>
          <w:tcPr>
            <w:tcW w:w="77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14,745</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15,115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71"/>
        </w:trPr>
        <w:tc>
          <w:tcPr>
            <w:tcW w:w="7700" w:type="dxa"/>
            <w:vAlign w:val="bottom"/>
          </w:tcPr>
          <w:p>
            <w:pPr>
              <w:ind w:left="200"/>
              <w:spacing w:after="0" w:line="170" w:lineRule="exact"/>
              <w:rPr>
                <w:sz w:val="20"/>
                <w:szCs w:val="20"/>
                <w:color w:val="auto"/>
              </w:rPr>
            </w:pPr>
            <w:r>
              <w:rPr>
                <w:rFonts w:ascii="Times New Roman" w:cs="Times New Roman" w:eastAsia="Times New Roman" w:hAnsi="Times New Roman"/>
                <w:sz w:val="18"/>
                <w:szCs w:val="18"/>
                <w:color w:val="auto"/>
              </w:rPr>
              <w:t>Preferred stock, $0.0001 par value, 10,000,000 shares authorized, no shares issued or outstanding as</w:t>
            </w: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4"/>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of March 31, 2022 and December 31, 2021</w:t>
            </w:r>
          </w:p>
        </w:tc>
        <w:tc>
          <w:tcPr>
            <w:tcW w:w="240" w:type="dxa"/>
            <w:vAlign w:val="bottom"/>
          </w:tcPr>
          <w:p>
            <w:pPr>
              <w:spacing w:after="0"/>
              <w:rPr>
                <w:sz w:val="20"/>
                <w:szCs w:val="20"/>
                <w:color w:val="auto"/>
              </w:rPr>
            </w:pP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71"/>
        </w:trPr>
        <w:tc>
          <w:tcPr>
            <w:tcW w:w="7700" w:type="dxa"/>
            <w:vAlign w:val="bottom"/>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Common stock, $0.0001 par value, 200,000,000 shares authorized, 23,492,873 and</w:t>
            </w:r>
          </w:p>
        </w:tc>
        <w:tc>
          <w:tcPr>
            <w:tcW w:w="24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34"/>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23,491,881 shares issued and outstanding as of March 31, 2022 and December 31, 2021, respectively</w:t>
            </w:r>
          </w:p>
        </w:tc>
        <w:tc>
          <w:tcPr>
            <w:tcW w:w="2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20"/>
                <w:szCs w:val="20"/>
                <w:color w:val="auto"/>
              </w:rPr>
            </w:pP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215,828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214,685</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(693 )</w:t>
            </w: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(184 )</w:t>
            </w: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(114,895 )</w:t>
            </w:r>
          </w:p>
        </w:tc>
        <w:tc>
          <w:tcPr>
            <w:tcW w:w="2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(103,133 )</w:t>
            </w:r>
          </w:p>
        </w:tc>
      </w:tr>
      <w:tr>
        <w:trPr>
          <w:trHeight w:val="210"/>
        </w:trPr>
        <w:tc>
          <w:tcPr>
            <w:tcW w:w="77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100,243</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111,371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114,988</w:t>
            </w:r>
          </w:p>
        </w:tc>
        <w:tc>
          <w:tcPr>
            <w:tcW w:w="26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126,486</w:t>
            </w:r>
          </w:p>
        </w:tc>
        <w:tc>
          <w:tcPr>
            <w:tcW w:w="10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-3222625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-3222625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-1525270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-1525270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SPRUCE BIOSCIENCES,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OPERATIONS AND COMPREHENSIVE LOSS</w:t>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76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6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8,508</w:t>
            </w:r>
          </w:p>
        </w:tc>
        <w:tc>
          <w:tcPr>
            <w:tcW w:w="260" w:type="dxa"/>
            <w:vAlign w:val="bottom"/>
          </w:tcPr>
          <w:p>
            <w:pPr>
              <w:spacing w:after="0"/>
              <w:rPr>
                <w:sz w:val="18"/>
                <w:szCs w:val="18"/>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3,225</w:t>
            </w:r>
          </w:p>
        </w:tc>
        <w:tc>
          <w:tcPr>
            <w:tcW w:w="26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3,103</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11,733</w:t>
            </w:r>
          </w:p>
        </w:tc>
        <w:tc>
          <w:tcPr>
            <w:tcW w:w="2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4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(11,733</w:t>
            </w:r>
          </w:p>
        </w:tc>
        <w:tc>
          <w:tcPr>
            <w:tcW w:w="2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(9,817</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400" w:type="dxa"/>
            <w:vAlign w:val="bottom"/>
          </w:tcPr>
          <w:p>
            <w:pPr>
              <w:spacing w:after="0"/>
              <w:rPr>
                <w:sz w:val="18"/>
                <w:szCs w:val="18"/>
                <w:color w:val="auto"/>
              </w:rPr>
            </w:pPr>
          </w:p>
        </w:tc>
        <w:tc>
          <w:tcPr>
            <w:tcW w:w="15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(87 )</w:t>
            </w:r>
          </w:p>
        </w:tc>
        <w:tc>
          <w:tcPr>
            <w:tcW w:w="5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0" w:type="dxa"/>
            <w:vAlign w:val="bottom"/>
          </w:tcPr>
          <w:p>
            <w:pPr>
              <w:spacing w:after="0"/>
              <w:rPr>
                <w:sz w:val="1"/>
                <w:szCs w:val="1"/>
                <w:color w:val="auto"/>
              </w:rPr>
            </w:pPr>
          </w:p>
        </w:tc>
      </w:tr>
      <w:tr>
        <w:trPr>
          <w:trHeight w:val="216"/>
        </w:trPr>
        <w:tc>
          <w:tcPr>
            <w:tcW w:w="7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income, net</w:t>
            </w:r>
          </w:p>
        </w:tc>
        <w:tc>
          <w:tcPr>
            <w:tcW w:w="4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6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(11,762 )</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(9,887 )</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6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Unrealized loss on available for sale securities</w:t>
            </w:r>
          </w:p>
        </w:tc>
        <w:tc>
          <w:tcPr>
            <w:tcW w:w="40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(509</w:t>
            </w:r>
          </w:p>
        </w:tc>
        <w:tc>
          <w:tcPr>
            <w:tcW w:w="260" w:type="dxa"/>
            <w:vAlign w:val="bottom"/>
            <w:tcBorders>
              <w:bottom w:val="single" w:sz="8" w:color="CFF0FC"/>
            </w:tcBorders>
            <w:shd w:val="clear" w:color="auto" w:fill="CFF0FC"/>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(12,271 )</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(9,887 )</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6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400" w:type="dxa"/>
            <w:vAlign w:val="bottom"/>
            <w:tcBorders>
              <w:bottom w:val="single" w:sz="8" w:color="auto"/>
            </w:tcBorders>
            <w:shd w:val="clear" w:color="auto" w:fill="CFF0FC"/>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(0.50</w:t>
            </w:r>
          </w:p>
        </w:tc>
        <w:tc>
          <w:tcPr>
            <w:tcW w:w="260" w:type="dxa"/>
            <w:vAlign w:val="bottom"/>
            <w:tcBorders>
              <w:bottom w:val="single" w:sz="8" w:color="CFF0FC"/>
            </w:tcBorders>
            <w:shd w:val="clear" w:color="auto" w:fill="CFF0FC"/>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tcBorders>
              <w:bottom w:val="single" w:sz="8" w:color="auto"/>
            </w:tcBorders>
            <w:shd w:val="clear" w:color="auto" w:fill="CFF0FC"/>
          </w:tcPr>
          <w:p>
            <w:pPr>
              <w:jc w:val="right"/>
              <w:ind w:right="3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(0.42</w:t>
            </w:r>
          </w:p>
        </w:tc>
        <w:tc>
          <w:tcPr>
            <w:tcW w:w="8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51"/>
        </w:trPr>
        <w:tc>
          <w:tcPr>
            <w:tcW w:w="7660" w:type="dxa"/>
            <w:vAlign w:val="bottom"/>
          </w:tcPr>
          <w:p>
            <w:pPr>
              <w:ind w:left="20"/>
              <w:spacing w:after="0" w:line="151" w:lineRule="exact"/>
              <w:rPr>
                <w:sz w:val="20"/>
                <w:szCs w:val="20"/>
                <w:color w:val="auto"/>
              </w:rPr>
            </w:pPr>
            <w:r>
              <w:rPr>
                <w:rFonts w:ascii="Times New Roman" w:cs="Times New Roman" w:eastAsia="Times New Roman" w:hAnsi="Times New Roman"/>
                <w:sz w:val="17"/>
                <w:szCs w:val="17"/>
                <w:color w:val="auto"/>
              </w:rPr>
              <w:t>Weighted-average shares of common stock outstanding, basic and</w:t>
            </w:r>
          </w:p>
        </w:tc>
        <w:tc>
          <w:tcPr>
            <w:tcW w:w="40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23,492,295</w:t>
            </w: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23,283,658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766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diluted</w:t>
            </w: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-1464945</wp:posOffset>
            </wp:positionV>
            <wp:extent cx="514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-1464945</wp:posOffset>
            </wp:positionV>
            <wp:extent cx="514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-899795</wp:posOffset>
            </wp:positionV>
            <wp:extent cx="514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-899795</wp:posOffset>
            </wp:positionV>
            <wp:extent cx="514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-591185</wp:posOffset>
            </wp:positionV>
            <wp:extent cx="514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-591185</wp:posOffset>
            </wp:positionV>
            <wp:extent cx="514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-281940</wp:posOffset>
            </wp:positionV>
            <wp:extent cx="514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-264795</wp:posOffset>
            </wp:positionV>
            <wp:extent cx="514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-281940</wp:posOffset>
            </wp:positionV>
            <wp:extent cx="514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-264795</wp:posOffset>
            </wp:positionV>
            <wp:extent cx="514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financial statements.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SPRUCE BIOSCIENCES,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 OF STOCKHOLDERS’ EQUITY</w:t>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20" w:type="dxa"/>
            <w:vAlign w:val="bottom"/>
          </w:tcPr>
          <w:p>
            <w:pPr>
              <w:spacing w:after="0"/>
              <w:rPr>
                <w:sz w:val="16"/>
                <w:szCs w:val="16"/>
                <w:color w:val="auto"/>
              </w:rPr>
            </w:pPr>
          </w:p>
        </w:tc>
        <w:tc>
          <w:tcPr>
            <w:tcW w:w="2060" w:type="dxa"/>
            <w:vAlign w:val="bottom"/>
            <w:gridSpan w:val="4"/>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6"/>
                <w:szCs w:val="16"/>
                <w:color w:val="auto"/>
              </w:rPr>
            </w:pPr>
          </w:p>
        </w:tc>
        <w:tc>
          <w:tcPr>
            <w:tcW w:w="14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8"/>
        </w:trPr>
        <w:tc>
          <w:tcPr>
            <w:tcW w:w="4020" w:type="dxa"/>
            <w:vAlign w:val="bottom"/>
          </w:tcPr>
          <w:p>
            <w:pPr>
              <w:spacing w:after="0"/>
              <w:rPr>
                <w:sz w:val="15"/>
                <w:szCs w:val="15"/>
                <w:color w:val="auto"/>
              </w:rPr>
            </w:pPr>
          </w:p>
        </w:tc>
        <w:tc>
          <w:tcPr>
            <w:tcW w:w="2060" w:type="dxa"/>
            <w:vAlign w:val="bottom"/>
            <w:tcBorders>
              <w:bottom w:val="single" w:sz="8" w:color="auto"/>
            </w:tcBorders>
            <w:gridSpan w:val="4"/>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180" w:type="dxa"/>
            <w:vAlign w:val="bottom"/>
            <w:gridSpan w:val="3"/>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4020" w:type="dxa"/>
            <w:vAlign w:val="bottom"/>
          </w:tcPr>
          <w:p>
            <w:pPr>
              <w:spacing w:after="0"/>
              <w:rPr>
                <w:sz w:val="14"/>
                <w:szCs w:val="14"/>
                <w:color w:val="auto"/>
              </w:rPr>
            </w:pPr>
          </w:p>
        </w:tc>
        <w:tc>
          <w:tcPr>
            <w:tcW w:w="100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Pr>
          <w:p>
            <w:pPr>
              <w:spacing w:after="0"/>
              <w:rPr>
                <w:sz w:val="14"/>
                <w:szCs w:val="14"/>
                <w:color w:val="auto"/>
              </w:rPr>
            </w:pPr>
          </w:p>
        </w:tc>
        <w:tc>
          <w:tcPr>
            <w:tcW w:w="980" w:type="dxa"/>
            <w:vAlign w:val="bottom"/>
            <w:gridSpan w:val="2"/>
          </w:tcPr>
          <w:p>
            <w:pPr>
              <w:jc w:val="center"/>
              <w:ind w:right="31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4"/>
                <w:szCs w:val="14"/>
                <w:color w:val="auto"/>
              </w:rPr>
            </w:pPr>
          </w:p>
        </w:tc>
        <w:tc>
          <w:tcPr>
            <w:tcW w:w="840" w:type="dxa"/>
            <w:vAlign w:val="bottom"/>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1, 2022</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23,491,881</w:t>
            </w: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214,685</w:t>
            </w: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(103,133</w:t>
            </w:r>
          </w:p>
        </w:tc>
        <w:tc>
          <w:tcPr>
            <w:tcW w:w="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111,371</w:t>
            </w:r>
          </w:p>
        </w:tc>
        <w:tc>
          <w:tcPr>
            <w:tcW w:w="0" w:type="dxa"/>
            <w:vAlign w:val="bottom"/>
          </w:tcPr>
          <w:p>
            <w:pPr>
              <w:spacing w:after="0"/>
              <w:rPr>
                <w:sz w:val="1"/>
                <w:szCs w:val="1"/>
                <w:color w:val="auto"/>
              </w:rPr>
            </w:pPr>
          </w:p>
        </w:tc>
      </w:tr>
      <w:tr>
        <w:trPr>
          <w:trHeight w:val="216"/>
        </w:trPr>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4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0" w:type="dxa"/>
            <w:vAlign w:val="bottom"/>
          </w:tcPr>
          <w:p>
            <w:pPr>
              <w:spacing w:after="0"/>
              <w:rPr>
                <w:sz w:val="1"/>
                <w:szCs w:val="1"/>
                <w:color w:val="auto"/>
              </w:rPr>
            </w:pPr>
          </w:p>
        </w:tc>
      </w:tr>
      <w:tr>
        <w:trPr>
          <w:trHeight w:val="216"/>
        </w:trPr>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loss on available for sale securities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(509 )</w:t>
            </w:r>
          </w:p>
        </w:tc>
        <w:tc>
          <w:tcPr>
            <w:tcW w:w="200" w:type="dxa"/>
            <w:vAlign w:val="bottom"/>
          </w:tcPr>
          <w:p>
            <w:pPr>
              <w:spacing w:after="0"/>
              <w:rPr>
                <w:sz w:val="18"/>
                <w:szCs w:val="18"/>
                <w:color w:val="auto"/>
              </w:rPr>
            </w:pPr>
          </w:p>
        </w:tc>
        <w:tc>
          <w:tcPr>
            <w:tcW w:w="9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(509 )</w:t>
            </w:r>
          </w:p>
        </w:tc>
        <w:tc>
          <w:tcPr>
            <w:tcW w:w="0" w:type="dxa"/>
            <w:vAlign w:val="bottom"/>
          </w:tcPr>
          <w:p>
            <w:pPr>
              <w:spacing w:after="0"/>
              <w:rPr>
                <w:sz w:val="1"/>
                <w:szCs w:val="1"/>
                <w:color w:val="auto"/>
              </w:rPr>
            </w:pPr>
          </w:p>
        </w:tc>
      </w:tr>
      <w:tr>
        <w:trPr>
          <w:trHeight w:val="216"/>
        </w:trPr>
        <w:tc>
          <w:tcPr>
            <w:tcW w:w="4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(11,762 )</w:t>
            </w:r>
          </w:p>
        </w:tc>
        <w:tc>
          <w:tcPr>
            <w:tcW w:w="20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(11,762 )</w:t>
            </w:r>
          </w:p>
        </w:tc>
        <w:tc>
          <w:tcPr>
            <w:tcW w:w="0" w:type="dxa"/>
            <w:vAlign w:val="bottom"/>
          </w:tcPr>
          <w:p>
            <w:pPr>
              <w:spacing w:after="0"/>
              <w:rPr>
                <w:sz w:val="1"/>
                <w:szCs w:val="1"/>
                <w:color w:val="auto"/>
              </w:rPr>
            </w:pPr>
          </w:p>
        </w:tc>
      </w:tr>
      <w:tr>
        <w:trPr>
          <w:trHeight w:val="20"/>
        </w:trPr>
        <w:tc>
          <w:tcPr>
            <w:tcW w:w="40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23,492,873</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215,828</w:t>
            </w:r>
          </w:p>
        </w:tc>
        <w:tc>
          <w:tcPr>
            <w:tcW w:w="22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(693 )</w:t>
            </w: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(114,895 )</w:t>
            </w: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100,243</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3"/>
        </w:trPr>
        <w:tc>
          <w:tcPr>
            <w:tcW w:w="4020" w:type="dxa"/>
            <w:vAlign w:val="bottom"/>
          </w:tcPr>
          <w:p>
            <w:pPr>
              <w:spacing w:after="0"/>
              <w:rPr>
                <w:sz w:val="24"/>
                <w:szCs w:val="24"/>
                <w:color w:val="auto"/>
              </w:rPr>
            </w:pPr>
          </w:p>
        </w:tc>
        <w:tc>
          <w:tcPr>
            <w:tcW w:w="2060" w:type="dxa"/>
            <w:vAlign w:val="bottom"/>
            <w:gridSpan w:val="4"/>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24"/>
                <w:szCs w:val="24"/>
                <w:color w:val="auto"/>
              </w:rPr>
            </w:pPr>
          </w:p>
        </w:tc>
        <w:tc>
          <w:tcPr>
            <w:tcW w:w="14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8"/>
        </w:trPr>
        <w:tc>
          <w:tcPr>
            <w:tcW w:w="4020" w:type="dxa"/>
            <w:vAlign w:val="bottom"/>
          </w:tcPr>
          <w:p>
            <w:pPr>
              <w:spacing w:after="0"/>
              <w:rPr>
                <w:sz w:val="15"/>
                <w:szCs w:val="15"/>
                <w:color w:val="auto"/>
              </w:rPr>
            </w:pPr>
          </w:p>
        </w:tc>
        <w:tc>
          <w:tcPr>
            <w:tcW w:w="2060" w:type="dxa"/>
            <w:vAlign w:val="bottom"/>
            <w:tcBorders>
              <w:bottom w:val="single" w:sz="8" w:color="auto"/>
            </w:tcBorders>
            <w:gridSpan w:val="4"/>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180" w:type="dxa"/>
            <w:vAlign w:val="bottom"/>
            <w:gridSpan w:val="3"/>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4020" w:type="dxa"/>
            <w:vAlign w:val="bottom"/>
          </w:tcPr>
          <w:p>
            <w:pPr>
              <w:spacing w:after="0"/>
              <w:rPr>
                <w:sz w:val="14"/>
                <w:szCs w:val="14"/>
                <w:color w:val="auto"/>
              </w:rPr>
            </w:pPr>
          </w:p>
        </w:tc>
        <w:tc>
          <w:tcPr>
            <w:tcW w:w="100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Pr>
          <w:p>
            <w:pPr>
              <w:spacing w:after="0"/>
              <w:rPr>
                <w:sz w:val="14"/>
                <w:szCs w:val="14"/>
                <w:color w:val="auto"/>
              </w:rPr>
            </w:pPr>
          </w:p>
        </w:tc>
        <w:tc>
          <w:tcPr>
            <w:tcW w:w="980" w:type="dxa"/>
            <w:vAlign w:val="bottom"/>
            <w:gridSpan w:val="2"/>
          </w:tcPr>
          <w:p>
            <w:pPr>
              <w:jc w:val="center"/>
              <w:ind w:right="31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4"/>
                <w:szCs w:val="14"/>
                <w:color w:val="auto"/>
              </w:rPr>
            </w:pPr>
          </w:p>
        </w:tc>
        <w:tc>
          <w:tcPr>
            <w:tcW w:w="840" w:type="dxa"/>
            <w:vAlign w:val="bottom"/>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1, 2021</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23,260,399</w:t>
            </w: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210,266</w:t>
            </w: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(60,841</w:t>
            </w:r>
          </w:p>
        </w:tc>
        <w:tc>
          <w:tcPr>
            <w:tcW w:w="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149,427</w:t>
            </w:r>
          </w:p>
        </w:tc>
        <w:tc>
          <w:tcPr>
            <w:tcW w:w="0" w:type="dxa"/>
            <w:vAlign w:val="bottom"/>
          </w:tcPr>
          <w:p>
            <w:pPr>
              <w:spacing w:after="0"/>
              <w:rPr>
                <w:sz w:val="1"/>
                <w:szCs w:val="1"/>
                <w:color w:val="auto"/>
              </w:rPr>
            </w:pPr>
          </w:p>
        </w:tc>
      </w:tr>
      <w:tr>
        <w:trPr>
          <w:trHeight w:val="216"/>
        </w:trPr>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41,473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4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0" w:type="dxa"/>
            <w:vAlign w:val="bottom"/>
          </w:tcPr>
          <w:p>
            <w:pPr>
              <w:spacing w:after="0"/>
              <w:rPr>
                <w:sz w:val="1"/>
                <w:szCs w:val="1"/>
                <w:color w:val="auto"/>
              </w:rPr>
            </w:pPr>
          </w:p>
        </w:tc>
      </w:tr>
      <w:tr>
        <w:trPr>
          <w:trHeight w:val="216"/>
        </w:trPr>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(9,887 )</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(9,887 )</w:t>
            </w:r>
          </w:p>
        </w:tc>
        <w:tc>
          <w:tcPr>
            <w:tcW w:w="0" w:type="dxa"/>
            <w:vAlign w:val="bottom"/>
          </w:tcPr>
          <w:p>
            <w:pPr>
              <w:spacing w:after="0"/>
              <w:rPr>
                <w:sz w:val="1"/>
                <w:szCs w:val="1"/>
                <w:color w:val="auto"/>
              </w:rPr>
            </w:pPr>
          </w:p>
        </w:tc>
      </w:tr>
      <w:tr>
        <w:trPr>
          <w:trHeight w:val="249"/>
        </w:trPr>
        <w:tc>
          <w:tcPr>
            <w:tcW w:w="4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2021</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23,301,872</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211,449</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(70,728</w:t>
            </w:r>
          </w:p>
        </w:tc>
        <w:tc>
          <w:tcPr>
            <w:tcW w:w="20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140,723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-1671320</wp:posOffset>
            </wp:positionV>
            <wp:extent cx="431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-1671320</wp:posOffset>
            </wp:positionV>
            <wp:extent cx="431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-1671320</wp:posOffset>
            </wp:positionV>
            <wp:extent cx="431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-1671320</wp:posOffset>
            </wp:positionV>
            <wp:extent cx="514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-1671320</wp:posOffset>
            </wp:positionV>
            <wp:extent cx="431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-1671320</wp:posOffset>
            </wp:positionV>
            <wp:extent cx="431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-25400</wp:posOffset>
            </wp:positionV>
            <wp:extent cx="431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-7620</wp:posOffset>
            </wp:positionV>
            <wp:extent cx="431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-25400</wp:posOffset>
            </wp:positionV>
            <wp:extent cx="431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-7620</wp:posOffset>
            </wp:positionV>
            <wp:extent cx="431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-25400</wp:posOffset>
            </wp:positionV>
            <wp:extent cx="431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-7620</wp:posOffset>
            </wp:positionV>
            <wp:extent cx="431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-25400</wp:posOffset>
            </wp:positionV>
            <wp:extent cx="514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-7620</wp:posOffset>
            </wp:positionV>
            <wp:extent cx="514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-25400</wp:posOffset>
            </wp:positionV>
            <wp:extent cx="431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-7620</wp:posOffset>
            </wp:positionV>
            <wp:extent cx="431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SPRUCE BIOSCIENCES,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8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768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10"/>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99"/>
              </w:rPr>
              <w:t>(11,762 )</w:t>
            </w:r>
          </w:p>
        </w:tc>
        <w:tc>
          <w:tcPr>
            <w:tcW w:w="980" w:type="dxa"/>
            <w:vAlign w:val="bottom"/>
          </w:tcPr>
          <w:p>
            <w:pPr>
              <w:jc w:val="right"/>
              <w:ind w:right="794"/>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(9,887 )</w:t>
            </w: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0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80" w:type="dxa"/>
            <w:vAlign w:val="bottom"/>
          </w:tcPr>
          <w:p>
            <w:pPr>
              <w:spacing w:after="0"/>
              <w:rPr>
                <w:sz w:val="18"/>
                <w:szCs w:val="18"/>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FF0FC"/>
          </w:tcPr>
          <w:p>
            <w:pPr>
              <w:spacing w:after="0"/>
              <w:rPr>
                <w:sz w:val="18"/>
                <w:szCs w:val="18"/>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discount on available for sale securities</w:t>
            </w: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Non-cash lease expense</w:t>
            </w:r>
          </w:p>
        </w:tc>
        <w:tc>
          <w:tcPr>
            <w:tcW w:w="10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shd w:val="clear" w:color="auto" w:fill="CFF0FC"/>
          </w:tcPr>
          <w:p>
            <w:pPr>
              <w:spacing w:after="0"/>
              <w:rPr>
                <w:sz w:val="18"/>
                <w:szCs w:val="18"/>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(822 )</w:t>
            </w: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80" w:type="dxa"/>
            <w:vAlign w:val="bottom"/>
            <w:shd w:val="clear" w:color="auto" w:fill="CFF0FC"/>
          </w:tcPr>
          <w:p>
            <w:pPr>
              <w:spacing w:after="0"/>
              <w:rPr>
                <w:sz w:val="18"/>
                <w:szCs w:val="18"/>
                <w:color w:val="auto"/>
              </w:rPr>
            </w:pPr>
          </w:p>
        </w:tc>
      </w:tr>
      <w:tr>
        <w:trPr>
          <w:trHeight w:val="216"/>
        </w:trPr>
        <w:tc>
          <w:tcPr>
            <w:tcW w:w="7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020" w:type="dxa"/>
            <w:vAlign w:val="bottom"/>
          </w:tcPr>
          <w:p>
            <w:pPr>
              <w:spacing w:after="0"/>
              <w:rPr>
                <w:sz w:val="18"/>
                <w:szCs w:val="18"/>
                <w:color w:val="auto"/>
              </w:rPr>
            </w:pPr>
          </w:p>
        </w:tc>
        <w:tc>
          <w:tcPr>
            <w:tcW w:w="8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(67 )</w:t>
            </w:r>
          </w:p>
        </w:tc>
        <w:tc>
          <w:tcPr>
            <w:tcW w:w="9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(82 )</w:t>
            </w:r>
          </w:p>
        </w:tc>
      </w:tr>
      <w:tr>
        <w:trPr>
          <w:trHeight w:val="216"/>
        </w:trPr>
        <w:tc>
          <w:tcPr>
            <w:tcW w:w="7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0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(437 )</w:t>
            </w:r>
          </w:p>
        </w:tc>
        <w:tc>
          <w:tcPr>
            <w:tcW w:w="9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(358 )</w:t>
            </w:r>
          </w:p>
        </w:tc>
      </w:tr>
      <w:tr>
        <w:trPr>
          <w:trHeight w:val="216"/>
        </w:trPr>
        <w:tc>
          <w:tcPr>
            <w:tcW w:w="7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assets</w:t>
            </w: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8"/>
                <w:szCs w:val="18"/>
                <w:color w:val="auto"/>
              </w:rPr>
            </w:pPr>
          </w:p>
        </w:tc>
      </w:tr>
      <w:tr>
        <w:trPr>
          <w:trHeight w:val="216"/>
        </w:trPr>
        <w:tc>
          <w:tcPr>
            <w:tcW w:w="7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liabilities</w:t>
            </w:r>
          </w:p>
        </w:tc>
        <w:tc>
          <w:tcPr>
            <w:tcW w:w="10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(65 )</w:t>
            </w: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FF0FC"/>
          </w:tcPr>
          <w:p>
            <w:pPr>
              <w:spacing w:after="0"/>
              <w:rPr>
                <w:sz w:val="18"/>
                <w:szCs w:val="18"/>
                <w:color w:val="auto"/>
              </w:rPr>
            </w:pPr>
          </w:p>
        </w:tc>
      </w:tr>
      <w:tr>
        <w:trPr>
          <w:trHeight w:val="20"/>
        </w:trPr>
        <w:tc>
          <w:tcPr>
            <w:tcW w:w="768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0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20" w:type="dxa"/>
            <w:vAlign w:val="bottom"/>
          </w:tcPr>
          <w:p>
            <w:pPr>
              <w:spacing w:after="0"/>
              <w:rPr>
                <w:sz w:val="18"/>
                <w:szCs w:val="18"/>
                <w:color w:val="auto"/>
              </w:rPr>
            </w:pPr>
          </w:p>
        </w:tc>
        <w:tc>
          <w:tcPr>
            <w:tcW w:w="8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99"/>
              </w:rPr>
              <w:t>(11,826 )</w:t>
            </w:r>
          </w:p>
        </w:tc>
        <w:tc>
          <w:tcPr>
            <w:tcW w:w="9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(8,787 )</w:t>
            </w:r>
          </w:p>
        </w:tc>
      </w:tr>
      <w:tr>
        <w:trPr>
          <w:trHeight w:val="210"/>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2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 of investments</w:t>
            </w:r>
          </w:p>
        </w:tc>
        <w:tc>
          <w:tcPr>
            <w:tcW w:w="10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(10,991 )</w:t>
            </w:r>
          </w:p>
        </w:tc>
        <w:tc>
          <w:tcPr>
            <w:tcW w:w="9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maturities of investments</w:t>
            </w:r>
          </w:p>
        </w:tc>
        <w:tc>
          <w:tcPr>
            <w:tcW w:w="10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2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2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(7,491</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0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 of deferred offering costs</w:t>
            </w:r>
          </w:p>
        </w:tc>
        <w:tc>
          <w:tcPr>
            <w:tcW w:w="10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(90 )</w:t>
            </w:r>
          </w:p>
        </w:tc>
        <w:tc>
          <w:tcPr>
            <w:tcW w:w="9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Pr>
          <w:p>
            <w:pPr>
              <w:spacing w:after="0"/>
              <w:rPr>
                <w:sz w:val="18"/>
                <w:szCs w:val="18"/>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issuance of long-term debt, net of issuance costs of $10</w:t>
            </w:r>
          </w:p>
        </w:tc>
        <w:tc>
          <w:tcPr>
            <w:tcW w:w="10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4,990</w:t>
            </w:r>
          </w:p>
        </w:tc>
        <w:tc>
          <w:tcPr>
            <w:tcW w:w="80" w:type="dxa"/>
            <w:vAlign w:val="bottom"/>
            <w:shd w:val="clear" w:color="auto" w:fill="CFF0FC"/>
          </w:tcPr>
          <w:p>
            <w:pPr>
              <w:spacing w:after="0"/>
              <w:rPr>
                <w:sz w:val="18"/>
                <w:szCs w:val="18"/>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Repayment of term loan</w:t>
            </w:r>
          </w:p>
        </w:tc>
        <w:tc>
          <w:tcPr>
            <w:tcW w:w="1020" w:type="dxa"/>
            <w:vAlign w:val="bottom"/>
          </w:tcPr>
          <w:p>
            <w:pPr>
              <w:spacing w:after="0"/>
              <w:rPr>
                <w:sz w:val="18"/>
                <w:szCs w:val="18"/>
                <w:color w:val="auto"/>
              </w:rPr>
            </w:pPr>
          </w:p>
        </w:tc>
        <w:tc>
          <w:tcPr>
            <w:tcW w:w="8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(4,770 )</w:t>
            </w:r>
          </w:p>
        </w:tc>
      </w:tr>
      <w:tr>
        <w:trPr>
          <w:trHeight w:val="210"/>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020" w:type="dxa"/>
            <w:vAlign w:val="bottom"/>
            <w:tcBorders>
              <w:top w:val="single" w:sz="8" w:color="auto"/>
              <w:bottom w:val="single" w:sz="8" w:color="auto"/>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Borders>
              <w:top w:val="single" w:sz="8" w:color="auto"/>
              <w:bottom w:val="single" w:sz="8" w:color="auto"/>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1020" w:type="dxa"/>
            <w:vAlign w:val="bottom"/>
          </w:tcPr>
          <w:p>
            <w:pPr>
              <w:spacing w:after="0"/>
              <w:rPr>
                <w:sz w:val="18"/>
                <w:szCs w:val="18"/>
                <w:color w:val="auto"/>
              </w:rPr>
            </w:pPr>
          </w:p>
        </w:tc>
        <w:tc>
          <w:tcPr>
            <w:tcW w:w="8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99"/>
              </w:rPr>
              <w:t>(19,405 )</w:t>
            </w:r>
          </w:p>
        </w:tc>
        <w:tc>
          <w:tcPr>
            <w:tcW w:w="9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(8,523 )</w:t>
            </w:r>
          </w:p>
        </w:tc>
      </w:tr>
      <w:tr>
        <w:trPr>
          <w:trHeight w:val="216"/>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02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42,964</w:t>
            </w:r>
          </w:p>
        </w:tc>
        <w:tc>
          <w:tcPr>
            <w:tcW w:w="26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157,366</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02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23,559</w:t>
            </w:r>
          </w:p>
        </w:tc>
        <w:tc>
          <w:tcPr>
            <w:tcW w:w="260" w:type="dxa"/>
            <w:vAlign w:val="bottom"/>
          </w:tcPr>
          <w:p>
            <w:pPr>
              <w:spacing w:after="0"/>
              <w:rPr>
                <w:sz w:val="18"/>
                <w:szCs w:val="18"/>
                <w:color w:val="auto"/>
              </w:rPr>
            </w:pPr>
          </w:p>
        </w:tc>
        <w:tc>
          <w:tcPr>
            <w:tcW w:w="980" w:type="dxa"/>
            <w:vAlign w:val="bottom"/>
            <w:tcBorders>
              <w:bottom w:val="single" w:sz="8" w:color="auto"/>
            </w:tcBorders>
          </w:tcPr>
          <w:p>
            <w:pPr>
              <w:jc w:val="right"/>
              <w:ind w:right="79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148,843</w:t>
            </w:r>
          </w:p>
        </w:tc>
        <w:tc>
          <w:tcPr>
            <w:tcW w:w="80" w:type="dxa"/>
            <w:vAlign w:val="bottom"/>
          </w:tcPr>
          <w:p>
            <w:pPr>
              <w:spacing w:after="0"/>
              <w:rPr>
                <w:sz w:val="18"/>
                <w:szCs w:val="18"/>
                <w:color w:val="auto"/>
              </w:rPr>
            </w:pPr>
          </w:p>
        </w:tc>
      </w:tr>
      <w:tr>
        <w:trPr>
          <w:trHeight w:val="20"/>
        </w:trPr>
        <w:tc>
          <w:tcPr>
            <w:tcW w:w="76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768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cash flow data:</w:t>
            </w:r>
          </w:p>
        </w:tc>
        <w:tc>
          <w:tcPr>
            <w:tcW w:w="10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paid for interest</w:t>
            </w:r>
          </w:p>
        </w:tc>
        <w:tc>
          <w:tcPr>
            <w:tcW w:w="102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60" w:type="dxa"/>
            <w:vAlign w:val="bottom"/>
          </w:tcPr>
          <w:p>
            <w:pPr>
              <w:spacing w:after="0"/>
              <w:rPr>
                <w:sz w:val="18"/>
                <w:szCs w:val="18"/>
                <w:color w:val="auto"/>
              </w:rPr>
            </w:pPr>
          </w:p>
        </w:tc>
        <w:tc>
          <w:tcPr>
            <w:tcW w:w="980" w:type="dxa"/>
            <w:vAlign w:val="bottom"/>
            <w:tcBorders>
              <w:bottom w:val="single" w:sz="8" w:color="auto"/>
            </w:tcBorders>
          </w:tcPr>
          <w:p>
            <w:pPr>
              <w:jc w:val="right"/>
              <w:ind w:right="79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Pr>
          <w:p>
            <w:pPr>
              <w:spacing w:after="0"/>
              <w:rPr>
                <w:sz w:val="18"/>
                <w:szCs w:val="18"/>
                <w:color w:val="auto"/>
              </w:rPr>
            </w:pPr>
          </w:p>
        </w:tc>
      </w:tr>
      <w:tr>
        <w:trPr>
          <w:trHeight w:val="20"/>
        </w:trPr>
        <w:tc>
          <w:tcPr>
            <w:tcW w:w="76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non-cash financing activities:</w:t>
            </w:r>
          </w:p>
        </w:tc>
        <w:tc>
          <w:tcPr>
            <w:tcW w:w="10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offering costs included in accounts payable and accrued expenses</w:t>
            </w:r>
          </w:p>
        </w:tc>
        <w:tc>
          <w:tcPr>
            <w:tcW w:w="1020" w:type="dxa"/>
            <w:vAlign w:val="bottom"/>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60" w:type="dxa"/>
            <w:vAlign w:val="bottom"/>
          </w:tcPr>
          <w:p>
            <w:pPr>
              <w:spacing w:after="0"/>
              <w:rPr>
                <w:sz w:val="18"/>
                <w:szCs w:val="18"/>
                <w:color w:val="auto"/>
              </w:rPr>
            </w:pPr>
          </w:p>
        </w:tc>
        <w:tc>
          <w:tcPr>
            <w:tcW w:w="980" w:type="dxa"/>
            <w:vAlign w:val="bottom"/>
          </w:tcPr>
          <w:p>
            <w:pPr>
              <w:jc w:val="right"/>
              <w:ind w:right="794"/>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6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-2742565</wp:posOffset>
            </wp:positionV>
            <wp:extent cx="514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-2742565</wp:posOffset>
            </wp:positionV>
            <wp:extent cx="514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-1893570</wp:posOffset>
            </wp:positionV>
            <wp:extent cx="514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-1893570</wp:posOffset>
            </wp:positionV>
            <wp:extent cx="514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-1053465</wp:posOffset>
            </wp:positionV>
            <wp:extent cx="514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-1053465</wp:posOffset>
            </wp:positionV>
            <wp:extent cx="514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-770890</wp:posOffset>
            </wp:positionV>
            <wp:extent cx="5143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-770890</wp:posOffset>
            </wp:positionV>
            <wp:extent cx="514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financial statements.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SPRUCE BIOSCIENCES, INC.</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FINANCIAL STATEMENTS</w:t>
      </w: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8" w:lineRule="exact"/>
        <w:rPr>
          <w:sz w:val="20"/>
          <w:szCs w:val="20"/>
          <w:color w:val="auto"/>
        </w:rPr>
      </w:pPr>
    </w:p>
    <w:p>
      <w:pPr>
        <w:ind w:right="8160" w:firstLine="8"/>
        <w:spacing w:after="0" w:line="346" w:lineRule="auto"/>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 Description of Business</w:t>
      </w:r>
    </w:p>
    <w:p>
      <w:pPr>
        <w:spacing w:after="0" w:line="1"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color w:val="auto"/>
        </w:rPr>
        <w:t>Spruce Biosciences, Inc. (the Company) is a late-stage biopharmaceutical company focused on developing and commercializing novel therapies for rare endocrine disorders with significant unmet medical need. The Company is initially developing its wholly-owned product candidate, tildacerfont, as the potential first non-steroidal therapy for patients suffering from classic congenital adrenal hyperplasia (CAH). The Company is also developing tildacerfont for females suffering from polycystic ovary syndrome (PCOS) with adrenal dysfunction. The Company is located in Daly City, California and was incorporated in the state of Delaware in April 2016.</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8"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As of March 31, 2022, the Company had cash, cash equivalents and investments of $108.9 million, which is sufficient to fund its planned operations for a period of at least twelve months following the issuance of the accompanying condensed financial statements.</w:t>
      </w:r>
    </w:p>
    <w:p>
      <w:pPr>
        <w:spacing w:after="0" w:line="68" w:lineRule="exact"/>
        <w:rPr>
          <w:sz w:val="20"/>
          <w:szCs w:val="20"/>
          <w:color w:val="auto"/>
        </w:rPr>
      </w:pPr>
    </w:p>
    <w:p>
      <w:pPr>
        <w:ind w:right="20" w:firstLine="509"/>
        <w:spacing w:after="0" w:line="265" w:lineRule="auto"/>
        <w:rPr>
          <w:sz w:val="20"/>
          <w:szCs w:val="20"/>
          <w:color w:val="auto"/>
        </w:rPr>
      </w:pPr>
      <w:r>
        <w:rPr>
          <w:rFonts w:ascii="Times New Roman" w:cs="Times New Roman" w:eastAsia="Times New Roman" w:hAnsi="Times New Roman"/>
          <w:sz w:val="17"/>
          <w:szCs w:val="17"/>
          <w:color w:val="auto"/>
        </w:rPr>
        <w:t>The Company has incurred significant losses and negative cash flows from operations. During the three months ended March 31, 2022, the Company incurred a net loss of $11.8 million and used $11.8 million of cash in operations. As of March 31, 2022, the Company had an accumulated deficit of $114.9 million and does not expect positive cash flows from operations in the foreseeable future. The Company has funded its operations primarily</w:t>
      </w:r>
    </w:p>
    <w:p>
      <w:pPr>
        <w:spacing w:after="0"/>
        <w:rPr>
          <w:sz w:val="20"/>
          <w:szCs w:val="20"/>
          <w:color w:val="auto"/>
        </w:rPr>
      </w:pPr>
      <w:r>
        <w:rPr>
          <w:rFonts w:ascii="Times New Roman" w:cs="Times New Roman" w:eastAsia="Times New Roman" w:hAnsi="Times New Roman"/>
          <w:sz w:val="18"/>
          <w:szCs w:val="18"/>
          <w:color w:val="auto"/>
        </w:rPr>
        <w:t>through the issuance and sale of equity securities and debt.</w:t>
      </w:r>
    </w:p>
    <w:p>
      <w:pPr>
        <w:spacing w:after="0" w:line="117"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The Company anticipates that it will need to raise substantial additional financing in the future to fund its operations. In order to meet these additional cash requirements, the Company may seek to sell additional equity or issue debt, convertible debt or other securities that may result in dilution to its stockholders. If the Company raises additional funds through the issuance of debt or convertible debt securities, these securities could have rights senior to those of its shares of common stock and could contain covenants that restrict its operations. There can be no assurance that the Company will be able to obtain additional equity or debt financing on terms acceptable to it, if at all. Debt financing, if available, would result in increased fixed payment obligations and may involve agreements that include covenants limiting or restricting the Company’s ability to take specific actions such as incurring debt, making capital expenditures or declaring dividends. The Company’s failure to obtain sufficient funds on acceptable terms when needed could have a material adverse effect on its business, results of operations, and financial condition.</w:t>
      </w:r>
    </w:p>
    <w:p>
      <w:pPr>
        <w:spacing w:after="0" w:line="74" w:lineRule="exact"/>
        <w:rPr>
          <w:sz w:val="20"/>
          <w:szCs w:val="20"/>
          <w:color w:val="auto"/>
        </w:rPr>
      </w:pPr>
    </w:p>
    <w:p>
      <w:pPr>
        <w:ind w:right="7660" w:firstLine="8"/>
        <w:spacing w:after="0" w:line="375" w:lineRule="auto"/>
        <w:tabs>
          <w:tab w:leader="none" w:pos="180"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 Interim Condensed Financial Statements</w:t>
      </w:r>
    </w:p>
    <w:p>
      <w:pPr>
        <w:spacing w:after="0" w:line="1" w:lineRule="exact"/>
        <w:rPr>
          <w:sz w:val="20"/>
          <w:szCs w:val="20"/>
          <w:color w:val="auto"/>
        </w:rPr>
      </w:pPr>
    </w:p>
    <w:p>
      <w:pPr>
        <w:ind w:right="80" w:firstLine="509"/>
        <w:spacing w:after="0" w:line="243" w:lineRule="auto"/>
        <w:rPr>
          <w:sz w:val="20"/>
          <w:szCs w:val="20"/>
          <w:color w:val="auto"/>
        </w:rPr>
      </w:pPr>
      <w:r>
        <w:rPr>
          <w:rFonts w:ascii="Times New Roman" w:cs="Times New Roman" w:eastAsia="Times New Roman" w:hAnsi="Times New Roman"/>
          <w:sz w:val="18"/>
          <w:szCs w:val="18"/>
          <w:color w:val="auto"/>
        </w:rPr>
        <w:t>The financial statements have been prepared in accordance with accounting principles generally accepted in the United States of America (U.S. GAAP) and applicable rules and regulations of the U.S. Securities and Exchange Commission (SEC) for interim reporting. As permitted under those rules and regulations, certain notes or other financial information normally included in financial statements prepared in accordance with U.S. GAAP have been condensed or omitted. The condensed balance sheet as of March 31, 2022, the condensed statements of operations and comprehensive loss for the three months ended March 31, 2022 and 2021, the condensed statement of stockholders’ equity for the three months ended March 31, 2022 and 2021, and the condensed statements of cash flows for the three months ended March 31, 2022 and 2021 are unaudited. The interim condensed financial statements have been prepared on the same basis as the annual financial statements and, in the opinion of management, reflect all adjustments, which include only normal, recurring adjustments that are necessary to present fairly the Company’s results for the interim periods presented. The condensed balance sheet as of December 31, 2021, is derived from the Company’s audited financial statements. The results of operations for the three months ended March 31, 2022, are not necessarily indicative of the results to be expected for the year ending December 31, 2022, or for any other future annual or interim period.</w:t>
      </w:r>
    </w:p>
    <w:p>
      <w:pPr>
        <w:spacing w:after="0" w:line="78"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These interim condensed financial statements should be read in conjunction with the Company’s Annual Report on Form 10-K for the year ended December 31, 2021 filed with the SEC on March 14, 2022 (Annual Report).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08"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liabilities and expenses as well as related disclosure of contingent assets and liabilities. Significant estimates and assumptions reflected in these financial statements include, but are not limited to, accrued research and development expenses, stock-based compensation and uncertain tax positions. The Company bases its estimates on its historical experience and on assumptions that it believes are reasonable; however, actual results could significantly differ from those estimates.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108"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Any product candidates developed by the Company will require approvals from the U.S. Food and Drug Administration (FDA) or foreign regulatory agencies prior to commercial sales. There can be no assurance that the Company’s current and future product candidates will meet desired efficacy and safety requirements to obtain the necessary approvals. If approval is denied or delayed, it may have a material adverse impact on the Company’s business and its financial statements.</w:t>
      </w:r>
    </w:p>
    <w:p>
      <w:pPr>
        <w:spacing w:after="0" w:line="69" w:lineRule="exact"/>
        <w:rPr>
          <w:sz w:val="20"/>
          <w:szCs w:val="20"/>
          <w:color w:val="auto"/>
        </w:rPr>
      </w:pPr>
    </w:p>
    <w:p>
      <w:pPr>
        <w:ind w:right="200" w:firstLine="509"/>
        <w:spacing w:after="0" w:line="250" w:lineRule="auto"/>
        <w:rPr>
          <w:sz w:val="20"/>
          <w:szCs w:val="20"/>
          <w:color w:val="auto"/>
        </w:rPr>
      </w:pPr>
      <w:r>
        <w:rPr>
          <w:rFonts w:ascii="Times New Roman" w:cs="Times New Roman" w:eastAsia="Times New Roman" w:hAnsi="Times New Roman"/>
          <w:sz w:val="18"/>
          <w:szCs w:val="18"/>
          <w:color w:val="auto"/>
        </w:rPr>
        <w:t>The Company is subject to a number of risks similar to other late-stage biopharmaceutical companies including, but not limited to, dependency on the clinical success of the Company’s product candidate, tildacerfont, ability to obtain regulatory approval of tildacerfont, the need for substantial additional financing to achieve its goals, uncertainty of broad adoption of its approved products, if any, by physicians and consumers, significant competition, untested manufacturing capabilities, and dependence on key individuals and sole source suppliers.</w:t>
      </w:r>
    </w:p>
    <w:p>
      <w:pPr>
        <w:spacing w:after="0" w:line="83" w:lineRule="exact"/>
        <w:rPr>
          <w:sz w:val="20"/>
          <w:szCs w:val="20"/>
          <w:color w:val="auto"/>
        </w:rPr>
      </w:pPr>
    </w:p>
    <w:p>
      <w:pPr>
        <w:ind w:right="160" w:firstLine="509"/>
        <w:spacing w:after="0" w:line="245" w:lineRule="auto"/>
        <w:rPr>
          <w:sz w:val="20"/>
          <w:szCs w:val="20"/>
          <w:color w:val="auto"/>
        </w:rPr>
      </w:pPr>
      <w:r>
        <w:rPr>
          <w:rFonts w:ascii="Times New Roman" w:cs="Times New Roman" w:eastAsia="Times New Roman" w:hAnsi="Times New Roman"/>
          <w:sz w:val="18"/>
          <w:szCs w:val="18"/>
          <w:color w:val="auto"/>
        </w:rPr>
        <w:t>The Company’s business has been and could continue to be adversely affected by the evolving COVID-19 pandemic. For example, the COVID-19 pandemic has resulted in and could result in delays to the Company’s clinical trials for numerous reasons including additional delays or difficulties in enrolling patients, diversion of healthcare resources away from the conduct of clinical trials, interruption or delays in the operations of the FDA or other regulatory authorities, and delays in clinical sites receiving the supplies and materials to conduct our clinical trials. At this time, the extent to which the</w:t>
      </w:r>
    </w:p>
    <w:p>
      <w:pPr>
        <w:spacing w:after="0" w:line="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COVID-19 pandemic impacts the Company’s business will depend on future developments, which are highly uncertain. The Company will continue to evaluate the impact that these events could have on its future operations, financial position, results of operations and cash flows.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121"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There have been no significant changes to the accounting policies during the three months ended March 31, 2022, as compared to the significant accounting policies described in our Annual Report.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121"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The Company has cash in a collateral account related to a letter of credit issued on behalf of the Company for the security deposit on the non-cancelable operating lease for an office facility. The collateralized cash in connection with the letter of credit was classified as restricted cash on the balance sheet as of March 31, 2022 and December 31, 2021 based on the terms of the lease agreement, which expires in 2025, unless extended.</w:t>
      </w:r>
    </w:p>
    <w:p>
      <w:pPr>
        <w:spacing w:after="0" w:line="82"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condensed statements of cash flows (in thousands):</w:t>
      </w:r>
    </w:p>
    <w:p>
      <w:pPr>
        <w:spacing w:after="0" w:line="210"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50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0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4"/>
                <w:szCs w:val="14"/>
                <w:color w:val="auto"/>
              </w:rPr>
            </w:pPr>
          </w:p>
        </w:tc>
      </w:tr>
      <w:tr>
        <w:trPr>
          <w:trHeight w:val="20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23,343</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148,627</w:t>
            </w:r>
          </w:p>
        </w:tc>
        <w:tc>
          <w:tcPr>
            <w:tcW w:w="60" w:type="dxa"/>
            <w:vAlign w:val="bottom"/>
            <w:shd w:val="clear" w:color="auto" w:fill="CFF0FC"/>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60" w:type="dxa"/>
            <w:vAlign w:val="bottom"/>
          </w:tcPr>
          <w:p>
            <w:pPr>
              <w:spacing w:after="0"/>
              <w:rPr>
                <w:sz w:val="18"/>
                <w:szCs w:val="18"/>
                <w:color w:val="auto"/>
              </w:rPr>
            </w:pPr>
          </w:p>
        </w:tc>
      </w:tr>
      <w:tr>
        <w:trPr>
          <w:trHeight w:val="250"/>
        </w:trPr>
        <w:tc>
          <w:tcPr>
            <w:tcW w:w="5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23,559</w:t>
            </w:r>
          </w:p>
        </w:tc>
        <w:tc>
          <w:tcPr>
            <w:tcW w:w="1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148,843</w:t>
            </w:r>
          </w:p>
        </w:tc>
        <w:tc>
          <w:tcPr>
            <w:tcW w:w="6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-24765</wp:posOffset>
            </wp:positionV>
            <wp:extent cx="431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-8255</wp:posOffset>
            </wp:positionV>
            <wp:extent cx="431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-24765</wp:posOffset>
            </wp:positionV>
            <wp:extent cx="342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-8255</wp:posOffset>
            </wp:positionV>
            <wp:extent cx="3429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108" w:lineRule="exact"/>
        <w:rPr>
          <w:sz w:val="20"/>
          <w:szCs w:val="20"/>
          <w:color w:val="auto"/>
        </w:rPr>
      </w:pPr>
    </w:p>
    <w:p>
      <w:pPr>
        <w:ind w:right="40" w:firstLine="869"/>
        <w:spacing w:after="0" w:line="250" w:lineRule="auto"/>
        <w:rPr>
          <w:sz w:val="20"/>
          <w:szCs w:val="20"/>
          <w:color w:val="auto"/>
        </w:rPr>
      </w:pPr>
      <w:r>
        <w:rPr>
          <w:rFonts w:ascii="Times New Roman" w:cs="Times New Roman" w:eastAsia="Times New Roman" w:hAnsi="Times New Roman"/>
          <w:sz w:val="18"/>
          <w:szCs w:val="18"/>
          <w:color w:val="auto"/>
        </w:rPr>
        <w:t>The Company is an emerging growth company (EGC) as defined in the Jumpstart Our Business Startups Act of 2012 (JOBS Act) and may take advantage of reduced reporting requirements that are otherwise applicable to public companies. Section 107 of the JOBS Act exempts emerging growth companies from being required to comply with new or revised financial accounting standards until private companies are required to comply with those standards. The Company has elected to use the extended transition period for complying with new or revised accounting standards.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 Not Yet Adopted</w:t>
      </w:r>
    </w:p>
    <w:p>
      <w:pPr>
        <w:spacing w:after="0" w:line="106" w:lineRule="exact"/>
        <w:rPr>
          <w:sz w:val="20"/>
          <w:szCs w:val="20"/>
          <w:color w:val="auto"/>
        </w:rPr>
      </w:pPr>
    </w:p>
    <w:p>
      <w:pPr>
        <w:ind w:right="80" w:firstLine="509"/>
        <w:spacing w:after="0" w:line="245" w:lineRule="auto"/>
        <w:rPr>
          <w:sz w:val="20"/>
          <w:szCs w:val="20"/>
          <w:color w:val="auto"/>
        </w:rPr>
      </w:pPr>
      <w:r>
        <w:rPr>
          <w:rFonts w:ascii="Times New Roman" w:cs="Times New Roman" w:eastAsia="Times New Roman" w:hAnsi="Times New Roman"/>
          <w:sz w:val="18"/>
          <w:szCs w:val="18"/>
          <w:color w:val="auto"/>
        </w:rPr>
        <w:t xml:space="preserve">In June 2016, the Financial Accounting Standards Board (FASB) issued ASU 2016-13, </w:t>
      </w:r>
      <w:r>
        <w:rPr>
          <w:rFonts w:ascii="Times New Roman" w:cs="Times New Roman" w:eastAsia="Times New Roman" w:hAnsi="Times New Roman"/>
          <w:sz w:val="18"/>
          <w:szCs w:val="18"/>
          <w:i w:val="1"/>
          <w:iCs w:val="1"/>
          <w:color w:val="auto"/>
        </w:rPr>
        <w:t>Financial Instruments - Credit Losses (Topic 326):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Measurement of Credit Losses on Financial Instruments </w:t>
      </w:r>
      <w:r>
        <w:rPr>
          <w:rFonts w:ascii="Times New Roman" w:cs="Times New Roman" w:eastAsia="Times New Roman" w:hAnsi="Times New Roman"/>
          <w:sz w:val="18"/>
          <w:szCs w:val="18"/>
          <w:color w:val="auto"/>
        </w:rPr>
        <w:t>(ASU 2016-13). ASU 2016-13 requires companies to measure credit losses utilizing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methodology that reflects expected credit losses and requires a consideration of a broader range of reasonable and supportable information to inform credit loss estimates. ASU 2016-13 is effective for non-EGC’s electing to use the extended transition period for complying with new or revised accounting standards for fiscal years beginning after December 15, 2019, and for EGC’s for fiscal years beginning after December 15, 2022, with early adoption permitted. The Company expects to adopt this ASU on January 1, 2023. The Company is currently assessing the impact of adopting this standard, but based on a preliminary assessment, does not expect the adoption of this guidance to have a material impact on its financial statements.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Cash Equivalents and Investments</w:t>
      </w:r>
    </w:p>
    <w:p>
      <w:pPr>
        <w:spacing w:after="0" w:line="108" w:lineRule="exact"/>
        <w:rPr>
          <w:sz w:val="20"/>
          <w:szCs w:val="20"/>
          <w:color w:val="auto"/>
        </w:rPr>
      </w:pPr>
    </w:p>
    <w:p>
      <w:pPr>
        <w:ind w:right="760" w:firstLine="509"/>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with remaining maturities at the date of purchase of three months or less to be cash equivalents. Cash equivalents consist of amounts invested in money market funds and are stated at fair value.</w:t>
      </w:r>
    </w:p>
    <w:p>
      <w:pPr>
        <w:spacing w:after="0" w:line="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Investments comprise U.S. treasury securities, commercial paper, and corporate bonds, which are classified as available for sale debt securities.</w:t>
      </w:r>
    </w:p>
    <w:p>
      <w:pPr>
        <w:spacing w:after="0" w:line="1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is a summary of amortized cost, unrealized gains and losses, and fair value (in thousands):</w:t>
      </w:r>
    </w:p>
    <w:p>
      <w:pPr>
        <w:spacing w:after="0" w:line="367" w:lineRule="exact"/>
        <w:rPr>
          <w:sz w:val="20"/>
          <w:szCs w:val="20"/>
          <w:color w:val="auto"/>
        </w:rPr>
      </w:pPr>
    </w:p>
    <w:tbl>
      <w:tblPr>
        <w:tblLayout w:type="fixed"/>
        <w:tblInd w:w="1200" w:type="dxa"/>
        <w:tblCellMar>
          <w:top w:w="0" w:type="dxa"/>
          <w:left w:w="0" w:type="dxa"/>
          <w:bottom w:w="0" w:type="dxa"/>
          <w:right w:w="0" w:type="dxa"/>
        </w:tblCellMar>
      </w:tblPr>
      <w:tr>
        <w:trPr>
          <w:trHeight w:val="187"/>
        </w:trPr>
        <w:tc>
          <w:tcPr>
            <w:tcW w:w="29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9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920" w:type="dxa"/>
            <w:vAlign w:val="bottom"/>
          </w:tcPr>
          <w:p>
            <w:pPr>
              <w:spacing w:after="0"/>
              <w:rPr>
                <w:sz w:val="11"/>
                <w:szCs w:val="11"/>
                <w:color w:val="auto"/>
              </w:rPr>
            </w:pPr>
          </w:p>
        </w:tc>
        <w:tc>
          <w:tcPr>
            <w:tcW w:w="1540" w:type="dxa"/>
            <w:vAlign w:val="bottom"/>
            <w:gridSpan w:val="5"/>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00" w:type="dxa"/>
            <w:vAlign w:val="bottom"/>
          </w:tcPr>
          <w:p>
            <w:pPr>
              <w:spacing w:after="0"/>
              <w:rPr>
                <w:sz w:val="11"/>
                <w:szCs w:val="11"/>
                <w:color w:val="auto"/>
              </w:rPr>
            </w:pPr>
          </w:p>
        </w:tc>
        <w:tc>
          <w:tcPr>
            <w:tcW w:w="1220" w:type="dxa"/>
            <w:vAlign w:val="bottom"/>
            <w:gridSpan w:val="2"/>
          </w:tcPr>
          <w:p>
            <w:pPr>
              <w:jc w:val="right"/>
              <w:ind w:right="72"/>
              <w:spacing w:after="0" w:line="13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4"/>
          </w:tcPr>
          <w:p>
            <w:pPr>
              <w:jc w:val="right"/>
              <w:ind w:right="130"/>
              <w:spacing w:after="0" w:line="131" w:lineRule="exact"/>
              <w:rPr>
                <w:sz w:val="20"/>
                <w:szCs w:val="20"/>
                <w:color w:val="auto"/>
              </w:rPr>
            </w:pPr>
            <w:r>
              <w:rPr>
                <w:rFonts w:ascii="Times New Roman" w:cs="Times New Roman" w:eastAsia="Times New Roman" w:hAnsi="Times New Roman"/>
                <w:sz w:val="14"/>
                <w:szCs w:val="14"/>
                <w:b w:val="1"/>
                <w:bCs w:val="1"/>
                <w:color w:val="auto"/>
                <w:w w:val="96"/>
              </w:rPr>
              <w:t>Gross Unrealized</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vMerge w:val="restart"/>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920" w:type="dxa"/>
            <w:vAlign w:val="bottom"/>
          </w:tcPr>
          <w:p>
            <w:pPr>
              <w:spacing w:after="0"/>
              <w:rPr>
                <w:sz w:val="16"/>
                <w:szCs w:val="16"/>
                <w:color w:val="auto"/>
              </w:rPr>
            </w:pPr>
          </w:p>
        </w:tc>
        <w:tc>
          <w:tcPr>
            <w:tcW w:w="1540" w:type="dxa"/>
            <w:vAlign w:val="bottom"/>
            <w:gridSpan w:val="5"/>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360" w:type="dxa"/>
            <w:vAlign w:val="bottom"/>
            <w:tcBorders>
              <w:top w:val="single" w:sz="8" w:color="auto"/>
              <w:bottom w:val="single" w:sz="8" w:color="auto"/>
            </w:tcBorders>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20,742</w:t>
            </w: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bottom w:val="single" w:sz="8" w:color="auto"/>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bottom w:val="single" w:sz="8" w:color="auto"/>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20,742</w:t>
            </w:r>
          </w:p>
        </w:tc>
        <w:tc>
          <w:tcPr>
            <w:tcW w:w="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cash equivalents</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20,742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20,742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3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30,489</w:t>
            </w:r>
          </w:p>
        </w:tc>
        <w:tc>
          <w:tcPr>
            <w:tcW w:w="200" w:type="dxa"/>
            <w:vAlign w:val="bottom"/>
            <w:shd w:val="clear" w:color="auto" w:fill="CFF0FC"/>
          </w:tcPr>
          <w:p>
            <w:pPr>
              <w:spacing w:after="0"/>
              <w:rPr>
                <w:sz w:val="18"/>
                <w:szCs w:val="18"/>
                <w:color w:val="auto"/>
              </w:rPr>
            </w:pPr>
          </w:p>
        </w:tc>
        <w:tc>
          <w:tcPr>
            <w:tcW w:w="100" w:type="dxa"/>
            <w:vAlign w:val="bottom"/>
            <w:tcBorders>
              <w:top w:val="single" w:sz="8" w:color="auto"/>
              <w:right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40" w:type="dxa"/>
            <w:vAlign w:val="bottom"/>
            <w:tcBorders>
              <w:top w:val="single" w:sz="8" w:color="auto"/>
              <w:right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30,488</w:t>
            </w:r>
          </w:p>
        </w:tc>
        <w:tc>
          <w:tcPr>
            <w:tcW w:w="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(179 )</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23,130</w:t>
            </w:r>
          </w:p>
        </w:tc>
        <w:tc>
          <w:tcPr>
            <w:tcW w:w="20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(142 )</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22,988</w:t>
            </w:r>
          </w:p>
        </w:tc>
        <w:tc>
          <w:tcPr>
            <w:tcW w:w="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68,327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(321 )</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68,005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17,973</w:t>
            </w: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right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right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17,601</w:t>
            </w:r>
          </w:p>
        </w:tc>
        <w:tc>
          <w:tcPr>
            <w:tcW w:w="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long-term investments</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17,973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(372 )</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17,601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920" w:type="dxa"/>
            <w:vAlign w:val="bottom"/>
            <w:shd w:val="clear" w:color="auto" w:fill="CFF0FC"/>
          </w:tcPr>
          <w:p>
            <w:pPr>
              <w:spacing w:after="0" w:line="164" w:lineRule="exact"/>
              <w:rPr>
                <w:sz w:val="20"/>
                <w:szCs w:val="20"/>
                <w:color w:val="auto"/>
              </w:rPr>
            </w:pPr>
            <w:r>
              <w:rPr>
                <w:rFonts w:ascii="Times New Roman" w:cs="Times New Roman" w:eastAsia="Times New Roman" w:hAnsi="Times New Roman"/>
                <w:sz w:val="18"/>
                <w:szCs w:val="18"/>
                <w:color w:val="auto"/>
              </w:rPr>
              <w:t>Total cash equivalents and available</w:t>
            </w:r>
          </w:p>
        </w:tc>
        <w:tc>
          <w:tcPr>
            <w:tcW w:w="360" w:type="dxa"/>
            <w:vAlign w:val="bottom"/>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107,042</w:t>
            </w:r>
          </w:p>
        </w:tc>
        <w:tc>
          <w:tcPr>
            <w:tcW w:w="200" w:type="dxa"/>
            <w:vAlign w:val="bottom"/>
            <w:shd w:val="clear" w:color="auto" w:fill="CFF0FC"/>
          </w:tcPr>
          <w:p>
            <w:pPr>
              <w:spacing w:after="0"/>
              <w:rPr>
                <w:sz w:val="14"/>
                <w:szCs w:val="14"/>
                <w:color w:val="auto"/>
              </w:rPr>
            </w:pPr>
          </w:p>
        </w:tc>
        <w:tc>
          <w:tcPr>
            <w:tcW w:w="10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shd w:val="clear" w:color="auto" w:fill="CFF0FC"/>
          </w:tcPr>
          <w:p>
            <w:pPr>
              <w:spacing w:after="0"/>
              <w:rPr>
                <w:sz w:val="14"/>
                <w:szCs w:val="14"/>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restart"/>
            <w:shd w:val="clear" w:color="auto" w:fill="CFF0FC"/>
          </w:tcPr>
          <w:p>
            <w:pPr>
              <w:spacing w:after="0"/>
              <w:rPr>
                <w:sz w:val="14"/>
                <w:szCs w:val="14"/>
                <w:color w:val="auto"/>
              </w:rPr>
            </w:pPr>
          </w:p>
        </w:tc>
        <w:tc>
          <w:tcPr>
            <w:tcW w:w="14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(693 )</w:t>
            </w:r>
          </w:p>
        </w:tc>
        <w:tc>
          <w:tcPr>
            <w:tcW w:w="30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106,348</w:t>
            </w:r>
          </w:p>
        </w:tc>
        <w:tc>
          <w:tcPr>
            <w:tcW w:w="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92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8"/>
                <w:szCs w:val="18"/>
                <w:color w:val="auto"/>
              </w:rPr>
              <w:t>for sale securities</w:t>
            </w:r>
          </w:p>
        </w:tc>
        <w:tc>
          <w:tcPr>
            <w:tcW w:w="36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tcBorders>
              <w:right w:val="single" w:sz="8" w:color="CFF0FC"/>
            </w:tcBorders>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vMerge w:val="continue"/>
            <w:shd w:val="clear" w:color="auto" w:fill="CFF0FC"/>
          </w:tcPr>
          <w:p>
            <w:pPr>
              <w:spacing w:after="0"/>
              <w:rPr>
                <w:sz w:val="18"/>
                <w:szCs w:val="18"/>
                <w:color w:val="auto"/>
              </w:rPr>
            </w:pPr>
          </w:p>
        </w:tc>
        <w:tc>
          <w:tcPr>
            <w:tcW w:w="200" w:type="dxa"/>
            <w:vAlign w:val="bottom"/>
            <w:vMerge w:val="continue"/>
            <w:shd w:val="clear" w:color="auto" w:fill="CFF0FC"/>
          </w:tcPr>
          <w:p>
            <w:pPr>
              <w:spacing w:after="0"/>
              <w:rPr>
                <w:sz w:val="18"/>
                <w:szCs w:val="18"/>
                <w:color w:val="auto"/>
              </w:rPr>
            </w:pPr>
          </w:p>
        </w:tc>
        <w:tc>
          <w:tcPr>
            <w:tcW w:w="140" w:type="dxa"/>
            <w:vAlign w:val="bottom"/>
            <w:tcBorders>
              <w:right w:val="single" w:sz="8" w:color="CFF0FC"/>
            </w:tcBorders>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gridSpan w:val="2"/>
            <w:vMerge w:val="continue"/>
            <w:shd w:val="clear" w:color="auto" w:fill="CFF0FC"/>
          </w:tcPr>
          <w:p>
            <w:pPr>
              <w:spacing w:after="0"/>
              <w:rPr>
                <w:sz w:val="18"/>
                <w:szCs w:val="18"/>
                <w:color w:val="auto"/>
              </w:rPr>
            </w:pPr>
          </w:p>
        </w:tc>
        <w:tc>
          <w:tcPr>
            <w:tcW w:w="300" w:type="dxa"/>
            <w:vAlign w:val="bottom"/>
            <w:gridSpan w:val="3"/>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vMerge w:val="continue"/>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2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7"/>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right"/>
              <w:ind w:right="112"/>
              <w:spacing w:after="0" w:line="160" w:lineRule="exact"/>
              <w:rPr>
                <w:sz w:val="20"/>
                <w:szCs w:val="20"/>
                <w:color w:val="auto"/>
              </w:rPr>
            </w:pPr>
            <w:r>
              <w:rPr>
                <w:rFonts w:ascii="Times New Roman" w:cs="Times New Roman" w:eastAsia="Times New Roman" w:hAnsi="Times New Roman"/>
                <w:sz w:val="18"/>
                <w:szCs w:val="18"/>
                <w:b w:val="1"/>
                <w:bCs w:val="1"/>
                <w:color w:val="auto"/>
              </w:rPr>
              <w:t>Gross</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gridSpan w:val="7"/>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gridSpan w:val="7"/>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Gains</w:t>
            </w: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3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right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38,067</w:t>
            </w:r>
          </w:p>
        </w:tc>
        <w:tc>
          <w:tcPr>
            <w:tcW w:w="14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89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right w:val="single" w:sz="8" w:color="CFF0FC"/>
            </w:tcBorders>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38,067</w:t>
            </w:r>
          </w:p>
        </w:tc>
        <w:tc>
          <w:tcPr>
            <w:tcW w:w="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cash equivalents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38,067</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right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33,973</w:t>
            </w:r>
          </w:p>
        </w:tc>
        <w:tc>
          <w:tcPr>
            <w:tcW w:w="140" w:type="dxa"/>
            <w:vAlign w:val="bottom"/>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right w:val="single" w:sz="8" w:color="CFF0FC"/>
            </w:tcBorders>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33,973</w:t>
            </w:r>
          </w:p>
        </w:tc>
        <w:tc>
          <w:tcPr>
            <w:tcW w:w="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tcBorders>
              <w:right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6,285</w:t>
            </w: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40" w:type="dxa"/>
            <w:vAlign w:val="bottom"/>
            <w:tcBorders>
              <w:right w:val="single" w:sz="8" w:color="CFF0FC"/>
            </w:tcBorders>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gridSpan w:val="5"/>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6,262</w:t>
            </w:r>
          </w:p>
        </w:tc>
        <w:tc>
          <w:tcPr>
            <w:tcW w:w="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tcBorders>
              <w:right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5,999</w:t>
            </w: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40" w:type="dxa"/>
            <w:vAlign w:val="bottom"/>
            <w:tcBorders>
              <w:right w:val="single" w:sz="8" w:color="CFF0FC"/>
            </w:tcBorders>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gridSpan w:val="5"/>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5,986</w:t>
            </w:r>
          </w:p>
        </w:tc>
        <w:tc>
          <w:tcPr>
            <w:tcW w:w="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2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Borders>
              <w:right w:val="single" w:sz="8" w:color="CFF0FC"/>
            </w:tcBorders>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Borders>
              <w:right w:val="single" w:sz="8" w:color="CFF0FC"/>
            </w:tcBorders>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46,257</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right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8,470</w:t>
            </w:r>
          </w:p>
        </w:tc>
        <w:tc>
          <w:tcPr>
            <w:tcW w:w="140" w:type="dxa"/>
            <w:vAlign w:val="bottom"/>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right w:val="single" w:sz="8" w:color="CFF0FC"/>
            </w:tcBorders>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8,436</w:t>
            </w:r>
          </w:p>
        </w:tc>
        <w:tc>
          <w:tcPr>
            <w:tcW w:w="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24,137</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long-term investments</w:t>
            </w:r>
          </w:p>
        </w:tc>
        <w:tc>
          <w:tcPr>
            <w:tcW w:w="3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right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32,607</w:t>
            </w:r>
          </w:p>
        </w:tc>
        <w:tc>
          <w:tcPr>
            <w:tcW w:w="14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spacing w:after="0"/>
              <w:rPr>
                <w:sz w:val="18"/>
                <w:szCs w:val="18"/>
                <w:color w:val="auto"/>
              </w:rPr>
            </w:pPr>
          </w:p>
        </w:tc>
        <w:tc>
          <w:tcPr>
            <w:tcW w:w="340" w:type="dxa"/>
            <w:vAlign w:val="bottom"/>
            <w:tcBorders>
              <w:top w:val="single" w:sz="8" w:color="auto"/>
              <w:bottom w:val="single" w:sz="8" w:color="auto"/>
              <w:right w:val="single" w:sz="8" w:color="CFF0FC"/>
            </w:tcBorders>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180" w:type="dxa"/>
            <w:vAlign w:val="bottom"/>
            <w:tcBorders>
              <w:top w:val="single" w:sz="8" w:color="auto"/>
              <w:bottom w:val="single" w:sz="8" w:color="auto"/>
            </w:tcBorders>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32,459</w:t>
            </w:r>
          </w:p>
        </w:tc>
        <w:tc>
          <w:tcPr>
            <w:tcW w:w="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3280" w:type="dxa"/>
            <w:vAlign w:val="bottom"/>
            <w:gridSpan w:val="2"/>
            <w:shd w:val="clear" w:color="auto" w:fill="CFF0FC"/>
          </w:tcPr>
          <w:p>
            <w:pPr>
              <w:spacing w:after="0" w:line="164" w:lineRule="exact"/>
              <w:rPr>
                <w:sz w:val="20"/>
                <w:szCs w:val="20"/>
                <w:color w:val="auto"/>
              </w:rPr>
            </w:pPr>
            <w:r>
              <w:rPr>
                <w:rFonts w:ascii="Times New Roman" w:cs="Times New Roman" w:eastAsia="Times New Roman" w:hAnsi="Times New Roman"/>
                <w:sz w:val="18"/>
                <w:szCs w:val="18"/>
                <w:color w:val="auto"/>
              </w:rPr>
              <w:t>Total cash equivalents and available for sale</w:t>
            </w:r>
          </w:p>
        </w:tc>
        <w:tc>
          <w:tcPr>
            <w:tcW w:w="2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CFF0FC"/>
            </w:tcBorders>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116,931</w:t>
            </w:r>
          </w:p>
        </w:tc>
        <w:tc>
          <w:tcPr>
            <w:tcW w:w="140" w:type="dxa"/>
            <w:vAlign w:val="bottom"/>
            <w:shd w:val="clear" w:color="auto" w:fill="CFF0FC"/>
          </w:tcPr>
          <w:p>
            <w:pPr>
              <w:spacing w:after="0"/>
              <w:rPr>
                <w:sz w:val="14"/>
                <w:szCs w:val="14"/>
                <w:color w:val="auto"/>
              </w:rPr>
            </w:pPr>
          </w:p>
        </w:tc>
        <w:tc>
          <w:tcPr>
            <w:tcW w:w="1080" w:type="dxa"/>
            <w:vAlign w:val="bottom"/>
            <w:vMerge w:val="restart"/>
            <w:shd w:val="clear" w:color="auto" w:fill="CFF0FC"/>
          </w:tcPr>
          <w:p>
            <w:pPr>
              <w:jc w:val="right"/>
              <w:ind w:right="89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right w:val="single" w:sz="8" w:color="CFF0FC"/>
            </w:tcBorders>
            <w:gridSpan w:val="2"/>
            <w:vMerge w:val="restart"/>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4"/>
                <w:szCs w:val="14"/>
                <w:color w:val="auto"/>
              </w:rPr>
            </w:pPr>
          </w:p>
        </w:tc>
        <w:tc>
          <w:tcPr>
            <w:tcW w:w="18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5"/>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(184 )</w:t>
            </w:r>
          </w:p>
        </w:tc>
        <w:tc>
          <w:tcPr>
            <w:tcW w:w="80" w:type="dxa"/>
            <w:vAlign w:val="bottom"/>
            <w:shd w:val="clear" w:color="auto" w:fill="CFF0FC"/>
          </w:tcPr>
          <w:p>
            <w:pPr>
              <w:spacing w:after="0"/>
              <w:rPr>
                <w:sz w:val="14"/>
                <w:szCs w:val="14"/>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116,747</w:t>
            </w:r>
          </w:p>
        </w:tc>
        <w:tc>
          <w:tcPr>
            <w:tcW w:w="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92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8"/>
                <w:szCs w:val="18"/>
                <w:color w:val="auto"/>
              </w:rPr>
              <w:t>securities</w:t>
            </w:r>
          </w:p>
        </w:tc>
        <w:tc>
          <w:tcPr>
            <w:tcW w:w="360" w:type="dxa"/>
            <w:vAlign w:val="bottom"/>
            <w:shd w:val="clear" w:color="auto" w:fill="CFF0FC"/>
          </w:tcPr>
          <w:p>
            <w:pPr>
              <w:spacing w:after="0"/>
              <w:rPr>
                <w:sz w:val="18"/>
                <w:szCs w:val="18"/>
                <w:color w:val="auto"/>
              </w:rPr>
            </w:pPr>
          </w:p>
        </w:tc>
        <w:tc>
          <w:tcPr>
            <w:tcW w:w="220" w:type="dxa"/>
            <w:vAlign w:val="bottom"/>
            <w:gridSpan w:val="2"/>
            <w:vMerge w:val="continue"/>
            <w:shd w:val="clear" w:color="auto" w:fill="CFF0FC"/>
          </w:tcPr>
          <w:p>
            <w:pPr>
              <w:spacing w:after="0"/>
              <w:rPr>
                <w:sz w:val="18"/>
                <w:szCs w:val="18"/>
                <w:color w:val="auto"/>
              </w:rPr>
            </w:pPr>
          </w:p>
        </w:tc>
        <w:tc>
          <w:tcPr>
            <w:tcW w:w="1060" w:type="dxa"/>
            <w:vAlign w:val="bottom"/>
            <w:tcBorders>
              <w:right w:val="single" w:sz="8" w:color="CFF0FC"/>
            </w:tcBorders>
            <w:gridSpan w:val="3"/>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vMerge w:val="continue"/>
            <w:shd w:val="clear" w:color="auto" w:fill="CFF0FC"/>
          </w:tcPr>
          <w:p>
            <w:pPr>
              <w:spacing w:after="0"/>
              <w:rPr>
                <w:sz w:val="18"/>
                <w:szCs w:val="18"/>
                <w:color w:val="auto"/>
              </w:rPr>
            </w:pPr>
          </w:p>
        </w:tc>
        <w:tc>
          <w:tcPr>
            <w:tcW w:w="340" w:type="dxa"/>
            <w:vAlign w:val="bottom"/>
            <w:tcBorders>
              <w:right w:val="single" w:sz="8" w:color="CFF0FC"/>
            </w:tcBorders>
            <w:gridSpan w:val="2"/>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vMerge w:val="continue"/>
            <w:shd w:val="clear" w:color="auto" w:fill="CFF0FC"/>
          </w:tcPr>
          <w:p>
            <w:pPr>
              <w:spacing w:after="0"/>
              <w:rPr>
                <w:sz w:val="18"/>
                <w:szCs w:val="18"/>
                <w:color w:val="auto"/>
              </w:rPr>
            </w:pPr>
          </w:p>
        </w:tc>
        <w:tc>
          <w:tcPr>
            <w:tcW w:w="1280" w:type="dxa"/>
            <w:vAlign w:val="bottom"/>
            <w:gridSpan w:val="5"/>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vMerge w:val="continue"/>
            <w:shd w:val="clear" w:color="auto" w:fill="CFF0FC"/>
          </w:tcPr>
          <w:p>
            <w:pPr>
              <w:spacing w:after="0"/>
              <w:rPr>
                <w:sz w:val="18"/>
                <w:szCs w:val="18"/>
                <w:color w:val="auto"/>
              </w:rPr>
            </w:pPr>
          </w:p>
        </w:tc>
        <w:tc>
          <w:tcPr>
            <w:tcW w:w="960" w:type="dxa"/>
            <w:vAlign w:val="bottom"/>
            <w:vMerge w:val="continue"/>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-3900170</wp:posOffset>
            </wp:positionV>
            <wp:extent cx="431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-3900170</wp:posOffset>
            </wp:positionV>
            <wp:extent cx="431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-3900170</wp:posOffset>
            </wp:positionV>
            <wp:extent cx="6032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-3900170</wp:posOffset>
            </wp:positionV>
            <wp:extent cx="3429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-3222625</wp:posOffset>
            </wp:positionV>
            <wp:extent cx="431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-3222625</wp:posOffset>
            </wp:positionV>
            <wp:extent cx="431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-3222625</wp:posOffset>
            </wp:positionV>
            <wp:extent cx="603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-3222625</wp:posOffset>
            </wp:positionV>
            <wp:extent cx="3429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-2820035</wp:posOffset>
            </wp:positionV>
            <wp:extent cx="431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-2820035</wp:posOffset>
            </wp:positionV>
            <wp:extent cx="431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-2820035</wp:posOffset>
            </wp:positionV>
            <wp:extent cx="6032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-2820035</wp:posOffset>
            </wp:positionV>
            <wp:extent cx="3429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-2322195</wp:posOffset>
            </wp:positionV>
            <wp:extent cx="431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-2305685</wp:posOffset>
            </wp:positionV>
            <wp:extent cx="431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-2322195</wp:posOffset>
            </wp:positionV>
            <wp:extent cx="431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-2305685</wp:posOffset>
            </wp:positionV>
            <wp:extent cx="431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-2322195</wp:posOffset>
            </wp:positionV>
            <wp:extent cx="603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-2305685</wp:posOffset>
            </wp:positionV>
            <wp:extent cx="6032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-2322195</wp:posOffset>
            </wp:positionV>
            <wp:extent cx="3429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-2305685</wp:posOffset>
            </wp:positionV>
            <wp:extent cx="3429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-1405255</wp:posOffset>
            </wp:positionV>
            <wp:extent cx="431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-1405255</wp:posOffset>
            </wp:positionV>
            <wp:extent cx="431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-1405255</wp:posOffset>
            </wp:positionV>
            <wp:extent cx="603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-1405255</wp:posOffset>
            </wp:positionV>
            <wp:extent cx="3429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-839470</wp:posOffset>
            </wp:positionV>
            <wp:extent cx="431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-839470</wp:posOffset>
            </wp:positionV>
            <wp:extent cx="431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-839470</wp:posOffset>
            </wp:positionV>
            <wp:extent cx="603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-839470</wp:posOffset>
            </wp:positionV>
            <wp:extent cx="342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-265430</wp:posOffset>
            </wp:positionV>
            <wp:extent cx="431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-265430</wp:posOffset>
            </wp:positionV>
            <wp:extent cx="431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-265430</wp:posOffset>
            </wp:positionV>
            <wp:extent cx="6032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-265430</wp:posOffset>
            </wp:positionV>
            <wp:extent cx="3429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-24765</wp:posOffset>
            </wp:positionV>
            <wp:extent cx="431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-8255</wp:posOffset>
            </wp:positionV>
            <wp:extent cx="431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-24765</wp:posOffset>
            </wp:positionV>
            <wp:extent cx="431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-8255</wp:posOffset>
            </wp:positionV>
            <wp:extent cx="431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-24765</wp:posOffset>
            </wp:positionV>
            <wp:extent cx="603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-8255</wp:posOffset>
            </wp:positionV>
            <wp:extent cx="6032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-24765</wp:posOffset>
            </wp:positionV>
            <wp:extent cx="3429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-8255</wp:posOffset>
            </wp:positionV>
            <wp:extent cx="3429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3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31, 2022, the weighted-average remaining contractual maturities of available for sale securities was approximately eight months.</w:t>
      </w:r>
    </w:p>
    <w:p>
      <w:pPr>
        <w:spacing w:after="0" w:line="104"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There have been no realized gains or losses on available for sale securities for the periods presented. No available for sale securities held as of March 31, 2022 have been in a continuous unrealized loss position for more than 12 months, and unrealized gains and losses are included in “accumulated other comprehensive loss” within stockholders' equity on the condensed balance sheets. As of March 31, 2022, unrealized losses on available for sale securities are not attributed to credit risk and are considered temporary. The Company believes that it is more-likely-than-not that investments in an unrealized loss position will be held until maturity or the cost basis of the investment will be recovered. The Company believes it has no other-than-temporary impairments on its securities as it does not intend to sell these securities and does not believe it is more likely than not that it will be required to sell these securities before the recovery of their amortized cost basis. To date, the Company has not recorded any impairment charges on securities related to other-than-temporary declines in fair value. The Company’s cash equivalents and short-term investments are due within one year.</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measures and reports certain financial instruments as assets at fair value.</w:t>
      </w:r>
    </w:p>
    <w:p>
      <w:pPr>
        <w:spacing w:after="0" w:line="2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or an exit price, in the principal or most advantageous market for that asset or liability in an orderly transaction between market participants on the measurement date. Fair value measurement establishes a fair value hierarchy that requires an entity to maximize the use of observable inputs, where available, and minimize the use of unobservable inputs when measuring fair value.</w:t>
      </w:r>
    </w:p>
    <w:p>
      <w:pPr>
        <w:spacing w:after="0" w:line="6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Company determined the fair value of financial assets and liabilities using the fair value hierarchy that describes three levels of inputs that may be used to measure fair value, as follows: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1—Quoted prices in active markets for identical assets and liabilities;</w:t>
      </w:r>
    </w:p>
    <w:p>
      <w:pPr>
        <w:spacing w:after="0" w:line="104" w:lineRule="exact"/>
        <w:rPr>
          <w:sz w:val="20"/>
          <w:szCs w:val="20"/>
          <w:color w:val="auto"/>
        </w:rPr>
      </w:pPr>
    </w:p>
    <w:p>
      <w:pPr>
        <w:ind w:left="520" w:right="160"/>
        <w:spacing w:after="0" w:line="258" w:lineRule="auto"/>
        <w:rPr>
          <w:sz w:val="20"/>
          <w:szCs w:val="20"/>
          <w:color w:val="auto"/>
        </w:rPr>
      </w:pPr>
      <w:r>
        <w:rPr>
          <w:rFonts w:ascii="Times New Roman" w:cs="Times New Roman" w:eastAsia="Times New Roman" w:hAnsi="Times New Roman"/>
          <w:sz w:val="18"/>
          <w:szCs w:val="18"/>
          <w:color w:val="auto"/>
        </w:rPr>
        <w:t>Level 2—Inputs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w:t>
      </w:r>
    </w:p>
    <w:p>
      <w:pPr>
        <w:spacing w:after="0" w:line="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the fair value of the assets or liabilities.</w:t>
      </w:r>
    </w:p>
    <w:p>
      <w:pPr>
        <w:spacing w:after="0" w:line="104" w:lineRule="exact"/>
        <w:rPr>
          <w:sz w:val="20"/>
          <w:szCs w:val="20"/>
          <w:color w:val="auto"/>
        </w:rPr>
      </w:pPr>
    </w:p>
    <w:p>
      <w:pPr>
        <w:ind w:right="700" w:firstLine="509"/>
        <w:spacing w:after="0" w:line="297" w:lineRule="auto"/>
        <w:rPr>
          <w:sz w:val="20"/>
          <w:szCs w:val="20"/>
          <w:color w:val="auto"/>
        </w:rPr>
      </w:pPr>
      <w:r>
        <w:rPr>
          <w:rFonts w:ascii="Times New Roman" w:cs="Times New Roman" w:eastAsia="Times New Roman" w:hAnsi="Times New Roman"/>
          <w:sz w:val="18"/>
          <w:szCs w:val="18"/>
          <w:color w:val="auto"/>
        </w:rPr>
        <w:t>The carrying value of cash and cash equivalents, prepaid expenses, accounts payable, and accrued expenses are generally considered to be representative of their respective fair values because of the short-term nature of those instruments.</w:t>
      </w:r>
    </w:p>
    <w:p>
      <w:pPr>
        <w:spacing w:after="0" w:line="55"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Company's financial assets measured at fair value on a recurring basis by level within the fair value hierarchy (in thousands):</w:t>
      </w:r>
    </w:p>
    <w:p>
      <w:pPr>
        <w:spacing w:after="0" w:line="318" w:lineRule="exact"/>
        <w:rPr>
          <w:sz w:val="20"/>
          <w:szCs w:val="20"/>
          <w:color w:val="auto"/>
        </w:rPr>
      </w:pPr>
    </w:p>
    <w:tbl>
      <w:tblPr>
        <w:tblLayout w:type="fixed"/>
        <w:tblInd w:w="1080" w:type="dxa"/>
        <w:tblCellMar>
          <w:top w:w="0" w:type="dxa"/>
          <w:left w:w="0" w:type="dxa"/>
          <w:bottom w:w="0" w:type="dxa"/>
          <w:right w:w="0" w:type="dxa"/>
        </w:tblCellMar>
      </w:tblPr>
      <w:tr>
        <w:trPr>
          <w:trHeight w:val="187"/>
        </w:trPr>
        <w:tc>
          <w:tcPr>
            <w:tcW w:w="34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gridSpan w:val="3"/>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20,742</w:t>
            </w:r>
          </w:p>
        </w:tc>
        <w:tc>
          <w:tcPr>
            <w:tcW w:w="20" w:type="dxa"/>
            <w:vAlign w:val="bottom"/>
            <w:tcBorders>
              <w:top w:val="single" w:sz="8" w:color="auto"/>
              <w:bottom w:val="single" w:sz="8" w:color="auto"/>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20,742</w:t>
            </w: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cash equivalents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3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30,488</w:t>
            </w:r>
          </w:p>
        </w:tc>
        <w:tc>
          <w:tcPr>
            <w:tcW w:w="2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30,488</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22,988</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22,988</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2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3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68,005</w:t>
            </w: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37,517</w:t>
            </w:r>
          </w:p>
        </w:tc>
        <w:tc>
          <w:tcPr>
            <w:tcW w:w="180" w:type="dxa"/>
            <w:vAlign w:val="bottom"/>
            <w:tcBorders>
              <w:top w:val="single" w:sz="8" w:color="CFF0FC"/>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30,488</w:t>
            </w:r>
          </w:p>
        </w:tc>
        <w:tc>
          <w:tcPr>
            <w:tcW w:w="120" w:type="dxa"/>
            <w:vAlign w:val="bottom"/>
            <w:tcBorders>
              <w:top w:val="single" w:sz="8" w:color="CFF0FC"/>
            </w:tcBorders>
          </w:tcPr>
          <w:p>
            <w:pPr>
              <w:spacing w:after="0"/>
              <w:rPr>
                <w:sz w:val="18"/>
                <w:szCs w:val="18"/>
                <w:color w:val="auto"/>
              </w:rPr>
            </w:pPr>
          </w:p>
        </w:tc>
        <w:tc>
          <w:tcPr>
            <w:tcW w:w="60" w:type="dxa"/>
            <w:vAlign w:val="bottom"/>
            <w:tcBorders>
              <w:top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38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17,601</w:t>
            </w:r>
          </w:p>
        </w:tc>
        <w:tc>
          <w:tcPr>
            <w:tcW w:w="2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17,601</w:t>
            </w:r>
          </w:p>
        </w:tc>
        <w:tc>
          <w:tcPr>
            <w:tcW w:w="1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long-term investments</w:t>
            </w:r>
          </w:p>
        </w:tc>
        <w:tc>
          <w:tcPr>
            <w:tcW w:w="3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17,601</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17,601</w:t>
            </w: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3420" w:type="dxa"/>
            <w:vAlign w:val="bottom"/>
            <w:shd w:val="clear" w:color="auto" w:fill="CFF0FC"/>
          </w:tcPr>
          <w:p>
            <w:pPr>
              <w:ind w:left="20"/>
              <w:spacing w:after="0" w:line="164" w:lineRule="exact"/>
              <w:rPr>
                <w:sz w:val="20"/>
                <w:szCs w:val="20"/>
                <w:color w:val="auto"/>
              </w:rPr>
            </w:pPr>
            <w:r>
              <w:rPr>
                <w:rFonts w:ascii="Times New Roman" w:cs="Times New Roman" w:eastAsia="Times New Roman" w:hAnsi="Times New Roman"/>
                <w:sz w:val="18"/>
                <w:szCs w:val="18"/>
                <w:color w:val="auto"/>
              </w:rPr>
              <w:t>Total cash equivalents, short-term</w:t>
            </w:r>
          </w:p>
        </w:tc>
        <w:tc>
          <w:tcPr>
            <w:tcW w:w="380" w:type="dxa"/>
            <w:vAlign w:val="bottom"/>
            <w:vMerge w:val="restart"/>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106,348</w:t>
            </w:r>
          </w:p>
        </w:tc>
        <w:tc>
          <w:tcPr>
            <w:tcW w:w="20" w:type="dxa"/>
            <w:vAlign w:val="bottom"/>
            <w:vMerge w:val="restart"/>
            <w:shd w:val="clear" w:color="auto" w:fill="CFF0FC"/>
          </w:tcPr>
          <w:p>
            <w:pPr>
              <w:spacing w:after="0"/>
              <w:rPr>
                <w:sz w:val="14"/>
                <w:szCs w:val="14"/>
                <w:color w:val="auto"/>
              </w:rPr>
            </w:pPr>
          </w:p>
        </w:tc>
        <w:tc>
          <w:tcPr>
            <w:tcW w:w="180" w:type="dxa"/>
            <w:vAlign w:val="bottom"/>
            <w:vMerge w:val="restart"/>
            <w:shd w:val="clear" w:color="auto" w:fill="CFF0FC"/>
          </w:tcPr>
          <w:p>
            <w:pPr>
              <w:spacing w:after="0"/>
              <w:rPr>
                <w:sz w:val="14"/>
                <w:szCs w:val="14"/>
                <w:color w:val="auto"/>
              </w:rPr>
            </w:pPr>
          </w:p>
        </w:tc>
        <w:tc>
          <w:tcPr>
            <w:tcW w:w="22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75,860</w:t>
            </w:r>
          </w:p>
        </w:tc>
        <w:tc>
          <w:tcPr>
            <w:tcW w:w="180" w:type="dxa"/>
            <w:vAlign w:val="bottom"/>
            <w:vMerge w:val="restart"/>
            <w:shd w:val="clear" w:color="auto" w:fill="CFF0FC"/>
          </w:tcPr>
          <w:p>
            <w:pPr>
              <w:spacing w:after="0"/>
              <w:rPr>
                <w:sz w:val="14"/>
                <w:szCs w:val="14"/>
                <w:color w:val="auto"/>
              </w:rPr>
            </w:pPr>
          </w:p>
        </w:tc>
        <w:tc>
          <w:tcPr>
            <w:tcW w:w="24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FF0FC"/>
          </w:tcPr>
          <w:p>
            <w:pPr>
              <w:spacing w:after="0"/>
              <w:rPr>
                <w:sz w:val="14"/>
                <w:szCs w:val="14"/>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30,488</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shd w:val="clear" w:color="auto" w:fill="CFF0FC"/>
          </w:tcPr>
          <w:p>
            <w:pPr>
              <w:spacing w:after="0"/>
              <w:rPr>
                <w:sz w:val="14"/>
                <w:szCs w:val="14"/>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420" w:type="dxa"/>
            <w:vAlign w:val="bottom"/>
            <w:tcBorders>
              <w:bottom w:val="single" w:sz="8" w:color="CFF0FC"/>
            </w:tcBorders>
            <w:shd w:val="clear" w:color="auto" w:fill="CFF0FC"/>
          </w:tcPr>
          <w:p>
            <w:pPr>
              <w:ind w:left="20"/>
              <w:spacing w:after="0" w:line="194" w:lineRule="exact"/>
              <w:rPr>
                <w:sz w:val="20"/>
                <w:szCs w:val="20"/>
                <w:color w:val="auto"/>
              </w:rPr>
            </w:pPr>
            <w:r>
              <w:rPr>
                <w:rFonts w:ascii="Times New Roman" w:cs="Times New Roman" w:eastAsia="Times New Roman" w:hAnsi="Times New Roman"/>
                <w:sz w:val="18"/>
                <w:szCs w:val="18"/>
                <w:color w:val="auto"/>
              </w:rPr>
              <w:t>investments and long-term investments</w:t>
            </w:r>
          </w:p>
        </w:tc>
        <w:tc>
          <w:tcPr>
            <w:tcW w:w="380" w:type="dxa"/>
            <w:vAlign w:val="bottom"/>
            <w:tcBorders>
              <w:bottom w:val="single" w:sz="8" w:color="auto"/>
            </w:tcBorders>
            <w:vMerge w:val="continue"/>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vMerge w:val="continue"/>
            <w:shd w:val="clear" w:color="auto" w:fill="CFF0FC"/>
          </w:tcPr>
          <w:p>
            <w:pPr>
              <w:spacing w:after="0"/>
              <w:rPr>
                <w:sz w:val="20"/>
                <w:szCs w:val="20"/>
                <w:color w:val="auto"/>
              </w:rPr>
            </w:pPr>
          </w:p>
        </w:tc>
        <w:tc>
          <w:tcPr>
            <w:tcW w:w="20" w:type="dxa"/>
            <w:vAlign w:val="bottom"/>
            <w:tcBorders>
              <w:bottom w:val="single" w:sz="8" w:color="auto"/>
            </w:tcBorders>
            <w:vMerge w:val="continue"/>
            <w:shd w:val="clear" w:color="auto" w:fill="CFF0FC"/>
          </w:tcPr>
          <w:p>
            <w:pPr>
              <w:spacing w:after="0"/>
              <w:rPr>
                <w:sz w:val="20"/>
                <w:szCs w:val="20"/>
                <w:color w:val="auto"/>
              </w:rPr>
            </w:pPr>
          </w:p>
        </w:tc>
        <w:tc>
          <w:tcPr>
            <w:tcW w:w="180" w:type="dxa"/>
            <w:vAlign w:val="bottom"/>
            <w:tcBorders>
              <w:bottom w:val="single" w:sz="8" w:color="CFF0FC"/>
            </w:tcBorders>
            <w:vMerge w:val="continue"/>
            <w:shd w:val="clear" w:color="auto" w:fill="CFF0FC"/>
          </w:tcPr>
          <w:p>
            <w:pPr>
              <w:spacing w:after="0"/>
              <w:rPr>
                <w:sz w:val="20"/>
                <w:szCs w:val="20"/>
                <w:color w:val="auto"/>
              </w:rPr>
            </w:pPr>
          </w:p>
        </w:tc>
        <w:tc>
          <w:tcPr>
            <w:tcW w:w="220" w:type="dxa"/>
            <w:vAlign w:val="bottom"/>
            <w:tcBorders>
              <w:bottom w:val="single" w:sz="8" w:color="auto"/>
            </w:tcBorders>
            <w:vMerge w:val="continue"/>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vMerge w:val="continue"/>
            <w:shd w:val="clear" w:color="auto" w:fill="CFF0FC"/>
          </w:tcPr>
          <w:p>
            <w:pPr>
              <w:spacing w:after="0"/>
              <w:rPr>
                <w:sz w:val="20"/>
                <w:szCs w:val="20"/>
                <w:color w:val="auto"/>
              </w:rPr>
            </w:pPr>
          </w:p>
        </w:tc>
        <w:tc>
          <w:tcPr>
            <w:tcW w:w="180" w:type="dxa"/>
            <w:vAlign w:val="bottom"/>
            <w:tcBorders>
              <w:bottom w:val="single" w:sz="8" w:color="CFF0FC"/>
            </w:tcBorders>
            <w:vMerge w:val="continue"/>
            <w:shd w:val="clear" w:color="auto" w:fill="CFF0FC"/>
          </w:tcPr>
          <w:p>
            <w:pPr>
              <w:spacing w:after="0"/>
              <w:rPr>
                <w:sz w:val="20"/>
                <w:szCs w:val="20"/>
                <w:color w:val="auto"/>
              </w:rPr>
            </w:pPr>
          </w:p>
        </w:tc>
        <w:tc>
          <w:tcPr>
            <w:tcW w:w="240" w:type="dxa"/>
            <w:vAlign w:val="bottom"/>
            <w:tcBorders>
              <w:bottom w:val="single" w:sz="8" w:color="auto"/>
            </w:tcBorders>
            <w:gridSpan w:val="2"/>
            <w:vMerge w:val="continue"/>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vMerge w:val="continue"/>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vMerge w:val="continue"/>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8"/>
          </w:tcPr>
          <w:p>
            <w:pPr>
              <w:ind w:left="2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20" w:type="dxa"/>
            <w:vAlign w:val="bottom"/>
            <w:tcBorders>
              <w:bottom w:val="single" w:sz="8" w:color="CFF0FF"/>
            </w:tcBorders>
            <w:shd w:val="clear" w:color="auto" w:fill="CFF0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380" w:type="dxa"/>
            <w:vAlign w:val="bottom"/>
            <w:tcBorders>
              <w:bottom w:val="single" w:sz="8" w:color="CFF0FF"/>
            </w:tcBorders>
            <w:shd w:val="clear" w:color="auto" w:fill="CFF0FF"/>
          </w:tcPr>
          <w:p>
            <w:pPr>
              <w:spacing w:after="0"/>
              <w:rPr>
                <w:sz w:val="18"/>
                <w:szCs w:val="18"/>
                <w:color w:val="auto"/>
              </w:rPr>
            </w:pPr>
          </w:p>
        </w:tc>
        <w:tc>
          <w:tcPr>
            <w:tcW w:w="160" w:type="dxa"/>
            <w:vAlign w:val="bottom"/>
            <w:tcBorders>
              <w:bottom w:val="single" w:sz="8" w:color="CFF0FF"/>
            </w:tcBorders>
            <w:shd w:val="clear" w:color="auto" w:fill="CFF0FF"/>
          </w:tcPr>
          <w:p>
            <w:pPr>
              <w:spacing w:after="0"/>
              <w:rPr>
                <w:sz w:val="18"/>
                <w:szCs w:val="18"/>
                <w:color w:val="auto"/>
              </w:rPr>
            </w:pPr>
          </w:p>
        </w:tc>
        <w:tc>
          <w:tcPr>
            <w:tcW w:w="140" w:type="dxa"/>
            <w:vAlign w:val="bottom"/>
            <w:tcBorders>
              <w:top w:val="single" w:sz="8" w:color="auto"/>
              <w:bottom w:val="single" w:sz="8" w:color="auto"/>
            </w:tcBorders>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gridSpan w:val="4"/>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38,067</w:t>
            </w:r>
          </w:p>
        </w:tc>
        <w:tc>
          <w:tcPr>
            <w:tcW w:w="200" w:type="dxa"/>
            <w:vAlign w:val="bottom"/>
            <w:tcBorders>
              <w:bottom w:val="single" w:sz="8" w:color="CFF0FF"/>
            </w:tcBorders>
            <w:shd w:val="clear" w:color="auto" w:fill="CFF0FF"/>
          </w:tcPr>
          <w:p>
            <w:pPr>
              <w:spacing w:after="0"/>
              <w:rPr>
                <w:sz w:val="18"/>
                <w:szCs w:val="18"/>
                <w:color w:val="auto"/>
              </w:rPr>
            </w:pPr>
          </w:p>
        </w:tc>
        <w:tc>
          <w:tcPr>
            <w:tcW w:w="180" w:type="dxa"/>
            <w:vAlign w:val="bottom"/>
            <w:tcBorders>
              <w:top w:val="single" w:sz="8" w:color="auto"/>
              <w:bottom w:val="single" w:sz="8" w:color="auto"/>
            </w:tcBorders>
            <w:shd w:val="clear" w:color="auto" w:fill="CFF0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gridSpan w:val="3"/>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38,067</w:t>
            </w:r>
          </w:p>
        </w:tc>
        <w:tc>
          <w:tcPr>
            <w:tcW w:w="160" w:type="dxa"/>
            <w:vAlign w:val="bottom"/>
            <w:tcBorders>
              <w:bottom w:val="single" w:sz="8" w:color="CFF0FF"/>
            </w:tcBorders>
            <w:shd w:val="clear" w:color="auto" w:fill="CFF0FF"/>
          </w:tcPr>
          <w:p>
            <w:pPr>
              <w:spacing w:after="0"/>
              <w:rPr>
                <w:sz w:val="18"/>
                <w:szCs w:val="18"/>
                <w:color w:val="auto"/>
              </w:rPr>
            </w:pPr>
          </w:p>
        </w:tc>
        <w:tc>
          <w:tcPr>
            <w:tcW w:w="140" w:type="dxa"/>
            <w:vAlign w:val="bottom"/>
            <w:tcBorders>
              <w:top w:val="single" w:sz="8" w:color="auto"/>
              <w:bottom w:val="single" w:sz="8" w:color="auto"/>
            </w:tcBorders>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gridSpan w:val="2"/>
            <w:shd w:val="clear" w:color="auto" w:fill="CFF0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FF0FF"/>
            </w:tcBorders>
            <w:shd w:val="clear" w:color="auto" w:fill="CFF0FF"/>
          </w:tcPr>
          <w:p>
            <w:pPr>
              <w:spacing w:after="0"/>
              <w:rPr>
                <w:sz w:val="18"/>
                <w:szCs w:val="18"/>
                <w:color w:val="auto"/>
              </w:rPr>
            </w:pPr>
          </w:p>
        </w:tc>
        <w:tc>
          <w:tcPr>
            <w:tcW w:w="100" w:type="dxa"/>
            <w:vAlign w:val="bottom"/>
            <w:tcBorders>
              <w:bottom w:val="single" w:sz="8" w:color="CFF0FF"/>
            </w:tcBorders>
            <w:shd w:val="clear" w:color="auto" w:fill="CFF0FF"/>
          </w:tcPr>
          <w:p>
            <w:pPr>
              <w:spacing w:after="0"/>
              <w:rPr>
                <w:sz w:val="18"/>
                <w:szCs w:val="18"/>
                <w:color w:val="auto"/>
              </w:rPr>
            </w:pPr>
          </w:p>
        </w:tc>
        <w:tc>
          <w:tcPr>
            <w:tcW w:w="180" w:type="dxa"/>
            <w:vAlign w:val="bottom"/>
            <w:tcBorders>
              <w:top w:val="single" w:sz="8" w:color="auto"/>
              <w:bottom w:val="single" w:sz="8" w:color="auto"/>
            </w:tcBorders>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FF0FF"/>
            </w:tcBorders>
            <w:shd w:val="clear" w:color="auto" w:fill="CFF0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cash equivalents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38,067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38,067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20" w:type="dxa"/>
            <w:vAlign w:val="bottom"/>
            <w:shd w:val="clear" w:color="auto" w:fill="CFF0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380" w:type="dxa"/>
            <w:vAlign w:val="bottom"/>
            <w:shd w:val="clear" w:color="auto" w:fill="CFF0FF"/>
          </w:tcPr>
          <w:p>
            <w:pPr>
              <w:spacing w:after="0"/>
              <w:rPr>
                <w:sz w:val="18"/>
                <w:szCs w:val="18"/>
                <w:color w:val="auto"/>
              </w:rPr>
            </w:pPr>
          </w:p>
        </w:tc>
        <w:tc>
          <w:tcPr>
            <w:tcW w:w="160" w:type="dxa"/>
            <w:vAlign w:val="bottom"/>
            <w:shd w:val="clear" w:color="auto" w:fill="CFF0FF"/>
          </w:tcPr>
          <w:p>
            <w:pPr>
              <w:spacing w:after="0"/>
              <w:rPr>
                <w:sz w:val="18"/>
                <w:szCs w:val="18"/>
                <w:color w:val="auto"/>
              </w:rPr>
            </w:pPr>
          </w:p>
        </w:tc>
        <w:tc>
          <w:tcPr>
            <w:tcW w:w="140" w:type="dxa"/>
            <w:vAlign w:val="bottom"/>
            <w:tcBorders>
              <w:top w:val="single" w:sz="8" w:color="auto"/>
            </w:tcBorders>
            <w:shd w:val="clear" w:color="auto" w:fill="CFF0FF"/>
          </w:tcPr>
          <w:p>
            <w:pPr>
              <w:spacing w:after="0"/>
              <w:rPr>
                <w:sz w:val="18"/>
                <w:szCs w:val="18"/>
                <w:color w:val="auto"/>
              </w:rPr>
            </w:pPr>
          </w:p>
        </w:tc>
        <w:tc>
          <w:tcPr>
            <w:tcW w:w="1060" w:type="dxa"/>
            <w:vAlign w:val="bottom"/>
            <w:tcBorders>
              <w:top w:val="single" w:sz="8" w:color="auto"/>
            </w:tcBorders>
            <w:gridSpan w:val="4"/>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33,973</w:t>
            </w:r>
          </w:p>
        </w:tc>
        <w:tc>
          <w:tcPr>
            <w:tcW w:w="200" w:type="dxa"/>
            <w:vAlign w:val="bottom"/>
            <w:shd w:val="clear" w:color="auto" w:fill="CFF0FF"/>
          </w:tcPr>
          <w:p>
            <w:pPr>
              <w:spacing w:after="0"/>
              <w:rPr>
                <w:sz w:val="18"/>
                <w:szCs w:val="18"/>
                <w:color w:val="auto"/>
              </w:rPr>
            </w:pPr>
          </w:p>
        </w:tc>
        <w:tc>
          <w:tcPr>
            <w:tcW w:w="180" w:type="dxa"/>
            <w:vAlign w:val="bottom"/>
            <w:tcBorders>
              <w:top w:val="single" w:sz="8" w:color="auto"/>
            </w:tcBorders>
            <w:shd w:val="clear" w:color="auto" w:fill="CFF0FF"/>
          </w:tcPr>
          <w:p>
            <w:pPr>
              <w:spacing w:after="0"/>
              <w:rPr>
                <w:sz w:val="18"/>
                <w:szCs w:val="18"/>
                <w:color w:val="auto"/>
              </w:rPr>
            </w:pPr>
          </w:p>
        </w:tc>
        <w:tc>
          <w:tcPr>
            <w:tcW w:w="700" w:type="dxa"/>
            <w:vAlign w:val="bottom"/>
            <w:tcBorders>
              <w:top w:val="single" w:sz="8" w:color="auto"/>
            </w:tcBorders>
            <w:shd w:val="clear" w:color="auto" w:fill="CFF0FF"/>
          </w:tcPr>
          <w:p>
            <w:pPr>
              <w:spacing w:after="0"/>
              <w:rPr>
                <w:sz w:val="18"/>
                <w:szCs w:val="18"/>
                <w:color w:val="auto"/>
              </w:rPr>
            </w:pPr>
          </w:p>
        </w:tc>
        <w:tc>
          <w:tcPr>
            <w:tcW w:w="260" w:type="dxa"/>
            <w:vAlign w:val="bottom"/>
            <w:tcBorders>
              <w:top w:val="single" w:sz="8" w:color="auto"/>
            </w:tcBorders>
            <w:gridSpan w:val="2"/>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F"/>
          </w:tcPr>
          <w:p>
            <w:pPr>
              <w:spacing w:after="0"/>
              <w:rPr>
                <w:sz w:val="18"/>
                <w:szCs w:val="18"/>
                <w:color w:val="auto"/>
              </w:rPr>
            </w:pPr>
          </w:p>
        </w:tc>
        <w:tc>
          <w:tcPr>
            <w:tcW w:w="140" w:type="dxa"/>
            <w:vAlign w:val="bottom"/>
            <w:tcBorders>
              <w:top w:val="single" w:sz="8" w:color="auto"/>
            </w:tcBorders>
            <w:shd w:val="clear" w:color="auto" w:fill="CFF0FF"/>
          </w:tcPr>
          <w:p>
            <w:pPr>
              <w:spacing w:after="0"/>
              <w:rPr>
                <w:sz w:val="18"/>
                <w:szCs w:val="18"/>
                <w:color w:val="auto"/>
              </w:rPr>
            </w:pPr>
          </w:p>
        </w:tc>
        <w:tc>
          <w:tcPr>
            <w:tcW w:w="1000" w:type="dxa"/>
            <w:vAlign w:val="bottom"/>
            <w:tcBorders>
              <w:top w:val="single" w:sz="8" w:color="auto"/>
            </w:tcBorders>
            <w:gridSpan w:val="2"/>
            <w:shd w:val="clear" w:color="auto" w:fill="CFF0FF"/>
          </w:tcPr>
          <w:p>
            <w:pPr>
              <w:jc w:val="right"/>
              <w:ind w:right="20"/>
              <w:spacing w:after="0"/>
              <w:rPr>
                <w:sz w:val="20"/>
                <w:szCs w:val="20"/>
                <w:color w:val="auto"/>
              </w:rPr>
            </w:pPr>
            <w:r>
              <w:rPr>
                <w:rFonts w:ascii="Times New Roman" w:cs="Times New Roman" w:eastAsia="Times New Roman" w:hAnsi="Times New Roman"/>
                <w:sz w:val="18"/>
                <w:szCs w:val="18"/>
                <w:color w:val="auto"/>
              </w:rPr>
              <w:t>33,973</w:t>
            </w:r>
          </w:p>
        </w:tc>
        <w:tc>
          <w:tcPr>
            <w:tcW w:w="60" w:type="dxa"/>
            <w:vAlign w:val="bottom"/>
            <w:shd w:val="clear" w:color="auto" w:fill="CFF0FF"/>
          </w:tcPr>
          <w:p>
            <w:pPr>
              <w:spacing w:after="0"/>
              <w:rPr>
                <w:sz w:val="18"/>
                <w:szCs w:val="18"/>
                <w:color w:val="auto"/>
              </w:rPr>
            </w:pPr>
          </w:p>
        </w:tc>
        <w:tc>
          <w:tcPr>
            <w:tcW w:w="100" w:type="dxa"/>
            <w:vAlign w:val="bottom"/>
            <w:shd w:val="clear" w:color="auto" w:fill="CFF0FF"/>
          </w:tcPr>
          <w:p>
            <w:pPr>
              <w:spacing w:after="0"/>
              <w:rPr>
                <w:sz w:val="18"/>
                <w:szCs w:val="18"/>
                <w:color w:val="auto"/>
              </w:rPr>
            </w:pPr>
          </w:p>
        </w:tc>
        <w:tc>
          <w:tcPr>
            <w:tcW w:w="180" w:type="dxa"/>
            <w:vAlign w:val="bottom"/>
            <w:tcBorders>
              <w:top w:val="single" w:sz="8" w:color="auto"/>
            </w:tcBorders>
            <w:shd w:val="clear" w:color="auto" w:fill="CFF0FF"/>
          </w:tcPr>
          <w:p>
            <w:pPr>
              <w:spacing w:after="0"/>
              <w:rPr>
                <w:sz w:val="18"/>
                <w:szCs w:val="18"/>
                <w:color w:val="auto"/>
              </w:rPr>
            </w:pPr>
          </w:p>
        </w:tc>
        <w:tc>
          <w:tcPr>
            <w:tcW w:w="900" w:type="dxa"/>
            <w:vAlign w:val="bottom"/>
            <w:tcBorders>
              <w:top w:val="single" w:sz="8" w:color="auto"/>
            </w:tcBorders>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3"/>
              </w:rPr>
              <w:t>6,262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6,262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FF0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380" w:type="dxa"/>
            <w:vAlign w:val="bottom"/>
            <w:shd w:val="clear" w:color="auto" w:fill="CFF0FF"/>
          </w:tcPr>
          <w:p>
            <w:pPr>
              <w:spacing w:after="0"/>
              <w:rPr>
                <w:sz w:val="18"/>
                <w:szCs w:val="18"/>
                <w:color w:val="auto"/>
              </w:rPr>
            </w:pPr>
          </w:p>
        </w:tc>
        <w:tc>
          <w:tcPr>
            <w:tcW w:w="160" w:type="dxa"/>
            <w:vAlign w:val="bottom"/>
            <w:shd w:val="clear" w:color="auto" w:fill="CFF0FF"/>
          </w:tcPr>
          <w:p>
            <w:pPr>
              <w:spacing w:after="0"/>
              <w:rPr>
                <w:sz w:val="18"/>
                <w:szCs w:val="18"/>
                <w:color w:val="auto"/>
              </w:rPr>
            </w:pPr>
          </w:p>
        </w:tc>
        <w:tc>
          <w:tcPr>
            <w:tcW w:w="140" w:type="dxa"/>
            <w:vAlign w:val="bottom"/>
            <w:shd w:val="clear" w:color="auto" w:fill="CFF0FF"/>
          </w:tcPr>
          <w:p>
            <w:pPr>
              <w:spacing w:after="0"/>
              <w:rPr>
                <w:sz w:val="18"/>
                <w:szCs w:val="18"/>
                <w:color w:val="auto"/>
              </w:rPr>
            </w:pPr>
          </w:p>
        </w:tc>
        <w:tc>
          <w:tcPr>
            <w:tcW w:w="640" w:type="dxa"/>
            <w:vAlign w:val="bottom"/>
            <w:shd w:val="clear" w:color="auto" w:fill="CFF0FF"/>
          </w:tcPr>
          <w:p>
            <w:pPr>
              <w:spacing w:after="0"/>
              <w:rPr>
                <w:sz w:val="18"/>
                <w:szCs w:val="18"/>
                <w:color w:val="auto"/>
              </w:rPr>
            </w:pPr>
          </w:p>
        </w:tc>
        <w:tc>
          <w:tcPr>
            <w:tcW w:w="420" w:type="dxa"/>
            <w:vAlign w:val="bottom"/>
            <w:gridSpan w:val="3"/>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w w:val="93"/>
              </w:rPr>
              <w:t>5,986</w:t>
            </w:r>
          </w:p>
        </w:tc>
        <w:tc>
          <w:tcPr>
            <w:tcW w:w="200" w:type="dxa"/>
            <w:vAlign w:val="bottom"/>
            <w:shd w:val="clear" w:color="auto" w:fill="CFF0FF"/>
          </w:tcPr>
          <w:p>
            <w:pPr>
              <w:spacing w:after="0"/>
              <w:rPr>
                <w:sz w:val="18"/>
                <w:szCs w:val="18"/>
                <w:color w:val="auto"/>
              </w:rPr>
            </w:pPr>
          </w:p>
        </w:tc>
        <w:tc>
          <w:tcPr>
            <w:tcW w:w="180" w:type="dxa"/>
            <w:vAlign w:val="bottom"/>
            <w:shd w:val="clear" w:color="auto" w:fill="CFF0FF"/>
          </w:tcPr>
          <w:p>
            <w:pPr>
              <w:spacing w:after="0"/>
              <w:rPr>
                <w:sz w:val="18"/>
                <w:szCs w:val="18"/>
                <w:color w:val="auto"/>
              </w:rPr>
            </w:pPr>
          </w:p>
        </w:tc>
        <w:tc>
          <w:tcPr>
            <w:tcW w:w="960" w:type="dxa"/>
            <w:vAlign w:val="bottom"/>
            <w:gridSpan w:val="3"/>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5,986</w:t>
            </w:r>
          </w:p>
        </w:tc>
        <w:tc>
          <w:tcPr>
            <w:tcW w:w="160" w:type="dxa"/>
            <w:vAlign w:val="bottom"/>
            <w:shd w:val="clear" w:color="auto" w:fill="CFF0FF"/>
          </w:tcPr>
          <w:p>
            <w:pPr>
              <w:spacing w:after="0"/>
              <w:rPr>
                <w:sz w:val="18"/>
                <w:szCs w:val="18"/>
                <w:color w:val="auto"/>
              </w:rPr>
            </w:pPr>
          </w:p>
        </w:tc>
        <w:tc>
          <w:tcPr>
            <w:tcW w:w="140" w:type="dxa"/>
            <w:vAlign w:val="bottom"/>
            <w:shd w:val="clear" w:color="auto" w:fill="CFF0FF"/>
          </w:tcPr>
          <w:p>
            <w:pPr>
              <w:spacing w:after="0"/>
              <w:rPr>
                <w:sz w:val="18"/>
                <w:szCs w:val="18"/>
                <w:color w:val="auto"/>
              </w:rPr>
            </w:pPr>
          </w:p>
        </w:tc>
        <w:tc>
          <w:tcPr>
            <w:tcW w:w="1060" w:type="dxa"/>
            <w:vAlign w:val="bottom"/>
            <w:gridSpan w:val="3"/>
            <w:shd w:val="clear" w:color="auto" w:fill="CFF0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F"/>
          </w:tcPr>
          <w:p>
            <w:pPr>
              <w:spacing w:after="0"/>
              <w:rPr>
                <w:sz w:val="18"/>
                <w:szCs w:val="18"/>
                <w:color w:val="auto"/>
              </w:rPr>
            </w:pPr>
          </w:p>
        </w:tc>
        <w:tc>
          <w:tcPr>
            <w:tcW w:w="180" w:type="dxa"/>
            <w:vAlign w:val="bottom"/>
            <w:shd w:val="clear" w:color="auto" w:fill="CFF0FF"/>
          </w:tcPr>
          <w:p>
            <w:pPr>
              <w:spacing w:after="0"/>
              <w:rPr>
                <w:sz w:val="18"/>
                <w:szCs w:val="18"/>
                <w:color w:val="auto"/>
              </w:rPr>
            </w:pPr>
          </w:p>
        </w:tc>
        <w:tc>
          <w:tcPr>
            <w:tcW w:w="90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20" w:type="dxa"/>
            <w:vAlign w:val="bottom"/>
            <w:tcBorders>
              <w:top w:val="single" w:sz="8" w:color="CFF0FF"/>
            </w:tcBorders>
          </w:tcPr>
          <w:p>
            <w:pPr>
              <w:ind w:left="26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380" w:type="dxa"/>
            <w:vAlign w:val="bottom"/>
            <w:tcBorders>
              <w:top w:val="single" w:sz="8" w:color="CFF0FF"/>
            </w:tcBorders>
          </w:tcPr>
          <w:p>
            <w:pPr>
              <w:spacing w:after="0"/>
              <w:rPr>
                <w:sz w:val="18"/>
                <w:szCs w:val="18"/>
                <w:color w:val="auto"/>
              </w:rPr>
            </w:pPr>
          </w:p>
        </w:tc>
        <w:tc>
          <w:tcPr>
            <w:tcW w:w="160" w:type="dxa"/>
            <w:vAlign w:val="bottom"/>
            <w:tcBorders>
              <w:top w:val="single" w:sz="8" w:color="CFF0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46,221</w:t>
            </w:r>
          </w:p>
        </w:tc>
        <w:tc>
          <w:tcPr>
            <w:tcW w:w="200" w:type="dxa"/>
            <w:vAlign w:val="bottom"/>
            <w:tcBorders>
              <w:top w:val="single" w:sz="8" w:color="CFF0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12,248</w:t>
            </w:r>
          </w:p>
        </w:tc>
        <w:tc>
          <w:tcPr>
            <w:tcW w:w="160" w:type="dxa"/>
            <w:vAlign w:val="bottom"/>
            <w:tcBorders>
              <w:top w:val="single" w:sz="8" w:color="CFF0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33,973</w:t>
            </w:r>
          </w:p>
        </w:tc>
        <w:tc>
          <w:tcPr>
            <w:tcW w:w="60" w:type="dxa"/>
            <w:vAlign w:val="bottom"/>
            <w:tcBorders>
              <w:top w:val="single" w:sz="8" w:color="CFF0FF"/>
            </w:tcBorders>
          </w:tcPr>
          <w:p>
            <w:pPr>
              <w:spacing w:after="0"/>
              <w:rPr>
                <w:sz w:val="18"/>
                <w:szCs w:val="18"/>
                <w:color w:val="auto"/>
              </w:rPr>
            </w:pPr>
          </w:p>
        </w:tc>
        <w:tc>
          <w:tcPr>
            <w:tcW w:w="100" w:type="dxa"/>
            <w:vAlign w:val="bottom"/>
            <w:tcBorders>
              <w:top w:val="single" w:sz="8" w:color="CFF0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FF0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20" w:type="dxa"/>
            <w:vAlign w:val="bottom"/>
            <w:shd w:val="clear" w:color="auto" w:fill="CFF0FF"/>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380" w:type="dxa"/>
            <w:vAlign w:val="bottom"/>
            <w:shd w:val="clear" w:color="auto" w:fill="CFF0FF"/>
          </w:tcPr>
          <w:p>
            <w:pPr>
              <w:spacing w:after="0"/>
              <w:rPr>
                <w:sz w:val="18"/>
                <w:szCs w:val="18"/>
                <w:color w:val="auto"/>
              </w:rPr>
            </w:pPr>
          </w:p>
        </w:tc>
        <w:tc>
          <w:tcPr>
            <w:tcW w:w="160" w:type="dxa"/>
            <w:vAlign w:val="bottom"/>
            <w:shd w:val="clear" w:color="auto" w:fill="CFF0FF"/>
          </w:tcPr>
          <w:p>
            <w:pPr>
              <w:spacing w:after="0"/>
              <w:rPr>
                <w:sz w:val="18"/>
                <w:szCs w:val="18"/>
                <w:color w:val="auto"/>
              </w:rPr>
            </w:pPr>
          </w:p>
        </w:tc>
        <w:tc>
          <w:tcPr>
            <w:tcW w:w="140" w:type="dxa"/>
            <w:vAlign w:val="bottom"/>
            <w:shd w:val="clear" w:color="auto" w:fill="CFF0FF"/>
          </w:tcPr>
          <w:p>
            <w:pPr>
              <w:spacing w:after="0"/>
              <w:rPr>
                <w:sz w:val="18"/>
                <w:szCs w:val="18"/>
                <w:color w:val="auto"/>
              </w:rPr>
            </w:pPr>
          </w:p>
        </w:tc>
        <w:tc>
          <w:tcPr>
            <w:tcW w:w="640" w:type="dxa"/>
            <w:vAlign w:val="bottom"/>
            <w:shd w:val="clear" w:color="auto" w:fill="CFF0FF"/>
          </w:tcPr>
          <w:p>
            <w:pPr>
              <w:spacing w:after="0"/>
              <w:rPr>
                <w:sz w:val="18"/>
                <w:szCs w:val="18"/>
                <w:color w:val="auto"/>
              </w:rPr>
            </w:pPr>
          </w:p>
        </w:tc>
        <w:tc>
          <w:tcPr>
            <w:tcW w:w="420" w:type="dxa"/>
            <w:vAlign w:val="bottom"/>
            <w:gridSpan w:val="3"/>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w w:val="93"/>
              </w:rPr>
              <w:t>8,436</w:t>
            </w:r>
          </w:p>
        </w:tc>
        <w:tc>
          <w:tcPr>
            <w:tcW w:w="200" w:type="dxa"/>
            <w:vAlign w:val="bottom"/>
            <w:shd w:val="clear" w:color="auto" w:fill="CFF0FF"/>
          </w:tcPr>
          <w:p>
            <w:pPr>
              <w:spacing w:after="0"/>
              <w:rPr>
                <w:sz w:val="18"/>
                <w:szCs w:val="18"/>
                <w:color w:val="auto"/>
              </w:rPr>
            </w:pPr>
          </w:p>
        </w:tc>
        <w:tc>
          <w:tcPr>
            <w:tcW w:w="180" w:type="dxa"/>
            <w:vAlign w:val="bottom"/>
            <w:shd w:val="clear" w:color="auto" w:fill="CFF0FF"/>
          </w:tcPr>
          <w:p>
            <w:pPr>
              <w:spacing w:after="0"/>
              <w:rPr>
                <w:sz w:val="18"/>
                <w:szCs w:val="18"/>
                <w:color w:val="auto"/>
              </w:rPr>
            </w:pPr>
          </w:p>
        </w:tc>
        <w:tc>
          <w:tcPr>
            <w:tcW w:w="960" w:type="dxa"/>
            <w:vAlign w:val="bottom"/>
            <w:gridSpan w:val="3"/>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8,436</w:t>
            </w:r>
          </w:p>
        </w:tc>
        <w:tc>
          <w:tcPr>
            <w:tcW w:w="160" w:type="dxa"/>
            <w:vAlign w:val="bottom"/>
            <w:shd w:val="clear" w:color="auto" w:fill="CFF0FF"/>
          </w:tcPr>
          <w:p>
            <w:pPr>
              <w:spacing w:after="0"/>
              <w:rPr>
                <w:sz w:val="18"/>
                <w:szCs w:val="18"/>
                <w:color w:val="auto"/>
              </w:rPr>
            </w:pPr>
          </w:p>
        </w:tc>
        <w:tc>
          <w:tcPr>
            <w:tcW w:w="140" w:type="dxa"/>
            <w:vAlign w:val="bottom"/>
            <w:shd w:val="clear" w:color="auto" w:fill="CFF0FF"/>
          </w:tcPr>
          <w:p>
            <w:pPr>
              <w:spacing w:after="0"/>
              <w:rPr>
                <w:sz w:val="18"/>
                <w:szCs w:val="18"/>
                <w:color w:val="auto"/>
              </w:rPr>
            </w:pPr>
          </w:p>
        </w:tc>
        <w:tc>
          <w:tcPr>
            <w:tcW w:w="1000" w:type="dxa"/>
            <w:vAlign w:val="bottom"/>
            <w:gridSpan w:val="2"/>
            <w:shd w:val="clear" w:color="auto" w:fill="CFF0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F"/>
          </w:tcPr>
          <w:p>
            <w:pPr>
              <w:spacing w:after="0"/>
              <w:rPr>
                <w:sz w:val="18"/>
                <w:szCs w:val="18"/>
                <w:color w:val="auto"/>
              </w:rPr>
            </w:pPr>
          </w:p>
        </w:tc>
        <w:tc>
          <w:tcPr>
            <w:tcW w:w="100" w:type="dxa"/>
            <w:vAlign w:val="bottom"/>
            <w:shd w:val="clear" w:color="auto" w:fill="CFF0FF"/>
          </w:tcPr>
          <w:p>
            <w:pPr>
              <w:spacing w:after="0"/>
              <w:rPr>
                <w:sz w:val="18"/>
                <w:szCs w:val="18"/>
                <w:color w:val="auto"/>
              </w:rPr>
            </w:pPr>
          </w:p>
        </w:tc>
        <w:tc>
          <w:tcPr>
            <w:tcW w:w="180" w:type="dxa"/>
            <w:vAlign w:val="bottom"/>
            <w:shd w:val="clear" w:color="auto" w:fill="CFF0FF"/>
          </w:tcPr>
          <w:p>
            <w:pPr>
              <w:spacing w:after="0"/>
              <w:rPr>
                <w:sz w:val="18"/>
                <w:szCs w:val="18"/>
                <w:color w:val="auto"/>
              </w:rPr>
            </w:pPr>
          </w:p>
        </w:tc>
        <w:tc>
          <w:tcPr>
            <w:tcW w:w="90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24,023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24,023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20" w:type="dxa"/>
            <w:vAlign w:val="bottom"/>
            <w:tcBorders>
              <w:bottom w:val="single" w:sz="8" w:color="CFF0FF"/>
            </w:tcBorders>
            <w:shd w:val="clear" w:color="auto" w:fill="CFF0FF"/>
          </w:tcPr>
          <w:p>
            <w:pPr>
              <w:ind w:left="260"/>
              <w:spacing w:after="0"/>
              <w:rPr>
                <w:sz w:val="20"/>
                <w:szCs w:val="20"/>
                <w:color w:val="auto"/>
              </w:rPr>
            </w:pPr>
            <w:r>
              <w:rPr>
                <w:rFonts w:ascii="Times New Roman" w:cs="Times New Roman" w:eastAsia="Times New Roman" w:hAnsi="Times New Roman"/>
                <w:sz w:val="18"/>
                <w:szCs w:val="18"/>
                <w:color w:val="auto"/>
              </w:rPr>
              <w:t>Total long-term investments</w:t>
            </w:r>
          </w:p>
        </w:tc>
        <w:tc>
          <w:tcPr>
            <w:tcW w:w="380" w:type="dxa"/>
            <w:vAlign w:val="bottom"/>
            <w:tcBorders>
              <w:bottom w:val="single" w:sz="8" w:color="CFF0FF"/>
            </w:tcBorders>
            <w:shd w:val="clear" w:color="auto" w:fill="CFF0FF"/>
          </w:tcPr>
          <w:p>
            <w:pPr>
              <w:spacing w:after="0"/>
              <w:rPr>
                <w:sz w:val="18"/>
                <w:szCs w:val="18"/>
                <w:color w:val="auto"/>
              </w:rPr>
            </w:pPr>
          </w:p>
        </w:tc>
        <w:tc>
          <w:tcPr>
            <w:tcW w:w="160" w:type="dxa"/>
            <w:vAlign w:val="bottom"/>
            <w:tcBorders>
              <w:bottom w:val="single" w:sz="8" w:color="CFF0FF"/>
            </w:tcBorders>
            <w:shd w:val="clear" w:color="auto" w:fill="CFF0FF"/>
          </w:tcPr>
          <w:p>
            <w:pPr>
              <w:spacing w:after="0"/>
              <w:rPr>
                <w:sz w:val="18"/>
                <w:szCs w:val="18"/>
                <w:color w:val="auto"/>
              </w:rPr>
            </w:pPr>
          </w:p>
        </w:tc>
        <w:tc>
          <w:tcPr>
            <w:tcW w:w="140" w:type="dxa"/>
            <w:vAlign w:val="bottom"/>
            <w:tcBorders>
              <w:top w:val="single" w:sz="8" w:color="auto"/>
              <w:bottom w:val="single" w:sz="8" w:color="auto"/>
            </w:tcBorders>
            <w:shd w:val="clear" w:color="auto" w:fill="CFF0FF"/>
          </w:tcPr>
          <w:p>
            <w:pPr>
              <w:spacing w:after="0"/>
              <w:rPr>
                <w:sz w:val="18"/>
                <w:szCs w:val="18"/>
                <w:color w:val="auto"/>
              </w:rPr>
            </w:pPr>
          </w:p>
        </w:tc>
        <w:tc>
          <w:tcPr>
            <w:tcW w:w="1060" w:type="dxa"/>
            <w:vAlign w:val="bottom"/>
            <w:tcBorders>
              <w:top w:val="single" w:sz="8" w:color="auto"/>
              <w:bottom w:val="single" w:sz="8" w:color="auto"/>
            </w:tcBorders>
            <w:gridSpan w:val="4"/>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32,459</w:t>
            </w:r>
          </w:p>
        </w:tc>
        <w:tc>
          <w:tcPr>
            <w:tcW w:w="200" w:type="dxa"/>
            <w:vAlign w:val="bottom"/>
            <w:tcBorders>
              <w:bottom w:val="single" w:sz="8" w:color="CFF0FF"/>
            </w:tcBorders>
            <w:shd w:val="clear" w:color="auto" w:fill="CFF0FF"/>
          </w:tcPr>
          <w:p>
            <w:pPr>
              <w:spacing w:after="0"/>
              <w:rPr>
                <w:sz w:val="18"/>
                <w:szCs w:val="18"/>
                <w:color w:val="auto"/>
              </w:rPr>
            </w:pPr>
          </w:p>
        </w:tc>
        <w:tc>
          <w:tcPr>
            <w:tcW w:w="180" w:type="dxa"/>
            <w:vAlign w:val="bottom"/>
            <w:tcBorders>
              <w:top w:val="single" w:sz="8" w:color="auto"/>
              <w:bottom w:val="single" w:sz="8" w:color="auto"/>
            </w:tcBorders>
            <w:shd w:val="clear" w:color="auto" w:fill="CFF0FF"/>
          </w:tcPr>
          <w:p>
            <w:pPr>
              <w:spacing w:after="0"/>
              <w:rPr>
                <w:sz w:val="18"/>
                <w:szCs w:val="18"/>
                <w:color w:val="auto"/>
              </w:rPr>
            </w:pPr>
          </w:p>
        </w:tc>
        <w:tc>
          <w:tcPr>
            <w:tcW w:w="960" w:type="dxa"/>
            <w:vAlign w:val="bottom"/>
            <w:tcBorders>
              <w:top w:val="single" w:sz="8" w:color="auto"/>
              <w:bottom w:val="single" w:sz="8" w:color="auto"/>
            </w:tcBorders>
            <w:gridSpan w:val="3"/>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32,459</w:t>
            </w:r>
          </w:p>
        </w:tc>
        <w:tc>
          <w:tcPr>
            <w:tcW w:w="160" w:type="dxa"/>
            <w:vAlign w:val="bottom"/>
            <w:tcBorders>
              <w:bottom w:val="single" w:sz="8" w:color="CFF0FF"/>
            </w:tcBorders>
            <w:shd w:val="clear" w:color="auto" w:fill="CFF0FF"/>
          </w:tcPr>
          <w:p>
            <w:pPr>
              <w:spacing w:after="0"/>
              <w:rPr>
                <w:sz w:val="18"/>
                <w:szCs w:val="18"/>
                <w:color w:val="auto"/>
              </w:rPr>
            </w:pPr>
          </w:p>
        </w:tc>
        <w:tc>
          <w:tcPr>
            <w:tcW w:w="140" w:type="dxa"/>
            <w:vAlign w:val="bottom"/>
            <w:tcBorders>
              <w:top w:val="single" w:sz="8" w:color="auto"/>
              <w:bottom w:val="single" w:sz="8" w:color="auto"/>
            </w:tcBorders>
            <w:shd w:val="clear" w:color="auto" w:fill="CFF0FF"/>
          </w:tcPr>
          <w:p>
            <w:pPr>
              <w:spacing w:after="0"/>
              <w:rPr>
                <w:sz w:val="18"/>
                <w:szCs w:val="18"/>
                <w:color w:val="auto"/>
              </w:rPr>
            </w:pPr>
          </w:p>
        </w:tc>
        <w:tc>
          <w:tcPr>
            <w:tcW w:w="1000" w:type="dxa"/>
            <w:vAlign w:val="bottom"/>
            <w:tcBorders>
              <w:top w:val="single" w:sz="8" w:color="auto"/>
              <w:bottom w:val="single" w:sz="8" w:color="auto"/>
            </w:tcBorders>
            <w:gridSpan w:val="2"/>
            <w:shd w:val="clear" w:color="auto" w:fill="CFF0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FF0FF"/>
            </w:tcBorders>
            <w:shd w:val="clear" w:color="auto" w:fill="CFF0FF"/>
          </w:tcPr>
          <w:p>
            <w:pPr>
              <w:spacing w:after="0"/>
              <w:rPr>
                <w:sz w:val="18"/>
                <w:szCs w:val="18"/>
                <w:color w:val="auto"/>
              </w:rPr>
            </w:pPr>
          </w:p>
        </w:tc>
        <w:tc>
          <w:tcPr>
            <w:tcW w:w="100" w:type="dxa"/>
            <w:vAlign w:val="bottom"/>
            <w:tcBorders>
              <w:bottom w:val="single" w:sz="8" w:color="CFF0FF"/>
            </w:tcBorders>
            <w:shd w:val="clear" w:color="auto" w:fill="CFF0FF"/>
          </w:tcPr>
          <w:p>
            <w:pPr>
              <w:spacing w:after="0"/>
              <w:rPr>
                <w:sz w:val="18"/>
                <w:szCs w:val="18"/>
                <w:color w:val="auto"/>
              </w:rPr>
            </w:pPr>
          </w:p>
        </w:tc>
        <w:tc>
          <w:tcPr>
            <w:tcW w:w="180" w:type="dxa"/>
            <w:vAlign w:val="bottom"/>
            <w:tcBorders>
              <w:top w:val="single" w:sz="8" w:color="auto"/>
              <w:bottom w:val="single" w:sz="8" w:color="auto"/>
            </w:tcBorders>
            <w:shd w:val="clear" w:color="auto" w:fill="CFF0FF"/>
          </w:tcPr>
          <w:p>
            <w:pPr>
              <w:spacing w:after="0"/>
              <w:rPr>
                <w:sz w:val="18"/>
                <w:szCs w:val="18"/>
                <w:color w:val="auto"/>
              </w:rPr>
            </w:pPr>
          </w:p>
        </w:tc>
        <w:tc>
          <w:tcPr>
            <w:tcW w:w="900" w:type="dxa"/>
            <w:vAlign w:val="bottom"/>
            <w:tcBorders>
              <w:top w:val="single" w:sz="8" w:color="auto"/>
              <w:bottom w:val="single" w:sz="8" w:color="auto"/>
            </w:tcBorders>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FF0FF"/>
            </w:tcBorders>
            <w:shd w:val="clear" w:color="auto" w:fill="CFF0FF"/>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3800" w:type="dxa"/>
            <w:vAlign w:val="bottom"/>
            <w:gridSpan w:val="2"/>
          </w:tcPr>
          <w:p>
            <w:pPr>
              <w:ind w:left="20"/>
              <w:spacing w:after="0" w:line="164" w:lineRule="exact"/>
              <w:rPr>
                <w:sz w:val="20"/>
                <w:szCs w:val="20"/>
                <w:color w:val="auto"/>
              </w:rPr>
            </w:pPr>
            <w:r>
              <w:rPr>
                <w:rFonts w:ascii="Times New Roman" w:cs="Times New Roman" w:eastAsia="Times New Roman" w:hAnsi="Times New Roman"/>
                <w:sz w:val="18"/>
                <w:szCs w:val="18"/>
                <w:color w:val="auto"/>
              </w:rPr>
              <w:t>Total cash equivalents, short-term investments and</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color w:val="auto"/>
              </w:rPr>
              <w:t>116,747</w:t>
            </w:r>
          </w:p>
        </w:tc>
        <w:tc>
          <w:tcPr>
            <w:tcW w:w="3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82,774</w:t>
            </w:r>
          </w:p>
        </w:tc>
        <w:tc>
          <w:tcPr>
            <w:tcW w:w="16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33,973</w:t>
            </w:r>
          </w:p>
        </w:tc>
        <w:tc>
          <w:tcPr>
            <w:tcW w:w="60" w:type="dxa"/>
            <w:vAlign w:val="bottom"/>
          </w:tcPr>
          <w:p>
            <w:pPr>
              <w:spacing w:after="0"/>
              <w:rPr>
                <w:sz w:val="14"/>
                <w:szCs w:val="14"/>
                <w:color w:val="auto"/>
              </w:rPr>
            </w:pP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42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long-term investments</w:t>
            </w:r>
          </w:p>
        </w:tc>
        <w:tc>
          <w:tcPr>
            <w:tcW w:w="38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1060" w:type="dxa"/>
            <w:vAlign w:val="bottom"/>
            <w:gridSpan w:val="4"/>
            <w:vMerge w:val="continue"/>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9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-3256915</wp:posOffset>
            </wp:positionV>
            <wp:extent cx="431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-3256915</wp:posOffset>
            </wp:positionV>
            <wp:extent cx="431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-3256915</wp:posOffset>
            </wp:positionV>
            <wp:extent cx="342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-3256915</wp:posOffset>
            </wp:positionV>
            <wp:extent cx="3429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-2691130</wp:posOffset>
            </wp:positionV>
            <wp:extent cx="431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-2691130</wp:posOffset>
            </wp:positionV>
            <wp:extent cx="431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-2691130</wp:posOffset>
            </wp:positionV>
            <wp:extent cx="342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-2691130</wp:posOffset>
            </wp:positionV>
            <wp:extent cx="342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-2399665</wp:posOffset>
            </wp:positionV>
            <wp:extent cx="431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-2399665</wp:posOffset>
            </wp:positionV>
            <wp:extent cx="431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-2399665</wp:posOffset>
            </wp:positionV>
            <wp:extent cx="342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-2399665</wp:posOffset>
            </wp:positionV>
            <wp:extent cx="3429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-2013585</wp:posOffset>
            </wp:positionV>
            <wp:extent cx="431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-1996440</wp:posOffset>
            </wp:positionV>
            <wp:extent cx="431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-2013585</wp:posOffset>
            </wp:positionV>
            <wp:extent cx="431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-1996440</wp:posOffset>
            </wp:positionV>
            <wp:extent cx="431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-2013585</wp:posOffset>
            </wp:positionV>
            <wp:extent cx="342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-1996440</wp:posOffset>
            </wp:positionV>
            <wp:extent cx="3429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-2013585</wp:posOffset>
            </wp:positionV>
            <wp:extent cx="342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-1996440</wp:posOffset>
            </wp:positionV>
            <wp:extent cx="3429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-1405255</wp:posOffset>
            </wp:positionV>
            <wp:extent cx="431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-1405255</wp:posOffset>
            </wp:positionV>
            <wp:extent cx="3429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-1405255</wp:posOffset>
            </wp:positionV>
            <wp:extent cx="342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-1405255</wp:posOffset>
            </wp:positionV>
            <wp:extent cx="342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-839470</wp:posOffset>
            </wp:positionV>
            <wp:extent cx="431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-839470</wp:posOffset>
            </wp:positionV>
            <wp:extent cx="3429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-839470</wp:posOffset>
            </wp:positionV>
            <wp:extent cx="342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-839470</wp:posOffset>
            </wp:positionV>
            <wp:extent cx="342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-264795</wp:posOffset>
            </wp:positionV>
            <wp:extent cx="431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-264795</wp:posOffset>
            </wp:positionV>
            <wp:extent cx="3429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-264795</wp:posOffset>
            </wp:positionV>
            <wp:extent cx="3429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-264795</wp:posOffset>
            </wp:positionV>
            <wp:extent cx="342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did not have any liabilities recorded at fair value on a recurring or non-recurring basis as of March 31, 2022.</w:t>
      </w:r>
    </w:p>
    <w:p>
      <w:pPr>
        <w:spacing w:after="0" w:line="104"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For Level 1 investments, the Company uses quoted prices in active markets for identical assets to determine the fair value. For Level 2 investments, the Company uses quoted prices for similar assets sourced from certain third-party pricing services. The third-party pricing services generally utilize industry standard valuation models for which all significant inputs are observable, either directly or indirectly, to estimate the price or fair value of the securities. The primary input generally includes reported trades of or quotes on the same or similar securities. The Company does not make additional judgments or assumptions made to the pricing data sourced from the third-party pricing services.</w:t>
      </w:r>
    </w:p>
    <w:p>
      <w:pPr>
        <w:spacing w:after="0" w:line="18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estimated fair value of the term loan was $5.0 million as of March 31, 2022 and was based on estimated interest rates currently available to the Company for debt with similar terms, a Level 2 input.</w:t>
      </w:r>
    </w:p>
    <w:p>
      <w:pPr>
        <w:spacing w:after="0" w:line="50" w:lineRule="exact"/>
        <w:rPr>
          <w:sz w:val="20"/>
          <w:szCs w:val="20"/>
          <w:color w:val="auto"/>
        </w:rPr>
      </w:pPr>
    </w:p>
    <w:p>
      <w:pPr>
        <w:jc w:val="both"/>
        <w:ind w:right="8960" w:firstLine="8"/>
        <w:spacing w:after="0" w:line="412" w:lineRule="auto"/>
        <w:tabs>
          <w:tab w:leader="none" w:pos="1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Balance Sheet Components Property and equipment, net</w:t>
      </w:r>
    </w:p>
    <w:p>
      <w:pPr>
        <w:spacing w:after="0" w:line="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219" w:lineRule="exact"/>
        <w:rPr>
          <w:sz w:val="20"/>
          <w:szCs w:val="20"/>
          <w:color w:val="auto"/>
        </w:rPr>
      </w:pPr>
    </w:p>
    <w:tbl>
      <w:tblPr>
        <w:tblLayout w:type="fixed"/>
        <w:tblInd w:w="1580" w:type="dxa"/>
        <w:tblCellMar>
          <w:top w:w="0" w:type="dxa"/>
          <w:left w:w="0" w:type="dxa"/>
          <w:bottom w:w="0" w:type="dxa"/>
          <w:right w:w="0" w:type="dxa"/>
        </w:tblCellMar>
      </w:tblPr>
      <w:tr>
        <w:trPr>
          <w:trHeight w:val="187"/>
        </w:trPr>
        <w:tc>
          <w:tcPr>
            <w:tcW w:w="3440" w:type="dxa"/>
            <w:vAlign w:val="bottom"/>
          </w:tcPr>
          <w:p>
            <w:pPr>
              <w:spacing w:after="0"/>
              <w:rPr>
                <w:sz w:val="16"/>
                <w:szCs w:val="16"/>
                <w:color w:val="auto"/>
              </w:rPr>
            </w:pPr>
          </w:p>
        </w:tc>
        <w:tc>
          <w:tcPr>
            <w:tcW w:w="158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8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9"/>
        </w:trPr>
        <w:tc>
          <w:tcPr>
            <w:tcW w:w="3440" w:type="dxa"/>
            <w:vAlign w:val="bottom"/>
          </w:tcPr>
          <w:p>
            <w:pPr>
              <w:spacing w:after="0"/>
              <w:rPr>
                <w:sz w:val="14"/>
                <w:szCs w:val="14"/>
                <w:color w:val="auto"/>
              </w:rPr>
            </w:pPr>
          </w:p>
        </w:tc>
        <w:tc>
          <w:tcPr>
            <w:tcW w:w="158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top w:val="single" w:sz="8" w:color="auto"/>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780" w:type="dxa"/>
            <w:vAlign w:val="bottom"/>
            <w:tcBorders>
              <w:top w:val="single" w:sz="8" w:color="auto"/>
              <w:bottom w:val="single" w:sz="8" w:color="auto"/>
            </w:tcBorders>
          </w:tcPr>
          <w:p>
            <w:pPr>
              <w:jc w:val="right"/>
              <w:ind w:right="8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3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Computer and office equipment</w:t>
            </w:r>
          </w:p>
        </w:tc>
        <w:tc>
          <w:tcPr>
            <w:tcW w:w="1580" w:type="dxa"/>
            <w:vAlign w:val="bottom"/>
            <w:shd w:val="clear" w:color="auto" w:fill="CFF0FC"/>
          </w:tcPr>
          <w:p>
            <w:pPr>
              <w:jc w:val="right"/>
              <w:ind w:right="139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FF0FC"/>
          </w:tcPr>
          <w:p>
            <w:pPr>
              <w:spacing w:after="0"/>
              <w:rPr>
                <w:sz w:val="18"/>
                <w:szCs w:val="18"/>
                <w:color w:val="auto"/>
              </w:rPr>
            </w:pPr>
          </w:p>
        </w:tc>
      </w:tr>
      <w:tr>
        <w:trPr>
          <w:trHeight w:val="216"/>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software</w:t>
            </w:r>
          </w:p>
        </w:tc>
        <w:tc>
          <w:tcPr>
            <w:tcW w:w="15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8"/>
                <w:szCs w:val="18"/>
                <w:color w:val="auto"/>
              </w:rPr>
            </w:pPr>
          </w:p>
        </w:tc>
      </w:tr>
      <w:tr>
        <w:trPr>
          <w:trHeight w:val="216"/>
        </w:trPr>
        <w:tc>
          <w:tcPr>
            <w:tcW w:w="3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Manufacturing machinery and equipment</w:t>
            </w:r>
          </w:p>
        </w:tc>
        <w:tc>
          <w:tcPr>
            <w:tcW w:w="158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FF0FC"/>
          </w:tcPr>
          <w:p>
            <w:pPr>
              <w:spacing w:after="0"/>
              <w:rPr>
                <w:sz w:val="18"/>
                <w:szCs w:val="18"/>
                <w:color w:val="auto"/>
              </w:rPr>
            </w:pPr>
          </w:p>
        </w:tc>
      </w:tr>
      <w:tr>
        <w:trPr>
          <w:trHeight w:val="216"/>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5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r>
      <w:tr>
        <w:trPr>
          <w:trHeight w:val="216"/>
        </w:trPr>
        <w:tc>
          <w:tcPr>
            <w:tcW w:w="3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58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FF0FC"/>
          </w:tcPr>
          <w:p>
            <w:pPr>
              <w:spacing w:after="0"/>
              <w:rPr>
                <w:sz w:val="18"/>
                <w:szCs w:val="18"/>
                <w:color w:val="auto"/>
              </w:rPr>
            </w:pPr>
          </w:p>
        </w:tc>
      </w:tr>
      <w:tr>
        <w:trPr>
          <w:trHeight w:val="216"/>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5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(40 )</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(31 )</w:t>
            </w:r>
          </w:p>
        </w:tc>
      </w:tr>
      <w:tr>
        <w:trPr>
          <w:trHeight w:val="249"/>
        </w:trPr>
        <w:tc>
          <w:tcPr>
            <w:tcW w:w="3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580" w:type="dxa"/>
            <w:vAlign w:val="bottom"/>
            <w:tcBorders>
              <w:top w:val="single" w:sz="8" w:color="auto"/>
              <w:bottom w:val="single" w:sz="8" w:color="auto"/>
            </w:tcBorders>
            <w:shd w:val="clear" w:color="auto" w:fill="CFF0FC"/>
          </w:tcPr>
          <w:p>
            <w:pPr>
              <w:jc w:val="right"/>
              <w:ind w:right="139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top w:val="single" w:sz="8" w:color="auto"/>
              <w:bottom w:val="single" w:sz="8" w:color="auto"/>
            </w:tcBorders>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-25400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-7620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-25400</wp:posOffset>
            </wp:positionV>
            <wp:extent cx="603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-7620</wp:posOffset>
            </wp:positionV>
            <wp:extent cx="603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4"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Property and equipment, net is included in other assets on the condensed balance sheets. Depreciation expense was $9 thousand and $4 thousand for the three months ended March 31, 2022 and 2021,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p>
      <w:pPr>
        <w:spacing w:after="0" w:line="247"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3"/>
                <w:szCs w:val="13"/>
                <w:color w:val="auto"/>
              </w:rPr>
            </w:pPr>
          </w:p>
        </w:tc>
      </w:tr>
      <w:tr>
        <w:trPr>
          <w:trHeight w:val="187"/>
        </w:trPr>
        <w:tc>
          <w:tcPr>
            <w:tcW w:w="5060" w:type="dxa"/>
            <w:vAlign w:val="bottom"/>
          </w:tcPr>
          <w:p>
            <w:pPr>
              <w:spacing w:after="0"/>
              <w:rPr>
                <w:sz w:val="16"/>
                <w:szCs w:val="16"/>
                <w:color w:val="auto"/>
              </w:rPr>
            </w:pPr>
          </w:p>
        </w:tc>
        <w:tc>
          <w:tcPr>
            <w:tcW w:w="11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6"/>
                <w:szCs w:val="16"/>
                <w:color w:val="auto"/>
              </w:rPr>
            </w:pPr>
          </w:p>
        </w:tc>
      </w:tr>
      <w:tr>
        <w:trPr>
          <w:trHeight w:val="209"/>
        </w:trPr>
        <w:tc>
          <w:tcPr>
            <w:tcW w:w="5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1180" w:type="dxa"/>
            <w:vAlign w:val="bottom"/>
            <w:shd w:val="clear" w:color="auto" w:fill="CFF0FC"/>
          </w:tcPr>
          <w:p>
            <w:pPr>
              <w:jc w:val="right"/>
              <w:ind w:right="97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5,417</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3,837</w:t>
            </w:r>
          </w:p>
        </w:tc>
        <w:tc>
          <w:tcPr>
            <w:tcW w:w="60" w:type="dxa"/>
            <w:vAlign w:val="bottom"/>
            <w:shd w:val="clear" w:color="auto" w:fill="CFF0FC"/>
          </w:tcPr>
          <w:p>
            <w:pPr>
              <w:spacing w:after="0"/>
              <w:rPr>
                <w:sz w:val="18"/>
                <w:szCs w:val="18"/>
                <w:color w:val="auto"/>
              </w:rPr>
            </w:pPr>
          </w:p>
        </w:tc>
      </w:tr>
      <w:tr>
        <w:trPr>
          <w:trHeight w:val="216"/>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general and administrative expenses</w:t>
            </w:r>
          </w:p>
        </w:tc>
        <w:tc>
          <w:tcPr>
            <w:tcW w:w="1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60" w:type="dxa"/>
            <w:vAlign w:val="bottom"/>
          </w:tcPr>
          <w:p>
            <w:pPr>
              <w:spacing w:after="0"/>
              <w:rPr>
                <w:sz w:val="18"/>
                <w:szCs w:val="18"/>
                <w:color w:val="auto"/>
              </w:rPr>
            </w:pPr>
          </w:p>
        </w:tc>
      </w:tr>
      <w:tr>
        <w:trPr>
          <w:trHeight w:val="216"/>
        </w:trPr>
        <w:tc>
          <w:tcPr>
            <w:tcW w:w="5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 liability, current portion</w:t>
            </w:r>
          </w:p>
        </w:tc>
        <w:tc>
          <w:tcPr>
            <w:tcW w:w="118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60" w:type="dxa"/>
            <w:vAlign w:val="bottom"/>
            <w:tcBorders>
              <w:bottom w:val="single" w:sz="8" w:color="CFF0FC"/>
            </w:tcBorders>
            <w:shd w:val="clear" w:color="auto" w:fill="CFF0FC"/>
          </w:tcPr>
          <w:p>
            <w:pPr>
              <w:spacing w:after="0"/>
              <w:rPr>
                <w:sz w:val="18"/>
                <w:szCs w:val="18"/>
                <w:color w:val="auto"/>
              </w:rPr>
            </w:pPr>
          </w:p>
        </w:tc>
      </w:tr>
      <w:tr>
        <w:trPr>
          <w:trHeight w:val="20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180" w:type="dxa"/>
            <w:vAlign w:val="bottom"/>
          </w:tcPr>
          <w:p>
            <w:pPr>
              <w:jc w:val="right"/>
              <w:ind w:right="97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6,457</w:t>
            </w:r>
          </w:p>
        </w:tc>
        <w:tc>
          <w:tcPr>
            <w:tcW w:w="4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4,613</w:t>
            </w:r>
          </w:p>
        </w:tc>
        <w:tc>
          <w:tcPr>
            <w:tcW w:w="60" w:type="dxa"/>
            <w:vAlign w:val="bottom"/>
          </w:tcPr>
          <w:p>
            <w:pPr>
              <w:spacing w:after="0"/>
              <w:rPr>
                <w:sz w:val="18"/>
                <w:szCs w:val="18"/>
                <w:color w:val="auto"/>
              </w:rPr>
            </w:pPr>
          </w:p>
        </w:tc>
      </w:tr>
      <w:tr>
        <w:trPr>
          <w:trHeight w:val="20"/>
        </w:trPr>
        <w:tc>
          <w:tcPr>
            <w:tcW w:w="50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-170815</wp:posOffset>
            </wp:positionV>
            <wp:extent cx="514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-170815</wp:posOffset>
            </wp:positionV>
            <wp:extent cx="431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research and development expenses were primarily related to clinical trials, non-clinical studies, and manufacturing of clinical drug supply.</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108"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Company leases space under non-cancelable operating lease, which requires the Company to pay base rent, real estate taxes, insurance, general repairs, and maintenance. The Company does not have finance leases.</w:t>
      </w:r>
    </w:p>
    <w:p>
      <w:pPr>
        <w:spacing w:after="0" w:line="68" w:lineRule="exact"/>
        <w:rPr>
          <w:sz w:val="20"/>
          <w:szCs w:val="20"/>
          <w:color w:val="auto"/>
        </w:rPr>
      </w:pPr>
    </w:p>
    <w:p>
      <w:pPr>
        <w:jc w:val="both"/>
        <w:ind w:right="120" w:firstLine="509"/>
        <w:spacing w:after="0" w:line="247" w:lineRule="auto"/>
        <w:rPr>
          <w:sz w:val="20"/>
          <w:szCs w:val="20"/>
          <w:color w:val="auto"/>
        </w:rPr>
      </w:pPr>
      <w:r>
        <w:rPr>
          <w:rFonts w:ascii="Times New Roman" w:cs="Times New Roman" w:eastAsia="Times New Roman" w:hAnsi="Times New Roman"/>
          <w:sz w:val="18"/>
          <w:szCs w:val="18"/>
          <w:color w:val="auto"/>
        </w:rPr>
        <w:t>In February 2020, the Company entered into a non-cancelable operating lease for office space with a commencement date of September 2020. The monthly payments escalate over the 63-month term with total gross commitments of $2.3 million. The lease includes an option to renew the lease term for an additional period of 60 months. The renewal option is not included in the lease term as the Company is not reasonably certain to exercise the option.</w:t>
      </w:r>
    </w:p>
    <w:p>
      <w:pPr>
        <w:ind w:right="100"/>
        <w:spacing w:after="0" w:line="276" w:lineRule="auto"/>
        <w:rPr>
          <w:sz w:val="20"/>
          <w:szCs w:val="20"/>
          <w:color w:val="auto"/>
        </w:rPr>
      </w:pPr>
      <w:r>
        <w:rPr>
          <w:rFonts w:ascii="Times New Roman" w:cs="Times New Roman" w:eastAsia="Times New Roman" w:hAnsi="Times New Roman"/>
          <w:sz w:val="18"/>
          <w:szCs w:val="18"/>
          <w:color w:val="auto"/>
        </w:rPr>
        <w:t>Lease incentives, which relate to rent abatement, were considered in the calculation of the lease liability and right-of-use asset. Lease expense for the three months ended March 31, 2022 and 2021 was $0.1 million and $0.1 million, respectively.</w:t>
      </w:r>
    </w:p>
    <w:p>
      <w:pPr>
        <w:spacing w:after="0" w:line="59" w:lineRule="exact"/>
        <w:rPr>
          <w:sz w:val="20"/>
          <w:szCs w:val="20"/>
          <w:color w:val="auto"/>
        </w:rPr>
      </w:pPr>
    </w:p>
    <w:p>
      <w:pPr>
        <w:ind w:right="140" w:firstLine="509"/>
        <w:spacing w:after="0" w:line="250" w:lineRule="auto"/>
        <w:rPr>
          <w:sz w:val="20"/>
          <w:szCs w:val="20"/>
          <w:color w:val="auto"/>
        </w:rPr>
      </w:pPr>
      <w:r>
        <w:rPr>
          <w:rFonts w:ascii="Times New Roman" w:cs="Times New Roman" w:eastAsia="Times New Roman" w:hAnsi="Times New Roman"/>
          <w:sz w:val="18"/>
          <w:szCs w:val="18"/>
          <w:color w:val="auto"/>
        </w:rPr>
        <w:t>Lease right-of-use assets and liabilities are recognized at the commencement date based on the present value of the remaining minimum lease payments over the lease term, with certain adjustments. As the leases do not provide an implicit rate, the Company uses a collateralized incremental borrowing rate based on the information available at the commencement date to determine the lease liability. As of March 31, 2022, the weighted-average remaining lease term for operating leases was 3.7 years and the weighted-average discount rate was 7.0%. Cash paid for amounts included in the measurement of lease liabilities was $0.1 million and $37 thousand for the three months ended March 31, 2022 and 2021, respectively.</w:t>
      </w:r>
    </w:p>
    <w:p>
      <w:pPr>
        <w:spacing w:after="0" w:line="69" w:lineRule="exact"/>
        <w:rPr>
          <w:sz w:val="20"/>
          <w:szCs w:val="20"/>
          <w:color w:val="auto"/>
        </w:rPr>
      </w:pPr>
    </w:p>
    <w:p>
      <w:pPr>
        <w:ind w:firstLine="509"/>
        <w:spacing w:after="0" w:line="273" w:lineRule="auto"/>
        <w:rPr>
          <w:sz w:val="20"/>
          <w:szCs w:val="20"/>
          <w:color w:val="auto"/>
        </w:rPr>
      </w:pPr>
      <w:r>
        <w:rPr>
          <w:rFonts w:ascii="Times New Roman" w:cs="Times New Roman" w:eastAsia="Times New Roman" w:hAnsi="Times New Roman"/>
          <w:sz w:val="17"/>
          <w:szCs w:val="17"/>
          <w:color w:val="auto"/>
        </w:rPr>
        <w:t>The Company recognizes monthly operating lease expense on a straight-line basis over the term of the lease. Variable lease expense relates primarily to office lease common area maintenance, insurance, and property taxes, is expensed as incurred, and is excluded from the calculation of the lease liability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right-of-use-asset.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Term Loan</w:t>
      </w:r>
    </w:p>
    <w:p>
      <w:pPr>
        <w:spacing w:after="0" w:line="108"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In September 2019, the Company entered into a Loan and Security Agreement (the Loan Agreement) with Silicon Valley Bank (SVB) providing for a term loan (the Term Loan). In April 2020, the Company and SVB entered into an agreement (the Deferral Agreement) whereby the parties agreed to extend the interest-only period (the Interest-Only-Period), repayment dates of all monthly payments of principal due and the maturity date with respect to the Term Loan by six months. All other terms under the Loan Agreement remained unchanged at that time. The Deferral Agreement was determined to be a debt modification, resulting in a prospective yield adjustment based on the revised terms.</w:t>
      </w:r>
    </w:p>
    <w:p>
      <w:pPr>
        <w:spacing w:after="0" w:line="87" w:lineRule="exact"/>
        <w:rPr>
          <w:sz w:val="20"/>
          <w:szCs w:val="20"/>
          <w:color w:val="auto"/>
        </w:rPr>
      </w:pPr>
    </w:p>
    <w:p>
      <w:pPr>
        <w:jc w:val="both"/>
        <w:ind w:right="120" w:firstLine="509"/>
        <w:spacing w:after="0" w:line="250" w:lineRule="auto"/>
        <w:rPr>
          <w:sz w:val="20"/>
          <w:szCs w:val="20"/>
          <w:color w:val="auto"/>
        </w:rPr>
      </w:pPr>
      <w:r>
        <w:rPr>
          <w:rFonts w:ascii="Times New Roman" w:cs="Times New Roman" w:eastAsia="Times New Roman" w:hAnsi="Times New Roman"/>
          <w:sz w:val="18"/>
          <w:szCs w:val="18"/>
          <w:color w:val="auto"/>
        </w:rPr>
        <w:t>In connection with the Loan Agreement, the Company issued a warrant to purchase up to an aggregate of 49,609 shares of common stock at $1.44 per share. The Company determined the initial fair value of the warrant to be $0.1 million using the Black-Scholes option-pricing model. The fair value of the warrant was recorded to equity and as a debt discount, which was being amortized to interest expense using the effective interest method over the term of the Term Loan. In November 2020, the warrant was net-exercised for 46,358 shares of common stock.</w:t>
      </w:r>
    </w:p>
    <w:p>
      <w:pPr>
        <w:spacing w:after="0" w:line="69" w:lineRule="exact"/>
        <w:rPr>
          <w:sz w:val="20"/>
          <w:szCs w:val="20"/>
          <w:color w:val="auto"/>
        </w:rPr>
      </w:pPr>
    </w:p>
    <w:p>
      <w:pPr>
        <w:ind w:right="60" w:firstLine="509"/>
        <w:spacing w:after="0" w:line="245" w:lineRule="auto"/>
        <w:rPr>
          <w:sz w:val="20"/>
          <w:szCs w:val="20"/>
          <w:color w:val="auto"/>
        </w:rPr>
      </w:pPr>
      <w:r>
        <w:rPr>
          <w:rFonts w:ascii="Times New Roman" w:cs="Times New Roman" w:eastAsia="Times New Roman" w:hAnsi="Times New Roman"/>
          <w:sz w:val="18"/>
          <w:szCs w:val="18"/>
          <w:color w:val="auto"/>
        </w:rPr>
        <w:t>In March 2021, the Company entered into a First Amendment to Loan and Security Agreement (the First Amendment), pursuant to which the Company and SVB amended the Loan Agreement. The First Amendment increased the aggregate principal amount of the Term Loan commitment by SVB to up to $30.0 million. Up to $20.0 million was available under the first tranche of the Term Loan (First Tranche), $5.0 million of which was advanced immediately to repay the outstanding obligations under the Term Loan prior to the First Amendment with the remainder of the First Tranche commitment available through December 31, 2021, and up to $10.0 million is available under the second tranche (Second Tranche), subject to the completion of certain clinical or financial milestones, which Second Tranche commitment is available through December 31, 2022. Pursuant to the First Amendment, the Term Loan will mature on January 1, 2026. The First Amendment was determined to be a debt modification.</w:t>
      </w:r>
    </w:p>
    <w:p>
      <w:pPr>
        <w:spacing w:after="0" w:line="73"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Pursuant to the First Amendment, the Company is required to make monthly payments of interest only commencing on the first day of the month following the funding date of each respective tranche and continuing thereafter through December 31, 2022 to the extent that the Company does not borrow any part of the Second Tranche or December 31, 2023 if the Company has borrowed some or all of the Second Tranche. Outstanding principal balances under the Term Loan, as amended by the First Amendment, bear interest at a floating per annum rate equal to (A) if the Company does not borrow under the Second Tranche, the greater of (x) 1% above the prime rate or (y) 4.25%; or (B) if the Company does borrow under the Second Tranche, the greater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 3% above the prime rate or (y) 6.25%.</w:t>
      </w:r>
    </w:p>
    <w:p>
      <w:pPr>
        <w:spacing w:after="0" w:line="85"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7"/>
          <w:szCs w:val="17"/>
          <w:color w:val="auto"/>
        </w:rPr>
        <w:t>Following the interest-only period, the outstanding Term Loan balance will be payable in (i) 37 consecutive monthly payments (or 25 if the Company borrows under the Second Tranche) after the end of the Interest-Only Period and continuing on the same day of each month thereafter, in amounts that would fully amortize such Term Loan balance, as of the first business day of the first month following the Interest-Only Period, over the repayment period, plus (ii) monthly payments of accrued but unpaid interest. The final payment due on the maturity date shall include all outstanding principal and all accrued unpaid interest and an end of term payment totaling (x) 6% of the original funded principal amount of the First Tranche if the Company does not borrow under the Second Tranche, or (y) 9.5% of the total original funded principal amount under the First and Second Tranche if the Company does borrow under the Second Tranche (the End of Term Payment). The Company may prepay amounts outstanding under the Term Loan at any time provided certain notification conditions are met, in which case, all outstanding principal plus accrued and unpaid interest, the End of Term Payment, a prepayment fee between 1% and 3% of the commitment amount of the First and Second Tranches, and any bank expenses become due and payable.</w:t>
      </w:r>
    </w:p>
    <w:p>
      <w:pPr>
        <w:spacing w:after="0" w:line="80" w:lineRule="exact"/>
        <w:rPr>
          <w:sz w:val="20"/>
          <w:szCs w:val="20"/>
          <w:color w:val="auto"/>
        </w:rPr>
      </w:pPr>
    </w:p>
    <w:p>
      <w:pPr>
        <w:ind w:right="60" w:firstLine="509"/>
        <w:spacing w:after="0" w:line="246" w:lineRule="auto"/>
        <w:rPr>
          <w:sz w:val="20"/>
          <w:szCs w:val="20"/>
          <w:color w:val="auto"/>
        </w:rPr>
      </w:pPr>
      <w:r>
        <w:rPr>
          <w:rFonts w:ascii="Times New Roman" w:cs="Times New Roman" w:eastAsia="Times New Roman" w:hAnsi="Times New Roman"/>
          <w:sz w:val="18"/>
          <w:szCs w:val="18"/>
          <w:color w:val="auto"/>
        </w:rPr>
        <w:t>The Company incurred $10.0 thousand of debt issuance costs in connection with the First Amendment and had unamortized issuance costs and unamortized debt discount under the Loan Agreement of $2.0 thousand and $16.0 thousand, respectively. The Company recorded these costs, including the unaccreted portion of the final payment obligation under the Loan Agreement as a discount from the carrying value of the Term Loan, which are being amortized using the effective interest method over the life of the First Amendment. The unamortized debt issuance costs and debt discount balance was $0.1 million as of March 31, 2022.</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Term Loan and unamortized discount and debt issuance costs balances as of March 31, 2022 are shown below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40" w:type="dxa"/>
            <w:vAlign w:val="bottom"/>
          </w:tcPr>
          <w:p>
            <w:pPr>
              <w:spacing w:after="0"/>
              <w:rPr>
                <w:sz w:val="13"/>
                <w:szCs w:val="13"/>
                <w:color w:val="auto"/>
              </w:rPr>
            </w:pPr>
          </w:p>
        </w:tc>
      </w:tr>
      <w:tr>
        <w:trPr>
          <w:trHeight w:val="187"/>
        </w:trPr>
        <w:tc>
          <w:tcPr>
            <w:tcW w:w="226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210"/>
        </w:trPr>
        <w:tc>
          <w:tcPr>
            <w:tcW w:w="2260" w:type="dxa"/>
            <w:vAlign w:val="bottom"/>
          </w:tcPr>
          <w:p>
            <w:pPr>
              <w:spacing w:after="0"/>
              <w:rPr>
                <w:sz w:val="18"/>
                <w:szCs w:val="18"/>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Term Loan debt</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FF0FC"/>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unamortized discount and debt issuance costs</w:t>
            </w:r>
          </w:p>
        </w:tc>
        <w:tc>
          <w:tcPr>
            <w:tcW w:w="2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(110 )</w:t>
            </w:r>
          </w:p>
        </w:tc>
        <w:tc>
          <w:tcPr>
            <w:tcW w:w="2240" w:type="dxa"/>
            <w:vAlign w:val="bottom"/>
          </w:tcPr>
          <w:p>
            <w:pPr>
              <w:spacing w:after="0"/>
              <w:rPr>
                <w:sz w:val="18"/>
                <w:szCs w:val="18"/>
                <w:color w:val="auto"/>
              </w:rPr>
            </w:pPr>
          </w:p>
        </w:tc>
      </w:tr>
      <w:tr>
        <w:trPr>
          <w:trHeight w:val="210"/>
        </w:trPr>
        <w:tc>
          <w:tcPr>
            <w:tcW w:w="2260" w:type="dxa"/>
            <w:vAlign w:val="bottom"/>
          </w:tcPr>
          <w:p>
            <w:pPr>
              <w:spacing w:after="0"/>
              <w:rPr>
                <w:sz w:val="18"/>
                <w:szCs w:val="18"/>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Term Loan, net</w:t>
            </w:r>
          </w:p>
        </w:tc>
        <w:tc>
          <w:tcPr>
            <w:tcW w:w="22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4,890</w:t>
            </w:r>
          </w:p>
        </w:tc>
        <w:tc>
          <w:tcPr>
            <w:tcW w:w="100" w:type="dxa"/>
            <w:vAlign w:val="bottom"/>
            <w:shd w:val="clear" w:color="auto" w:fill="CFF0FC"/>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Term Loan, current portion</w:t>
            </w:r>
          </w:p>
        </w:tc>
        <w:tc>
          <w:tcPr>
            <w:tcW w:w="2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(405 )</w:t>
            </w:r>
          </w:p>
        </w:tc>
        <w:tc>
          <w:tcPr>
            <w:tcW w:w="2240" w:type="dxa"/>
            <w:vAlign w:val="bottom"/>
          </w:tcPr>
          <w:p>
            <w:pPr>
              <w:spacing w:after="0"/>
              <w:rPr>
                <w:sz w:val="18"/>
                <w:szCs w:val="18"/>
                <w:color w:val="auto"/>
              </w:rPr>
            </w:pPr>
          </w:p>
        </w:tc>
      </w:tr>
      <w:tr>
        <w:trPr>
          <w:trHeight w:val="250"/>
        </w:trPr>
        <w:tc>
          <w:tcPr>
            <w:tcW w:w="2260" w:type="dxa"/>
            <w:vAlign w:val="bottom"/>
          </w:tcPr>
          <w:p>
            <w:pPr>
              <w:spacing w:after="0"/>
              <w:rPr>
                <w:sz w:val="21"/>
                <w:szCs w:val="21"/>
                <w:color w:val="auto"/>
              </w:rPr>
            </w:pPr>
          </w:p>
        </w:tc>
        <w:tc>
          <w:tcPr>
            <w:tcW w:w="5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Term loan, net of current portion</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4,485</w:t>
            </w:r>
          </w:p>
        </w:tc>
        <w:tc>
          <w:tcPr>
            <w:tcW w:w="100" w:type="dxa"/>
            <w:vAlign w:val="bottom"/>
            <w:tcBorders>
              <w:bottom w:val="single" w:sz="8" w:color="CFF0FC"/>
            </w:tcBorders>
            <w:shd w:val="clear" w:color="auto" w:fill="CFF0FC"/>
          </w:tcPr>
          <w:p>
            <w:pPr>
              <w:spacing w:after="0"/>
              <w:rPr>
                <w:sz w:val="21"/>
                <w:szCs w:val="21"/>
                <w:color w:val="auto"/>
              </w:rPr>
            </w:pPr>
          </w:p>
        </w:tc>
        <w:tc>
          <w:tcPr>
            <w:tcW w:w="2240" w:type="dxa"/>
            <w:vAlign w:val="bottom"/>
          </w:tcPr>
          <w:p>
            <w:pPr>
              <w:spacing w:after="0"/>
              <w:rPr>
                <w:sz w:val="21"/>
                <w:szCs w:val="21"/>
                <w:color w:val="auto"/>
              </w:rPr>
            </w:pPr>
          </w:p>
        </w:tc>
      </w:tr>
      <w:tr>
        <w:trPr>
          <w:trHeight w:val="615"/>
        </w:trPr>
        <w:tc>
          <w:tcPr>
            <w:tcW w:w="2260" w:type="dxa"/>
            <w:vAlign w:val="bottom"/>
          </w:tcPr>
          <w:p>
            <w:pPr>
              <w:spacing w:after="0"/>
              <w:rPr>
                <w:sz w:val="24"/>
                <w:szCs w:val="24"/>
                <w:color w:val="auto"/>
              </w:rPr>
            </w:pPr>
          </w:p>
        </w:tc>
        <w:tc>
          <w:tcPr>
            <w:tcW w:w="5340" w:type="dxa"/>
            <w:vAlign w:val="bottom"/>
          </w:tcPr>
          <w:p>
            <w:pPr>
              <w:ind w:left="3280"/>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15"/>
        </w:trPr>
        <w:tc>
          <w:tcPr>
            <w:tcW w:w="2260" w:type="dxa"/>
            <w:vAlign w:val="bottom"/>
            <w:tcBorders>
              <w:bottom w:val="single" w:sz="8" w:color="9A9A9A"/>
            </w:tcBorders>
          </w:tcPr>
          <w:p>
            <w:pPr>
              <w:spacing w:after="0"/>
              <w:rPr>
                <w:sz w:val="10"/>
                <w:szCs w:val="10"/>
                <w:color w:val="auto"/>
              </w:rPr>
            </w:pPr>
          </w:p>
        </w:tc>
        <w:tc>
          <w:tcPr>
            <w:tcW w:w="53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-513715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-496570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right="180" w:firstLine="509"/>
        <w:spacing w:after="0" w:line="280" w:lineRule="auto"/>
        <w:rPr>
          <w:sz w:val="20"/>
          <w:szCs w:val="20"/>
          <w:color w:val="auto"/>
        </w:rPr>
      </w:pPr>
      <w:r>
        <w:rPr>
          <w:rFonts w:ascii="Times New Roman" w:cs="Times New Roman" w:eastAsia="Times New Roman" w:hAnsi="Times New Roman"/>
          <w:sz w:val="17"/>
          <w:szCs w:val="17"/>
          <w:color w:val="auto"/>
        </w:rPr>
        <w:t>The Company is subject to customary affirmative and restrictive covenants under the Loan Agreement, as amended. The Company’s obligations under the Loan Agreement, as amended, are secured by a first priority security interest in substantially all of its current and future assets, other than intellectual property. The Company also agreed not to encumber its intellectual property assets, except as permitted by the Loan Agreement, as amended.</w:t>
      </w:r>
    </w:p>
    <w:p>
      <w:pPr>
        <w:spacing w:after="0" w:line="45"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The Loan Agreement, as amended, also contains customary indemnification obligations and customary events of default, including, among other things, the Company’s failure to fulfill certain obligations under the Loan Agreement, as amended, and the occurrence of a material adverse change in its business, operations, or condition (financial or otherwise), a material impairment of the prospect of repayment of any portion of the loan, or a material impairment in the perfection or priority of lender’s lien in the collateral or in the value of such collateral. In the event of default by the Company under the Loan Agreement, as amended, the lender would be entitled to exercise their remedies thereunder, including the right to accelerate the debt, upon which the Company may be required to repay all amounts then outstanding under the Loan Agreement, as amended. As of March 31, 2022, management believes that the Company was in compliance with all financial covenants under the Loan Agreement, as amended, and there had been no material adverse change.</w:t>
      </w:r>
    </w:p>
    <w:p>
      <w:pPr>
        <w:spacing w:after="0" w:line="100" w:lineRule="exact"/>
        <w:rPr>
          <w:sz w:val="20"/>
          <w:szCs w:val="20"/>
          <w:color w:val="auto"/>
        </w:rPr>
      </w:pPr>
    </w:p>
    <w:p>
      <w:pPr>
        <w:ind w:right="360" w:firstLine="509"/>
        <w:spacing w:after="0" w:line="329" w:lineRule="auto"/>
        <w:rPr>
          <w:sz w:val="20"/>
          <w:szCs w:val="20"/>
          <w:color w:val="auto"/>
        </w:rPr>
      </w:pPr>
      <w:r>
        <w:rPr>
          <w:rFonts w:ascii="Times New Roman" w:cs="Times New Roman" w:eastAsia="Times New Roman" w:hAnsi="Times New Roman"/>
          <w:sz w:val="18"/>
          <w:szCs w:val="18"/>
          <w:color w:val="auto"/>
        </w:rPr>
        <w:t>The Company made interest payments on the Term Loan of $53 thousand and $54 thousand during the three months ended March 31, 2022 and 2021, respectively.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108"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From time to time, the Company may have certain contingent liabilities that arise in the ordinary course of business. The Company evaluates the likelihood of an unfavorable outcome in legal or regulatory proceedings to which it is a party and records a loss contingency on an undiscounted basis when it is probable that a liability has been incurred and the amount of the loss can be reasonably estimated. These judgments are subjective and based on the status of such legal proceedings, the merits of the Company’s defenses, and consultation with legal counsel. Actual outcomes of these legal proceedings may differ materially from the Company’s estimates.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Agreement</w:t>
      </w:r>
    </w:p>
    <w:p>
      <w:pPr>
        <w:spacing w:after="0" w:line="108" w:lineRule="exact"/>
        <w:rPr>
          <w:sz w:val="20"/>
          <w:szCs w:val="20"/>
          <w:color w:val="auto"/>
        </w:rPr>
      </w:pPr>
    </w:p>
    <w:p>
      <w:pPr>
        <w:jc w:val="both"/>
        <w:ind w:right="80" w:firstLine="509"/>
        <w:spacing w:after="0" w:line="262" w:lineRule="auto"/>
        <w:rPr>
          <w:sz w:val="20"/>
          <w:szCs w:val="20"/>
          <w:color w:val="auto"/>
        </w:rPr>
      </w:pPr>
      <w:r>
        <w:rPr>
          <w:rFonts w:ascii="Times New Roman" w:cs="Times New Roman" w:eastAsia="Times New Roman" w:hAnsi="Times New Roman"/>
          <w:sz w:val="17"/>
          <w:szCs w:val="17"/>
          <w:color w:val="auto"/>
        </w:rPr>
        <w:t>In May 2016, the Company entered into a license agreement (the License Agreement), with Eli Lilly and Company (Lilly). Pursuant to the terms of the License Agreement, Lilly granted the Company an exclusive, worldwide, royalty bearing, sublicensable license under certain technology, patent rights, know-how and proprietary materials related to certain compounds, to research, develop, and commercialize such compounds for all pharmaceutical uses.</w:t>
      </w:r>
    </w:p>
    <w:p>
      <w:pPr>
        <w:spacing w:after="0" w:line="1" w:lineRule="exact"/>
        <w:rPr>
          <w:sz w:val="20"/>
          <w:szCs w:val="20"/>
          <w:color w:val="auto"/>
        </w:rPr>
      </w:pPr>
    </w:p>
    <w:p>
      <w:pPr>
        <w:ind w:right="140"/>
        <w:spacing w:after="0" w:line="242" w:lineRule="auto"/>
        <w:rPr>
          <w:sz w:val="20"/>
          <w:szCs w:val="20"/>
          <w:color w:val="auto"/>
        </w:rPr>
      </w:pPr>
      <w:r>
        <w:rPr>
          <w:rFonts w:ascii="Times New Roman" w:cs="Times New Roman" w:eastAsia="Times New Roman" w:hAnsi="Times New Roman"/>
          <w:sz w:val="18"/>
          <w:szCs w:val="18"/>
          <w:color w:val="auto"/>
        </w:rPr>
        <w:t>The Company is also required to pay Lilly up to an aggregate of $23.0 million upon the achievement, during the time the License Agreement remains in effect, of certain milestones relating to the clinical development and commercial sales of products licensed under the License Agreement. Such payments are for predetermined fixed amounts, are paid only upon the first occurrence of each event and are due shortly after achieving the applicable milestone. In addition, the Company is required to pay Lilly tiered royalties on annual worldwide net sales with rates ranging from mid-single digits to sub-teens. No additional amounts were paid by the Company to Lilly during any of the periods presented, nor were due as of such dates pursuant to the License Agreement.</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94" w:lineRule="exact"/>
        <w:rPr>
          <w:sz w:val="20"/>
          <w:szCs w:val="20"/>
          <w:color w:val="auto"/>
        </w:rPr>
      </w:pPr>
    </w:p>
    <w:p>
      <w:pPr>
        <w:jc w:val="both"/>
        <w:ind w:right="540" w:firstLine="509"/>
        <w:spacing w:after="0" w:line="250" w:lineRule="auto"/>
        <w:rPr>
          <w:sz w:val="20"/>
          <w:szCs w:val="20"/>
          <w:color w:val="auto"/>
        </w:rPr>
      </w:pPr>
      <w:r>
        <w:rPr>
          <w:rFonts w:ascii="Times New Roman" w:cs="Times New Roman" w:eastAsia="Times New Roman" w:hAnsi="Times New Roman"/>
          <w:sz w:val="18"/>
          <w:szCs w:val="18"/>
          <w:color w:val="auto"/>
        </w:rPr>
        <w:t>The Company’s industry is characterized by frequent claims and litigation, including claims regarding intellectual property. As a result, the Company may be subject to various legal proceedings from time to time. The results of any future litigation cannot be predicted with certainty, and regardless of the outcome, litigation can have an adverse impact on the Company because of defense and settlement costs, diversion of management resources and other factors. The Company was not subject to any material legal proceedings during the three months ended March 31, 2022.</w:t>
      </w:r>
    </w:p>
    <w:p>
      <w:pPr>
        <w:spacing w:after="0" w:line="65" w:lineRule="exact"/>
        <w:rPr>
          <w:sz w:val="20"/>
          <w:szCs w:val="20"/>
          <w:color w:val="auto"/>
        </w:rPr>
      </w:pPr>
    </w:p>
    <w:p>
      <w:pPr>
        <w:ind w:right="9680" w:firstLine="8"/>
        <w:spacing w:after="0" w:line="370" w:lineRule="auto"/>
        <w:tabs>
          <w:tab w:leader="none" w:pos="1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Structure Common Stock</w:t>
      </w: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As of March 31, 2022 and December 31, 2021, the Company was authorized to issue 200,000,000 shares of common stock $0.0001 par value per share. Holders of the Company’s common stock are entitled to dividends if and when declared by the Board of Directors of the Company (Board of Directors). The holder of each share of common stock is entitled to one vote. As of March 31, 2022, no dividends were declared.</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Shares reserved for future issuance</w:t>
      </w:r>
    </w:p>
    <w:p>
      <w:pPr>
        <w:spacing w:after="0" w:line="1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Common stock reserved for future issuance, on an as converted basis, consisted of the following:</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31"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132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3"/>
                <w:szCs w:val="13"/>
                <w:color w:val="auto"/>
              </w:rPr>
            </w:pPr>
          </w:p>
        </w:tc>
        <w:tc>
          <w:tcPr>
            <w:tcW w:w="132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3"/>
                <w:szCs w:val="13"/>
                <w:color w:val="auto"/>
              </w:rPr>
            </w:pPr>
          </w:p>
        </w:tc>
      </w:tr>
      <w:tr>
        <w:trPr>
          <w:trHeight w:val="187"/>
        </w:trPr>
        <w:tc>
          <w:tcPr>
            <w:tcW w:w="5000" w:type="dxa"/>
            <w:vAlign w:val="bottom"/>
          </w:tcPr>
          <w:p>
            <w:pPr>
              <w:spacing w:after="0"/>
              <w:rPr>
                <w:sz w:val="16"/>
                <w:szCs w:val="16"/>
                <w:color w:val="auto"/>
              </w:rPr>
            </w:pPr>
          </w:p>
        </w:tc>
        <w:tc>
          <w:tcPr>
            <w:tcW w:w="13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80" w:type="dxa"/>
            <w:vAlign w:val="bottom"/>
            <w:gridSpan w:val="2"/>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6"/>
                <w:szCs w:val="16"/>
                <w:color w:val="auto"/>
              </w:rPr>
            </w:pPr>
          </w:p>
        </w:tc>
      </w:tr>
      <w:tr>
        <w:trPr>
          <w:trHeight w:val="209"/>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issued and outstanding</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3,116,334</w:t>
            </w:r>
          </w:p>
        </w:tc>
        <w:tc>
          <w:tcPr>
            <w:tcW w:w="160" w:type="dxa"/>
            <w:vAlign w:val="bottom"/>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2,215,942</w:t>
            </w:r>
          </w:p>
        </w:tc>
        <w:tc>
          <w:tcPr>
            <w:tcW w:w="60" w:type="dxa"/>
            <w:vAlign w:val="bottom"/>
            <w:shd w:val="clear" w:color="auto" w:fill="CFF0FC"/>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Restricted and performance stock units, issued and outstanding</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528,200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460,000</w:t>
            </w:r>
          </w:p>
        </w:tc>
        <w:tc>
          <w:tcPr>
            <w:tcW w:w="60" w:type="dxa"/>
            <w:vAlign w:val="bottom"/>
          </w:tcPr>
          <w:p>
            <w:pPr>
              <w:spacing w:after="0"/>
              <w:rPr>
                <w:sz w:val="18"/>
                <w:szCs w:val="18"/>
                <w:color w:val="auto"/>
              </w:rPr>
            </w:pPr>
          </w:p>
        </w:tc>
      </w:tr>
      <w:tr>
        <w:trPr>
          <w:trHeight w:val="171"/>
        </w:trPr>
        <w:tc>
          <w:tcPr>
            <w:tcW w:w="5000" w:type="dxa"/>
            <w:vAlign w:val="bottom"/>
            <w:shd w:val="clear" w:color="auto" w:fill="CFF0FC"/>
          </w:tcPr>
          <w:p>
            <w:pPr>
              <w:spacing w:after="0" w:line="170" w:lineRule="exact"/>
              <w:rPr>
                <w:sz w:val="20"/>
                <w:szCs w:val="20"/>
                <w:color w:val="auto"/>
              </w:rPr>
            </w:pPr>
            <w:r>
              <w:rPr>
                <w:rFonts w:ascii="Times New Roman" w:cs="Times New Roman" w:eastAsia="Times New Roman" w:hAnsi="Times New Roman"/>
                <w:sz w:val="18"/>
                <w:szCs w:val="18"/>
                <w:color w:val="auto"/>
              </w:rPr>
              <w:t>Shares available for future issuance under 2020 Equity Incentive</w:t>
            </w:r>
          </w:p>
        </w:tc>
        <w:tc>
          <w:tcPr>
            <w:tcW w:w="13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r>
      <w:tr>
        <w:trPr>
          <w:trHeight w:val="234"/>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Plan</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3,703,093</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2,636,506</w:t>
            </w:r>
          </w:p>
        </w:tc>
        <w:tc>
          <w:tcPr>
            <w:tcW w:w="60" w:type="dxa"/>
            <w:vAlign w:val="bottom"/>
            <w:shd w:val="clear" w:color="auto" w:fill="CFF0FC"/>
          </w:tcPr>
          <w:p>
            <w:pPr>
              <w:spacing w:after="0"/>
              <w:rPr>
                <w:sz w:val="20"/>
                <w:szCs w:val="20"/>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Employee stock purchase plan, available for future issuance</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668,118</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433,200</w:t>
            </w:r>
          </w:p>
        </w:tc>
        <w:tc>
          <w:tcPr>
            <w:tcW w:w="60" w:type="dxa"/>
            <w:vAlign w:val="bottom"/>
          </w:tcPr>
          <w:p>
            <w:pPr>
              <w:spacing w:after="0"/>
              <w:rPr>
                <w:sz w:val="18"/>
                <w:szCs w:val="18"/>
                <w:color w:val="auto"/>
              </w:rPr>
            </w:pPr>
          </w:p>
        </w:tc>
      </w:tr>
      <w:tr>
        <w:trPr>
          <w:trHeight w:val="249"/>
        </w:trPr>
        <w:tc>
          <w:tcPr>
            <w:tcW w:w="5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shares reserved</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8,015,745</w:t>
            </w:r>
          </w:p>
        </w:tc>
        <w:tc>
          <w:tcPr>
            <w:tcW w:w="16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5,745,648</w:t>
            </w:r>
          </w:p>
        </w:tc>
        <w:tc>
          <w:tcPr>
            <w:tcW w:w="6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-25400</wp:posOffset>
            </wp:positionV>
            <wp:extent cx="3429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-7620</wp:posOffset>
            </wp:positionV>
            <wp:extent cx="3429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-25400</wp:posOffset>
            </wp:positionV>
            <wp:extent cx="3429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3429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313" w:lineRule="exact"/>
        <w:rPr>
          <w:sz w:val="20"/>
          <w:szCs w:val="20"/>
          <w:color w:val="auto"/>
        </w:rPr>
      </w:pPr>
    </w:p>
    <w:p>
      <w:pPr>
        <w:ind w:firstLine="509"/>
        <w:spacing w:after="0" w:line="229" w:lineRule="auto"/>
        <w:rPr>
          <w:sz w:val="20"/>
          <w:szCs w:val="20"/>
          <w:color w:val="auto"/>
        </w:rPr>
      </w:pPr>
      <w:r>
        <w:rPr>
          <w:rFonts w:ascii="Times New Roman" w:cs="Times New Roman" w:eastAsia="Times New Roman" w:hAnsi="Times New Roman"/>
          <w:sz w:val="18"/>
          <w:szCs w:val="18"/>
          <w:color w:val="auto"/>
        </w:rPr>
        <w:t>In February 2022, the SEC declared effective a registration statement on Form S-3 (Shelf Registration) covering the sale of up to $200.0 million of the Company's securities. Also, in February 2022, the Company entered into an Open Market Sales Agreement</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(Sales Agreement), with Jefferies LLC (Jefferies), pursuant to which the Company may elect to issue and sell, from time to time, shares of common stock having an aggregate offering price of up to $21.0 million under the Shelf Registration through Jefferies acting as the sales agent and/or principal. As of March 31, 2022, the Company has issued no shares of common stock pursuant to the Sales Agreement.</w:t>
      </w:r>
    </w:p>
    <w:p>
      <w:pPr>
        <w:spacing w:after="0" w:line="90" w:lineRule="exact"/>
        <w:rPr>
          <w:sz w:val="20"/>
          <w:szCs w:val="20"/>
          <w:color w:val="auto"/>
        </w:rPr>
      </w:pPr>
    </w:p>
    <w:p>
      <w:pPr>
        <w:ind w:right="6000" w:firstLine="8"/>
        <w:spacing w:after="0" w:line="362" w:lineRule="auto"/>
        <w:tabs>
          <w:tab w:leader="none" w:pos="27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Incentive Plans and Stock-Based Compensation Expense Equity Incentive Plans</w:t>
      </w:r>
    </w:p>
    <w:p>
      <w:pPr>
        <w:spacing w:after="0" w:line="1" w:lineRule="exact"/>
        <w:rPr>
          <w:sz w:val="20"/>
          <w:szCs w:val="20"/>
          <w:color w:val="auto"/>
        </w:rPr>
      </w:pPr>
    </w:p>
    <w:p>
      <w:pPr>
        <w:ind w:right="80" w:firstLine="509"/>
        <w:spacing w:after="0" w:line="244" w:lineRule="auto"/>
        <w:rPr>
          <w:sz w:val="20"/>
          <w:szCs w:val="20"/>
          <w:color w:val="auto"/>
        </w:rPr>
      </w:pPr>
      <w:r>
        <w:rPr>
          <w:rFonts w:ascii="Times New Roman" w:cs="Times New Roman" w:eastAsia="Times New Roman" w:hAnsi="Times New Roman"/>
          <w:sz w:val="18"/>
          <w:szCs w:val="18"/>
          <w:color w:val="auto"/>
        </w:rPr>
        <w:t>The Company adopted the 2020 Equity Incentive Plan (the 2020 Plan) in October 2020. The 2020 Plan is a successor to and continuation of the Amended and Restated 2016 Equity Incentive Plan (the 2016 Plan) and provides for the granting of stock options, stock appreciation rights, restricted stock, restricted stock units, and other stock or cash-based awards to individuals who are then employees, officers, directors or consultants. A total of 2,647,684 shares of common stock were approved to be initially reserved for issuance under the 2020 Plan, inclusive of the shares that remained available for issuance under the 2016 Plan at the time the 2020 Plan became effective. In addition, the number of shares of common stock available for issuance under the 2020 Plan will be automatically increased on the first day of each calendar year during the ten-year term of the 2020 Plan, beginning with January 1, 2021 and ending with January 1, 2030, by an amount equal to 5% of the outstanding number of shares of the Company’s common stock on December 31st of the preceding calendar year or such lesser amount as determined by the Company’s Board of Directors. No further grants will be made under the 2016 Plan; however, shares subject to awards granted under the 2016 Plan will continue to be governed by the 2016 Plan.</w:t>
      </w:r>
    </w:p>
    <w:p>
      <w:pPr>
        <w:spacing w:after="0" w:line="77"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Under the 2020 Plan and the 2016 Plan, individuals can be granted the ability to early exercise their options. There were no shares, related to the early exercise of options, subject to repurchase by the Company as of March 31, 2022. As of March 31, 2022, a total of 4,985,297 shares were authorized for issuance under the 2020 Plan and 3,703,093 shares remained available for issuance, and a total of 1,362,330 shares were authorized for issuance under the 2016 Plan and no shares remained available for issuance.</w:t>
      </w:r>
    </w:p>
    <w:p>
      <w:pPr>
        <w:spacing w:after="0" w:line="17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 summary of the Company’s stock option activity and related information is as follows (in thousands, except share and per share amounts):</w:t>
      </w:r>
    </w:p>
    <w:p>
      <w:pPr>
        <w:spacing w:after="0" w:line="2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vMerge w:val="restart"/>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13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restart"/>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5320" w:type="dxa"/>
            <w:vAlign w:val="bottom"/>
          </w:tcPr>
          <w:p>
            <w:pPr>
              <w:spacing w:after="0"/>
              <w:rPr>
                <w:sz w:val="13"/>
                <w:szCs w:val="13"/>
                <w:color w:val="auto"/>
              </w:rPr>
            </w:pPr>
          </w:p>
        </w:tc>
        <w:tc>
          <w:tcPr>
            <w:tcW w:w="132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3"/>
                <w:szCs w:val="13"/>
                <w:color w:val="auto"/>
              </w:rPr>
            </w:pPr>
          </w:p>
        </w:tc>
        <w:tc>
          <w:tcPr>
            <w:tcW w:w="920" w:type="dxa"/>
            <w:vAlign w:val="bottom"/>
          </w:tcPr>
          <w:p>
            <w:pPr>
              <w:jc w:val="center"/>
              <w:ind w:right="77"/>
              <w:spacing w:after="0" w:line="160"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00" w:type="dxa"/>
            <w:vAlign w:val="bottom"/>
          </w:tcPr>
          <w:p>
            <w:pPr>
              <w:spacing w:after="0"/>
              <w:rPr>
                <w:sz w:val="13"/>
                <w:szCs w:val="13"/>
                <w:color w:val="auto"/>
              </w:rPr>
            </w:pPr>
          </w:p>
        </w:tc>
        <w:tc>
          <w:tcPr>
            <w:tcW w:w="10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center"/>
              <w:ind w:right="95"/>
              <w:spacing w:after="0" w:line="160"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32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6"/>
                <w:szCs w:val="16"/>
                <w:color w:val="auto"/>
              </w:rPr>
            </w:pPr>
          </w:p>
        </w:tc>
        <w:tc>
          <w:tcPr>
            <w:tcW w:w="92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0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2,215,942</w:t>
            </w:r>
          </w:p>
        </w:tc>
        <w:tc>
          <w:tcPr>
            <w:tcW w:w="2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200" w:type="dxa"/>
            <w:vAlign w:val="bottom"/>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8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1,146,500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(992 )</w:t>
            </w: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(245,116 )</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March 31, 2022</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3,116,334</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2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3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3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Vested and expected to vest as of March 31, 2022</w:t>
            </w: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2,976,334</w:t>
            </w:r>
          </w:p>
        </w:tc>
        <w:tc>
          <w:tcPr>
            <w:tcW w:w="22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4.40</w:t>
            </w:r>
          </w:p>
        </w:tc>
        <w:tc>
          <w:tcPr>
            <w:tcW w:w="12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c>
          <w:tcPr>
            <w:tcW w:w="3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2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Vested and exercisable as of March 31, 2022</w:t>
            </w:r>
          </w:p>
        </w:tc>
        <w:tc>
          <w:tcPr>
            <w:tcW w:w="11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1,054,905</w:t>
            </w: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3.58</w:t>
            </w:r>
          </w:p>
        </w:tc>
        <w:tc>
          <w:tcPr>
            <w:tcW w:w="126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34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442</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-350520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-334010</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-24765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-7620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Stock options vested and expected to vest differs from total stock options outstanding as it excludes performance-based stock options for which the performance criteria have not been achieved and achievement is not expected as of March 31, 2022.</w:t>
      </w:r>
    </w:p>
    <w:p>
      <w:pPr>
        <w:spacing w:after="0" w:line="1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The aggregate intrinsic values of options outstanding and exercisable were calculated as the difference between the exercise price of the options and the estimated fair value of the Company’s common stock as of the respective balance sheet date. The total intrinsic value of options exercised were $1 thousand for the three months ended March 31, 2022.</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three months ended March 31, 2022, the weighted-average fair value of options granted was $3.59 per share.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 (RSUs)</w:t>
      </w:r>
    </w:p>
    <w:p>
      <w:pPr>
        <w:spacing w:after="0" w:line="1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the Company’s RSU activity and related information is as follows:</w:t>
      </w:r>
    </w:p>
    <w:p>
      <w:pPr>
        <w:spacing w:after="0" w:line="327"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34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RSUs</w:t>
            </w:r>
          </w:p>
        </w:tc>
        <w:tc>
          <w:tcPr>
            <w:tcW w:w="15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340" w:type="dxa"/>
            <w:vAlign w:val="bottom"/>
          </w:tcPr>
          <w:p>
            <w:pPr>
              <w:spacing w:after="0"/>
              <w:rPr>
                <w:sz w:val="11"/>
                <w:szCs w:val="11"/>
                <w:color w:val="auto"/>
              </w:rPr>
            </w:pPr>
          </w:p>
        </w:tc>
        <w:tc>
          <w:tcPr>
            <w:tcW w:w="1060" w:type="dxa"/>
            <w:vAlign w:val="bottom"/>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jc w:val="right"/>
              <w:ind w:right="73"/>
              <w:spacing w:after="0" w:line="131" w:lineRule="exact"/>
              <w:rPr>
                <w:sz w:val="20"/>
                <w:szCs w:val="20"/>
                <w:color w:val="auto"/>
              </w:rPr>
            </w:pPr>
            <w:r>
              <w:rPr>
                <w:rFonts w:ascii="Times New Roman" w:cs="Times New Roman" w:eastAsia="Times New Roman" w:hAnsi="Times New Roman"/>
                <w:sz w:val="14"/>
                <w:szCs w:val="14"/>
                <w:b w:val="1"/>
                <w:bCs w:val="1"/>
                <w:color w:val="auto"/>
                <w:w w:val="99"/>
              </w:rPr>
              <w:t>Weight-Average Grant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53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Date Fair Value Per Share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balance as of December 31, 2021</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460,000</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8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(24,000 )</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balance as of March 31, 2022</w:t>
            </w:r>
          </w:p>
        </w:tc>
        <w:tc>
          <w:tcPr>
            <w:tcW w:w="1060" w:type="dxa"/>
            <w:vAlign w:val="bottom"/>
            <w:tcBorders>
              <w:top w:val="single" w:sz="8" w:color="auto"/>
              <w:bottom w:val="single" w:sz="8" w:color="auto"/>
            </w:tcBorders>
            <w:shd w:val="clear" w:color="auto" w:fill="CFF0FC"/>
          </w:tcPr>
          <w:p>
            <w:pPr>
              <w:spacing w:after="0"/>
              <w:rPr>
                <w:sz w:val="21"/>
                <w:szCs w:val="21"/>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528,200</w:t>
            </w:r>
          </w:p>
        </w:tc>
        <w:tc>
          <w:tcPr>
            <w:tcW w:w="2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6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-25400</wp:posOffset>
            </wp:positionV>
            <wp:extent cx="603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-7620</wp:posOffset>
            </wp:positionV>
            <wp:extent cx="603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-25400</wp:posOffset>
            </wp:positionV>
            <wp:extent cx="431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-7620</wp:posOffset>
            </wp:positionV>
            <wp:extent cx="431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80" w:lineRule="exact"/>
        <w:rPr>
          <w:sz w:val="20"/>
          <w:szCs w:val="20"/>
          <w:color w:val="auto"/>
        </w:rPr>
      </w:pPr>
    </w:p>
    <w:p>
      <w:pPr>
        <w:ind w:right="500" w:firstLine="509"/>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2022, the Company granted 92,200 RSUs, including 68,775 RSUs subject to time-based vesting in installments through June 30, 2023, and 23,425 RSUs subject to performance-based vesting conditions related to the satisfaction of certain clinical development milestones.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108" w:lineRule="exact"/>
        <w:rPr>
          <w:sz w:val="20"/>
          <w:szCs w:val="20"/>
          <w:color w:val="auto"/>
        </w:rPr>
      </w:pPr>
    </w:p>
    <w:p>
      <w:pPr>
        <w:ind w:right="40" w:firstLine="509"/>
        <w:spacing w:after="0" w:line="246" w:lineRule="auto"/>
        <w:rPr>
          <w:sz w:val="20"/>
          <w:szCs w:val="20"/>
          <w:color w:val="auto"/>
        </w:rPr>
      </w:pPr>
      <w:r>
        <w:rPr>
          <w:rFonts w:ascii="Times New Roman" w:cs="Times New Roman" w:eastAsia="Times New Roman" w:hAnsi="Times New Roman"/>
          <w:sz w:val="18"/>
          <w:szCs w:val="18"/>
          <w:color w:val="auto"/>
        </w:rPr>
        <w:t>The Board of Directors adopted and the Company’s stockholders approved the 2020 Employee Stock Purchase Plan (the ESPP) in October 2020. The ESPP allows eligible employees to purchase shares of the Company’s common stock at a discount through payroll deductions of up to 15% of their eligible compensation. At the end of each purchase period, employees are able to purchase shares at 85% of the lower of the fair market value of the Company’s common stock as of the offering date or the applicable purchase date. A total of 220,640 shares of common stock were approved to be initially reserved for issuance under the ESPP. In addition, the number of shares of common stock available for issuance under the ESPP will be automatically increased on the first day of each calendar year during the first ten-years of the term of the ESPP, beginning with January 1, 2021 and ending with January 1, 2030, by an amount equal to the lesser of (i) 1% of the outstanding number of shares of the Company’s common stock on December 31st of the preceding calendar year, (ii) 441,280 shares of common stock or (iii) such lesser amount as determined by the Board of Directors.</w:t>
      </w:r>
    </w:p>
    <w:p>
      <w:pPr>
        <w:spacing w:after="0" w:line="71"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2022, no shares were issued under the ESPP. As of March 31, 2022, 668,118 shares of common stock remained available for issuance under the ESPP.</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108" w:lineRule="exact"/>
        <w:rPr>
          <w:sz w:val="20"/>
          <w:szCs w:val="20"/>
          <w:color w:val="auto"/>
        </w:rPr>
      </w:pPr>
    </w:p>
    <w:p>
      <w:pPr>
        <w:ind w:right="480"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components of stock-based compensation expense recognized in the Company’s condensed statements of operations and comprehensive loss during the three months ended March 31, 2022 and 2021 (in thousands):</w:t>
      </w:r>
    </w:p>
    <w:p>
      <w:pPr>
        <w:spacing w:after="0" w:line="169" w:lineRule="exact"/>
        <w:rPr>
          <w:sz w:val="20"/>
          <w:szCs w:val="20"/>
          <w:color w:val="auto"/>
        </w:rPr>
      </w:pPr>
    </w:p>
    <w:p>
      <w:pPr>
        <w:jc w:val="center"/>
        <w:ind w:left="53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53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1300" w:type="dxa"/>
        <w:tblCellMar>
          <w:top w:w="0" w:type="dxa"/>
          <w:left w:w="0" w:type="dxa"/>
          <w:bottom w:w="0" w:type="dxa"/>
          <w:right w:w="0" w:type="dxa"/>
        </w:tblCellMar>
      </w:tblPr>
      <w:tr>
        <w:trPr>
          <w:trHeight w:val="169"/>
        </w:trPr>
        <w:tc>
          <w:tcPr>
            <w:tcW w:w="5360" w:type="dxa"/>
            <w:vAlign w:val="bottom"/>
          </w:tcPr>
          <w:p>
            <w:pPr>
              <w:spacing w:after="0"/>
              <w:rPr>
                <w:sz w:val="14"/>
                <w:szCs w:val="14"/>
                <w:color w:val="auto"/>
              </w:rPr>
            </w:pPr>
          </w:p>
        </w:tc>
        <w:tc>
          <w:tcPr>
            <w:tcW w:w="102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4"/>
                <w:szCs w:val="14"/>
                <w:color w:val="auto"/>
              </w:rPr>
            </w:pPr>
          </w:p>
        </w:tc>
      </w:tr>
      <w:tr>
        <w:trPr>
          <w:trHeight w:val="210"/>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20" w:type="dxa"/>
            <w:vAlign w:val="bottom"/>
            <w:shd w:val="clear" w:color="auto" w:fill="CFF0FC"/>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60" w:type="dxa"/>
            <w:vAlign w:val="bottom"/>
            <w:shd w:val="clear" w:color="auto" w:fill="CFF0FC"/>
          </w:tcPr>
          <w:p>
            <w:pPr>
              <w:spacing w:after="0"/>
              <w:rPr>
                <w:sz w:val="18"/>
                <w:szCs w:val="18"/>
                <w:color w:val="auto"/>
              </w:rPr>
            </w:pPr>
          </w:p>
        </w:tc>
      </w:tr>
      <w:tr>
        <w:trPr>
          <w:trHeight w:val="216"/>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60" w:type="dxa"/>
            <w:vAlign w:val="bottom"/>
          </w:tcPr>
          <w:p>
            <w:pPr>
              <w:spacing w:after="0"/>
              <w:rPr>
                <w:sz w:val="18"/>
                <w:szCs w:val="18"/>
                <w:color w:val="auto"/>
              </w:rPr>
            </w:pPr>
          </w:p>
        </w:tc>
      </w:tr>
      <w:tr>
        <w:trPr>
          <w:trHeight w:val="249"/>
        </w:trPr>
        <w:tc>
          <w:tcPr>
            <w:tcW w:w="5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020" w:type="dxa"/>
            <w:vAlign w:val="bottom"/>
            <w:tcBorders>
              <w:bottom w:val="single" w:sz="8" w:color="auto"/>
            </w:tcBorders>
            <w:shd w:val="clear" w:color="auto" w:fill="CFF0FC"/>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2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6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-25400</wp:posOffset>
            </wp:positionV>
            <wp:extent cx="431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431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-25400</wp:posOffset>
            </wp:positionV>
            <wp:extent cx="3429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-7620</wp:posOffset>
            </wp:positionV>
            <wp:extent cx="3429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313"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2022, there was approximately $7.1 million of unrecognized stock-based compensation expense related to stock options, which is expected to be recognized over a weighted-average vesting term of 3.0 years.</w:t>
      </w:r>
    </w:p>
    <w:p>
      <w:pPr>
        <w:spacing w:after="0" w:line="40"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As of March 31, 2022, there was approximately $0.8 million of unrecognized stock-based compensation expense related to RSUs, which is expected to be recognized over an estimated weighted-average vesting term of 1.1 years.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16"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The Company accounts for income taxes under ASC Topic 740, Income Taxes. Under this standard, deferred tax assets and liabilities are recognized for future tax benefits or consequences attributable to temporary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w:t>
      </w:r>
    </w:p>
    <w:p>
      <w:pPr>
        <w:spacing w:after="0" w:line="177" w:lineRule="exact"/>
        <w:rPr>
          <w:sz w:val="20"/>
          <w:szCs w:val="20"/>
          <w:color w:val="auto"/>
        </w:rPr>
      </w:pPr>
    </w:p>
    <w:p>
      <w:pPr>
        <w:ind w:right="180" w:firstLine="509"/>
        <w:spacing w:after="0" w:line="250" w:lineRule="auto"/>
        <w:rPr>
          <w:sz w:val="20"/>
          <w:szCs w:val="20"/>
          <w:color w:val="auto"/>
        </w:rPr>
      </w:pPr>
      <w:r>
        <w:rPr>
          <w:rFonts w:ascii="Times New Roman" w:cs="Times New Roman" w:eastAsia="Times New Roman" w:hAnsi="Times New Roman"/>
          <w:sz w:val="18"/>
          <w:szCs w:val="18"/>
          <w:color w:val="auto"/>
        </w:rPr>
        <w:t>A valuation allowance is provided for significant deferred tax assets when it is more likely than not that such assets will not be realized through future operations. No provision for income taxes has been recorded due to losses incurred to date. Future tax benefits which may arise as a result of these losses have not been recognized in these financial statements, as their realization is determined not likely to occur and accordingly, the Company has recorded a full valuation allowance for deferred tax assets.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Loss Per Share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computation of the basic and diluted net loss per share (in thousands, except share and per share amounts):</w:t>
      </w:r>
    </w:p>
    <w:p>
      <w:pPr>
        <w:spacing w:after="0" w:line="246"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6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3"/>
        </w:trPr>
        <w:tc>
          <w:tcPr>
            <w:tcW w:w="67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67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10"/>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(11,762 )</w:t>
            </w: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(9,887 )</w:t>
            </w:r>
          </w:p>
        </w:tc>
      </w:tr>
      <w:tr>
        <w:trPr>
          <w:trHeight w:val="20"/>
        </w:trPr>
        <w:tc>
          <w:tcPr>
            <w:tcW w:w="67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7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3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Weighted-average shares of common stock outstanding</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23,492,295</w:t>
            </w:r>
          </w:p>
        </w:tc>
        <w:tc>
          <w:tcPr>
            <w:tcW w:w="26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23,283,658</w:t>
            </w:r>
          </w:p>
        </w:tc>
        <w:tc>
          <w:tcPr>
            <w:tcW w:w="100" w:type="dxa"/>
            <w:vAlign w:val="bottom"/>
          </w:tcPr>
          <w:p>
            <w:pPr>
              <w:spacing w:after="0"/>
              <w:rPr>
                <w:sz w:val="18"/>
                <w:szCs w:val="18"/>
                <w:color w:val="auto"/>
              </w:rPr>
            </w:pPr>
          </w:p>
        </w:tc>
      </w:tr>
      <w:tr>
        <w:trPr>
          <w:trHeight w:val="20"/>
        </w:trPr>
        <w:tc>
          <w:tcPr>
            <w:tcW w:w="6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70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36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(0.50</w:t>
            </w:r>
          </w:p>
        </w:tc>
        <w:tc>
          <w:tcPr>
            <w:tcW w:w="260" w:type="dxa"/>
            <w:vAlign w:val="bottom"/>
            <w:tcBorders>
              <w:bottom w:val="single" w:sz="8" w:color="CFF0FC"/>
            </w:tcBorders>
            <w:shd w:val="clear" w:color="auto" w:fill="CFF0FC"/>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tcBorders>
              <w:bottom w:val="single" w:sz="8" w:color="auto"/>
            </w:tcBorders>
            <w:shd w:val="clear" w:color="auto" w:fill="CFF0FC"/>
          </w:tcPr>
          <w:p>
            <w:pPr>
              <w:jc w:val="right"/>
              <w:ind w:right="3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(0.42</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-24765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-8255</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45"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Basic net loss per share was the same as diluted net loss per share for all periods as the inclusion of potentially dilutive securities would have been anti-dilutive. Potentially dilutive securities that were not included in the diluted per share calculations were as follows:</w:t>
      </w:r>
    </w:p>
    <w:p>
      <w:pPr>
        <w:spacing w:after="0" w:line="182"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5300" w:type="dxa"/>
            <w:vAlign w:val="bottom"/>
          </w:tcPr>
          <w:p>
            <w:pPr>
              <w:spacing w:after="0"/>
              <w:rPr>
                <w:sz w:val="16"/>
                <w:szCs w:val="16"/>
                <w:color w:val="auto"/>
              </w:rPr>
            </w:pPr>
          </w:p>
        </w:tc>
        <w:tc>
          <w:tcPr>
            <w:tcW w:w="1660" w:type="dxa"/>
            <w:vAlign w:val="bottom"/>
            <w:tcBorders>
              <w:bottom w:val="single" w:sz="8" w:color="auto"/>
            </w:tcBorders>
            <w:gridSpan w:val="3"/>
          </w:tcPr>
          <w:p>
            <w:pPr>
              <w:ind w:left="9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300" w:type="dxa"/>
            <w:vAlign w:val="bottom"/>
          </w:tcPr>
          <w:p>
            <w:pPr>
              <w:spacing w:after="0"/>
              <w:rPr>
                <w:sz w:val="14"/>
                <w:szCs w:val="14"/>
                <w:color w:val="auto"/>
              </w:rPr>
            </w:pPr>
          </w:p>
        </w:tc>
        <w:tc>
          <w:tcPr>
            <w:tcW w:w="118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4"/>
                <w:szCs w:val="14"/>
                <w:color w:val="auto"/>
              </w:rPr>
            </w:pPr>
          </w:p>
        </w:tc>
      </w:tr>
      <w:tr>
        <w:trPr>
          <w:trHeight w:val="210"/>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subject to outstanding common stock options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3,116,334</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2,588,298</w:t>
            </w:r>
          </w:p>
        </w:tc>
        <w:tc>
          <w:tcPr>
            <w:tcW w:w="60" w:type="dxa"/>
            <w:vAlign w:val="bottom"/>
            <w:shd w:val="clear" w:color="auto" w:fill="CFF0FC"/>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Shares subject to outstanding RSUs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528,200</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Estimated shares issuable under the ESPP</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67,253</w:t>
            </w:r>
          </w:p>
        </w:tc>
        <w:tc>
          <w:tcPr>
            <w:tcW w:w="16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24,118</w:t>
            </w:r>
          </w:p>
        </w:tc>
        <w:tc>
          <w:tcPr>
            <w:tcW w:w="60" w:type="dxa"/>
            <w:vAlign w:val="bottom"/>
            <w:shd w:val="clear" w:color="auto" w:fill="CFF0FC"/>
          </w:tcPr>
          <w:p>
            <w:pPr>
              <w:spacing w:after="0"/>
              <w:rPr>
                <w:sz w:val="18"/>
                <w:szCs w:val="18"/>
                <w:color w:val="auto"/>
              </w:rPr>
            </w:pPr>
          </w:p>
        </w:tc>
      </w:tr>
      <w:tr>
        <w:trPr>
          <w:trHeight w:val="210"/>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3,711,787</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2,612,416</w:t>
            </w:r>
          </w:p>
        </w:tc>
        <w:tc>
          <w:tcPr>
            <w:tcW w:w="60" w:type="dxa"/>
            <w:vAlign w:val="bottom"/>
          </w:tcPr>
          <w:p>
            <w:pPr>
              <w:spacing w:after="0"/>
              <w:rPr>
                <w:sz w:val="18"/>
                <w:szCs w:val="18"/>
                <w:color w:val="auto"/>
              </w:rPr>
            </w:pPr>
          </w:p>
        </w:tc>
      </w:tr>
      <w:tr>
        <w:trPr>
          <w:trHeight w:val="20"/>
        </w:trPr>
        <w:tc>
          <w:tcPr>
            <w:tcW w:w="53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Subsequent Events</w:t>
      </w:r>
    </w:p>
    <w:p>
      <w:pPr>
        <w:spacing w:after="0" w:line="21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Second Amendment to Loan and Security Agreement</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right="80" w:firstLine="509"/>
        <w:spacing w:after="0" w:line="244" w:lineRule="auto"/>
        <w:rPr>
          <w:sz w:val="20"/>
          <w:szCs w:val="20"/>
          <w:color w:val="auto"/>
        </w:rPr>
      </w:pPr>
      <w:r>
        <w:rPr>
          <w:rFonts w:ascii="Times New Roman" w:cs="Times New Roman" w:eastAsia="Times New Roman" w:hAnsi="Times New Roman"/>
          <w:sz w:val="18"/>
          <w:szCs w:val="18"/>
          <w:color w:val="auto"/>
        </w:rPr>
        <w:t>In May 2022, the Company and SVB entered into the Second Amendment, which amended the milestones upon which the Second Tranche commitment of $10.0 million would become available. The Second Amendment also reduced the interest rate on the outstanding First Tranche Term Loan of $5.0 million and any advances that occur under the Second Tranche to a floating per annum rate equal to the greater of (A) one-half of one percent (0.50%) above the Prime Rate (as defined in the Loan Agreement) or (B) three and three-quarters of one percent (3.75%), and, in the event that the Supplemental Term Loans (as defined in the Loan Agreement) under the Second Tranche become available and the Company obtains an advance thereunder, the interest only period for all Term Loans (as defined in the Loan Agreement) will be extended from December 31, 2022, to June 30, 2023.</w:t>
      </w:r>
    </w:p>
    <w:p>
      <w:pPr>
        <w:spacing w:after="0" w:line="195"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Further, in the event that the Supplemental Term Loans under the Second Tranche become available and the Company obtains an advance thereunder, the Company will be required to comply with a new liquidity covenant of at least $50.0 million at all times, and if the Company does not comply with the foregoing liquidity covenant, a springing cash pledge will occur, pursuant to which the Company must maintain a cash secured blocked account with SVB with a cash balance in an amount equal to the outstanding SVB obligations at such time (excluding Bank Services (as defined in the Loan Agreement)), provided that the foregoing cash collateral requirement will terminate upon a certain additional equity raise, which must occur on or before September 30, 2024. The Loan Agreement, as amended by the Deferral Agreement, the First Amendment, and the Second Amendment, provides for monthly cash interest-only payments following the funding date of each respective tranche and continuing thereafter through December 31, 2022 to the extent that the Company does not borrow any part of the Second Tranche or June 30, 2023 if the Company has borrowed some or all of the Second Tranche. Following the interest-only period, the outstanding Term Loan balance will be payable in (i) 37 consecutive monthly payments (or 31 if the Company borrows under the Second Tranche) after the end of the interest-only period and continuing on the same day of each month thereafter, in amounts that would fully amortize such Term Loan balance, as of the first business day of the first month following the amended interest-only period, over the repayment period, plus (ii) monthly payments of accrued but unpaid interest.</w:t>
      </w:r>
    </w:p>
    <w:p>
      <w:pPr>
        <w:spacing w:after="0" w:line="192" w:lineRule="exact"/>
        <w:rPr>
          <w:sz w:val="20"/>
          <w:szCs w:val="20"/>
          <w:color w:val="auto"/>
        </w:rPr>
      </w:pPr>
    </w:p>
    <w:p>
      <w:pPr>
        <w:ind w:right="140" w:firstLine="509"/>
        <w:spacing w:after="0" w:line="245" w:lineRule="auto"/>
        <w:rPr>
          <w:sz w:val="20"/>
          <w:szCs w:val="20"/>
          <w:color w:val="auto"/>
        </w:rPr>
      </w:pPr>
      <w:r>
        <w:rPr>
          <w:rFonts w:ascii="Times New Roman" w:cs="Times New Roman" w:eastAsia="Times New Roman" w:hAnsi="Times New Roman"/>
          <w:sz w:val="18"/>
          <w:szCs w:val="18"/>
          <w:color w:val="auto"/>
        </w:rPr>
        <w:t>The Second Amendment amended the Second Tranche final payment due on the maturity date, which payments shall include all outstanding principal and all accrued unpaid interest and an end of term payment, or the Supplemental Final Payment, totaling (x) 6% of the original funded principal amount of the First Tranche, and (y) 4.0% of the total original funded principal amount under the Second Tranche if the Company does borrow under the Second Tranche. The Second Amendment also amended the prepayment amounts, so that the Company may prepay amounts outstanding under the Term Loan at any time provided certain notification conditions are met, in which case all outstanding principal plus accrued and unpaid interest, the Supplemental Final Payment, a prepayment fee of 1% or 2% of the principal amount of the first and second tranches, and any bank expenses become due and payable.</w:t>
      </w:r>
    </w:p>
    <w:p>
      <w:pPr>
        <w:spacing w:after="0" w:line="1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06"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our unaudited condensed financial statements and the related notes to those statements included elsewhere in this Quarterly Report on Form 10-Q and our audited financial statements and notes thereto and the related Management’s Discussion and Analysis of Financial Condition and Results of Operations included in our Annual Report on Form 10-K for the year ended December 31, 2021 filed with the Securities and Exchange Commission, or SEC, on March 14, 2022, or the Annual Report. Unless otherwise indicated, all references in this Quarterly Report on Form 10-Q to “Spruce,” the “company,” “we,” “our,” “us” or similar terms refer to Spruce Biosciences, Inc.</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06" w:lineRule="exact"/>
        <w:rPr>
          <w:sz w:val="20"/>
          <w:szCs w:val="20"/>
          <w:color w:val="auto"/>
        </w:rPr>
      </w:pPr>
    </w:p>
    <w:p>
      <w:pPr>
        <w:ind w:right="80" w:firstLine="578"/>
        <w:spacing w:after="0" w:line="247" w:lineRule="auto"/>
        <w:rPr>
          <w:sz w:val="20"/>
          <w:szCs w:val="20"/>
          <w:color w:val="auto"/>
        </w:rPr>
      </w:pPr>
      <w:r>
        <w:rPr>
          <w:rFonts w:ascii="Times New Roman" w:cs="Times New Roman" w:eastAsia="Times New Roman" w:hAnsi="Times New Roman"/>
          <w:sz w:val="18"/>
          <w:szCs w:val="18"/>
          <w:i w:val="1"/>
          <w:iCs w:val="1"/>
          <w:color w:val="auto"/>
        </w:rPr>
        <w:t>In addition to historical financial information, this discussion contains forward-looking statements based upon current expectations that involve risks and uncertainties. Our actual results could differ materially from those anticipated in these forward-looking statements as a result of various factors, including those set forth in the section titled “Risk Factors” under Part II, Item 1A below. In some cases, you can identify forward-looking statements by terminology such as “anticipate,” “believe,” “continue,” “could,” “estimate,” “expect,” “intend,” “may,” “plan,” “potentially,” “predict,” “should,” “will” or the negative of these terms or other similar expressions.</w:t>
      </w:r>
    </w:p>
    <w:p>
      <w:pPr>
        <w:spacing w:after="0" w:line="190" w:lineRule="exact"/>
        <w:rPr>
          <w:sz w:val="20"/>
          <w:szCs w:val="20"/>
          <w:color w:val="auto"/>
        </w:rPr>
      </w:pPr>
    </w:p>
    <w:p>
      <w:pPr>
        <w:ind w:right="20" w:firstLine="509"/>
        <w:spacing w:after="0" w:line="247" w:lineRule="auto"/>
        <w:rPr>
          <w:sz w:val="20"/>
          <w:szCs w:val="20"/>
          <w:color w:val="auto"/>
        </w:rPr>
      </w:pPr>
      <w:r>
        <w:rPr>
          <w:rFonts w:ascii="Times New Roman" w:cs="Times New Roman" w:eastAsia="Times New Roman" w:hAnsi="Times New Roman"/>
          <w:sz w:val="18"/>
          <w:szCs w:val="18"/>
          <w:i w:val="1"/>
          <w:iCs w:val="1"/>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r>
        <w:rPr>
          <w:rFonts w:ascii="Times New Roman" w:cs="Times New Roman" w:eastAsia="Times New Roman" w:hAnsi="Times New Roman"/>
          <w:sz w:val="18"/>
          <w:szCs w:val="18"/>
          <w:i w:val="1"/>
          <w:iCs w:val="1"/>
          <w:color w:val="32406B"/>
        </w:rPr>
        <w:t>.</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515"/>
        <w:spacing w:after="0" w:line="245" w:lineRule="auto"/>
        <w:rPr>
          <w:sz w:val="20"/>
          <w:szCs w:val="20"/>
          <w:color w:val="auto"/>
        </w:rPr>
      </w:pPr>
      <w:r>
        <w:rPr>
          <w:rFonts w:ascii="Times New Roman" w:cs="Times New Roman" w:eastAsia="Times New Roman" w:hAnsi="Times New Roman"/>
          <w:sz w:val="18"/>
          <w:szCs w:val="18"/>
          <w:color w:val="auto"/>
        </w:rPr>
        <w:t>We are a late-stage biopharmaceutical company focused on developing and commercializing novel therapies for rare endocrine disorders with significant unmet medical need. We are initially developing our wholly-owned product candidate, tildacerfont, as the potential first non-steroidal therapy to offer markedly improved disease control and reduce steroid burden for patients suffering from CAH. Classic CAH is a serious and life-threatening disease with no known novel therapies approved in approximately 50 years. In a 12-week Phase 2a proof-of-concept clinical trial, tildacerfont-treated adult patients suffering from classic CAH who had poor disease control despite being on standard of care therapy achieved approximately 80% reductions in hormones that are key indicators of poor disease control. Furthermore, over 200 subjects across eight clinical trials to date have been administered tildacerfont with no drug-related serious adverse events, or SAEs, reported.</w:t>
      </w:r>
    </w:p>
    <w:p>
      <w:pPr>
        <w:spacing w:after="0" w:line="181" w:lineRule="exact"/>
        <w:rPr>
          <w:sz w:val="20"/>
          <w:szCs w:val="20"/>
          <w:color w:val="auto"/>
        </w:rPr>
      </w:pPr>
    </w:p>
    <w:p>
      <w:pPr>
        <w:ind w:right="100" w:firstLine="515"/>
        <w:spacing w:after="0" w:line="243" w:lineRule="auto"/>
        <w:rPr>
          <w:sz w:val="20"/>
          <w:szCs w:val="20"/>
          <w:color w:val="auto"/>
        </w:rPr>
      </w:pPr>
      <w:r>
        <w:rPr>
          <w:rFonts w:ascii="Times New Roman" w:cs="Times New Roman" w:eastAsia="Times New Roman" w:hAnsi="Times New Roman"/>
          <w:sz w:val="18"/>
          <w:szCs w:val="18"/>
          <w:color w:val="auto"/>
        </w:rPr>
        <w:t>We have initiated CAHmelia-203, a placebo-controlled, double-blind Phase 2b clinical trial in adult patients with classic CAH with poor disease control and anticipate topline results in the second half of 2023. We have also initiated CAHmelia-204, a second Phase 2b clinical trial in adult patients with classic CAH with good disease control focused on glucocorticoid reduction and anticipate topline results in the second half of 2024. Based on post-hoc analyses of our clinical data to date, we have chosen to target two distinct groups of classic CAH patients with either good disease control or poor disease control. These two groups, which together make up the entire classic CAH patient population, have differing disease challenges centered on excessive adrenal androgen levels or excessive glucocorticoid usage, both of which have the potential to be addressed by treatment with tildacerfont, if approved. We believe our strategy to study CAH patients in these two enriched sub-populations may enable us to observe clinically meaningful outcomes. Additionally, we believe these two clinical trials will provide sufficient patient exposures for our registrational safety database, which are designed to potentially support registration in the United States and Europe. Assuming positive results from these clinical trials, we plan to meet with the FDA and certain comparable foreign regulatory authorities to discuss registration.</w:t>
      </w:r>
    </w:p>
    <w:p>
      <w:pPr>
        <w:spacing w:after="0" w:line="186" w:lineRule="exact"/>
        <w:rPr>
          <w:sz w:val="20"/>
          <w:szCs w:val="20"/>
          <w:color w:val="auto"/>
        </w:rPr>
      </w:pPr>
    </w:p>
    <w:p>
      <w:pPr>
        <w:ind w:right="20" w:firstLine="515"/>
        <w:spacing w:after="0" w:line="242" w:lineRule="auto"/>
        <w:rPr>
          <w:sz w:val="20"/>
          <w:szCs w:val="20"/>
          <w:color w:val="auto"/>
        </w:rPr>
      </w:pPr>
      <w:r>
        <w:rPr>
          <w:rFonts w:ascii="Times New Roman" w:cs="Times New Roman" w:eastAsia="Times New Roman" w:hAnsi="Times New Roman"/>
          <w:sz w:val="18"/>
          <w:szCs w:val="18"/>
          <w:color w:val="auto"/>
        </w:rPr>
        <w:t>We are also investigating tildacerfont for the treatment of classic CAH in children. We believe there is a significant medical need to provide androgen-lowering and glucocorticoid-sparing therapies to pediatric classic CAH patients to reduce the risk of premature puberty and the adverse effects of glucocorticoids, including growth inhibition and short-stature as adults. We have initiated a Phase 2 open-label clinical trial, which will utilize a sequential three cohort design, to evaluate the safety and pharmacokinetics of tildacerfont in children six to 17 years of age with classic CAH. We anticipate topline safety results from cohort 1 of the Phase 2 open-label clinical trial by the first half of 2023. We have also submitted a pediatric investigational plan, or PIP, to the Pediatric Committee, or PDCO, of the European Medicines Agency, or EMA, regarding a registrational program in children with classic CAH. PDCO issued an opinion on its agreement with the proposed PIP of tildacerfont for the treatment of CAH which endorsed the clinical program to evaluate the safety, tolerability and efficacy of tildacerfont for the treatment of CAH in patients from one year of age to less than 18 years of age. PDCO also granted a waiver for the treatment of CAH in patients less than one year of age.</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right="60" w:firstLine="509"/>
        <w:spacing w:after="0" w:line="243" w:lineRule="auto"/>
        <w:rPr>
          <w:sz w:val="20"/>
          <w:szCs w:val="20"/>
          <w:color w:val="auto"/>
        </w:rPr>
      </w:pPr>
      <w:r>
        <w:rPr>
          <w:rFonts w:ascii="Times New Roman" w:cs="Times New Roman" w:eastAsia="Times New Roman" w:hAnsi="Times New Roman"/>
          <w:sz w:val="18"/>
          <w:szCs w:val="18"/>
          <w:color w:val="auto"/>
        </w:rPr>
        <w:t>Beyond classic CAH, we believe tildacerfont has potential utility in polycystic ovary syndrome, or PCOS, and in a range of diseases where the underlying biology supports a need to reduce excess secretion of or hyperresponsiveness to adrenocorticotropic hormone, or ACTH. PCOS is a hormonal disorder common among females of reproductive age affecting nearly five million females in the United States and approximately 115 million females worldwide. PCOS is characterized by elevated levels of androgens, cysts in the ovaries, and irregular periods. We have identified a subpopulation of patients where elevated levels of adrenal androgens are the cause of disease. We believe that tildacerfont may present a novel mechanism to reduce ACTH and provide a therapeutic option for females with PCOS. By leveraging our existing Phase 1 program, which includes safety, tolerability, and pharmacokinetics of tildacerfont, we have initiated a Phase 2 proof-of-concept clinical trial. The Phase 2 proof-of-concept clinical trial is a randomized, placebo-controlled, dose escalation trial which will evaluate the safety and efficacy of tildacerfont titrated to 200 mg QD compared to placebo over 12 weeks of treatment in subjects with PCOS and elevated adrenal androgens as measured by dehydroepiandrosterone sulfate, or DHEAS, levels at baseline. We anticipate topline results from the Phase 2 proof-of-concept clinical trial by the first half of 2023.</w:t>
      </w:r>
    </w:p>
    <w:p>
      <w:pPr>
        <w:spacing w:after="0" w:line="186"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Since our inception in November 2014, we have focused primarily on raising capital, establishing and protecting our intellectual property portfolio, organizing and staffing our company, business planning, and conducting preclinical and clinical development of, and manufacturing development for, our product candidate, tildacerfont. We have no products approved for commercial sale and have not generated any revenue to date, and we continue to incur significant research and development and other expenses related to our ongoing operations. Our ability to generate product revenue sufficient to achieve profitability, if ever, will depend on the successful development of tildacerfont and any future product candidates. We intend to build a highly specialized commercial organization to support the commercialization of tildacerfont, if approved, in the United States and Europe. Given a relatively small number of endocrinologists and specialists treat a large proportion of patients with classic CAH, we believe this market can be effectively addressed with a modest-sized targeted commercial sales force, alongside various high-touch patient initiatives. If tildacerfont is approved for additional indications, we plan to leverage our rare disorder commercial infrastructure and expertise to efficiently address those patient populations. We may also either build a commercial infrastructure or opportunistically seek strategic collaborations to benefit from the resources of biopharmaceutical companies specialized in either relevant disease areas or geographies.</w:t>
      </w:r>
    </w:p>
    <w:p>
      <w:pPr>
        <w:spacing w:after="0" w:line="188" w:lineRule="exact"/>
        <w:rPr>
          <w:sz w:val="20"/>
          <w:szCs w:val="20"/>
          <w:color w:val="auto"/>
        </w:rPr>
      </w:pPr>
    </w:p>
    <w:p>
      <w:pPr>
        <w:ind w:right="220" w:firstLine="509"/>
        <w:spacing w:after="0" w:line="250" w:lineRule="auto"/>
        <w:rPr>
          <w:sz w:val="20"/>
          <w:szCs w:val="20"/>
          <w:color w:val="auto"/>
        </w:rPr>
      </w:pPr>
      <w:r>
        <w:rPr>
          <w:rFonts w:ascii="Times New Roman" w:cs="Times New Roman" w:eastAsia="Times New Roman" w:hAnsi="Times New Roman"/>
          <w:sz w:val="18"/>
          <w:szCs w:val="18"/>
          <w:color w:val="auto"/>
        </w:rPr>
        <w:t>We rely, and expect to continue to rely, on third parties for the manufacture of tildacerfont for preclinical studies and clinical trials, as well as for commercial manufacture if tildacerfont obtains marketing approval. We also rely, and expect to continue to rely, on third parties to package, label, store, and distribute tildacerfont, if marketing approval is obtained. We believe that this strategy allows us to maintain a more efficient infrastructure by eliminating the need for us to invest in our own manufacturing facilities, equipment, and personnel while also enabling us to focus our expertise and resources on the development of tildacerfont.</w:t>
      </w:r>
    </w:p>
    <w:p>
      <w:pPr>
        <w:spacing w:after="0" w:line="177"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Since inception, we have incurred significant losses and negative cash flows from operations. During the three months ended March 31, 2022, we incurred a net loss of $11.8 million and used $11.8 million of cash in operations. As of March 31, 2022, we had an accumulated deficit of $114.9 million, and we do not expect positive cash flows from operations for the foreseeable future. We expect to continue to incur significant and increasing losses for the foreseeable future, and our net losses may fluctuate significantly from period to period, depending on the timing of expenditures on our planned research and development activities.</w:t>
      </w:r>
    </w:p>
    <w:p>
      <w:pPr>
        <w:spacing w:after="0" w:line="181" w:lineRule="exact"/>
        <w:rPr>
          <w:sz w:val="20"/>
          <w:szCs w:val="20"/>
          <w:color w:val="auto"/>
        </w:rPr>
      </w:pPr>
    </w:p>
    <w:p>
      <w:pPr>
        <w:ind w:right="40" w:firstLine="509"/>
        <w:spacing w:after="0" w:line="245" w:lineRule="auto"/>
        <w:rPr>
          <w:sz w:val="20"/>
          <w:szCs w:val="20"/>
          <w:color w:val="auto"/>
        </w:rPr>
      </w:pPr>
      <w:r>
        <w:rPr>
          <w:rFonts w:ascii="Times New Roman" w:cs="Times New Roman" w:eastAsia="Times New Roman" w:hAnsi="Times New Roman"/>
          <w:sz w:val="18"/>
          <w:szCs w:val="18"/>
          <w:color w:val="auto"/>
        </w:rPr>
        <w:t>In October 2020, we consummated our initial public offering, or IPO, and issued 6,900,000 shares of common stock for net proceeds of $93.4 million, after deducting underwriting discounts, commissions and offering expenses. Since inception through March 31, 2022, we have raised aggregate gross proceeds of $224.5 million, including $103.5 million from our IPO in October 2020, $116.0 million from the sale of our redeemable convertible preferred stock and $5.0 million from the issuance of debt. As of March 31, 2022, we had cash, cash equivalents and investments of $108.9 million. We believe, based on our current operating plan, that our cash, cash equivalents and investments as of March 31, 2022 will be sufficient to fund our operations for at least the next 12 months. We have based this projection on assumptions that may be inaccurate and as a result, we may utilize our capital resources sooner than we expect. We expect our expenses will increase significantly in connection with our ongoing activities, as we:</w:t>
      </w:r>
    </w:p>
    <w:p>
      <w:pPr>
        <w:spacing w:after="0" w:line="87"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tildacerfont through our ongoing Phase 2b clinical trials in adult patients with classic CAH;</w:t>
      </w:r>
    </w:p>
    <w:p>
      <w:pPr>
        <w:spacing w:after="0" w:line="103"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clinical development of tildacerfont in additional indications, including pediatric classic CAH and a subpopulation of females with PCOS;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regulatory approvals of tildacerfont in patients with classic CAH and a subpopulation of females with PCOS;</w:t>
      </w:r>
    </w:p>
    <w:p>
      <w:pPr>
        <w:spacing w:after="0" w:line="103" w:lineRule="exact"/>
        <w:rPr>
          <w:rFonts w:ascii="Times New Roman" w:cs="Times New Roman" w:eastAsia="Times New Roman" w:hAnsi="Times New Roman"/>
          <w:sz w:val="18"/>
          <w:szCs w:val="18"/>
          <w:color w:val="auto"/>
        </w:rPr>
      </w:pPr>
    </w:p>
    <w:p>
      <w:pPr>
        <w:ind w:left="1020" w:right="260" w:hanging="503"/>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a highly specialized commercial organization to support the commercialization of tildacerfont, if approved, in the United States and Europe;</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59155" cy="8890"/>
                    </a:xfrm>
                    <a:prstGeom prst="rect">
                      <a:avLst/>
                    </a:prstGeom>
                    <a:noFill/>
                  </pic:spPr>
                </pic:pic>
              </a:graphicData>
            </a:graphic>
          </wp:anchor>
        </w:drawing>
      </w:r>
    </w:p>
    <w:p>
      <w:pPr>
        <w:spacing w:after="0" w:line="344" w:lineRule="exact"/>
        <w:rPr>
          <w:sz w:val="20"/>
          <w:szCs w:val="20"/>
          <w:color w:val="auto"/>
        </w:rPr>
      </w:pPr>
    </w:p>
    <w:p>
      <w:pPr>
        <w:ind w:left="1020" w:right="58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a commercial infrastructure or opportunistically seek strategic collaborations to benefit from the resources of biopharmaceutical companies specialized in either relevant disease areas or geographies, if tildacerfont is approved for additional indications;</w:t>
      </w:r>
    </w:p>
    <w:p>
      <w:pPr>
        <w:spacing w:after="0" w:line="54" w:lineRule="exact"/>
        <w:rPr>
          <w:rFonts w:ascii="Times New Roman" w:cs="Times New Roman" w:eastAsia="Times New Roman" w:hAnsi="Times New Roman"/>
          <w:sz w:val="18"/>
          <w:szCs w:val="18"/>
          <w:color w:val="auto"/>
        </w:rPr>
      </w:pPr>
    </w:p>
    <w:p>
      <w:pPr>
        <w:ind w:left="1020" w:right="66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additional indications and formulations for which to investigate tildacerfont in the future and expand our pipeline of product candidates;</w:t>
      </w:r>
    </w:p>
    <w:p>
      <w:pPr>
        <w:spacing w:after="0" w:line="4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operational, financial, and management information systems;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personnel;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expand, and protect our intellectual property portfolio.</w:t>
      </w:r>
    </w:p>
    <w:p>
      <w:pPr>
        <w:spacing w:after="0" w:line="212" w:lineRule="exact"/>
        <w:rPr>
          <w:sz w:val="20"/>
          <w:szCs w:val="20"/>
          <w:color w:val="auto"/>
        </w:rPr>
      </w:pPr>
    </w:p>
    <w:p>
      <w:pPr>
        <w:ind w:firstLine="509"/>
        <w:spacing w:after="0" w:line="229" w:lineRule="auto"/>
        <w:rPr>
          <w:sz w:val="20"/>
          <w:szCs w:val="20"/>
          <w:color w:val="auto"/>
        </w:rPr>
      </w:pPr>
      <w:r>
        <w:rPr>
          <w:rFonts w:ascii="Times New Roman" w:cs="Times New Roman" w:eastAsia="Times New Roman" w:hAnsi="Times New Roman"/>
          <w:sz w:val="18"/>
          <w:szCs w:val="18"/>
          <w:color w:val="auto"/>
        </w:rPr>
        <w:t>In February 2022, the U.S. Securities and Exchange Commission, or the SEC, declared effective a registration statement on Form S-3, or the Shelf Registration, covering the sale of up to $200.0 million of our securities. Also, in February 2022, we entered into an Open Market Sales Agreement</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or the Sales Agreement, with Jefferies LLC, or Jefferies, pursuant to which we may elect to issue and sell, from time to time, shares of common stock having an aggregate offering price of up to $21.0 million under the Shelf Registration through Jefferies acting as the sales agent and/or principal. As of March 31, 2022 we have issued no shares of common stock pursuant to the Sales Agreement</w:t>
      </w:r>
      <w:r>
        <w:rPr>
          <w:rFonts w:ascii="Times New Roman" w:cs="Times New Roman" w:eastAsia="Times New Roman" w:hAnsi="Times New Roman"/>
          <w:sz w:val="12"/>
          <w:szCs w:val="12"/>
          <w:color w:val="auto"/>
        </w:rPr>
        <w:t>.</w:t>
      </w:r>
    </w:p>
    <w:p>
      <w:pPr>
        <w:spacing w:after="0" w:line="189"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Our business has been and could continue to be adversely affected by the evolving COVID-19 pandemic. For example, the COVID-19 pandemic has resulted in and could result in delays to our clinical trials for numerous reasons including additional delays or difficulties in enrolling patients, diversion of healthcare resources away from the conduct of clinical trials, interruption or delays in the operations of the FDA or other regulatory authorities, and delays in clinical sites receiving the supplies and materials to conduct our clinical trials. At this time, the extent to which the COVID-19 pandemic impacts our business will depend on future developments, which are highly uncertain and cannot be predicted.</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Agreement with Eli Lilly and Company</w:t>
      </w:r>
    </w:p>
    <w:p>
      <w:pPr>
        <w:spacing w:after="0" w:line="108"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In May 2016, we entered into a license agreement, or the License Agreement, with Eli Lilly and Company, or Lilly. Pursuant to the terms of the License Agreement, Lilly granted us an exclusive, worldwide, royalty bearing, sublicensable license under certain technology, patent rights, know-how, and proprietary materials, which we refer to collectively as the Lilly IP, and such patents, the Lilly Licensed Patents, relating to the CRF1 receptor antagonist compounds either listed in the License Agreement or covered by patent rights controlled by Lilly, which we refer to collectively as the Lilly Compounds, to research, develop, commercialize, make, have made, use, sell, offer to sell, and import the Lilly Compounds and any products containing a Lilly Compound, including any products containing a Lilly Compound and one or more additional active pharmaceutical ingredients, or APIs, other than a Lilly Compound, which we refer to collectively as the Lilly Licensed Products, for all pharmaceutical uses, including all diagnostic, therapeutic, and prophylactic uses, for human or animal administration. Lilly retained rights under the Lilly IP and the Lilly Licensed Patents for internal research purposes.</w:t>
      </w:r>
    </w:p>
    <w:p>
      <w:pPr>
        <w:spacing w:after="0" w:line="179"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As partial consideration for the rights granted to us under the License Agreement, we made a one-time upfront payment to Lilly of $0.8 million. We are also required to pay Lilly up to an aggregate of $23.0 million upon the achievement, during the time the License Agreement remains in effect, of certain milestones relating to the clinical development and commercial sales of the Lilly Licensed Products. Such payments are for predetermined fixed amounts, are paid only upon the first occurrence of each such event, and are due shortly after achieving the applicable milestone. In addition, we are required to pay Lilly tiered royalties on annual worldwide net sales of Lilly Licensed Products, with rates ranging from mid-single-digits to sub-teens, or the Lilly Royalties. The Lilly Royalties shall commence on a country-by-country basis on the date of the first commercial sale of Lilly Licensed Product in such country, and shall expire on a country-by-country basis on the latest of the following dates: (i) the tenth anniversary of the date of first commercial sale in such country, (ii) the expiration in such country of the last-to-expire Lilly Licensed Patent having a valid claim covering the manufacture, use, or sale of the Lilly Licensed Product as commercialized in such country, and (iii) the expiration of any data or regulatory exclusivity period for the Lilly Licensed Product in such country. Upon such expiration, the license granted to us with respect to such country shall become fully paid-up, royalty-free, perpetual and irrevocable. In addition, the Lilly Royalties may be reduced upon the occurrence of certain events.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classify operating expenses into two main categories: (i) research and development expenses and (ii) general and administrative expenses.</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59155" cy="889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06" w:lineRule="exact"/>
        <w:rPr>
          <w:sz w:val="20"/>
          <w:szCs w:val="20"/>
          <w:color w:val="auto"/>
        </w:rPr>
      </w:pPr>
    </w:p>
    <w:p>
      <w:pPr>
        <w:ind w:right="880" w:firstLine="509"/>
        <w:spacing w:after="0" w:line="266" w:lineRule="auto"/>
        <w:rPr>
          <w:sz w:val="20"/>
          <w:szCs w:val="20"/>
          <w:color w:val="auto"/>
        </w:rPr>
      </w:pPr>
      <w:r>
        <w:rPr>
          <w:rFonts w:ascii="Times New Roman" w:cs="Times New Roman" w:eastAsia="Times New Roman" w:hAnsi="Times New Roman"/>
          <w:sz w:val="18"/>
          <w:szCs w:val="18"/>
          <w:color w:val="auto"/>
        </w:rPr>
        <w:t>Our research and development expenses consist of external and internal expenses incurred in connection with our research activities and development programs.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These expenses include:</w:t>
      </w:r>
    </w:p>
    <w:p>
      <w:pPr>
        <w:spacing w:after="0" w:line="104"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expenses, consisting of:</w:t>
      </w:r>
    </w:p>
    <w:p>
      <w:pPr>
        <w:spacing w:after="0" w:line="104" w:lineRule="exact"/>
        <w:rPr>
          <w:sz w:val="20"/>
          <w:szCs w:val="20"/>
          <w:color w:val="auto"/>
        </w:rPr>
      </w:pPr>
    </w:p>
    <w:p>
      <w:pPr>
        <w:ind w:left="1440" w:right="360" w:hanging="384"/>
        <w:spacing w:after="0" w:line="282" w:lineRule="auto"/>
        <w:tabs>
          <w:tab w:leader="none" w:pos="14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development—expenses associated with clinical research organizations, or CROs, engaged to manage and conduct clinical trials and other outside services;</w:t>
      </w:r>
    </w:p>
    <w:p>
      <w:pPr>
        <w:spacing w:after="0" w:line="40" w:lineRule="exact"/>
        <w:rPr>
          <w:rFonts w:ascii="Times New Roman" w:cs="Times New Roman" w:eastAsia="Times New Roman" w:hAnsi="Times New Roman"/>
          <w:sz w:val="18"/>
          <w:szCs w:val="18"/>
          <w:color w:val="auto"/>
        </w:rPr>
      </w:pPr>
    </w:p>
    <w:p>
      <w:pPr>
        <w:ind w:left="1440" w:hanging="384"/>
        <w:spacing w:after="0"/>
        <w:tabs>
          <w:tab w:leader="none" w:pos="14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studies—expenses associated with preclinical studies performed by vendors;</w:t>
      </w:r>
    </w:p>
    <w:p>
      <w:pPr>
        <w:spacing w:after="0" w:line="103" w:lineRule="exact"/>
        <w:rPr>
          <w:rFonts w:ascii="Times New Roman" w:cs="Times New Roman" w:eastAsia="Times New Roman" w:hAnsi="Times New Roman"/>
          <w:sz w:val="18"/>
          <w:szCs w:val="18"/>
          <w:color w:val="auto"/>
        </w:rPr>
      </w:pPr>
    </w:p>
    <w:p>
      <w:pPr>
        <w:ind w:left="1440" w:right="200" w:hanging="384"/>
        <w:spacing w:after="0" w:line="282" w:lineRule="auto"/>
        <w:tabs>
          <w:tab w:leader="none" w:pos="14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manufacturing—expenses associated with contract manufacturing; labeling, packaging, and distribution of clinical trial supplies, and consulting;</w:t>
      </w:r>
    </w:p>
    <w:p>
      <w:pPr>
        <w:spacing w:after="0" w:line="40" w:lineRule="exact"/>
        <w:rPr>
          <w:rFonts w:ascii="Times New Roman" w:cs="Times New Roman" w:eastAsia="Times New Roman" w:hAnsi="Times New Roman"/>
          <w:sz w:val="18"/>
          <w:szCs w:val="18"/>
          <w:color w:val="auto"/>
        </w:rPr>
      </w:pPr>
    </w:p>
    <w:p>
      <w:pPr>
        <w:ind w:left="1440" w:hanging="384"/>
        <w:spacing w:after="0"/>
        <w:tabs>
          <w:tab w:leader="none" w:pos="14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research and development—expenses associated with quality and regulatory compliance; and</w:t>
      </w:r>
    </w:p>
    <w:p>
      <w:pPr>
        <w:spacing w:after="0" w:line="10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expenses, consisting of personnel, including expenses for salaries, bonuses, benefits, stock-based compensation, as well as allocation of certain expenses.</w:t>
      </w:r>
    </w:p>
    <w:p>
      <w:pPr>
        <w:spacing w:after="0" w:line="176" w:lineRule="exact"/>
        <w:rPr>
          <w:sz w:val="20"/>
          <w:szCs w:val="20"/>
          <w:color w:val="auto"/>
        </w:rPr>
      </w:pPr>
    </w:p>
    <w:p>
      <w:pPr>
        <w:jc w:val="both"/>
        <w:ind w:right="300" w:firstLine="509"/>
        <w:spacing w:after="0" w:line="250" w:lineRule="auto"/>
        <w:rPr>
          <w:sz w:val="20"/>
          <w:szCs w:val="20"/>
          <w:color w:val="auto"/>
        </w:rPr>
      </w:pPr>
      <w:r>
        <w:rPr>
          <w:rFonts w:ascii="Times New Roman" w:cs="Times New Roman" w:eastAsia="Times New Roman" w:hAnsi="Times New Roman"/>
          <w:sz w:val="18"/>
          <w:szCs w:val="18"/>
          <w:color w:val="auto"/>
        </w:rPr>
        <w:t>To date, these expenses have been incurred to advance tildacerfont. These expenses will primarily consist of expenses for the conduct of clinical trials as well as manufacturing costs for clinical material supply. We expect that significant additional spending will be required to progress tildacerfont through clinical development and regulatory approval.</w:t>
      </w:r>
    </w:p>
    <w:p>
      <w:pPr>
        <w:spacing w:after="0" w:line="190" w:lineRule="exact"/>
        <w:rPr>
          <w:sz w:val="20"/>
          <w:szCs w:val="20"/>
          <w:color w:val="auto"/>
        </w:rPr>
      </w:pPr>
    </w:p>
    <w:p>
      <w:pPr>
        <w:ind w:right="160" w:firstLine="509"/>
        <w:spacing w:after="0" w:line="250" w:lineRule="auto"/>
        <w:rPr>
          <w:sz w:val="20"/>
          <w:szCs w:val="20"/>
          <w:color w:val="auto"/>
        </w:rPr>
      </w:pPr>
      <w:r>
        <w:rPr>
          <w:rFonts w:ascii="Times New Roman" w:cs="Times New Roman" w:eastAsia="Times New Roman" w:hAnsi="Times New Roman"/>
          <w:sz w:val="18"/>
          <w:szCs w:val="18"/>
          <w:color w:val="auto"/>
        </w:rPr>
        <w:t>Research and development expenses are recognized as they are incurred. If deposits are required by external vendors, a portion of the deposit is included as a prepaid expense until sufficient progress has occurred to amortize the deposit to expense in the statements of operations and comprehensive loss.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06"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personnel-related costs (including salaries, bonuses, benefits, and stock-based compensation expense) for personnel in executive, finance, and other administrative functions. General and administrative expenses also include legal fees, professional fees, insurance costs, facility costs not otherwise included in research and development expenses, and public company expenses such as costs associated with compliance with the rules and regulations of the SEC, and those of the Nasdaq Stock Market, Inc., or Nasdaq, listing rules.</w:t>
      </w:r>
    </w:p>
    <w:p>
      <w:pPr>
        <w:spacing w:after="0" w:line="177" w:lineRule="exact"/>
        <w:rPr>
          <w:sz w:val="20"/>
          <w:szCs w:val="20"/>
          <w:color w:val="auto"/>
        </w:rPr>
      </w:pPr>
    </w:p>
    <w:p>
      <w:pPr>
        <w:ind w:firstLine="509"/>
        <w:spacing w:after="0" w:line="312" w:lineRule="auto"/>
        <w:rPr>
          <w:sz w:val="20"/>
          <w:szCs w:val="20"/>
          <w:color w:val="auto"/>
        </w:rPr>
      </w:pPr>
      <w:r>
        <w:rPr>
          <w:rFonts w:ascii="Times New Roman" w:cs="Times New Roman" w:eastAsia="Times New Roman" w:hAnsi="Times New Roman"/>
          <w:sz w:val="17"/>
          <w:szCs w:val="17"/>
          <w:color w:val="auto"/>
        </w:rPr>
        <w:t>We expect that our general and administrative expenses will continue to increase in the foreseeable future as additional administrative personnel and services are required to manage these functions of a public company, as we advance tildacerfont through clinical development and regulatory approval.</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08"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Interest expense consists of interest incurred and non-cash amortization of debt discount and issuance costs in connection with the Term Loan, provided pursuant to the Loan and Security Agreement, as amended.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income, net primarily consists of interest income earned on our cash, cash equivalents and investments.</w:t>
      </w: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59155"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Comparisons of the Three Months Ended March 31, 2022 and 2021</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presented (in thousands):</w:t>
      </w:r>
    </w:p>
    <w:p>
      <w:pPr>
        <w:spacing w:after="0" w:line="206"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3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vMerge w:val="restart"/>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43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86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6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8,508</w:t>
            </w:r>
          </w:p>
        </w:tc>
        <w:tc>
          <w:tcPr>
            <w:tcW w:w="24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6,714</w:t>
            </w:r>
          </w:p>
        </w:tc>
        <w:tc>
          <w:tcPr>
            <w:tcW w:w="2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3,225</w:t>
            </w:r>
          </w:p>
        </w:tc>
        <w:tc>
          <w:tcPr>
            <w:tcW w:w="24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3,103</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11,733</w:t>
            </w:r>
          </w:p>
        </w:tc>
        <w:tc>
          <w:tcPr>
            <w:tcW w:w="2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9,817</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8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(11,733</w:t>
            </w:r>
          </w:p>
        </w:tc>
        <w:tc>
          <w:tcPr>
            <w:tcW w:w="2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(9,817</w:t>
            </w:r>
          </w:p>
        </w:tc>
        <w:tc>
          <w:tcPr>
            <w:tcW w:w="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4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860" w:type="dxa"/>
            <w:vAlign w:val="bottom"/>
          </w:tcPr>
          <w:p>
            <w:pPr>
              <w:spacing w:after="0"/>
              <w:rPr>
                <w:sz w:val="18"/>
                <w:szCs w:val="18"/>
                <w:color w:val="auto"/>
              </w:rPr>
            </w:pPr>
          </w:p>
        </w:tc>
        <w:tc>
          <w:tcPr>
            <w:tcW w:w="8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(87 )</w:t>
            </w:r>
          </w:p>
        </w:tc>
        <w:tc>
          <w:tcPr>
            <w:tcW w:w="520" w:type="dxa"/>
            <w:vAlign w:val="bottom"/>
          </w:tcPr>
          <w:p>
            <w:pPr>
              <w:spacing w:after="0"/>
              <w:rPr>
                <w:sz w:val="18"/>
                <w:szCs w:val="18"/>
                <w:color w:val="auto"/>
              </w:rPr>
            </w:pPr>
          </w:p>
        </w:tc>
        <w:tc>
          <w:tcPr>
            <w:tcW w:w="10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(89 )</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income, net</w:t>
            </w:r>
          </w:p>
        </w:tc>
        <w:tc>
          <w:tcPr>
            <w:tcW w:w="8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96"/>
              </w:rPr>
              <w:t>(11,762 )</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(9,887 )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(1,875 )</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-736600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-736600</wp:posOffset>
            </wp:positionV>
            <wp:extent cx="6032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-736600</wp:posOffset>
            </wp:positionV>
            <wp:extent cx="5969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-170815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-170815</wp:posOffset>
            </wp:positionV>
            <wp:extent cx="6032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-170815</wp:posOffset>
            </wp:positionV>
            <wp:extent cx="5969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06"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Research and development expenses were $8.5 million for the three months ended March 31, 2022, compared to $6.7 million for the three months ended March 31, 2021. The overall increase in research and development expenses was primarily related to progressing clinical development of tildacerfont in adult classic CAH and initiation of clinical programs in pediatric classic CAH and PCOS. The following table sets forth the primary external and internal research and development expenses for the periods presented below (in thousands).</w:t>
      </w:r>
    </w:p>
    <w:p>
      <w:pPr>
        <w:spacing w:after="0" w:line="212"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4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4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44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External expenses:</w:t>
            </w:r>
          </w:p>
        </w:tc>
        <w:tc>
          <w:tcPr>
            <w:tcW w:w="84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Clinical development</w:t>
            </w:r>
          </w:p>
        </w:tc>
        <w:tc>
          <w:tcPr>
            <w:tcW w:w="840" w:type="dxa"/>
            <w:vAlign w:val="bottom"/>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5,325</w:t>
            </w:r>
          </w:p>
        </w:tc>
        <w:tc>
          <w:tcPr>
            <w:tcW w:w="74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3,644</w:t>
            </w:r>
          </w:p>
        </w:tc>
        <w:tc>
          <w:tcPr>
            <w:tcW w:w="4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Manufacturing</w:t>
            </w:r>
          </w:p>
        </w:tc>
        <w:tc>
          <w:tcPr>
            <w:tcW w:w="8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2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Preclinical studies</w:t>
            </w:r>
          </w:p>
        </w:tc>
        <w:tc>
          <w:tcPr>
            <w:tcW w:w="8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research and development</w:t>
            </w:r>
          </w:p>
        </w:tc>
        <w:tc>
          <w:tcPr>
            <w:tcW w:w="8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16"/>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 expenses:</w:t>
            </w: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Personnel</w:t>
            </w:r>
          </w:p>
        </w:tc>
        <w:tc>
          <w:tcPr>
            <w:tcW w:w="8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2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(70 )</w:t>
            </w:r>
          </w:p>
        </w:tc>
        <w:tc>
          <w:tcPr>
            <w:tcW w:w="0" w:type="dxa"/>
            <w:vAlign w:val="bottom"/>
          </w:tcPr>
          <w:p>
            <w:pPr>
              <w:spacing w:after="0"/>
              <w:rPr>
                <w:sz w:val="1"/>
                <w:szCs w:val="1"/>
                <w:color w:val="auto"/>
              </w:rPr>
            </w:pPr>
          </w:p>
        </w:tc>
      </w:tr>
      <w:tr>
        <w:trPr>
          <w:trHeight w:val="216"/>
        </w:trPr>
        <w:tc>
          <w:tcPr>
            <w:tcW w:w="4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Allocated overhead</w:t>
            </w:r>
          </w:p>
        </w:tc>
        <w:tc>
          <w:tcPr>
            <w:tcW w:w="8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840" w:type="dxa"/>
            <w:vAlign w:val="bottom"/>
            <w:tcBorders>
              <w:bottom w:val="single" w:sz="8" w:color="auto"/>
            </w:tcBorders>
            <w:shd w:val="clear" w:color="auto" w:fill="CFF0FC"/>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8,508</w:t>
            </w:r>
          </w:p>
        </w:tc>
        <w:tc>
          <w:tcPr>
            <w:tcW w:w="20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6,714</w:t>
            </w:r>
          </w:p>
        </w:tc>
        <w:tc>
          <w:tcPr>
            <w:tcW w:w="1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-24765</wp:posOffset>
            </wp:positionV>
            <wp:extent cx="431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-7620</wp:posOffset>
            </wp:positionV>
            <wp:extent cx="431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-24765</wp:posOffset>
            </wp:positionV>
            <wp:extent cx="3429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-7620</wp:posOffset>
            </wp:positionV>
            <wp:extent cx="3429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-24765</wp:posOffset>
            </wp:positionV>
            <wp:extent cx="5969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-7620</wp:posOffset>
            </wp:positionV>
            <wp:extent cx="5969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0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were $3.2 million for the three months ended March 31, 2022, compared to $3.1 million for the three months ended March 31, 2021. The overall increase in general and administrative expenses was primarily related to an increase of $0.2 million in personnel-related expenses, offset by lower professional services fees of $0.1 million.</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expense was $0.1 million for the three months ended March 31, 2022, compared to $0.1 million for the three months ended March 31, 2021.</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incurred relates to the Term Loan with Silicon Valley Bank.</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9"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Other income, net was $0.1 million for the three months ended March 31, 2022, compared to $19 thousand for the three months ended March 31, 2021. The increase was primarily due to higher yield earned on investment balances in 2022.</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59155"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08"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Since our inception, we have not generated any revenue from product sales and have incurred significant operating losses and negative cash flows from operations. We anticipate that we will continue to incur net losses for the foreseeable future. As of March 31, 2022, we had an accumulated deficit of $114.9 million. As of March 31, 2022, we had cash, cash equivalents and investments of $108.9 million. We believe, based on our current operating plan, that our cash, cash equivalents and investments as of March 31, 2022 will be sufficient to fund our operations for at least the next 12 months.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Agreement</w:t>
      </w:r>
    </w:p>
    <w:p>
      <w:pPr>
        <w:spacing w:after="0" w:line="94"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8"/>
          <w:szCs w:val="18"/>
          <w:color w:val="auto"/>
        </w:rPr>
        <w:t>In September 2019, we entered into a Loan and Security Agreement, or the Loan Agreement, providing for a term loan, or the Term Loan, with Silicon Valley Bank. In April 2020, we and Silicon Valley Bank entered into a deferral agreement, or the Deferral Agreement, whereby we and Silicon Valley Bank agreed to extend the repayment dates of all monthly payments of principal due and the maturity date with respect to the Term Loan by six months. In March 2021, we entered into a First Amendment to Loan and Security Agreement, or the First Amendment, with Silicon Valley Bank. The First Amendment increased the aggregate principal amount of the Term Loan commitment by Silicon Valley Bank to up to $30.0 million. Up to $20.0 million was available under the first tranche of the Term Loan, or the First Tranche, $5.0 million of which was advanced immediately to repay the outstanding obligations under the Term Loan prior to the First Amendment. The remainder of the First Tranche commitments, or $15.0 million, expired on December 31, 2021. Up to $10.0 million is available under the second tranche, or the Second Tranche, subject to the completion of certain clinical or financial milestones which Second Tranche commitment is available through December 31, 2022. Pursuant to the First Amendment, the Term Loan will mature on January 1, 2026. As of March 31, 2022, $5.0 million was outstanding under the Term Loan.</w:t>
      </w:r>
    </w:p>
    <w:p>
      <w:pPr>
        <w:spacing w:after="0" w:line="78"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In May 2022, we entered into a Second Amendment to Loan and Security Agreement, or the Second Amendment, with Silicon Valley Bank, which amended the milestones upon which the Second Tranche commitment of $10.0 million would become available.</w:t>
      </w:r>
    </w:p>
    <w:p>
      <w:pPr>
        <w:spacing w:after="0" w:line="40"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The Second Amendment also reduced the interest rate on the outstanding First Tranche Term Loan of $5.0 million and any advances that occur under the Second Tranche to a floating per annum rate equal to the greater of (A) one-half of one percent (0.50%) above the Prime Rate (as defined in the Loan Agreement) or (B) three and three-quarters of one percent (3.75%), and, in the event that the Supplemental Term Loans (as defined in the Loan Agreement) under the Second Tranche become available and we obtain an advance thereunder, the interest only period for all Term Loans (as defined in the Loan Agreement) will be extended from December 31, 2022, to June 30, 2023.</w:t>
      </w:r>
    </w:p>
    <w:p>
      <w:pPr>
        <w:spacing w:after="0" w:line="87" w:lineRule="exact"/>
        <w:rPr>
          <w:sz w:val="20"/>
          <w:szCs w:val="20"/>
          <w:color w:val="auto"/>
        </w:rPr>
      </w:pPr>
    </w:p>
    <w:p>
      <w:pPr>
        <w:ind w:right="60" w:firstLine="509"/>
        <w:spacing w:after="0" w:line="246" w:lineRule="auto"/>
        <w:rPr>
          <w:sz w:val="20"/>
          <w:szCs w:val="20"/>
          <w:color w:val="auto"/>
        </w:rPr>
      </w:pPr>
      <w:r>
        <w:rPr>
          <w:rFonts w:ascii="Times New Roman" w:cs="Times New Roman" w:eastAsia="Times New Roman" w:hAnsi="Times New Roman"/>
          <w:sz w:val="18"/>
          <w:szCs w:val="18"/>
          <w:color w:val="auto"/>
        </w:rPr>
        <w:t>Further, in the event that the Supplemental Term Loans under the Second Tranche become available and we obtain an advance thereunder, we will be required to comply with a new liquidity covenant of at least $50.0 million at all times, and if we do not comply with the foregoing liquidity covenant, a springing cash pledge will occur, pursuant to which we must maintain a cash secured blocked account with Silicon Valley Bank with a cash balance in an amount equal to the outstanding Silicon Valley Bank obligations at such time (excluding Bank Services (as defined in the Loan Agreement)), provided that the foregoing cash collateral requirement will terminate upon a certain additional equity raise, which must occur on or before September 30, 2024.</w:t>
      </w:r>
    </w:p>
    <w:p>
      <w:pPr>
        <w:spacing w:after="0" w:line="181"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The Loan Agreement, as amended by the Deferral Agreement, the First Amendment, and the Second Amendment, provides for monthly cash interest-only payments following the funding date of each respective tranche and continuing thereafter through December 31, 2022 to the extent that the Company does not borrow any part of the Second Tranche or June 30, 2023 if the Company has borrowed some or all of the Second Tranche.</w:t>
      </w:r>
    </w:p>
    <w:p>
      <w:pPr>
        <w:spacing w:after="0" w:line="169"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Following the interest-only period, the outstanding Term Loan balance will be payable in (i) 37 consecutive monthly payments (or 31 if the Company borrows under the Second Tranche) after the end of the interest-only period and continuing on the same day of each month thereafter, in amounts that would fully amortize such Term Loan balance, as of the first business day of the first month following the amended interest-only period, over the repayment period, plus (ii) monthly payments of accrued but unpaid interest.</w:t>
      </w:r>
    </w:p>
    <w:p>
      <w:pPr>
        <w:spacing w:after="0" w:line="1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Second Amendment amended the Second Tranche Final Payment due on the maturity date, which payments shall include all outstanding</w:t>
      </w:r>
    </w:p>
    <w:p>
      <w:pPr>
        <w:spacing w:after="0" w:line="27"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8"/>
          <w:szCs w:val="18"/>
          <w:color w:val="auto"/>
        </w:rPr>
        <w:t>principal and all accrued unpaid interest and an end of term payment, or the Supplemental Final Payment, totaling (x) 6.0% of the original funded principal amount of the First Tranche, and (y) 4.0% of the total original funded principal amount under the Second Tranche if the Company does borrow under the Second Tranche.</w:t>
      </w:r>
    </w:p>
    <w:p>
      <w:pPr>
        <w:spacing w:after="0" w:line="198"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The Second Amendment also amended the prepayment amounts, so that we may prepay amounts outstanding under the Term Loan at any time provided certain notification conditions are met, in which case, all outstanding principal plus accrued and unpaid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59155"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interest, the Supplemental Final Payment, a prepayment fee of 1% or 2% of the principal amount of the first and second tranches, and any bank expenses become due and payable.</w:t>
      </w:r>
    </w:p>
    <w:p>
      <w:pPr>
        <w:spacing w:after="0" w:line="162"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The Loan Agreement, as amended, contains certain covenants that limit our ability to engage in certain transactions that may be in our long-term best interest, including entering into a change in control transaction. The Loan Agreement, as amended, also contains certain covenants that limit our ability to obtain additional debt financing, including incurring debt from third parties not permitted under the Loan Agreement, as amended, or incurring liens or encumbrances on our property. While we have not previously breached and are currently in compliance with the covenants contained in the Loan Agreement, as amended, we may breach these covenants in the future. Our ability to comply with these covenants may be affected by events and factors beyond our control. In the event that we breach one or more covenants, Silicon Valley Bank may choose to declare an event of default and require that we immediately repay all amounts outstanding under the Loan Agreement, terminate any commitment to extend further credit and foreclose on the collateral. In addition, if an event of default occurs under the Loan Agreement, as amended, Silicon Valley Bank may, among other things, accelerate the Term Loan or do any acts it considers necessary or reasonable to protect its security interest in the collateral under the Term Loan. Events of default include the occurrence of a material adverse change in our business, operations, or condition (financial or otherwise). The occurrence of any of these events could have a material adverse effect on our business, financial condition, and results of operations.</w:t>
      </w:r>
    </w:p>
    <w:p>
      <w:pPr>
        <w:spacing w:after="0" w:line="202"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In connection with the first and second tranches under the Loan Agreement prior to the First Amendment, we issued a warrant to purchase up to an aggregate of 49,609 shares of common stock at $1.44 per share. We determined the initial fair value of the warrant to be $0.1 million using the Black-Scholes option-pricing model. The fair value of the warrant was recorded to equity and also as a debt discount, which is amortized to interest expense using the effective interest method over the term of the Term Loan. The warrant was net-exercised for 46,358 shares of our common stock in November 2020.</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Shelf Registration and Sales Agreement</w:t>
      </w:r>
    </w:p>
    <w:p>
      <w:pPr>
        <w:spacing w:after="0" w:line="108" w:lineRule="exact"/>
        <w:rPr>
          <w:sz w:val="20"/>
          <w:szCs w:val="20"/>
          <w:color w:val="auto"/>
        </w:rPr>
      </w:pPr>
    </w:p>
    <w:p>
      <w:pPr>
        <w:ind w:right="140" w:firstLine="509"/>
        <w:spacing w:after="0" w:line="242" w:lineRule="auto"/>
        <w:rPr>
          <w:sz w:val="20"/>
          <w:szCs w:val="20"/>
          <w:color w:val="auto"/>
        </w:rPr>
      </w:pPr>
      <w:r>
        <w:rPr>
          <w:rFonts w:ascii="Times New Roman" w:cs="Times New Roman" w:eastAsia="Times New Roman" w:hAnsi="Times New Roman"/>
          <w:sz w:val="18"/>
          <w:szCs w:val="18"/>
          <w:color w:val="auto"/>
        </w:rPr>
        <w:t>In February 2022, the SEC declared effective the Shelf Registration covering the sale of up to $200.0 million of our securities. Also, in February 2022, we entered into the Sales Agreement with Jefferies, pursuant to which we may elect to issue and sell, from time to time, shares of common stock having an aggregate offering price of up to $21.0 million under the Shelf Registration through Jefferies acting as the sales agent and/or principal, or the Offering. We have also filed a prospectus supplement with the SEC in connection with the Offering under the Shelf Registration. Upon delivery of an issuance notice and subject to the terms and conditions of the Sales Agreement, Jefferies may sell the shares at market prices by any method deemed to be an “at the market offering” as defined in Rule 415(a)(4) promulgated under the Securities Act, including sales made directly on or through The Nasdaq Global Select Market, or Nasdaq, the existing trading market for our common stock. We or Jefferies may suspend or terminate the offering of the shares upon notice to the other party, subject to certain conditions. Jefferies will act as sales agent on a commercially reasonable efforts basis consistent with its normal trading and sales practices and applicable state and federal law, rules and regulations and the rules of Nasdaq. We may instruct Jefferies to not sell the shares if the sales cannot be transacted at or above the price we designate in any issuance notice. We are not obligated to make any sales of the shares under the Sales Agreement. As of March 31, 2022, we have issued no shares of common stock pursuant to the Sales Agreement.</w:t>
      </w:r>
    </w:p>
    <w:p>
      <w:pPr>
        <w:spacing w:after="0" w:line="94"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We have agreed to pay Jefferies commissions for its services of acting as agent of 3.0% of the gross proceeds from the sale of the shares pursuant to the Sales Agreement. We have also agreed to provide Jefferies with customary indemnification and contribution rights.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To date, we have not generated any revenue. We do not expect to generate any meaningful revenue unless and until we obtain regulatory approval and commercialize tildacerfont or any future product candidates, and we do not know when, or if at all, that will occur. We will continue to require additional capital to develop tildacerfont and fund operations for the foreseeable future. Our primary uses of cash are to fund our operations, which consist primarily of research and development expenses related to our clinical development programs, and to a lesser extent, general and administrative expenses.</w:t>
      </w:r>
    </w:p>
    <w:p>
      <w:pPr>
        <w:spacing w:after="0" w:line="177" w:lineRule="exact"/>
        <w:rPr>
          <w:sz w:val="20"/>
          <w:szCs w:val="20"/>
          <w:color w:val="auto"/>
        </w:rPr>
      </w:pPr>
    </w:p>
    <w:p>
      <w:pPr>
        <w:ind w:right="40" w:firstLine="509"/>
        <w:spacing w:after="0" w:line="245" w:lineRule="auto"/>
        <w:rPr>
          <w:sz w:val="20"/>
          <w:szCs w:val="20"/>
          <w:color w:val="auto"/>
        </w:rPr>
      </w:pPr>
      <w:r>
        <w:rPr>
          <w:rFonts w:ascii="Times New Roman" w:cs="Times New Roman" w:eastAsia="Times New Roman" w:hAnsi="Times New Roman"/>
          <w:sz w:val="18"/>
          <w:szCs w:val="18"/>
          <w:color w:val="auto"/>
        </w:rPr>
        <w:t>At this time, we cannot reasonably estimate or know the nature, timing, and estimated costs of the efforts that will be necessary to complete the development of, and obtain regulatory approval for, tildacerfont or any of our future product candidates. We expect our research and development expenses to increase significantly in the foreseeable future as we continue to invest in research and development activities related to developing tildacerfont, as tildacerfont continues advancing in late stage studies for the treatment of classic CAH in adult patients, as we conduct clinical trials of tildacerfont in additional indications beyond classic CAH in adult patients, as we seek regulatory approvals for tildacerfont, and incur expenses associated with hiring additional personnel to support our research and development efforts. The process of conducting the necessary clinical research to obtain regulatory approval is costly</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59155"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and time-consuming, the successful development of tildacerfont is highly uncertain, and we may never succeed in achieving regulatory approval for tildacerfont in classic CAH in adult patients or other indications.</w:t>
      </w:r>
    </w:p>
    <w:p>
      <w:pPr>
        <w:spacing w:after="0" w:line="162" w:lineRule="exact"/>
        <w:rPr>
          <w:sz w:val="20"/>
          <w:szCs w:val="20"/>
          <w:color w:val="auto"/>
        </w:rPr>
      </w:pPr>
    </w:p>
    <w:p>
      <w:pPr>
        <w:jc w:val="both"/>
        <w:ind w:right="260" w:firstLine="509"/>
        <w:spacing w:after="0" w:line="250" w:lineRule="auto"/>
        <w:rPr>
          <w:sz w:val="20"/>
          <w:szCs w:val="20"/>
          <w:color w:val="auto"/>
        </w:rPr>
      </w:pPr>
      <w:r>
        <w:rPr>
          <w:rFonts w:ascii="Times New Roman" w:cs="Times New Roman" w:eastAsia="Times New Roman" w:hAnsi="Times New Roman"/>
          <w:sz w:val="18"/>
          <w:szCs w:val="18"/>
          <w:color w:val="auto"/>
        </w:rPr>
        <w:t>We may seek to raise capital through equity or debt financings, collaborative agreements or other arrangements with other companies, or through other sources of financing. Adequate additional funding may not be available to us on acceptable terms or at all. Our failure to raise capital as and when needed could have a negative impact on our financial condition and our ability to pursue our business strategies. We anticipate that we will need to raise substantial additional capital, the requirements of which will depend on many factors, including:</w:t>
      </w:r>
    </w:p>
    <w:p>
      <w:pPr>
        <w:spacing w:after="0" w:line="83"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costs, trial design, results of, and timing of our ongoing and planned clinical trials of tildacerfont;</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costs and timing of seeking and obtaining FDA and any other regulatory approvals;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product candidates that we may pursue;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sufficient quantities of tildacerfont;</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 to expand our research and development activities;</w:t>
      </w:r>
    </w:p>
    <w:p>
      <w:pPr>
        <w:spacing w:after="0" w:line="103"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manufacturing tildacerfont and establishing clinical and commercial supplies and sales, marketing, and distribution capabilities;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securing and establishing clinical and commercialization;</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licensing, or investing in product candidates;</w:t>
      </w:r>
    </w:p>
    <w:p>
      <w:pPr>
        <w:spacing w:after="0" w:line="103" w:lineRule="exact"/>
        <w:rPr>
          <w:rFonts w:ascii="Times New Roman" w:cs="Times New Roman" w:eastAsia="Times New Roman" w:hAnsi="Times New Roman"/>
          <w:sz w:val="18"/>
          <w:szCs w:val="18"/>
          <w:color w:val="auto"/>
        </w:rPr>
      </w:pPr>
    </w:p>
    <w:p>
      <w:pPr>
        <w:ind w:left="1020" w:right="40" w:hanging="503"/>
        <w:spacing w:after="0" w:line="258"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and ability to retain key management and hire scientific, technical, business, and medical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products and product candidates and other market developments;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sales from tildacerfont and any future product candidates, if approved;</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implement additional internal systems and infrastructure, including financial and reporting systems;</w:t>
      </w:r>
    </w:p>
    <w:p>
      <w:pPr>
        <w:spacing w:after="0" w:line="11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economic and other terms, timing of, and success of any collaboration, licensing, or other arrangements which we may enter in the future; and</w:t>
      </w:r>
    </w:p>
    <w:p>
      <w:pPr>
        <w:spacing w:after="0" w:line="54"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the disruptions to and volatility in the credit and financial markets in the United States and worldwide from the COVID-19 pandemic.</w:t>
      </w:r>
    </w:p>
    <w:p>
      <w:pPr>
        <w:spacing w:after="0" w:line="148" w:lineRule="exact"/>
        <w:rPr>
          <w:sz w:val="20"/>
          <w:szCs w:val="20"/>
          <w:color w:val="auto"/>
        </w:rPr>
      </w:pPr>
    </w:p>
    <w:p>
      <w:pPr>
        <w:ind w:right="220" w:firstLine="509"/>
        <w:spacing w:after="0" w:line="250" w:lineRule="auto"/>
        <w:rPr>
          <w:sz w:val="20"/>
          <w:szCs w:val="20"/>
          <w:color w:val="auto"/>
        </w:rPr>
      </w:pPr>
      <w:r>
        <w:rPr>
          <w:rFonts w:ascii="Times New Roman" w:cs="Times New Roman" w:eastAsia="Times New Roman" w:hAnsi="Times New Roman"/>
          <w:sz w:val="18"/>
          <w:szCs w:val="18"/>
          <w:color w:val="auto"/>
        </w:rPr>
        <w:t>If we raise additional funds by issuing equity securities, our stockholders will experience dilution. If we raise additional capital through debt financing, we may be subject to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w:t>
      </w:r>
    </w:p>
    <w:p>
      <w:pPr>
        <w:spacing w:after="0" w:line="177"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We may be unable to raise additional funds or to enter into such agreements or arrangements on favorable terms, or at all. Our ability to raise additional funds may be adversely impacted by potential worsening global economic conditions and the disruptions to, and volatility in, the credit and financial markets in the United States and worldwide resulting from the COVID-19 pandemic and actions taken to slow its spread, including severely diminished liquidity and credit availability, declines in consumer confidence, declines in economic growth, increases in unemployment rates, and uncertainty about economic stability. If the equity and credit markets deteriorate, it may make any necessary debt or equity financing more difficult, more costly and more dilutive. If we are unable to raise additional capital in sufficient amounts or on terms acceptable to us, we may have to significantly delay, scale back, or discontinue the development or commercialization of tildacerfont or other research and development initiatives. We also could be required to seek collaborators for tildacerfont and any future product candidates at an earlier stage than otherwise would be desirable or on terms that are less favorable than might otherwise be available or relinquish or license on unfavorable terms our rights to tildacerfont and any future product candidates in markets where we otherwise would seek to pursue development or commercialization ourselves.</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amount and timing of our future funding requirements will depend on many factors including the pace and results of our development efforts.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cannot assure you that we will ever be profitable or generate positive cash flow from operating activities.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Statement of Cash Flows</w:t>
      </w:r>
    </w:p>
    <w:p>
      <w:pPr>
        <w:spacing w:after="0" w:line="108" w:lineRule="exact"/>
        <w:rPr>
          <w:sz w:val="20"/>
          <w:szCs w:val="20"/>
          <w:color w:val="auto"/>
        </w:rPr>
      </w:pPr>
    </w:p>
    <w:p>
      <w:pPr>
        <w:ind w:right="640"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primary sources and uses of cash, cash equivalents, and restricted cash for the periods presented below (in thousands):</w:t>
      </w:r>
    </w:p>
    <w:p>
      <w:pPr>
        <w:spacing w:after="0" w:line="210" w:lineRule="exact"/>
        <w:rPr>
          <w:sz w:val="20"/>
          <w:szCs w:val="20"/>
          <w:color w:val="auto"/>
        </w:rPr>
      </w:pPr>
    </w:p>
    <w:p>
      <w:pPr>
        <w:jc w:val="center"/>
        <w:ind w:left="52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52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534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10"/>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40" w:type="dxa"/>
            <w:vAlign w:val="bottom"/>
            <w:shd w:val="clear" w:color="auto" w:fill="CFF0FC"/>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(11,826</w:t>
            </w:r>
          </w:p>
        </w:tc>
        <w:tc>
          <w:tcPr>
            <w:tcW w:w="2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(8,787</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40" w:type="dxa"/>
            <w:vAlign w:val="bottom"/>
          </w:tcPr>
          <w:p>
            <w:pPr>
              <w:spacing w:after="0"/>
              <w:rPr>
                <w:sz w:val="18"/>
                <w:szCs w:val="18"/>
                <w:color w:val="auto"/>
              </w:rPr>
            </w:pPr>
          </w:p>
        </w:tc>
        <w:tc>
          <w:tcPr>
            <w:tcW w:w="8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(7,491 )</w:t>
            </w:r>
          </w:p>
        </w:tc>
        <w:tc>
          <w:tcPr>
            <w:tcW w:w="38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16"/>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0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(88 )</w:t>
            </w: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shd w:val="clear" w:color="auto" w:fill="CFF0FC"/>
          </w:tcPr>
          <w:p>
            <w:pPr>
              <w:spacing w:after="0"/>
              <w:rPr>
                <w:sz w:val="18"/>
                <w:szCs w:val="18"/>
                <w:color w:val="auto"/>
              </w:rPr>
            </w:pPr>
          </w:p>
        </w:tc>
      </w:tr>
      <w:tr>
        <w:trPr>
          <w:trHeight w:val="20"/>
        </w:trPr>
        <w:tc>
          <w:tcPr>
            <w:tcW w:w="534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1040" w:type="dxa"/>
            <w:vAlign w:val="bottom"/>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(19,405 )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(8,523 )</w:t>
            </w:r>
          </w:p>
        </w:tc>
      </w:tr>
      <w:tr>
        <w:trPr>
          <w:trHeight w:val="20"/>
        </w:trPr>
        <w:tc>
          <w:tcPr>
            <w:tcW w:w="53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-170815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-170815</wp:posOffset>
            </wp:positionV>
            <wp:extent cx="5969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Operating Activities</w:t>
      </w:r>
    </w:p>
    <w:p>
      <w:pPr>
        <w:spacing w:after="0" w:line="106" w:lineRule="exact"/>
        <w:rPr>
          <w:sz w:val="20"/>
          <w:szCs w:val="20"/>
          <w:color w:val="auto"/>
        </w:rPr>
      </w:pPr>
    </w:p>
    <w:p>
      <w:pPr>
        <w:ind w:right="60" w:firstLine="509"/>
        <w:spacing w:after="0" w:line="246" w:lineRule="auto"/>
        <w:rPr>
          <w:sz w:val="20"/>
          <w:szCs w:val="20"/>
          <w:color w:val="auto"/>
        </w:rPr>
      </w:pPr>
      <w:r>
        <w:rPr>
          <w:rFonts w:ascii="Times New Roman" w:cs="Times New Roman" w:eastAsia="Times New Roman" w:hAnsi="Times New Roman"/>
          <w:sz w:val="18"/>
          <w:szCs w:val="18"/>
          <w:color w:val="auto"/>
        </w:rPr>
        <w:t>For the three months ended March 31, 2022, net cash used in operating activities was $11.8 million, which consisted of a net loss of $11.8 million, and a net change of $1.3 million in our net operating assets and liabilities, partially offset by $1.3 million in non-cash charges. The net change in our operating assets and liabilities was primarily due to an increase in prepaid expenses and other current assets of $0.8 million, offset by a decrease in accrued compensation of $0.4 million. The non-cash charges of $1.3 million consisted of stock-based compensation expense, non-cash lease expense and depreciation expense.</w:t>
      </w:r>
    </w:p>
    <w:p>
      <w:pPr>
        <w:spacing w:after="0" w:line="87" w:lineRule="exact"/>
        <w:rPr>
          <w:sz w:val="20"/>
          <w:szCs w:val="20"/>
          <w:color w:val="auto"/>
        </w:rPr>
      </w:pPr>
    </w:p>
    <w:p>
      <w:pPr>
        <w:ind w:right="60" w:firstLine="509"/>
        <w:spacing w:after="0" w:line="246" w:lineRule="auto"/>
        <w:rPr>
          <w:sz w:val="20"/>
          <w:szCs w:val="20"/>
          <w:color w:val="auto"/>
        </w:rPr>
      </w:pPr>
      <w:r>
        <w:rPr>
          <w:rFonts w:ascii="Times New Roman" w:cs="Times New Roman" w:eastAsia="Times New Roman" w:hAnsi="Times New Roman"/>
          <w:sz w:val="18"/>
          <w:szCs w:val="18"/>
          <w:color w:val="auto"/>
        </w:rPr>
        <w:t>For the three months ended March 31, 2021, net cash used in operating activities was $8.8 million, which consisted of a net loss of $9.9 million, partially offset by and a net change of $0.1 million in our net operating assets and liabilities and by $1.2 million in non-cash charges. The net change in our operating assets and liabilities was primarily due to a decrease in prepaid expenses and other current assets of $0.3 million, offset by a decrease in accounts payable and accrued expenses of $0.1 million, and a decrease in accrued compensation and noncurrent assets and liabilities of $0.3 million. The non-cash charges of $1.2 million consisted of stock-based compensation expense, non-cash lease expense and depreciation expense.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Investing Activities</w:t>
      </w:r>
    </w:p>
    <w:p>
      <w:pPr>
        <w:spacing w:after="0" w:line="106"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2022, cash used in investing activities was $7.5 million, consisting of available for sale securities purchases of $11.0 million, offset by proceeds from maturities of investments of $3.5 million. For the three months ended March 31, 2021, cash used in investing activities was $19.0 thousand and related to the purchase of property and equipment.</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by Financing Activities</w:t>
      </w:r>
    </w:p>
    <w:p>
      <w:pPr>
        <w:spacing w:after="0" w:line="119"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For the three months ended March 31, 2022, cash used in financing activities was $0.2 million, consisting primarily of payments of deferred offering costs. For the three months ended March 31, 2021, cash provided by financing activities was $0.3 million, consisting primarily of net proceeds from the issuance of long-term debt and proceeds from exercise of stock options.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108"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We are party to the Loan Agreement, as amended, with Silicon Valley Bank, and have material cash requirements thereunder. For a description of the terms of the Loan Agreement, see the section titled “Management’s Discussion and Analysis of Financial Condition and Results of Operations— Liquidity and Capital Resources—Loan Agreement”.</w:t>
      </w:r>
    </w:p>
    <w:p>
      <w:pPr>
        <w:spacing w:after="0" w:line="61"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In February 2020, we entered into a non-cancelable operating lease for office space with a commencement date of September 2020. The monthly payments escalate over the 63-month term with total gross commitments of $2.3 million.</w:t>
      </w:r>
    </w:p>
    <w:p>
      <w:pPr>
        <w:spacing w:after="0" w:line="68" w:lineRule="exact"/>
        <w:rPr>
          <w:sz w:val="20"/>
          <w:szCs w:val="20"/>
          <w:color w:val="auto"/>
        </w:rPr>
      </w:pPr>
    </w:p>
    <w:p>
      <w:pPr>
        <w:ind w:right="160" w:firstLine="509"/>
        <w:spacing w:after="0" w:line="245" w:lineRule="auto"/>
        <w:rPr>
          <w:sz w:val="20"/>
          <w:szCs w:val="20"/>
          <w:color w:val="auto"/>
        </w:rPr>
      </w:pPr>
      <w:r>
        <w:rPr>
          <w:rFonts w:ascii="Times New Roman" w:cs="Times New Roman" w:eastAsia="Times New Roman" w:hAnsi="Times New Roman"/>
          <w:sz w:val="18"/>
          <w:szCs w:val="18"/>
          <w:color w:val="auto"/>
        </w:rPr>
        <w:t>We enter into contracts in the normal course of business with third-party contract manufacturing organizations and CROs for clinical trials, non-clinical studies, drug substance and product manufacturing and other services for operating purposes. These contracts are generally cancelable by us upon prior written notice after a certain period. Payments due upon cancellation consist only of payments for services provided or expenses incurred, including noncancelable obligations of our service providers, up to the date of cancellation.</w:t>
      </w:r>
    </w:p>
    <w:p>
      <w:pPr>
        <w:spacing w:after="0" w:line="86" w:lineRule="exact"/>
        <w:rPr>
          <w:sz w:val="20"/>
          <w:szCs w:val="20"/>
          <w:color w:val="auto"/>
        </w:rPr>
      </w:pPr>
    </w:p>
    <w:p>
      <w:pPr>
        <w:ind w:right="220" w:firstLine="509"/>
        <w:spacing w:after="0" w:line="250" w:lineRule="auto"/>
        <w:rPr>
          <w:sz w:val="20"/>
          <w:szCs w:val="20"/>
          <w:color w:val="auto"/>
        </w:rPr>
      </w:pPr>
      <w:r>
        <w:rPr>
          <w:rFonts w:ascii="Times New Roman" w:cs="Times New Roman" w:eastAsia="Times New Roman" w:hAnsi="Times New Roman"/>
          <w:sz w:val="18"/>
          <w:szCs w:val="18"/>
          <w:color w:val="auto"/>
        </w:rPr>
        <w:t>We have also entered into the License Agreement under which we are obligated to make aggregate milestone payments upon the achievement of specified milestones as well as royalty payments. The payment obligations under the License Agreement are contingent upon future events, such as our achievement of specified milestones or generating product sales. As of March 31, 2022, we were unable to estimate the timing or likelihood of achieving these milestones or generating future product sales. See the section titled “License Agreement with Lilly and Company” above.</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Significant Judgments and Use of Estimates</w:t>
      </w:r>
    </w:p>
    <w:p>
      <w:pPr>
        <w:spacing w:after="0" w:line="108" w:lineRule="exact"/>
        <w:rPr>
          <w:sz w:val="20"/>
          <w:szCs w:val="20"/>
          <w:color w:val="auto"/>
        </w:rPr>
      </w:pPr>
    </w:p>
    <w:p>
      <w:pPr>
        <w:ind w:right="60" w:firstLine="509"/>
        <w:spacing w:after="0" w:line="247" w:lineRule="auto"/>
        <w:rPr>
          <w:sz w:val="20"/>
          <w:szCs w:val="20"/>
          <w:color w:val="auto"/>
        </w:rPr>
      </w:pPr>
      <w:r>
        <w:rPr>
          <w:rFonts w:ascii="Times New Roman" w:cs="Times New Roman" w:eastAsia="Times New Roman" w:hAnsi="Times New Roman"/>
          <w:sz w:val="18"/>
          <w:szCs w:val="18"/>
          <w:color w:val="auto"/>
        </w:rPr>
        <w:t>Our condensed financial statements have been prepared in accordance with generally accepted accounting principles in the United States. The preparation of these condensed financial statements requires us to make estimates and assumptions that affect the reported amounts of assets, liabilities and expenses, as well as the related disclosure of contingent assets and liabilities as of the date of the financial statements.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We evaluate our estimates and assumptions on an ongoing basis. Our actual results may differ from these estimates under different assumptions or conditions.</w:t>
      </w:r>
    </w:p>
    <w:p>
      <w:pPr>
        <w:spacing w:after="0" w:line="180" w:lineRule="exact"/>
        <w:rPr>
          <w:sz w:val="20"/>
          <w:szCs w:val="20"/>
          <w:color w:val="auto"/>
        </w:rPr>
      </w:pPr>
    </w:p>
    <w:p>
      <w:pPr>
        <w:jc w:val="both"/>
        <w:ind w:right="220" w:firstLine="509"/>
        <w:spacing w:after="0" w:line="258" w:lineRule="auto"/>
        <w:rPr>
          <w:sz w:val="20"/>
          <w:szCs w:val="20"/>
          <w:color w:val="auto"/>
        </w:rPr>
      </w:pPr>
      <w:r>
        <w:rPr>
          <w:rFonts w:ascii="Times New Roman" w:cs="Times New Roman" w:eastAsia="Times New Roman" w:hAnsi="Times New Roman"/>
          <w:sz w:val="18"/>
          <w:szCs w:val="18"/>
          <w:color w:val="auto"/>
        </w:rPr>
        <w:t>Our critical accounting policies are described in the section titled “Management’s Discussion and Analysis of Financial Condition and Results of Operations—Critical Accounting Policies, Significant Judgments and Use of Estimates” in the Annual Report. During the three months ended March 31, 2022, there were no material changes to our critical accounting policies from those discussed in the Annual Report.</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or JOBS Act. The JOBS Act permits</w:t>
      </w:r>
    </w:p>
    <w:p>
      <w:pPr>
        <w:spacing w:after="0" w:line="16"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8"/>
          <w:szCs w:val="18"/>
          <w:color w:val="auto"/>
        </w:rPr>
        <w:t>emerging growth companies to take advantage of an extended transition period to comply with new or revised accounting standards, delaying the adoption of these accounting standards until they would apply to private companies. We have elected to use this extended transition period under the JOBS Act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83"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We could be an emerging growth company until December 31, 2025, although circumstances could cause us to lose that status earlier, including if we become a “large accelerated filer” as defined in Rule 12b-2 under the Exchange Act or if we have total annual gross revenue of $1.07 billion or more during any fiscal year before that time, in which cases we would no longer be an emerging growth company as of the following December 31 or, if we issue more than $1.0 billion in non-convertible debt during any three year period before that time, we would cease to be an emerging growth company immediately.</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08" w:lineRule="exact"/>
        <w:rPr>
          <w:sz w:val="20"/>
          <w:szCs w:val="20"/>
          <w:color w:val="auto"/>
        </w:rPr>
      </w:pPr>
    </w:p>
    <w:p>
      <w:pPr>
        <w:ind w:right="20" w:firstLine="509"/>
        <w:spacing w:after="0" w:line="247" w:lineRule="auto"/>
        <w:rPr>
          <w:sz w:val="20"/>
          <w:szCs w:val="20"/>
          <w:color w:val="auto"/>
        </w:rPr>
      </w:pPr>
      <w:r>
        <w:rPr>
          <w:rFonts w:ascii="Times New Roman" w:cs="Times New Roman" w:eastAsia="Times New Roman" w:hAnsi="Times New Roman"/>
          <w:sz w:val="18"/>
          <w:szCs w:val="18"/>
          <w:color w:val="auto"/>
        </w:rPr>
        <w:t>Our cash, cash equivalents and investments as of March 31, 2022 consist of $108.9 million in bank deposits, money market funds, US. treasury securities, commercial papers and corporate bonds. Such interest-earning instruments carry a degree of interest rate risk. The goals of our investment policy are capital preservation, liquidity, safeguarding of capital and total return. We do not enter into investments for trading or speculative purposes and have not used any derivative financial instruments to manage our interest rate exposure. While we believe our cash, cash equivalents and investments do not contain excessive risk, we cannot provide absolute assurance that in the future our investments will not be subject to adverse changes in market value. In addition, we maintain significant amounts of cash and cash equivalents at financial institutions in excess of federally insured limits.</w:t>
      </w:r>
    </w:p>
    <w:p>
      <w:pPr>
        <w:spacing w:after="0" w:line="180" w:lineRule="exact"/>
        <w:rPr>
          <w:sz w:val="20"/>
          <w:szCs w:val="20"/>
          <w:color w:val="auto"/>
        </w:rPr>
      </w:pPr>
    </w:p>
    <w:p>
      <w:pPr>
        <w:ind w:right="360" w:firstLine="509"/>
        <w:spacing w:after="0" w:line="258" w:lineRule="auto"/>
        <w:rPr>
          <w:sz w:val="20"/>
          <w:szCs w:val="20"/>
          <w:color w:val="auto"/>
        </w:rPr>
      </w:pPr>
      <w:r>
        <w:rPr>
          <w:rFonts w:ascii="Times New Roman" w:cs="Times New Roman" w:eastAsia="Times New Roman" w:hAnsi="Times New Roman"/>
          <w:sz w:val="18"/>
          <w:szCs w:val="18"/>
          <w:color w:val="auto"/>
        </w:rPr>
        <w:t>Additionally, the interest rate for borrowings under the Loan Agreement is variable and for interest-bearing investments is fixed. A hypothetical 10% relative change in interest rates during any of the periods presented would not have had a material impact on our financial statements. We do not currently engage in hedging transactions to manage our exposure to interest rate risk.</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Foreign Currency Rate Risk</w:t>
      </w:r>
    </w:p>
    <w:p>
      <w:pPr>
        <w:spacing w:after="0" w:line="108" w:lineRule="exact"/>
        <w:rPr>
          <w:sz w:val="20"/>
          <w:szCs w:val="20"/>
          <w:color w:val="auto"/>
        </w:rPr>
      </w:pPr>
    </w:p>
    <w:p>
      <w:pPr>
        <w:ind w:right="120" w:firstLine="509"/>
        <w:spacing w:after="0" w:line="250" w:lineRule="auto"/>
        <w:rPr>
          <w:sz w:val="20"/>
          <w:szCs w:val="20"/>
          <w:color w:val="auto"/>
        </w:rPr>
      </w:pPr>
      <w:r>
        <w:rPr>
          <w:rFonts w:ascii="Times New Roman" w:cs="Times New Roman" w:eastAsia="Times New Roman" w:hAnsi="Times New Roman"/>
          <w:sz w:val="18"/>
          <w:szCs w:val="18"/>
          <w:color w:val="auto"/>
        </w:rPr>
        <w:t>Our operations include activities in the United States. In addition, we contract with vendors that are located outside of the United States and certain invoices are denominated in foreign currencies. While our operating results are exposed to changes in foreign currency exchange rates between the U.S. dollar and various foreign currencies, we do not believe that inflation, interest rate changes, or exchange rate fluctuations had a significant impact on our results of operations for any periods presented herein.</w:t>
      </w:r>
    </w:p>
    <w:p>
      <w:pPr>
        <w:spacing w:after="0" w:line="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was no material foreign currency risk for the three months ended March 31, 2022.</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Effects of Inflation</w:t>
      </w:r>
    </w:p>
    <w:p>
      <w:pPr>
        <w:spacing w:after="0" w:line="108" w:lineRule="exact"/>
        <w:rPr>
          <w:sz w:val="20"/>
          <w:szCs w:val="20"/>
          <w:color w:val="auto"/>
        </w:rPr>
      </w:pPr>
    </w:p>
    <w:p>
      <w:pPr>
        <w:ind w:right="540" w:firstLine="509"/>
        <w:spacing w:after="0" w:line="266"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and clinical trial costs. We do not believe that inflation and changing prices had a significant impact on our results of operations for any periods presented herein.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08"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Our management, with the participation and supervision of our Chief Executive Officer and our President and Chief Financial Officer, have evaluated our disclosure controls and procedures (as defined in Rules 13a-15(e) and 15d-15(e) under the Securities Exchange Act of 1934, as amended, or the Exchange Act) as of the end of the period covered by this Quarterly Report on Form 10-Q. Based on that evaluation, our Chief Executive Officer and President and Chief Financial Officer have concluded that, as of the end of the period covered by this Quarterly Report on Form 10-Q, our disclosure controls and procedures are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President and Chief Financial Officer, as appropriate, to allow timely decisions regarding required disclosure.</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0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Exchange Act Rules 13a-15(f) and 15d-15(f)) during the quarter ended March 31, 2022 that have materially affected, or are reasonably likely to materially affect, our internal control over financial reporting.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the Effectiveness of Disclosure Controls and Procedures</w:t>
      </w:r>
    </w:p>
    <w:p>
      <w:pPr>
        <w:spacing w:after="0" w:line="108"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and internal control over financial reporting, our management recognizes that any controls and procedures, no matter how well designed and operated, can provide only reasonable, not absolute, assurance of achieving the desired control objectives. In addition, the design of disclosure controls and procedures and internal control over financial reporting must reflect the fact that there are resource constraints and our management is required to apply judgment in evaluating the benefits of possible controls and procedures relative to their costs. The design of any disclosure controls and procedures and internal control over financial reporting also are based in part upon certain assumptions about the likelihood of future events, and there can be no assurance that any design will succeed in achieving its stated goals under all potential future conditions.</w:t>
      </w:r>
    </w:p>
    <w:p>
      <w:pPr>
        <w:spacing w:after="0" w:line="18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7"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08"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arising in the ordinary course of our business. We are not currently a party to any material legal proceedings. Regardless of outcome, litigation can have an adverse impact on us due to defense and settlement costs, diversion of management resources, negative publicity, reputational harm and other factors.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i w:val="1"/>
          <w:iCs w:val="1"/>
          <w:color w:val="auto"/>
        </w:rPr>
        <w:t>An investment in shares of common stock involves a high degree of risk. You should carefully consider the risks described below, as well as the other information in this Quarterly Report on Form 10-Q, including our unaudited condensed financial statements and the related notes and “Management’s Discussion and Analysis of Financial Condition and Results of Operations” before deciding whether to purchase, hold or sell shares of our common stock. The occurrence of any of the risks described below could harm our business, financial condition, results of operations, growth prospects, and/or stock price or cause our actual results to differ materially from those contained in forward-looking statements we have made in this Quarterly Report on Form 10-Q and those we may make from time to time. You should consider all of the risk factors described when evaluating our business. We have marked with an asterisk (*) those risk factors that reflect changes from the similarly titled risk factors included in the Annual Report.</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04"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have incurred significant net losses since our inception, and anticipate that we will continue to incur significant net losses for the foreseeable future.*</w:t>
      </w:r>
    </w:p>
    <w:p>
      <w:pPr>
        <w:spacing w:after="0" w:line="63"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We are a late-stage biopharmaceutical company founded in 2014, and our operations to date have focused primarily on raising capital, establishing and protecting our intellectual property portfolio, organizing and staffing our company, business planning, and conducting preclinical and clinical development of, and manufacturing development for, our only product candidate, tildacerfont. Additionally, as an organization, we have not yet demonstrated an ability to successfully complete clinical development, obtain regulatory approvals, manufacture a commercial-scale product, or conduct sales and marketing activities necessary for successful commercialization. As we build our capabilities and expand our organization, we have not yet demonstrated an ability to overcome many of the risks and uncertainties frequently encountered by companies in new and rapidly evolving fields, particularly in the biopharmaceutical area. Consequently, any predictions about our future performance may not be as accurate as they would be if we had a history of successfully developing and commercializing biopharmaceutical products.</w:t>
      </w:r>
    </w:p>
    <w:p>
      <w:pPr>
        <w:spacing w:after="0" w:line="78"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Investment in biopharmaceutical product development is highly speculative because it entails substantial upfront capital expenditures and significant risk that any potential product candidate will fail to demonstrate adequate effectiveness in the targeted indication or an acceptable safety profile, gain regulatory approval and become commercially viable. We have no products approved for commercial sale and have not generated any revenue to date, and we continue to incur significant research and development and other expenses related to our ongoing operations. As a result, we are not profitable and have incurred significant net losses since our inception. If tildacerfont is not successfully developed and approved in the United States or Europe, we may never generate any revenue. For the three months ended March 31, 2022, we reported a net loss of $11.8 million. As of March 31, 2022, we had an accumulated deficit of $114.9 million.</w:t>
      </w:r>
    </w:p>
    <w:p>
      <w:pPr>
        <w:spacing w:after="0" w:line="73"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8"/>
          <w:szCs w:val="18"/>
          <w:color w:val="auto"/>
        </w:rPr>
        <w:t>We expect to continue to incur significant losses for the foreseeable future, and we expect these losses to increase as we continue our clinical development of, seek regulatory approvals for, and commercially launch tildacerfont and any future product candidates, if approved. We may encounter unforeseen expenses, difficulties, complications, delays, and other unknown factors that may adversely affect our business. The size of our future net losses will depend, in part, on the rate of future growth of our expenses and our ability to generate revenues. Our prior net losses and expected future net losses have had and will continue to have an adverse effect on our stockholders’ equity and working capital. Because of the numerous risks and uncertainties associated with drug development, we are unable to accurately predict the timing or amount of increased expenses, or when, if at all, we will be able to achieve profitability.</w:t>
      </w:r>
    </w:p>
    <w:p>
      <w:pPr>
        <w:spacing w:after="0" w:line="83"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financing to develop tildacerfont and any future product candidates and implement our operating plan. If we fail to obtain additional financing, we may be forced to delay, reduce or eliminate our product development programs or commercialization efforts.*</w:t>
      </w:r>
    </w:p>
    <w:p>
      <w:pPr>
        <w:spacing w:after="0" w:line="50" w:lineRule="exact"/>
        <w:rPr>
          <w:sz w:val="20"/>
          <w:szCs w:val="20"/>
          <w:color w:val="auto"/>
        </w:rPr>
      </w:pPr>
    </w:p>
    <w:p>
      <w:pPr>
        <w:jc w:val="both"/>
        <w:ind w:right="80" w:firstLine="509"/>
        <w:spacing w:after="0" w:line="258" w:lineRule="auto"/>
        <w:rPr>
          <w:sz w:val="20"/>
          <w:szCs w:val="20"/>
          <w:color w:val="auto"/>
        </w:rPr>
      </w:pPr>
      <w:r>
        <w:rPr>
          <w:rFonts w:ascii="Times New Roman" w:cs="Times New Roman" w:eastAsia="Times New Roman" w:hAnsi="Times New Roman"/>
          <w:sz w:val="18"/>
          <w:szCs w:val="18"/>
          <w:color w:val="auto"/>
        </w:rPr>
        <w:t>Our operations have consumed substantial amounts of cash since our inception. We expect to continue to spend substantial amounts to continue the clinical development of, and seek regulatory approval for, tildacerfont and any future product candidates. We will require significant additional amounts in order to prepare for commercialization, and, if approved, to launch and commercialize tildacerfont.</w:t>
      </w:r>
    </w:p>
    <w:p>
      <w:pPr>
        <w:spacing w:after="0" w:line="6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As of March 31, 2022, we had cash, cash equivalents and investments of $108.9 million. We believe, based on our current operating plan, that our cash, cash equivalents and investments as of March 31, 2022 will be sufficient to fund our operations for at least the next 12 months.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8"/>
          <w:szCs w:val="18"/>
          <w:color w:val="auto"/>
        </w:rPr>
        <w:t>However, changing circumstances may cause us to consume capital significantly faster than we currently anticipate, and we may need to spend more money than currently expected because of circumstances beyond our control. For example, primarily as a result of the COVID-19 pandemic, enrollment in our Phase 2b clinical trials evaluating tildacerfont for the treatment of adult classic CAH has been delayed, extending the overall duration of the trials. We plan to expand the number of trial sites worldwide to provide more recruitment capabilities in an effort to accelerate enrollment. Additionally, we have amended our clinical trial protocols to enable remote visits to mitigate any potential impacts. As a result of the extended duration of the trials, increased number of trial sites, and this home health component, the overall costs of our Phase 2b clinical trials have increased and may continue to increase in the future.</w:t>
      </w:r>
    </w:p>
    <w:p>
      <w:pPr>
        <w:spacing w:after="0" w:line="73"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will require additional capital for the further development and commercialization of tildacerfont and any future product candidates and may need to raise additional funds sooner if we choose to expand more rapidly than we presently anticipate.</w:t>
      </w:r>
    </w:p>
    <w:p>
      <w:pPr>
        <w:spacing w:after="0" w:line="68" w:lineRule="exact"/>
        <w:rPr>
          <w:sz w:val="20"/>
          <w:szCs w:val="20"/>
          <w:color w:val="auto"/>
        </w:rPr>
      </w:pPr>
    </w:p>
    <w:p>
      <w:pPr>
        <w:ind w:right="60" w:firstLine="509"/>
        <w:spacing w:after="0" w:line="242" w:lineRule="auto"/>
        <w:rPr>
          <w:sz w:val="20"/>
          <w:szCs w:val="20"/>
          <w:color w:val="auto"/>
        </w:rPr>
      </w:pPr>
      <w:r>
        <w:rPr>
          <w:rFonts w:ascii="Times New Roman" w:cs="Times New Roman" w:eastAsia="Times New Roman" w:hAnsi="Times New Roman"/>
          <w:sz w:val="18"/>
          <w:szCs w:val="18"/>
          <w:color w:val="auto"/>
        </w:rPr>
        <w:t>Additional funding may not be available on acceptable terms, or at all. As a result of the COVID-19 pandemic and actions taken to slow its spread, the global credit and financial markets have experienced volatility and disruptions, including severely diminished liquidity and credit availability, declines in consumer confidence, declines in economic growth, increases in unemployment rates, and uncertainty about economic stability. If the equity and credit markets deteriorate, it may make any necessary debt or equity financing more difficult, more costly or more dilutive. If we are unable to raise additional capital in sufficient amounts or on terms acceptable to us, we may have to significantly delay, scale back, or discontinue the development or commercialization of tildacerfont or other research and development initiatives. We also could be required to seek collaborators for tildacerfont and any future product candidates at an earlier stage than otherwise would be desirable or on terms that are less favorable than might otherwise be available or relinquish or license on unfavorable terms our rights to tildacerfont and any future product candidates in markets where we otherwise would seek to pursue development or commercialization ourselves.</w:t>
      </w:r>
    </w:p>
    <w:p>
      <w:pPr>
        <w:spacing w:after="0" w:line="79"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Any of the above events could significantly harm our business, prospects, financial condition, and results of operations and cause the price of our common stock to decline.</w:t>
      </w:r>
    </w:p>
    <w:p>
      <w:pPr>
        <w:spacing w:after="0" w:line="36"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currently depend entirely on the success of tildacerfont, which is our only product candidate. If we are unable to advance tildacerfont in clinical development, obtain regulatory approval, and ultimately commercialize tildacerfont, or experience significant delays in doing so, our business will be materially harmed.</w:t>
      </w:r>
    </w:p>
    <w:p>
      <w:pPr>
        <w:spacing w:after="0" w:line="60" w:lineRule="exact"/>
        <w:rPr>
          <w:sz w:val="20"/>
          <w:szCs w:val="20"/>
          <w:color w:val="auto"/>
        </w:rPr>
      </w:pPr>
    </w:p>
    <w:p>
      <w:pPr>
        <w:ind w:right="80" w:firstLine="509"/>
        <w:spacing w:after="0" w:line="245" w:lineRule="auto"/>
        <w:rPr>
          <w:sz w:val="20"/>
          <w:szCs w:val="20"/>
          <w:color w:val="auto"/>
        </w:rPr>
      </w:pPr>
      <w:r>
        <w:rPr>
          <w:rFonts w:ascii="Times New Roman" w:cs="Times New Roman" w:eastAsia="Times New Roman" w:hAnsi="Times New Roman"/>
          <w:sz w:val="18"/>
          <w:szCs w:val="18"/>
          <w:color w:val="auto"/>
        </w:rPr>
        <w:t>We currently only have one product candidate, tildacerfont, and our business and future success depends entirely on our ability to develop, obtain regulatory approval for, and then successfully commercialize, tildacerfont, which is currently in clinical development for adult patients with classic CAH. This may make an investment in our company riskier than similar companies that have multiple product candidates in active development that may be able to better sustain failure of a lead product candidate. We have initiated CAHmelia-203, a placebo-controlled, double-blind Phase 2b clinical trial in adult patients with classic CAH with poor disease control and anticipate topline results in the second half of 2023. We have also initiated CAHmelia-204, a second Phase 2b clinical trial in adult patients with classic CAH with good disease control focused on glucocorticoid reduction and anticipate topline results in the second half of 2024.</w:t>
      </w:r>
    </w:p>
    <w:p>
      <w:pPr>
        <w:spacing w:after="0" w:line="73" w:lineRule="exact"/>
        <w:rPr>
          <w:sz w:val="20"/>
          <w:szCs w:val="20"/>
          <w:color w:val="auto"/>
        </w:rPr>
      </w:pPr>
    </w:p>
    <w:p>
      <w:pPr>
        <w:ind w:right="60" w:firstLine="509"/>
        <w:spacing w:after="0" w:line="245" w:lineRule="auto"/>
        <w:rPr>
          <w:sz w:val="20"/>
          <w:szCs w:val="20"/>
          <w:color w:val="auto"/>
        </w:rPr>
      </w:pPr>
      <w:r>
        <w:rPr>
          <w:rFonts w:ascii="Times New Roman" w:cs="Times New Roman" w:eastAsia="Times New Roman" w:hAnsi="Times New Roman"/>
          <w:sz w:val="18"/>
          <w:szCs w:val="18"/>
          <w:color w:val="auto"/>
        </w:rPr>
        <w:t>Assuming positive results, we plan to meet with the FDA and certain comparable foreign regulatory authorities to discuss registration. While we believe these two clinical trials will provide sufficient patient exposures for our registrational safety database, the FDA and comparable foreign regulatory authorities may not agree and may require us to enroll additional patients or initiate one or more additional clinical trials, including a Phase 3 clinical trial or trials. If the FDA or comparable foreign regulatory authorities require us to conduct one or more clinical trials, including a Phase 3 clinical trial or trials, the design, duration, and scope of such clinical trials will be decided upon after further discussions with the FDA or comparable foreign regulatory authorities, and at this time are not ascertainable. As a result, we are unable to predict with certainty the estimated timing or scope of any future clinical trials of tildacerfont we may be required to conduct.</w:t>
      </w:r>
    </w:p>
    <w:p>
      <w:pPr>
        <w:spacing w:after="0" w:line="73"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In addition, we are investigating tildacerfont for the treatment of classic CAH in children. We have initiated a Phase 2 open-label clinical trial, which will utilize a sequential three cohort design, to evaluate the safety and pharmacokinetics of tildacerfont in children six to 17 years of age with classic CAH. We anticipate topline safety results from cohort 1 of the Phase 2 open-label clinical trial by the first half of 2023. Additionally, by leveraging our existing Phase 1 program, which includes safety, tolerability, and pharmacokinetics of tildacerfont, we have initiated a Phase 2 proof-of-concept clinical trial in PCOS. The Phase 2 proof-of-concept clinical trial is a randomized, placebo-controlled, dose escalation trial which will evaluate the safety and efficacy of tildacerfont titrated to 200 mg QD compared to placebo over 12 weeks of treatment in subjects with PCOS and elevated adrenal androgens as measured by DHEAS levels at baseline. We anticipate topline results from the Phase 2 proof-of-concept clinical trial by the first half of 2023.</w:t>
      </w:r>
    </w:p>
    <w:p>
      <w:pPr>
        <w:spacing w:after="0" w:line="73"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The COVID-19 pandemic continues to evolve and any impacts on these projected milestones are highly uncertain and cannot be predicted with confidence.</w:t>
      </w:r>
    </w:p>
    <w:p>
      <w:pPr>
        <w:spacing w:after="0" w:line="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success of tildacerfont will depend on several factors, including the following:</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left="1780" w:hanging="380"/>
        <w:spacing w:after="0"/>
        <w:tabs>
          <w:tab w:leader="none" w:pos="1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site expansion and activation and patient engagement in our ongoing and planned clinical trials;</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our ongoing and planned clinical trials with favorable results;</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by the FDA and EMA of the clinical trial design of our planned and ongoing clinical trials of tildacerfont;</w:t>
      </w:r>
    </w:p>
    <w:p>
      <w:pPr>
        <w:spacing w:after="0" w:line="117"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demonstrating safety and efficacy to the satisfaction of applicable regulatory authorities;</w:t>
      </w:r>
    </w:p>
    <w:p>
      <w:pPr>
        <w:spacing w:after="0" w:line="103" w:lineRule="exact"/>
        <w:rPr>
          <w:rFonts w:ascii="Times New Roman" w:cs="Times New Roman" w:eastAsia="Times New Roman" w:hAnsi="Times New Roman"/>
          <w:sz w:val="18"/>
          <w:szCs w:val="18"/>
          <w:color w:val="auto"/>
        </w:rPr>
      </w:pPr>
    </w:p>
    <w:p>
      <w:pPr>
        <w:ind w:left="1780" w:right="300" w:hanging="380"/>
        <w:spacing w:after="0" w:line="266" w:lineRule="auto"/>
        <w:tabs>
          <w:tab w:leader="none" w:pos="1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meeting regulatory requirements established by the FDA, EMA, and other comparable foreign regulatory authorities;</w:t>
      </w:r>
    </w:p>
    <w:p>
      <w:pPr>
        <w:spacing w:after="0" w:line="67" w:lineRule="exact"/>
        <w:rPr>
          <w:rFonts w:ascii="Times New Roman" w:cs="Times New Roman" w:eastAsia="Times New Roman" w:hAnsi="Times New Roman"/>
          <w:sz w:val="18"/>
          <w:szCs w:val="18"/>
          <w:color w:val="auto"/>
        </w:rPr>
      </w:pPr>
    </w:p>
    <w:p>
      <w:pPr>
        <w:ind w:left="1780" w:right="900" w:hanging="380"/>
        <w:spacing w:after="0" w:line="266" w:lineRule="auto"/>
        <w:tabs>
          <w:tab w:leader="none" w:pos="1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from applicable regulatory authorities, including one or more NDAs from the FDA, and maintaining such approvals;</w:t>
      </w:r>
    </w:p>
    <w:p>
      <w:pPr>
        <w:spacing w:after="0" w:line="54" w:lineRule="exact"/>
        <w:rPr>
          <w:rFonts w:ascii="Times New Roman" w:cs="Times New Roman" w:eastAsia="Times New Roman" w:hAnsi="Times New Roman"/>
          <w:sz w:val="18"/>
          <w:szCs w:val="18"/>
          <w:color w:val="auto"/>
        </w:rPr>
      </w:pPr>
    </w:p>
    <w:p>
      <w:pPr>
        <w:ind w:left="1780" w:right="120" w:hanging="380"/>
        <w:spacing w:after="0" w:line="282" w:lineRule="auto"/>
        <w:tabs>
          <w:tab w:leader="none" w:pos="1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capabilities and receiving/importing commercial supplies approved by the FDA and other regulatory authorities from any future third-party manufacturer;</w:t>
      </w:r>
    </w:p>
    <w:p>
      <w:pPr>
        <w:spacing w:after="0" w:line="40" w:lineRule="exact"/>
        <w:rPr>
          <w:rFonts w:ascii="Times New Roman" w:cs="Times New Roman" w:eastAsia="Times New Roman" w:hAnsi="Times New Roman"/>
          <w:sz w:val="18"/>
          <w:szCs w:val="18"/>
          <w:color w:val="auto"/>
        </w:rPr>
      </w:pPr>
    </w:p>
    <w:p>
      <w:pPr>
        <w:ind w:left="1780" w:right="480" w:hanging="380"/>
        <w:spacing w:after="0" w:line="266" w:lineRule="auto"/>
        <w:tabs>
          <w:tab w:leader="none" w:pos="1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marketing, and distribution capabilities and commercializing tildacerfont, if approved, whether alone or in collaboration with others;</w:t>
      </w:r>
    </w:p>
    <w:p>
      <w:pPr>
        <w:spacing w:after="0" w:line="54"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patent and trade secret protection and regulatory exclusivity for tildacerfont;</w:t>
      </w:r>
    </w:p>
    <w:p>
      <w:pPr>
        <w:spacing w:after="0" w:line="117"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 acceptable safety profile of tildacerfont following approval; and</w:t>
      </w:r>
    </w:p>
    <w:p>
      <w:pPr>
        <w:spacing w:after="0" w:line="103" w:lineRule="exact"/>
        <w:rPr>
          <w:rFonts w:ascii="Times New Roman" w:cs="Times New Roman" w:eastAsia="Times New Roman" w:hAnsi="Times New Roman"/>
          <w:sz w:val="18"/>
          <w:szCs w:val="18"/>
          <w:color w:val="auto"/>
        </w:rPr>
      </w:pPr>
    </w:p>
    <w:p>
      <w:pPr>
        <w:ind w:left="1780" w:right="40" w:hanging="380"/>
        <w:spacing w:after="0" w:line="266" w:lineRule="auto"/>
        <w:tabs>
          <w:tab w:leader="none" w:pos="1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growing an organization of people who can develop and, if approved, commercialize, market, and sell tildacerfont to physicians, patients, healthcare payors, and others in the medical community.</w:t>
      </w:r>
    </w:p>
    <w:p>
      <w:pPr>
        <w:spacing w:after="0" w:line="68" w:lineRule="exact"/>
        <w:rPr>
          <w:sz w:val="20"/>
          <w:szCs w:val="20"/>
          <w:color w:val="auto"/>
        </w:rPr>
      </w:pPr>
    </w:p>
    <w:p>
      <w:pPr>
        <w:ind w:right="740" w:firstLine="509"/>
        <w:spacing w:after="0" w:line="266" w:lineRule="auto"/>
        <w:rPr>
          <w:sz w:val="20"/>
          <w:szCs w:val="20"/>
          <w:color w:val="auto"/>
        </w:rPr>
      </w:pPr>
      <w:r>
        <w:rPr>
          <w:rFonts w:ascii="Times New Roman" w:cs="Times New Roman" w:eastAsia="Times New Roman" w:hAnsi="Times New Roman"/>
          <w:sz w:val="18"/>
          <w:szCs w:val="18"/>
          <w:color w:val="auto"/>
        </w:rPr>
        <w:t>If we do not achieve one or more of these factors, many of which are beyond our control, in a timely manner or at all, we could experience significant delays or an inability to obtain regulatory approvals or commercialize tildacerfont.</w:t>
      </w:r>
    </w:p>
    <w:p>
      <w:pPr>
        <w:spacing w:after="0" w:line="5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Even if regulatory approvals are obtained, we may never be able to successfully commercialize tildacerfont. In addition, we will need to transition at some point from a company with a development focus to a company capable of supporting commercial activities. We may not be successful in such a transition. Accordingly, we may not be able to generate sufficient revenue through the sale of tildacerfont to continue our business.</w:t>
      </w:r>
    </w:p>
    <w:p>
      <w:pPr>
        <w:spacing w:after="0" w:line="57"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clinical trials may fail to adequately demonstrate the safety and efficacy of tildacerfont, which could prevent or delay regulatory approval and commercialization.</w:t>
      </w:r>
    </w:p>
    <w:p>
      <w:pPr>
        <w:spacing w:after="0" w:line="37"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Before obtaining regulatory approvals for the commercial sale of a product candidate, we must demonstrate through lengthy, complex, and expensive preclinical testing and clinical trials that a product candidate is both safe and effective for use in each target indication. Clinical trials often fail to demonstrate safety and efficacy of the product candidate studied for the target indication. Most product candidates that commence clinical trials are never approved by regulatory authorities for commercialization. We are seeking to develop treatments for rare endocrine disorders for which there is limited clinical experience, and our two ongoing Phase 2b clinical trials use novel endpoints that do not have regulatory precedent in classic CAH due to the lack of clinical trials in classic CAH, which add complexity to the conduct and analysis of data from our clinical trials and may delay or prevent regulatory approval. Additionally, any safety concerns observed in any one of our clinical trials in our targeted indications could limit the prospects for regulatory approval of tildacerfont in other indications.</w:t>
      </w:r>
    </w:p>
    <w:p>
      <w:pPr>
        <w:spacing w:after="0" w:line="74"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Preclinical and clinical drug development involves a lengthy and expensive process with uncertain outcomes, and results of earlier studies and trials may not be predictive of future trial results. We may incur additional costs or experience delays in completing, or ultimately be unable to complete, the development and commercialization of tildacerfont and any future product candidates.</w:t>
      </w:r>
    </w:p>
    <w:p>
      <w:pPr>
        <w:spacing w:after="0" w:line="60"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Preclinical and clinical testing is expensive and can take many years to complete, and its outcome is inherently uncertain. A failure of one or more preclinical or clinical trials can occur at any stage of testing. The results of preclinical studies and early clinical trials of tildacerfont may not be predictive of the results of later-stage clinical trials. Product candidates in later stages of clinical trials may fail to show the desired safety and efficacy traits despite having progressed through preclinical studies and initial clinical trials. For example, tildacerfont has not yet been evaluated in pediatric patients with classic CAH, and the results may not be similar to the results observed in clinical trials of adult patients. In addition, we intend to use doses in our two Phase 2b clinical trials that may not be safe or efficacious doses. As such, our hypotheses of efficacy may not show the desired clinical results. A number of companies in the biopharmaceutical industry have suffered significant setbacks in advanced clinical trials due to lack of efficacy or safety profiles, notwithstanding promising results in earlier trials. Moreover, preclinical and clinical data is often susceptible to varying interpretations and analyses. We may face significant setbacks as we conduct our two Phase 2b clinical trials in adult patients with classic CAH, which may delay or prevent regulatory approval of tildacerfont.</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Further, if patients drop out of our clinical trials, miss scheduled doses or follow-up visits, or otherwise fail to follow clinical trial protocols, whether as a result of the COVID-19 pandemic, actions taken to slow the spread of COVID-19 or otherwise, the integrity of data from our clinical trials may be compromised or not accepted by the FDA or other regulatory authorities, which would represent a significant setback for the applicable program.</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encounter difficulties enrolling patients in our clinical trials, our clinical development activities could be delayed or otherwise adversely affected.</w:t>
      </w:r>
    </w:p>
    <w:p>
      <w:pPr>
        <w:spacing w:after="0" w:line="108"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We may not be able to initiate or continue our clinical trials for tildacerfont and any future product candidates if we are unable to identify and enroll a sufficient number of eligible patients to participate in these trials as required by the FDA and comparable foreign regulatory authorities. Patient enrollment, a significant factor in the timing of clinical trials, is affected by many factors including the size and nature of the patient population, the proximity of patients to clinical sites, the eligibility criteria for the clinical trial, the design of the clinical trial, competing clinical trials, patient engagement, and clinicians’ and patients’ perceptions as to the potential advantages of the product candidate being studied in relation to other available therapies, including any new drugs that may be approved for the indications we are investigating.</w:t>
      </w:r>
    </w:p>
    <w:p>
      <w:pPr>
        <w:spacing w:after="0" w:line="72"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8"/>
          <w:szCs w:val="18"/>
          <w:color w:val="auto"/>
        </w:rPr>
        <w:t>In particular, each indication for which we are evaluating tildacerfont is a rare endocrine disorder with limited patient populations from which to draw participants in clinical trials. For example, we estimate the total classic CAH populations are approximately 20,000 to 30,000 people in the United States, approximately 50,000 people in the European Union, or EU, and at least 145,000 people in China. We are and will be required to identify and enroll a sufficient number of patients with the disorder under investigation for our clinical trials of tildacerfont. Potential patients may not be adequately diagnosed or identified with the disorders which we are targeting or may not meet the entry criteria for our clinical trials. Additionally, other pharmaceutical companies with more resources and greater experience in drug development and commercialization are targeting these same endocrine disorders and are recruiting clinical trial patients from these patient populations, which may delay or make it more difficult to fully enroll our clinical trials. In addition, we have encountered difficulties in opening clinical trial sites and enrolling patients in our two ongoing Phase 2b clinical trials. Our inability to enroll a sufficient number of patients for any of our current or future clinical trials would result in significant delays or may require us to abandon one or more clinical trials altogether.</w:t>
      </w:r>
    </w:p>
    <w:p>
      <w:pPr>
        <w:spacing w:after="0" w:line="78" w:lineRule="exact"/>
        <w:rPr>
          <w:sz w:val="20"/>
          <w:szCs w:val="20"/>
          <w:color w:val="auto"/>
        </w:rPr>
      </w:pPr>
    </w:p>
    <w:p>
      <w:pPr>
        <w:ind w:right="100" w:firstLine="509"/>
        <w:spacing w:after="0" w:line="243" w:lineRule="auto"/>
        <w:rPr>
          <w:sz w:val="20"/>
          <w:szCs w:val="20"/>
          <w:color w:val="auto"/>
        </w:rPr>
      </w:pPr>
      <w:r>
        <w:rPr>
          <w:rFonts w:ascii="Times New Roman" w:cs="Times New Roman" w:eastAsia="Times New Roman" w:hAnsi="Times New Roman"/>
          <w:sz w:val="18"/>
          <w:szCs w:val="18"/>
          <w:color w:val="auto"/>
        </w:rPr>
        <w:t>Our clinical trials have been, and may in the future be, affected by the COVID-19 pandemic. For example, the COVID-19 pandemic has impacted patient enrollment in our two ongoing Phase 2b clinical trials. In particular, some sites have paused or delayed enrollment to focus on, and direct resources to, COVID-19, while at other sites, patients have chosen not to enroll or continue participating in the clinical trial as a result of the pandemic. In addition, patient visits to endocrinologists in the United States have slowed as a result of the COVID-19 pandemic. Further, according to the Centers for Disease Control and Prevention, people who have serious chronic medical conditions, including those such as classic CAH, are at higher risk of getting very sick from COVID-19. As a result, current or potential patients in our ongoing and planned clinical trials may choose to not enroll, not participate in follow-up clinical visits, or drop out of the trial as a precaution against contracting COVID-19. Further, some patients may not be able or willing to comply with clinical trial protocols if quarantines impede patient movement or interrupt healthcare services.</w:t>
      </w:r>
    </w:p>
    <w:p>
      <w:pPr>
        <w:spacing w:after="0" w:line="78" w:lineRule="exact"/>
        <w:rPr>
          <w:sz w:val="20"/>
          <w:szCs w:val="20"/>
          <w:color w:val="auto"/>
        </w:rPr>
      </w:pPr>
    </w:p>
    <w:p>
      <w:pPr>
        <w:ind w:right="80" w:firstLine="509"/>
        <w:spacing w:after="0" w:line="312" w:lineRule="auto"/>
        <w:rPr>
          <w:sz w:val="20"/>
          <w:szCs w:val="20"/>
          <w:color w:val="auto"/>
        </w:rPr>
      </w:pPr>
      <w:r>
        <w:rPr>
          <w:rFonts w:ascii="Times New Roman" w:cs="Times New Roman" w:eastAsia="Times New Roman" w:hAnsi="Times New Roman"/>
          <w:sz w:val="17"/>
          <w:szCs w:val="17"/>
          <w:color w:val="auto"/>
        </w:rPr>
        <w:t>We are unable to predict with confidence the likelihood or duration of such patient enrollment delays and difficulties, whether related to COVID-19 or otherwise. If patient enrollment is delayed for an extended period of time, our Phase 2b clinical trials could be delayed or otherwise adversely affected.</w:t>
      </w:r>
    </w:p>
    <w:p>
      <w:pPr>
        <w:spacing w:after="0" w:line="14"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Any delays in the commencement or completion, or termination or suspension, of our clinical trials could result in increased costs to us, delay or limit our ability to generate revenue, and adversely affect our commercial prospects.</w:t>
      </w:r>
    </w:p>
    <w:p>
      <w:pPr>
        <w:spacing w:after="0" w:line="63"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Before we can initiate clinical trials for tildacerfont or any future product candidates, we must submit the results of preclinical studies to the FDA, or comparable foreign regulatory authorities, along with other information, including information about chemistry, manufacturing and controls, and our proposed clinical trial protocol, as part of an IND or similar regulatory filing under which we must receive authorization to proceed with clinical development.</w:t>
      </w:r>
    </w:p>
    <w:p>
      <w:pPr>
        <w:spacing w:after="0" w:line="69" w:lineRule="exact"/>
        <w:rPr>
          <w:sz w:val="20"/>
          <w:szCs w:val="20"/>
          <w:color w:val="auto"/>
        </w:rPr>
      </w:pPr>
    </w:p>
    <w:p>
      <w:pPr>
        <w:ind w:right="80" w:firstLine="509"/>
        <w:spacing w:after="0" w:line="245"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tildacerfont or any future product candidates, we must conduct extensive clinical trials to demonstrate the safety and efficacy of tildacerfont and any future product candidates in humans. Clinical testing is expensive, time-consuming, and uncertain as to outcome. In addition, we may rely in part on preclinical, clinical and quality data generated by CROs and other third parties for regulatory submissions for tildacerfont and any future product candidates. While we have or will have agreements governing these third parties’ services, we have limited influence over their actual performance. If these third parties do not make data available to us, or, if applicable, do not make regulatory submissions in a timely manner, in each case pursuant to our agreements with them, our development programs may be significantly delayed, and we may need to conduct additional clinical trials or collect additional data independently. In either case, our development costs would increase.</w:t>
      </w:r>
    </w:p>
    <w:p>
      <w:pPr>
        <w:spacing w:after="0" w:line="73"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We do not know whether our current or any future clinical trials will begin on time or be completed on schedule, if at all. The commencement and completion of clinical trials can be delayed for a number of reasons, including delays related to:</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left="1780" w:hanging="380"/>
        <w:spacing w:after="0" w:line="296" w:lineRule="auto"/>
        <w:tabs>
          <w:tab w:leader="none" w:pos="17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or comparable foreign regulatory authorities’ failure to accept our proposed manufacturing processes and suppliers and/or requirement to provide additional information regarding our manufacturing processes before providing marketing authorization;</w:t>
      </w:r>
    </w:p>
    <w:p>
      <w:pPr>
        <w:spacing w:after="0" w:line="30" w:lineRule="exact"/>
        <w:rPr>
          <w:rFonts w:ascii="Times New Roman" w:cs="Times New Roman" w:eastAsia="Times New Roman" w:hAnsi="Times New Roman"/>
          <w:sz w:val="17"/>
          <w:szCs w:val="17"/>
          <w:color w:val="auto"/>
        </w:rPr>
      </w:pPr>
    </w:p>
    <w:p>
      <w:pPr>
        <w:ind w:left="1780" w:right="20" w:hanging="380"/>
        <w:spacing w:after="0" w:line="282" w:lineRule="auto"/>
        <w:tabs>
          <w:tab w:leader="none" w:pos="1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authorizations to commence a clinical trial or reaching a consensus with regulatory authorities on clinical trial design or implementation;</w:t>
      </w:r>
    </w:p>
    <w:p>
      <w:pPr>
        <w:spacing w:after="0" w:line="40" w:lineRule="exact"/>
        <w:rPr>
          <w:rFonts w:ascii="Times New Roman" w:cs="Times New Roman" w:eastAsia="Times New Roman" w:hAnsi="Times New Roman"/>
          <w:sz w:val="18"/>
          <w:szCs w:val="18"/>
          <w:color w:val="auto"/>
        </w:rPr>
      </w:pPr>
    </w:p>
    <w:p>
      <w:pPr>
        <w:ind w:left="1780" w:right="340" w:hanging="380"/>
        <w:spacing w:after="0" w:line="266" w:lineRule="auto"/>
        <w:tabs>
          <w:tab w:leader="none" w:pos="1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or delay in reaching an agreement with CROs and clinical trial sites, the terms of which can be subject to extensive negotiation and may vary significantly among different CROs and clinical trial sites;</w:t>
      </w:r>
    </w:p>
    <w:p>
      <w:pPr>
        <w:spacing w:after="0" w:line="67"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approval from one or more institutional review boards, or IRBs, or Ethics Committees, or ECs;</w:t>
      </w:r>
    </w:p>
    <w:p>
      <w:pPr>
        <w:spacing w:after="0" w:line="103" w:lineRule="exact"/>
        <w:rPr>
          <w:rFonts w:ascii="Times New Roman" w:cs="Times New Roman" w:eastAsia="Times New Roman" w:hAnsi="Times New Roman"/>
          <w:sz w:val="18"/>
          <w:szCs w:val="18"/>
          <w:color w:val="auto"/>
        </w:rPr>
      </w:pPr>
    </w:p>
    <w:p>
      <w:pPr>
        <w:ind w:left="1780" w:right="280" w:hanging="380"/>
        <w:spacing w:after="0" w:line="266" w:lineRule="auto"/>
        <w:tabs>
          <w:tab w:leader="none" w:pos="1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IRBs or ECs refusing to approve, suspending or terminating the clinical trial at an investigational site, precluding enrollment of additional subjects, or withdrawing their approval of the clinical trial;</w:t>
      </w:r>
    </w:p>
    <w:p>
      <w:pPr>
        <w:spacing w:after="0" w:line="67"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clinical trial protocols and related operationalization of such changes at clinical trial sites;</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selection of clinical endpoints that require prolonged periods of clinical observation or analysis of the resulting data;</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by the FDA and EMA of the clinical trial design of our planned and ongoing clinical trials of tildacerfont;</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sites not timely activating, delaying screening activities, or deviating from clinical trial protocols;</w:t>
      </w:r>
    </w:p>
    <w:p>
      <w:pPr>
        <w:spacing w:after="0" w:line="117" w:lineRule="exact"/>
        <w:rPr>
          <w:rFonts w:ascii="Times New Roman" w:cs="Times New Roman" w:eastAsia="Times New Roman" w:hAnsi="Times New Roman"/>
          <w:sz w:val="18"/>
          <w:szCs w:val="18"/>
          <w:color w:val="auto"/>
        </w:rPr>
      </w:pPr>
    </w:p>
    <w:p>
      <w:pPr>
        <w:ind w:left="1780" w:right="900" w:hanging="380"/>
        <w:spacing w:after="0" w:line="266" w:lineRule="auto"/>
        <w:tabs>
          <w:tab w:leader="none" w:pos="1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sufficient quantities of tildacerfont or any future product candidates or obtaining sufficient quantities of combination therapies for use in clinical trials;</w:t>
      </w:r>
    </w:p>
    <w:p>
      <w:pPr>
        <w:spacing w:after="0" w:line="54"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failing to enroll or remain in our trials at the rate we expect, or failing to return for post-treatment follow-up;</w:t>
      </w:r>
    </w:p>
    <w:p>
      <w:pPr>
        <w:spacing w:after="0" w:line="117" w:lineRule="exact"/>
        <w:rPr>
          <w:rFonts w:ascii="Times New Roman" w:cs="Times New Roman" w:eastAsia="Times New Roman" w:hAnsi="Times New Roman"/>
          <w:sz w:val="18"/>
          <w:szCs w:val="18"/>
          <w:color w:val="auto"/>
        </w:rPr>
      </w:pPr>
    </w:p>
    <w:p>
      <w:pPr>
        <w:ind w:left="1780" w:right="420" w:hanging="380"/>
        <w:spacing w:after="0" w:line="266" w:lineRule="auto"/>
        <w:tabs>
          <w:tab w:leader="none" w:pos="1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choosing an alternative treatment for the indications for which we are developing tildacerfont and any future product candidates, or participating in competing clinical trials;</w:t>
      </w:r>
    </w:p>
    <w:p>
      <w:pPr>
        <w:spacing w:after="0" w:line="54"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subject engagement in the clinical trials or subjects dropping out of a clinical trial;</w:t>
      </w:r>
    </w:p>
    <w:p>
      <w:pPr>
        <w:spacing w:after="0" w:line="117"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the clinical trial;</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experiencing severe or unexpected drug-related adverse effects;</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SAEs in clinical trials of the same class of agents conducted by other companies;</w:t>
      </w:r>
    </w:p>
    <w:p>
      <w:pPr>
        <w:spacing w:after="0" w:line="117" w:lineRule="exact"/>
        <w:rPr>
          <w:rFonts w:ascii="Times New Roman" w:cs="Times New Roman" w:eastAsia="Times New Roman" w:hAnsi="Times New Roman"/>
          <w:sz w:val="18"/>
          <w:szCs w:val="18"/>
          <w:color w:val="auto"/>
        </w:rPr>
      </w:pPr>
    </w:p>
    <w:p>
      <w:pPr>
        <w:ind w:left="1780" w:right="260" w:hanging="380"/>
        <w:spacing w:after="0" w:line="272" w:lineRule="auto"/>
        <w:tabs>
          <w:tab w:leader="none" w:pos="17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facility manufacturing tildacerfont or any of its components being ordered by the FDA or comparable foreign regulatory authorities to temporarily or permanently shut down due to violations of current good manufacturing practice, or cGMP, regulations or other applicable requirements, or infections or cross-contaminations of tildacerfont in the manufacturing process;</w:t>
      </w:r>
    </w:p>
    <w:p>
      <w:pPr>
        <w:spacing w:after="0" w:line="64" w:lineRule="exact"/>
        <w:rPr>
          <w:rFonts w:ascii="Times New Roman" w:cs="Times New Roman" w:eastAsia="Times New Roman" w:hAnsi="Times New Roman"/>
          <w:sz w:val="17"/>
          <w:szCs w:val="17"/>
          <w:color w:val="auto"/>
        </w:rPr>
      </w:pPr>
    </w:p>
    <w:p>
      <w:pPr>
        <w:ind w:left="1780" w:hanging="380"/>
        <w:spacing w:after="0"/>
        <w:tabs>
          <w:tab w:leader="none" w:pos="1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our manufacturing process, suppliers or formulation that may be necessary or desired;</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vendors not performing manufacturing and distribution services in a timely manner or to sufficient quality standards;</w:t>
      </w:r>
    </w:p>
    <w:p>
      <w:pPr>
        <w:spacing w:after="0" w:line="103" w:lineRule="exact"/>
        <w:rPr>
          <w:rFonts w:ascii="Times New Roman" w:cs="Times New Roman" w:eastAsia="Times New Roman" w:hAnsi="Times New Roman"/>
          <w:sz w:val="18"/>
          <w:szCs w:val="18"/>
          <w:color w:val="auto"/>
        </w:rPr>
      </w:pPr>
    </w:p>
    <w:p>
      <w:pPr>
        <w:ind w:left="1780" w:right="140" w:hanging="380"/>
        <w:spacing w:after="0" w:line="258" w:lineRule="auto"/>
        <w:tabs>
          <w:tab w:leader="none" w:pos="1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clinical investigators losing the licenses or permits necessary to perform our clinical trials, not performing our clinical trials on our anticipated schedule or consistent with the clinical trial protocol, good clinical practice, or GCP, or other regulatory requirements;</w:t>
      </w:r>
    </w:p>
    <w:p>
      <w:pPr>
        <w:spacing w:after="0" w:line="61"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contractors not performing data collection or analysis in a timely or accurate manner;</w:t>
      </w:r>
    </w:p>
    <w:p>
      <w:pPr>
        <w:spacing w:after="0" w:line="103" w:lineRule="exact"/>
        <w:rPr>
          <w:rFonts w:ascii="Times New Roman" w:cs="Times New Roman" w:eastAsia="Times New Roman" w:hAnsi="Times New Roman"/>
          <w:sz w:val="18"/>
          <w:szCs w:val="18"/>
          <w:color w:val="auto"/>
        </w:rPr>
      </w:pPr>
    </w:p>
    <w:p>
      <w:pPr>
        <w:ind w:left="1780" w:right="60" w:hanging="380"/>
        <w:spacing w:after="0" w:line="258" w:lineRule="auto"/>
        <w:tabs>
          <w:tab w:leader="none" w:pos="1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 or</w:t>
      </w:r>
    </w:p>
    <w:p>
      <w:pPr>
        <w:spacing w:after="0" w:line="61"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the COVID-19 pandemic on our ongoing and planned clinical trials.</w:t>
      </w:r>
    </w:p>
    <w:p>
      <w:pPr>
        <w:spacing w:after="0" w:line="117"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In addition, disruptions caused by the COVID-19 pandemic may increase the likelihood that we encounter such difficulties or delays in initiating, enrolling, conducting, or completing our planned and ongoing clinical trials. We could also encounter delays if a clinical trial is suspended or terminated by us, by the IRBs or ECs of the institutions in which such trials are being conducted or by the FDA or comparable foreign regulatory authorities. Such authorities may impose such a suspension or termination due to a number of</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18"/>
          <w:szCs w:val="18"/>
          <w:color w:val="auto"/>
        </w:rPr>
        <w:t>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have amended, and may need to further amend, clinical trial protocols to comply with these changes. Amendments may require us to resubmit our clinical trial protocols to IRBs for reexamination, which may impact the costs, timing, or successful completion of a clinical trial.</w:t>
      </w:r>
    </w:p>
    <w:p>
      <w:pPr>
        <w:spacing w:after="0" w:line="87"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Further, conducting clinical trials in foreign countries, which we are doing for tildacerfont and may do for any future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69" w:lineRule="exact"/>
        <w:rPr>
          <w:sz w:val="20"/>
          <w:szCs w:val="20"/>
          <w:color w:val="auto"/>
        </w:rPr>
      </w:pPr>
    </w:p>
    <w:p>
      <w:pPr>
        <w:ind w:right="80" w:firstLine="509"/>
        <w:spacing w:after="0" w:line="245" w:lineRule="auto"/>
        <w:rPr>
          <w:sz w:val="20"/>
          <w:szCs w:val="20"/>
          <w:color w:val="auto"/>
        </w:rPr>
      </w:pPr>
      <w:r>
        <w:rPr>
          <w:rFonts w:ascii="Times New Roman" w:cs="Times New Roman" w:eastAsia="Times New Roman" w:hAnsi="Times New Roman"/>
          <w:sz w:val="18"/>
          <w:szCs w:val="18"/>
          <w:color w:val="auto"/>
        </w:rPr>
        <w:t>Moreover, principal investigators for our clinical trials may serve and have served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trial.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tildacerfont.</w:t>
      </w:r>
    </w:p>
    <w:p>
      <w:pPr>
        <w:spacing w:after="0" w:line="73"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If we experience delays in the completion of, or termination of, any clinical trial of tildacerfont or any future product candidates, the commercial prospect of tildacerfont or any future product candidates will be harmed, and our ability to generate product revenue will be delayed. Moreover, any delays in completing our clinical trials will increase our costs, slow down our product candidate development and approval process and jeopardize our ability to commence product sales and generate revenue. In addition, many of the factors that cause, or lead to, termination or suspension of, or a delay in the commencement or completion of, clinical trials may also ultimately lead to the denial of regulatory approval of tildacerfont or any future product candidates. Further, delays to our clinical trials that occur as a result could shorten any period during which we may have the exclusive right to commercialize tildacerfont and our competitors may be able to bring products to market before we do, and the commercial viability of tildacerfont could be significantly reduced. Any of these occurrences may harm our business, financial condition, and prospects significantly.</w:t>
      </w:r>
    </w:p>
    <w:p>
      <w:pPr>
        <w:spacing w:after="0" w:line="88"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Tildacerfont is, and any future product candidates will be, subject to extensive regulation and compliance obligations, which are costly and time-consuming, and such regulation may cause unanticipated delays or prevent the receipt of the required approvals to commercialize tildacerfont and any future product candidates.</w:t>
      </w:r>
    </w:p>
    <w:p>
      <w:pPr>
        <w:spacing w:after="0" w:line="68"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8"/>
          <w:szCs w:val="18"/>
          <w:color w:val="auto"/>
        </w:rPr>
        <w:t>The clinical development, manufacturing, labeling, storage, record-keeping, advertising, promotion, import, export, marketing, and distribution of tildacerfont is subject to extensive regulation by the FDA in the United States and by comparable foreign regulatory authorities in foreign markets. In the United States, we are not permitted to market tildacerfont and any future product candidates until we receive regulatory approval from the FDA. The process of obtaining regulatory approval is expensive, often takes many years following the commencement of clinical trials and can vary substantially based upon the type, complexity, and novelty of the product candidates involved, as well as the target indications and patient population. Approval policies or regulations may change, and the FDA has substantial discretion in the drug approval process, including the ability to delay, limit, or deny approval of a product candidate for many reasons. Despite the time and expense invested in clinical development of product candidates, regulatory approval is never guaranteed. Neither we nor any future collaborator is permitted to market tildacerfont and any future product candidates in the United States until we receive approval of an NDA from the FDA. We have not previously submitted an NDA to the FDA, or similar drug approval filings to comparable foreign authorities.</w:t>
      </w:r>
    </w:p>
    <w:p>
      <w:pPr>
        <w:spacing w:after="0" w:line="91" w:lineRule="exact"/>
        <w:rPr>
          <w:sz w:val="20"/>
          <w:szCs w:val="20"/>
          <w:color w:val="auto"/>
        </w:rPr>
      </w:pPr>
    </w:p>
    <w:p>
      <w:pPr>
        <w:ind w:right="120" w:firstLine="509"/>
        <w:spacing w:after="0" w:line="242" w:lineRule="auto"/>
        <w:rPr>
          <w:sz w:val="20"/>
          <w:szCs w:val="20"/>
          <w:color w:val="auto"/>
        </w:rPr>
      </w:pPr>
      <w:r>
        <w:rPr>
          <w:rFonts w:ascii="Times New Roman" w:cs="Times New Roman" w:eastAsia="Times New Roman" w:hAnsi="Times New Roman"/>
          <w:sz w:val="18"/>
          <w:szCs w:val="18"/>
          <w:color w:val="auto"/>
        </w:rPr>
        <w:t>Prior to obtaining approval to commercialize a product candidate in the United States or in foreign markets, we must demonstrate with substantial evidence from adequate and well-controlled clinical trials, and to the satisfaction of the FDA or comparable foreign regulatory authorities, that such product candidates are safe and effective for their intended uses. Results from non-clinical studies and clinical trials can be interpreted in different ways. Even if we believe the non-clinical or clinical data for tildacerfont are promising, such data may not be sufficient to support approval by the FDA and comparable foreign regulatory authorities. The FDA or comparable foreign regulatory authorities, as the case may be, may also require us to conduct additional preclinical studies or clinical trials for tildacerfont and any future product candidates either prior to or post-approval, or may object to elements of our clinical development program.</w:t>
      </w:r>
    </w:p>
    <w:p>
      <w:pPr>
        <w:spacing w:after="0" w:line="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Tildacerfont and any future product candidates could fail to receive regulatory approval for many reasons, including the following:</w:t>
      </w: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left="1780" w:right="120" w:hanging="380"/>
        <w:spacing w:after="0" w:line="266" w:lineRule="auto"/>
        <w:tabs>
          <w:tab w:leader="none" w:pos="1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drug-related side effects may be experienced by participants in our clinical trials or by people using drugs similar to tildacerfont and any future product candidates;</w:t>
      </w:r>
    </w:p>
    <w:p>
      <w:pPr>
        <w:spacing w:after="0" w:line="54" w:lineRule="exact"/>
        <w:rPr>
          <w:rFonts w:ascii="Times New Roman" w:cs="Times New Roman" w:eastAsia="Times New Roman" w:hAnsi="Times New Roman"/>
          <w:sz w:val="18"/>
          <w:szCs w:val="18"/>
          <w:color w:val="auto"/>
        </w:rPr>
      </w:pPr>
    </w:p>
    <w:p>
      <w:pPr>
        <w:ind w:left="1780" w:right="100" w:hanging="380"/>
        <w:spacing w:after="0" w:line="282" w:lineRule="auto"/>
        <w:tabs>
          <w:tab w:leader="none" w:pos="1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population studied in the clinical trial may not be sufficiently broad or representative to assure safety in the full population for which we seek approval;</w:t>
      </w:r>
    </w:p>
    <w:p>
      <w:pPr>
        <w:spacing w:after="0" w:line="40" w:lineRule="exact"/>
        <w:rPr>
          <w:rFonts w:ascii="Times New Roman" w:cs="Times New Roman" w:eastAsia="Times New Roman" w:hAnsi="Times New Roman"/>
          <w:sz w:val="18"/>
          <w:szCs w:val="18"/>
          <w:color w:val="auto"/>
        </w:rPr>
      </w:pPr>
    </w:p>
    <w:p>
      <w:pPr>
        <w:ind w:left="1780" w:right="460" w:hanging="380"/>
        <w:spacing w:after="0" w:line="266" w:lineRule="auto"/>
        <w:tabs>
          <w:tab w:leader="none" w:pos="1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not accept clinical data from trials which are conducted at clinical facilities or in countries where the standard of care is potentially different from that of the United States;</w:t>
      </w:r>
    </w:p>
    <w:p>
      <w:pPr>
        <w:spacing w:after="0" w:line="67" w:lineRule="exact"/>
        <w:rPr>
          <w:rFonts w:ascii="Times New Roman" w:cs="Times New Roman" w:eastAsia="Times New Roman" w:hAnsi="Times New Roman"/>
          <w:sz w:val="18"/>
          <w:szCs w:val="18"/>
          <w:color w:val="auto"/>
        </w:rPr>
      </w:pPr>
    </w:p>
    <w:p>
      <w:pPr>
        <w:ind w:left="1780" w:right="580" w:hanging="380"/>
        <w:spacing w:after="0" w:line="266" w:lineRule="auto"/>
        <w:tabs>
          <w:tab w:leader="none" w:pos="1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product candidate is safe and effective for any of its proposed indications;</w:t>
      </w:r>
    </w:p>
    <w:p>
      <w:pPr>
        <w:spacing w:after="0" w:line="54" w:lineRule="exact"/>
        <w:rPr>
          <w:rFonts w:ascii="Times New Roman" w:cs="Times New Roman" w:eastAsia="Times New Roman" w:hAnsi="Times New Roman"/>
          <w:sz w:val="18"/>
          <w:szCs w:val="18"/>
          <w:color w:val="auto"/>
        </w:rPr>
      </w:pPr>
    </w:p>
    <w:p>
      <w:pPr>
        <w:ind w:left="1780" w:right="60" w:hanging="380"/>
        <w:spacing w:after="0" w:line="282" w:lineRule="auto"/>
        <w:tabs>
          <w:tab w:leader="none" w:pos="1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spacing w:after="0" w:line="40"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103" w:lineRule="exact"/>
        <w:rPr>
          <w:rFonts w:ascii="Times New Roman" w:cs="Times New Roman" w:eastAsia="Times New Roman" w:hAnsi="Times New Roman"/>
          <w:sz w:val="18"/>
          <w:szCs w:val="18"/>
          <w:color w:val="auto"/>
        </w:rPr>
      </w:pPr>
    </w:p>
    <w:p>
      <w:pPr>
        <w:ind w:left="1780" w:right="440" w:hanging="380"/>
        <w:spacing w:after="0" w:line="266" w:lineRule="auto"/>
        <w:tabs>
          <w:tab w:leader="none" w:pos="1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preclinical studies or clinical trials;</w:t>
      </w:r>
    </w:p>
    <w:p>
      <w:pPr>
        <w:spacing w:after="0" w:line="67" w:lineRule="exact"/>
        <w:rPr>
          <w:rFonts w:ascii="Times New Roman" w:cs="Times New Roman" w:eastAsia="Times New Roman" w:hAnsi="Times New Roman"/>
          <w:sz w:val="18"/>
          <w:szCs w:val="18"/>
          <w:color w:val="auto"/>
        </w:rPr>
      </w:pPr>
    </w:p>
    <w:p>
      <w:pPr>
        <w:ind w:left="1780" w:right="120" w:hanging="380"/>
        <w:spacing w:after="0" w:line="250" w:lineRule="auto"/>
        <w:tabs>
          <w:tab w:leader="none" w:pos="1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tildacerfont and any future product candidates may not be sufficient to satisfy the FDA or comparable foreign regulatory authorities to support the submission of an NDA or other comparable submissions in foreign jurisdictions or to obtain regulatory approval in the United States or elsewhere, requiring, in the case of adult patients with classic CAH, additional clinical trials beyond our two ongoing Phase 2b clinical trials prior to any such approval;</w:t>
      </w:r>
    </w:p>
    <w:p>
      <w:pPr>
        <w:spacing w:after="0" w:line="69" w:lineRule="exact"/>
        <w:rPr>
          <w:rFonts w:ascii="Times New Roman" w:cs="Times New Roman" w:eastAsia="Times New Roman" w:hAnsi="Times New Roman"/>
          <w:sz w:val="18"/>
          <w:szCs w:val="18"/>
          <w:color w:val="auto"/>
        </w:rPr>
      </w:pPr>
    </w:p>
    <w:p>
      <w:pPr>
        <w:ind w:left="1780" w:right="180" w:hanging="380"/>
        <w:spacing w:after="0" w:line="266" w:lineRule="auto"/>
        <w:tabs>
          <w:tab w:leader="none" w:pos="1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the manufacturing processes or facilities of third-party manufacturers with which we contract for clinical and commercial supplies; and</w:t>
      </w:r>
    </w:p>
    <w:p>
      <w:pPr>
        <w:spacing w:after="0" w:line="67" w:lineRule="exact"/>
        <w:rPr>
          <w:rFonts w:ascii="Times New Roman" w:cs="Times New Roman" w:eastAsia="Times New Roman" w:hAnsi="Times New Roman"/>
          <w:sz w:val="18"/>
          <w:szCs w:val="18"/>
          <w:color w:val="auto"/>
        </w:rPr>
      </w:pPr>
    </w:p>
    <w:p>
      <w:pPr>
        <w:ind w:left="1780" w:right="60" w:hanging="380"/>
        <w:spacing w:after="0" w:line="266" w:lineRule="auto"/>
        <w:tabs>
          <w:tab w:leader="none" w:pos="1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for approval.</w:t>
      </w:r>
    </w:p>
    <w:p>
      <w:pPr>
        <w:spacing w:after="0" w:line="5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Any of the above events could prevent us from achieving market approval of tildacerfont or any future product candidates and could substantially increase the costs of commercializing tildacerfont or any future product candidates. The demand for tildacerfont or any future product candidates could also be negatively impacted by any adverse effects of a competitor’s product or treatment.</w:t>
      </w:r>
    </w:p>
    <w:p>
      <w:pPr>
        <w:spacing w:after="0" w:line="61" w:lineRule="exact"/>
        <w:rPr>
          <w:sz w:val="20"/>
          <w:szCs w:val="20"/>
          <w:color w:val="auto"/>
        </w:rPr>
      </w:pPr>
    </w:p>
    <w:p>
      <w:pPr>
        <w:jc w:val="both"/>
        <w:ind w:right="60" w:firstLine="509"/>
        <w:spacing w:after="0" w:line="250" w:lineRule="auto"/>
        <w:rPr>
          <w:sz w:val="20"/>
          <w:szCs w:val="20"/>
          <w:color w:val="auto"/>
        </w:rPr>
      </w:pPr>
      <w:r>
        <w:rPr>
          <w:rFonts w:ascii="Times New Roman" w:cs="Times New Roman" w:eastAsia="Times New Roman" w:hAnsi="Times New Roman"/>
          <w:sz w:val="18"/>
          <w:szCs w:val="18"/>
          <w:color w:val="auto"/>
        </w:rPr>
        <w:t>Of the large number of drugs in development, only a small percentage successfully complete the FDA or foreign regulatory approval processes and are commercialized. The lengthy approval process as well as the unpredictability of future clinical trial results may result in our failing to obtain regulatory approval to market tildacerfont and any future product candidates, which would significantly harm our business, financial condition, results of operations, and prospects.</w:t>
      </w:r>
    </w:p>
    <w:p>
      <w:pPr>
        <w:spacing w:after="0" w:line="69"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Even if we eventually complete clinical trials and receive approval of an NDA or foreign marketing application for tildacerfont and any future product candidates, the FDA or comparable foreign regulatory authority may grant approval contingent on the performance of costly additional clinical trials, including Phase 4 clinical trials, and/or the implementation of a risk evaluation and mitigation strategy, or REMS, which may be required to ensure safe use of the drug after approval. The FDA or the comparable foreign regulatory authority also may approve a product candidate for a more limited indication or patient population than we originally requested, and the FDA or comparable foreign regulatory authority may not approve the labeling that we believe is necessary or desirable for the successful commercialization of a product. Any delay in obtaining, or inability to obtain, applicable regulatory approval would delay or prevent commercialization of that product candidate and would materially adversely impact our business and prospects.</w:t>
      </w:r>
    </w:p>
    <w:p>
      <w:pPr>
        <w:spacing w:after="0" w:line="83"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Our business has been and could continue to be adversely affected by the evolving and ongoing COVID-19 global pandemic in regions where we or third parties on which we rely have significant manufacturing facilities, concentrations of clinical trial sites or other business operations. The COVID-19 pandemic could adversely affect our operations, as well as the business or operations of our manufacturers, CROs, or other third parties with whom we conduct business.</w:t>
      </w:r>
    </w:p>
    <w:p>
      <w:pPr>
        <w:spacing w:after="0" w:line="66"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Our business has been and could continue to be adversely affected by the evolving COVID-19 pandemic, which was declared by the World Health Organization as a global pandemic. As COVID-19 and its variants continue to spread, we have experienced and may continue to experience ongoing disruptions that could severely impact our business and clinical trials, including:</w:t>
      </w:r>
    </w:p>
    <w:p>
      <w:pPr>
        <w:spacing w:after="0" w:line="61" w:lineRule="exact"/>
        <w:rPr>
          <w:sz w:val="20"/>
          <w:szCs w:val="20"/>
          <w:color w:val="auto"/>
        </w:rPr>
      </w:pPr>
    </w:p>
    <w:p>
      <w:pPr>
        <w:ind w:left="1780" w:hanging="380"/>
        <w:spacing w:after="0"/>
        <w:tabs>
          <w:tab w:leader="none" w:pos="1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enrolling patients in our clinical trials;</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clinical site initiation, including difficulties in recruiting clinical site; investigators and clinical site staff;</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left="1780" w:right="280" w:hanging="380"/>
        <w:spacing w:after="0" w:line="266" w:lineRule="auto"/>
        <w:tabs>
          <w:tab w:leader="none" w:pos="1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clinical sites receiving the supplies and materials needed to conduct our clinical trials, including interruption in global shipping that may affect the transport of clinical trial materials;</w:t>
      </w:r>
    </w:p>
    <w:p>
      <w:pPr>
        <w:spacing w:after="0" w:line="54" w:lineRule="exact"/>
        <w:rPr>
          <w:rFonts w:ascii="Times New Roman" w:cs="Times New Roman" w:eastAsia="Times New Roman" w:hAnsi="Times New Roman"/>
          <w:sz w:val="18"/>
          <w:szCs w:val="18"/>
          <w:color w:val="auto"/>
        </w:rPr>
      </w:pPr>
    </w:p>
    <w:p>
      <w:pPr>
        <w:ind w:left="1780" w:right="260" w:hanging="380"/>
        <w:spacing w:after="0" w:line="282" w:lineRule="auto"/>
        <w:tabs>
          <w:tab w:leader="none" w:pos="1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regulations as part of a response to the COVID-19 outbreak which may require us to change the ways in which our clinical trials are conducted, which may result in unexpected costs, or to discontinue the clinical trials altogether;</w:t>
      </w:r>
    </w:p>
    <w:p>
      <w:pPr>
        <w:spacing w:after="0" w:line="40" w:lineRule="exact"/>
        <w:rPr>
          <w:rFonts w:ascii="Times New Roman" w:cs="Times New Roman" w:eastAsia="Times New Roman" w:hAnsi="Times New Roman"/>
          <w:sz w:val="18"/>
          <w:szCs w:val="18"/>
          <w:color w:val="auto"/>
        </w:rPr>
      </w:pPr>
    </w:p>
    <w:p>
      <w:pPr>
        <w:ind w:left="1780" w:right="520" w:hanging="380"/>
        <w:spacing w:after="0" w:line="266" w:lineRule="auto"/>
        <w:tabs>
          <w:tab w:leader="none" w:pos="1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67" w:lineRule="exact"/>
        <w:rPr>
          <w:rFonts w:ascii="Times New Roman" w:cs="Times New Roman" w:eastAsia="Times New Roman" w:hAnsi="Times New Roman"/>
          <w:sz w:val="18"/>
          <w:szCs w:val="18"/>
          <w:color w:val="auto"/>
        </w:rPr>
      </w:pPr>
    </w:p>
    <w:p>
      <w:pPr>
        <w:ind w:left="1780" w:right="520" w:hanging="380"/>
        <w:spacing w:after="0" w:line="250" w:lineRule="auto"/>
        <w:tabs>
          <w:tab w:leader="none" w:pos="1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key clinical trial activities, such as clinical trial site monitoring, due to limitations on travel imposed or recommended by federal or state governments, employers and others, or interruption of clinical trial subject visits and study procedures, the occurrence of which could affect the integrity of clinical trial data;</w:t>
      </w:r>
    </w:p>
    <w:p>
      <w:pPr>
        <w:spacing w:after="0" w:line="82" w:lineRule="exact"/>
        <w:rPr>
          <w:rFonts w:ascii="Times New Roman" w:cs="Times New Roman" w:eastAsia="Times New Roman" w:hAnsi="Times New Roman"/>
          <w:sz w:val="18"/>
          <w:szCs w:val="18"/>
          <w:color w:val="auto"/>
        </w:rPr>
      </w:pPr>
    </w:p>
    <w:p>
      <w:pPr>
        <w:ind w:left="1780" w:right="580" w:hanging="380"/>
        <w:spacing w:after="0" w:line="266" w:lineRule="auto"/>
        <w:tabs>
          <w:tab w:leader="none" w:pos="1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or delays in the operations of the FDA or other regulatory authorities, which may impact review and approval timelines;</w:t>
      </w:r>
    </w:p>
    <w:p>
      <w:pPr>
        <w:spacing w:after="0" w:line="54" w:lineRule="exact"/>
        <w:rPr>
          <w:rFonts w:ascii="Times New Roman" w:cs="Times New Roman" w:eastAsia="Times New Roman" w:hAnsi="Times New Roman"/>
          <w:sz w:val="18"/>
          <w:szCs w:val="18"/>
          <w:color w:val="auto"/>
        </w:rPr>
      </w:pPr>
    </w:p>
    <w:p>
      <w:pPr>
        <w:ind w:left="1780" w:right="220" w:hanging="380"/>
        <w:spacing w:after="0" w:line="266" w:lineRule="auto"/>
        <w:tabs>
          <w:tab w:leader="none" w:pos="1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participants enrolled in our clinical trials will acquire COVID-19 while the clinical trial is ongoing, which could impact the results of the clinical trial, including by increasing the number of observed adverse events;</w:t>
      </w:r>
    </w:p>
    <w:p>
      <w:pPr>
        <w:spacing w:after="0" w:line="67"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accept data from clinical trials in affected geographies; and</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relating to mitigating the impact of COVID-19 on any of the foregoing factors.</w:t>
      </w:r>
    </w:p>
    <w:p>
      <w:pPr>
        <w:spacing w:after="0" w:line="104"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color w:val="auto"/>
        </w:rPr>
        <w:t>These and other disruptions in our operations and the global economy could negatively impact our business, operating results and financial condition.</w:t>
      </w:r>
    </w:p>
    <w:p>
      <w:pPr>
        <w:spacing w:after="0" w:line="40"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8"/>
          <w:szCs w:val="18"/>
          <w:color w:val="auto"/>
        </w:rPr>
        <w:t>Our clinical trials have been, and may in the future be, affected by the COVID-19 pandemic. For example, the COVID-19 pandemic has impacted patient enrollment in our two ongoing Phase 2b clinical trials. In particular, some sites have paused enrollment to focus on, and direct resources to, COVID-19, while at other sites, patients have chosen not to enroll or continue participating in the clinical trial as a result of the pandemic. Further, we are aware of delays in site activations for our CAHmelia-203 and -204 trials due to COVID-19-related closures and delays. In addition, patient visits to endocrinologists in the United States have slowed as a result of the COVID-19 pandemic. Further, according to the Centers for Disease Control and Prevention, people who have serious chronic medical conditions, including those such as classic CAH, are at higher risk of getting very sick from COVID-</w:t>
      </w:r>
    </w:p>
    <w:p>
      <w:pPr>
        <w:spacing w:after="0" w:line="5" w:lineRule="exact"/>
        <w:rPr>
          <w:sz w:val="20"/>
          <w:szCs w:val="20"/>
          <w:color w:val="auto"/>
        </w:rPr>
      </w:pPr>
    </w:p>
    <w:p>
      <w:pPr>
        <w:ind w:right="360" w:firstLine="8"/>
        <w:spacing w:after="0" w:line="246" w:lineRule="auto"/>
        <w:tabs>
          <w:tab w:leader="none" w:pos="27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current or potential patients in our ongoing and planned clinical trials may continue to choose to not enroll, not participate in follow-up clinical visits, or drop out of the trial as a precaution against contracting COVID-19. Further, some patients may continue to not be able or willing to comply with clinical trial protocols if quarantines impede patient movement or interrupts healthcare services.</w:t>
      </w:r>
    </w:p>
    <w:p>
      <w:pPr>
        <w:spacing w:after="0" w:line="73" w:lineRule="exact"/>
        <w:rPr>
          <w:sz w:val="20"/>
          <w:szCs w:val="20"/>
          <w:color w:val="auto"/>
        </w:rPr>
      </w:pPr>
    </w:p>
    <w:p>
      <w:pPr>
        <w:ind w:right="220" w:firstLine="509"/>
        <w:spacing w:after="0" w:line="250" w:lineRule="auto"/>
        <w:rPr>
          <w:sz w:val="20"/>
          <w:szCs w:val="20"/>
          <w:color w:val="auto"/>
        </w:rPr>
      </w:pPr>
      <w:r>
        <w:rPr>
          <w:rFonts w:ascii="Times New Roman" w:cs="Times New Roman" w:eastAsia="Times New Roman" w:hAnsi="Times New Roman"/>
          <w:sz w:val="18"/>
          <w:szCs w:val="18"/>
          <w:color w:val="auto"/>
        </w:rPr>
        <w:t>If patient enrollment is delayed for an extended period of time, our ongoing and planned clinical trials could be significantly delayed or otherwise adversely affected. Similarly, our ability to recruit and retain principal investigators and site staff who, as healthcare providers, may have heightened exposure to COVID-19, may be adversely impacted.</w:t>
      </w:r>
    </w:p>
    <w:p>
      <w:pPr>
        <w:spacing w:after="0" w:line="82"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In addition, ongoing or planned clinical trials may also be impacted by interruptions or delays in the operations of the FDA and comparable foreign regulatory agencies. For example, we and our CROs have also made certain adjustments to the operation of our trials in an effort to ensure the monitoring and safety of patients and minimize risks to trial integrity during the pandemic in accordance with the guidance issued by the FDA and may need to make further adjustments in the future. For example, we have amended our clinical trial protocols to enable remote visits to mitigate any potential impacts as a result of the COVID-19 pandemic. As a result of this home health component, the overall costs of our Phase 2b clinical trials have increased and may continue to increase in the future. Many of these adjustments are new and untested, may not be effective, may affect the integrity of data collected, and may have unforeseen effects on the progress and completion of our clinical trials and the findings from such clinical trials.</w:t>
      </w:r>
    </w:p>
    <w:p>
      <w:pPr>
        <w:spacing w:after="0" w:line="73" w:lineRule="exact"/>
        <w:rPr>
          <w:sz w:val="20"/>
          <w:szCs w:val="20"/>
          <w:color w:val="auto"/>
        </w:rPr>
      </w:pPr>
    </w:p>
    <w:p>
      <w:pPr>
        <w:ind w:right="60" w:firstLine="509"/>
        <w:spacing w:after="0" w:line="245" w:lineRule="auto"/>
        <w:rPr>
          <w:sz w:val="20"/>
          <w:szCs w:val="20"/>
          <w:color w:val="auto"/>
        </w:rPr>
      </w:pPr>
      <w:r>
        <w:rPr>
          <w:rFonts w:ascii="Times New Roman" w:cs="Times New Roman" w:eastAsia="Times New Roman" w:hAnsi="Times New Roman"/>
          <w:sz w:val="18"/>
          <w:szCs w:val="18"/>
          <w:color w:val="auto"/>
        </w:rPr>
        <w:t>In addition, we may encounter a shortage in supplies of, or in delays in shipping, our study drug or other components of the clinical trial vital for successful conduct of the trial. For example, in our two ongoing Phase 2b clinical trials, patients will continue to use their steroid regimen for the duration of the clinical trial. In particular, we have experienced a shortage of supply of hydrocortisone as a result of the COVID-19 pandemic, which if continued indefinitely, could adversely affect the timing and ultimately success of our clinical trials. Further, the successful conduct of our clinical trials depends on retrieving laboratory data from patients. Any failure by the laboratories with which we work to send us such data could impair the progress of such clinical trials. These events could delay our clinical trials, increase the cost of completing our clinical trials, and negatively impact the integrity, reliability, or robustness of the data from our clinical trials.</w:t>
      </w:r>
    </w:p>
    <w:p>
      <w:pPr>
        <w:spacing w:after="0" w:line="73"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In addition, quarantines, shelter-in-place, and similar government orders, or the perception that such orders, shutdowns, or other restrictions on the conduct of business operations could occur, related to COVID-19 or other infectious diseases could impact personnel at our CROs or third-party manufacturing facilities upon which we rely, or the availability or cost of materials, which could</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disrupt the supply chain for tildacerfont. To the extent our suppliers and service providers are unable to comply with their obligations under our agreements with them or they are otherwise unable to deliver or are delayed in delivering goods and services to us due to the COVID-19 pandemic, our ability to continue meeting clinical supply demand for tildacerfont or otherwise advancing development of tildacerfont may become impaired.</w:t>
      </w:r>
    </w:p>
    <w:p>
      <w:pPr>
        <w:spacing w:after="0" w:line="82" w:lineRule="exact"/>
        <w:rPr>
          <w:sz w:val="20"/>
          <w:szCs w:val="20"/>
          <w:color w:val="auto"/>
        </w:rPr>
      </w:pPr>
    </w:p>
    <w:p>
      <w:pPr>
        <w:ind w:right="40" w:firstLine="509"/>
        <w:spacing w:after="0" w:line="246" w:lineRule="auto"/>
        <w:rPr>
          <w:sz w:val="20"/>
          <w:szCs w:val="20"/>
          <w:color w:val="auto"/>
        </w:rPr>
      </w:pPr>
      <w:r>
        <w:rPr>
          <w:rFonts w:ascii="Times New Roman" w:cs="Times New Roman" w:eastAsia="Times New Roman" w:hAnsi="Times New Roman"/>
          <w:sz w:val="18"/>
          <w:szCs w:val="18"/>
          <w:color w:val="auto"/>
        </w:rPr>
        <w:t>The spread of COVID-19 and actions taken to reduce its spread may also materially affect us economically. While the potential economic impact brought by, and the duration of, the COVID-19 pandemic may be difficult to assess or predict, there could be a significant disruption of global financial markets, reducing our ability to access capital, which could in the future negatively affect our liquidity and financial position. In addition, the trading prices for other companies have been highly volatile as a result of the COVID-19 pandemic. As a result, we may face difficulties raising capital through sales of our common stock or such sales may be on unfavorable terms.</w:t>
      </w:r>
    </w:p>
    <w:p>
      <w:pPr>
        <w:spacing w:after="0" w:line="73" w:lineRule="exact"/>
        <w:rPr>
          <w:sz w:val="20"/>
          <w:szCs w:val="20"/>
          <w:color w:val="auto"/>
        </w:rPr>
      </w:pPr>
    </w:p>
    <w:p>
      <w:pPr>
        <w:jc w:val="both"/>
        <w:ind w:right="60" w:firstLine="509"/>
        <w:spacing w:after="0" w:line="258" w:lineRule="auto"/>
        <w:rPr>
          <w:sz w:val="20"/>
          <w:szCs w:val="20"/>
          <w:color w:val="auto"/>
        </w:rPr>
      </w:pPr>
      <w:r>
        <w:rPr>
          <w:rFonts w:ascii="Times New Roman" w:cs="Times New Roman" w:eastAsia="Times New Roman" w:hAnsi="Times New Roman"/>
          <w:sz w:val="18"/>
          <w:szCs w:val="18"/>
          <w:color w:val="auto"/>
        </w:rPr>
        <w:t>COVID-19 and actions taken to reduce its spread continue to evolve. The extent to which COVID-19 may impede the development of tildacerfont, reduce the productivity of our employees, disrupt our supply chains, delay our clinical trials, reduce our access to capital or limit our business development activities, will depend on future developments, which are highly uncertain and cannot be predicted with confidence.</w:t>
      </w:r>
    </w:p>
    <w:p>
      <w:pPr>
        <w:spacing w:after="0" w:line="61"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In addition, to the extent the ongoing COVID-19 pandemic adversely affects our business and results of operations, it may also have the effect of heightening many of the other risks and uncertainties described in this “Risk Factors” section.</w:t>
      </w:r>
    </w:p>
    <w:p>
      <w:pPr>
        <w:spacing w:after="0" w:line="64"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50"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From time to time, we may publicly disclose interim, topline, or preliminary data from our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studies, or different conclusions or considerations may qualify such results, once additional data have been received and fully evaluated. Interim, topline, and preliminary data also remain subject to audit and verification procedures that may result in the final data being materially different from the preliminary data we previously published. As a result, such data should be viewed with caution until the final data are available. Adverse differences between preliminary, interim, or topline data and final data could significantly harm our business prospects.</w:t>
      </w:r>
    </w:p>
    <w:p>
      <w:pPr>
        <w:spacing w:after="0" w:line="71"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interim, topline, or preliminary data that we report differ from actual results, or if others, including regulatory authorities, disagree with the conclusions reached, our ability to obtain approval for, and commercialize, tildacerfont and any future product candidates may be harmed, which could harm our business, operating results, prospects, or financial condition.</w:t>
      </w:r>
    </w:p>
    <w:p>
      <w:pPr>
        <w:spacing w:after="0" w:line="89" w:lineRule="exact"/>
        <w:rPr>
          <w:sz w:val="20"/>
          <w:szCs w:val="20"/>
          <w:color w:val="auto"/>
        </w:rPr>
      </w:pPr>
    </w:p>
    <w:p>
      <w:pPr>
        <w:ind w:right="7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tildacerfont and any future product candidates are smaller than we believe they are, our future revenue may be adversely affected, and our business may suffer.</w:t>
      </w:r>
    </w:p>
    <w:p>
      <w:pPr>
        <w:spacing w:after="0" w:line="50" w:lineRule="exact"/>
        <w:rPr>
          <w:sz w:val="20"/>
          <w:szCs w:val="20"/>
          <w:color w:val="auto"/>
        </w:rPr>
      </w:pPr>
    </w:p>
    <w:p>
      <w:pPr>
        <w:ind w:right="80" w:firstLine="509"/>
        <w:spacing w:after="0" w:line="243" w:lineRule="auto"/>
        <w:rPr>
          <w:sz w:val="20"/>
          <w:szCs w:val="20"/>
          <w:color w:val="auto"/>
        </w:rPr>
      </w:pPr>
      <w:r>
        <w:rPr>
          <w:rFonts w:ascii="Times New Roman" w:cs="Times New Roman" w:eastAsia="Times New Roman" w:hAnsi="Times New Roman"/>
          <w:sz w:val="18"/>
          <w:szCs w:val="18"/>
          <w:color w:val="auto"/>
        </w:rPr>
        <w:t>If the size of the market opportunities in each of our target indications for tildacerfont and any future product candidates is smaller than we anticipate, we may not be able to achieve profitability and growth. We focus our clinical development of tildacerfont on treatments for rare endocrine disorders with relatively small patient populations. For example, we believe that tildacerfont has the potential to bring therapeutic benefit to patients suffering from endocrine disorders where the underlying pathophysiology supports a need to reduce excess secretion of or hyperresponsiveness to ACTH, including, but not limited to, non-classic CAH and a subpopulation of females with PCOS due to adrenal hyperandrogenism. Given the relatively small number of patients who have the disorders that we are targeting and intend to target with tildacerfont, it is critical to our ability to grow and become profitable that we continue to successfully identify patients with these rare endocrine disorders. In addition, our estimates of the patient populations for our target indications have been derived from a variety of sources, including scientific literature, surveys of clinics, patient foundations, and market research, and may prove to be incorrect. Further, new studies may change the estimated incidence or prevalence of these disorders. The number of patients may turn out to be lower than expected. The effort to identify patients with diseases we seek to treat is in early stages, and we cannot accurately predict the number of patients for whom treatment might be possible. For example, while classic CAH is usually detected at birth through required newborn screening programs in most developed</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18"/>
          <w:szCs w:val="18"/>
          <w:color w:val="auto"/>
        </w:rPr>
        <w:t>countries, new patients may become increasingly difficult to identify or gain access to, which would adversely affect our results of operations and our business. In addition, the potentially addressable patient population for classic CAH may be limited or may not be amenable to treatment with tildacerfont, if approved. Further, even if we obtain significant market share for tildacerfont in classic CAH, we may never achieve profitability despite obtaining such significant market share, as other pharmaceutical companies with more resources and greater experience in drug development and commercialization are targeting this same endocrine disorder.</w:t>
      </w:r>
    </w:p>
    <w:p>
      <w:pPr>
        <w:spacing w:after="0" w:line="69"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expand our pipeline by identifying additional indications and formulations for which to investigate tildacerfont in the future. We may expend our limited resources to pursue a particular indication or formulation for tildacerfont and fail to capitalize on product candidates, indications, or formulations that may be more profitable or for which there is a greater likelihood of success.</w:t>
      </w:r>
    </w:p>
    <w:p>
      <w:pPr>
        <w:spacing w:after="0" w:line="60" w:lineRule="exact"/>
        <w:rPr>
          <w:sz w:val="20"/>
          <w:szCs w:val="20"/>
          <w:color w:val="auto"/>
        </w:rPr>
      </w:pPr>
    </w:p>
    <w:p>
      <w:pPr>
        <w:ind w:right="220" w:firstLine="509"/>
        <w:spacing w:after="0" w:line="250"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are focused on specific indications and formulations for tildacerfont. As a result, we may fail to generate additional clinical development opportunities for tildacerfont for a number of reasons, including, tildacerfont may in certain indications, on further study, be shown to have harmful side effects, limited to no efficacy, or other characteristics that suggest it is unlikely to receive marketing approval and achieve market acceptance in such additional indications.</w:t>
      </w:r>
    </w:p>
    <w:p>
      <w:pPr>
        <w:spacing w:after="0" w:line="69" w:lineRule="exact"/>
        <w:rPr>
          <w:sz w:val="20"/>
          <w:szCs w:val="20"/>
          <w:color w:val="auto"/>
        </w:rPr>
      </w:pPr>
    </w:p>
    <w:p>
      <w:pPr>
        <w:ind w:right="60" w:firstLine="509"/>
        <w:spacing w:after="0" w:line="244" w:lineRule="auto"/>
        <w:rPr>
          <w:sz w:val="20"/>
          <w:szCs w:val="20"/>
          <w:color w:val="auto"/>
        </w:rPr>
      </w:pPr>
      <w:r>
        <w:rPr>
          <w:rFonts w:ascii="Times New Roman" w:cs="Times New Roman" w:eastAsia="Times New Roman" w:hAnsi="Times New Roman"/>
          <w:sz w:val="18"/>
          <w:szCs w:val="18"/>
          <w:color w:val="auto"/>
        </w:rPr>
        <w:t>We plan to conduct several clinical trials for tildacerfont in parallel over the next several years, including multiple clinical trials in adult and pediatric patients with classic CAH and in a subpopulation of females with PCOS. As a result, we may forgo or delay pursuit of opportunities with other indications that could have had greater commercial potential or likelihood of success. However, we may focus on or pursue one or more of our target indications over other potential indications and such development efforts may not be successful, which would cause us to delay the clinical development and approval of tildacerfont. Furthermore, research programs to identify additional indications for tildacerfont require substantial technical, financial, and human resources. We may also pursue additional formulations for tildacerfont, including transitioning from a tablet formulation to a granulate formulation. However, we may not successfully develop these additional formulations for chemistry-related, stability-related, or other reasons. Our resource allocation decisions may cause us to fail to capitalize on viable commercial products or profitable market opportunities. Our spending on current and future research and development programs for specific indications may not yield any commercially viable products.</w:t>
      </w:r>
    </w:p>
    <w:p>
      <w:pPr>
        <w:spacing w:after="0" w:line="77" w:lineRule="exact"/>
        <w:rPr>
          <w:sz w:val="20"/>
          <w:szCs w:val="20"/>
          <w:color w:val="auto"/>
        </w:rPr>
      </w:pPr>
    </w:p>
    <w:p>
      <w:pPr>
        <w:ind w:right="120" w:firstLine="509"/>
        <w:spacing w:after="0" w:line="250" w:lineRule="auto"/>
        <w:rPr>
          <w:sz w:val="20"/>
          <w:szCs w:val="20"/>
          <w:color w:val="auto"/>
        </w:rPr>
      </w:pPr>
      <w:r>
        <w:rPr>
          <w:rFonts w:ascii="Times New Roman" w:cs="Times New Roman" w:eastAsia="Times New Roman" w:hAnsi="Times New Roman"/>
          <w:sz w:val="18"/>
          <w:szCs w:val="18"/>
          <w:color w:val="auto"/>
        </w:rPr>
        <w:t>Additionally, we may pursue additional in-licenses or acquisitions of development-stage assets or programs, which entails additional risk to us. Identifying, selecting and acquiring promising product candidates requires substantial technical, financial, and human resources expertise. Efforts to do so may not result in the actual acquisition or license of a particular product candidate, potentially resulting in a diversion of our management’s time and the expenditure of our resources with no resulting benefit.</w:t>
      </w:r>
    </w:p>
    <w:p>
      <w:pPr>
        <w:spacing w:after="0" w:line="83"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For example, if we are unable to identify programs that ultimately result in approved products, we may spend material amounts of our capital and other resources evaluating, acquiring and developing products that ultimately do not provide a return on our investment.</w:t>
      </w:r>
    </w:p>
    <w:p>
      <w:pPr>
        <w:spacing w:after="0" w:line="50" w:lineRule="exact"/>
        <w:rPr>
          <w:sz w:val="20"/>
          <w:szCs w:val="20"/>
          <w:color w:val="auto"/>
        </w:rPr>
      </w:pPr>
    </w:p>
    <w:p>
      <w:pPr>
        <w:ind w:right="5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for a product candidate in one jurisdiction does not mean that we will be successful in obtaining regulatory approval for that product candidate in other jurisdictions.</w:t>
      </w:r>
    </w:p>
    <w:p>
      <w:pPr>
        <w:spacing w:after="0" w:line="63"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Obtaining and maintaining regulatory approval for a product candidate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for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many jurisdictions outside the United States, including a number of countries in the EU, a product candidate must be approved for reimbursement before it can be approved for sale in that jurisdiction. In some cases, the price that we intend to charge for tildacerfont is also subject to approval.</w:t>
      </w:r>
    </w:p>
    <w:p>
      <w:pPr>
        <w:spacing w:after="0" w:line="93" w:lineRule="exact"/>
        <w:rPr>
          <w:sz w:val="20"/>
          <w:szCs w:val="20"/>
          <w:color w:val="auto"/>
        </w:rPr>
      </w:pPr>
    </w:p>
    <w:p>
      <w:pPr>
        <w:ind w:right="40" w:firstLine="509"/>
        <w:spacing w:after="0" w:line="242" w:lineRule="auto"/>
        <w:rPr>
          <w:sz w:val="20"/>
          <w:szCs w:val="20"/>
          <w:color w:val="auto"/>
        </w:rPr>
      </w:pPr>
      <w:r>
        <w:rPr>
          <w:rFonts w:ascii="Times New Roman" w:cs="Times New Roman" w:eastAsia="Times New Roman" w:hAnsi="Times New Roman"/>
          <w:sz w:val="18"/>
          <w:szCs w:val="18"/>
          <w:color w:val="auto"/>
        </w:rPr>
        <w:t>We expect to submit a Marketing Authorization Application, or MAA, to the EMA for approval of tildacerfont in the EU for the treatment of classic CAH. As with the FDA, obtaining approval of an MAA from the European Commission, which acts on the recommendation of the Committee for Medicinal Products for Human Use, is a similarly lengthy and expensive process and the EMA has its own procedures for assessing product candidates. Regulatory authorities in jurisdictions outside of the United States and the EU also have requirements for approval for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tildacerfont in certain countries. If we fail to comply with the regulatory requirements in international markets and/or receive applicable marketing approvals, our target market will be reduced and our ability to realize the full market potential of tildacerfont will be harmed, which would adversely affect our business, prospects, financial condition, and results of operations.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0" w:lineRule="exact"/>
        <w:rPr>
          <w:sz w:val="20"/>
          <w:szCs w:val="20"/>
          <w:color w:val="auto"/>
        </w:rPr>
      </w:pPr>
    </w:p>
    <w:p>
      <w:pPr>
        <w:ind w:right="38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currently have no marketing and sales organization and have yet to commercialize a product. If we are unable to establish marketing and sales capabilities or enter into agreements with third parties to market and sell tildacerfont and any future product candidates, we may not be able to generate product revenues.</w:t>
      </w:r>
    </w:p>
    <w:p>
      <w:pPr>
        <w:spacing w:after="0" w:line="81" w:lineRule="exact"/>
        <w:rPr>
          <w:sz w:val="20"/>
          <w:szCs w:val="20"/>
          <w:color w:val="auto"/>
        </w:rPr>
      </w:pPr>
    </w:p>
    <w:p>
      <w:pPr>
        <w:ind w:right="260" w:firstLine="509"/>
        <w:spacing w:after="0" w:line="250" w:lineRule="auto"/>
        <w:rPr>
          <w:sz w:val="20"/>
          <w:szCs w:val="20"/>
          <w:color w:val="auto"/>
        </w:rPr>
      </w:pPr>
      <w:r>
        <w:rPr>
          <w:rFonts w:ascii="Times New Roman" w:cs="Times New Roman" w:eastAsia="Times New Roman" w:hAnsi="Times New Roman"/>
          <w:sz w:val="18"/>
          <w:szCs w:val="18"/>
          <w:color w:val="auto"/>
        </w:rPr>
        <w:t>We currently do not have a commercial organization for the marketing, sales, and distribution of pharmaceutical products. To commercialize tildacerfont and any future product candidates, we must build our marketing, sales, distribution, managerial and other non-technical capabilities or make arrangements with third parties to perform these services. We intend to build a highly specialized commercial organization to support the commercialization of tildacerfont, if approved, in the United States and Europe.</w:t>
      </w:r>
    </w:p>
    <w:p>
      <w:pPr>
        <w:spacing w:after="0" w:line="69" w:lineRule="exact"/>
        <w:rPr>
          <w:sz w:val="20"/>
          <w:szCs w:val="20"/>
          <w:color w:val="auto"/>
        </w:rPr>
      </w:pPr>
    </w:p>
    <w:p>
      <w:pPr>
        <w:ind w:right="140" w:firstLine="509"/>
        <w:spacing w:after="0" w:line="243" w:lineRule="auto"/>
        <w:rPr>
          <w:sz w:val="20"/>
          <w:szCs w:val="20"/>
          <w:color w:val="auto"/>
        </w:rPr>
      </w:pPr>
      <w:r>
        <w:rPr>
          <w:rFonts w:ascii="Times New Roman" w:cs="Times New Roman" w:eastAsia="Times New Roman" w:hAnsi="Times New Roman"/>
          <w:sz w:val="18"/>
          <w:szCs w:val="18"/>
          <w:color w:val="auto"/>
        </w:rPr>
        <w:t>The establishment and development of our own sales force or the establishment of a contract sales force to market tildacerfont and any future product candidates will be expensive and time-consuming and could delay any commercial launch. Moreover, we may not be able to successfully develop this capability. We will have to compete with other pharmaceutical and biotechnology companies to recruit, hire, train, and retain marketing and sales personnel. We also face competition in our search for third parties to assist us with the sales and marketing efforts of tildacerfont. To the extent we rely on third parties to commercialize tildacerfont, if approved, we may have little or no control over the marketing and sales efforts of such third parties and our revenues from product sales may be lower than if we had commercialized tildacerfont and any future product candidates ourselves. In the event we are unable to develop our own marketing and sales force or collaborate with a third-party marketing and sales organization, we would not be able to commercialize tildacerfont or any future product candidates.</w:t>
      </w:r>
    </w:p>
    <w:p>
      <w:pPr>
        <w:spacing w:after="0" w:line="74"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our key personnel, and if we are not successful in attracting and retaining highly qualified personnel, we may not be able to successfully implement our business strategy.</w:t>
      </w:r>
    </w:p>
    <w:p>
      <w:pPr>
        <w:spacing w:after="0" w:line="37" w:lineRule="exact"/>
        <w:rPr>
          <w:sz w:val="20"/>
          <w:szCs w:val="20"/>
          <w:color w:val="auto"/>
        </w:rPr>
      </w:pPr>
    </w:p>
    <w:p>
      <w:pPr>
        <w:ind w:right="140" w:firstLine="509"/>
        <w:spacing w:after="0" w:line="250" w:lineRule="auto"/>
        <w:rPr>
          <w:sz w:val="20"/>
          <w:szCs w:val="20"/>
          <w:color w:val="auto"/>
        </w:rPr>
      </w:pPr>
      <w:r>
        <w:rPr>
          <w:rFonts w:ascii="Times New Roman" w:cs="Times New Roman" w:eastAsia="Times New Roman" w:hAnsi="Times New Roman"/>
          <w:sz w:val="18"/>
          <w:szCs w:val="18"/>
          <w:color w:val="auto"/>
        </w:rPr>
        <w:t>Our ability to compete in the highly competitive biotechnology and pharmaceuticals industries depends upon our ability to attract and retain highly qualified managerial, scientific, and medical personnel. We are highly dependent on our management, scientific, and medical personnel. The loss of the services of any of our executive officers or other key employees and our inability to find suitable replacements could potentially harm our business, prospects, financial condition or results of operations.</w:t>
      </w:r>
    </w:p>
    <w:p>
      <w:pPr>
        <w:spacing w:after="0" w:line="69" w:lineRule="exact"/>
        <w:rPr>
          <w:sz w:val="20"/>
          <w:szCs w:val="20"/>
          <w:color w:val="auto"/>
        </w:rPr>
      </w:pPr>
    </w:p>
    <w:p>
      <w:pPr>
        <w:jc w:val="both"/>
        <w:ind w:right="220" w:firstLine="509"/>
        <w:spacing w:after="0" w:line="258" w:lineRule="auto"/>
        <w:rPr>
          <w:sz w:val="20"/>
          <w:szCs w:val="20"/>
          <w:color w:val="auto"/>
        </w:rPr>
      </w:pPr>
      <w:r>
        <w:rPr>
          <w:rFonts w:ascii="Times New Roman" w:cs="Times New Roman" w:eastAsia="Times New Roman" w:hAnsi="Times New Roman"/>
          <w:sz w:val="18"/>
          <w:szCs w:val="18"/>
          <w:color w:val="auto"/>
        </w:rPr>
        <w:t>We conduct our operations in Daly City, California. This region serves as the headquarters to many other biopharmaceutical companies and many academic and research institutions. Competition for skilled personnel in our market is intense and may limit our ability to hire and retain highly qualified personnel on acceptable terms or at all.</w:t>
      </w:r>
    </w:p>
    <w:p>
      <w:pPr>
        <w:spacing w:after="0" w:line="61"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To induce valuable employees to remain at our company, in addition to salary and cash incentives, we have provided stock options that vest over time. The value to employees of stock options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Although we have employment agreements and/or offer letters with our key employees, these arrangements provide for at-will employment, which means that any of our employees could leave our employment at any time, with or without notice. We do not maintain “key man” insurance policies on the lives of these individuals or the lives of any of our other employees. Our success also depends on our ability to continue to attract, retain and motivate highly skilled junior, mid-level, and senior managers as well as junior, mid-level, and senior scientific and medical personnel.</w:t>
      </w:r>
    </w:p>
    <w:p>
      <w:pPr>
        <w:spacing w:after="0" w:line="92" w:lineRule="exact"/>
        <w:rPr>
          <w:sz w:val="20"/>
          <w:szCs w:val="20"/>
          <w:color w:val="auto"/>
        </w:rPr>
      </w:pPr>
    </w:p>
    <w:p>
      <w:pPr>
        <w:ind w:right="140" w:firstLine="509"/>
        <w:spacing w:after="0" w:line="250" w:lineRule="auto"/>
        <w:rPr>
          <w:sz w:val="20"/>
          <w:szCs w:val="20"/>
          <w:color w:val="auto"/>
        </w:rPr>
      </w:pPr>
      <w:r>
        <w:rPr>
          <w:rFonts w:ascii="Times New Roman" w:cs="Times New Roman" w:eastAsia="Times New Roman" w:hAnsi="Times New Roman"/>
          <w:sz w:val="18"/>
          <w:szCs w:val="18"/>
          <w:color w:val="auto"/>
        </w:rPr>
        <w:t>Many of the other biotechnology and pharmaceutical companies that we compete against for qualified personnel have greater financial and other resources, different risk profiles, and a longer history in the industry than we do. They may also provide more diverse opportunities and better chances for career advancement. Some of these characteristics are more appealing to high quality candidates than what we can offer. If we are unable to continue to attract and retain high quality personnel, the rate and success at which we can discover, develop and commercialize product candidates will be limited.</w:t>
      </w:r>
    </w:p>
    <w:p>
      <w:pPr>
        <w:spacing w:after="0" w:line="65"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Use of tildacerfont or any future product candidates could be associated with side effects, adverse events or other properties that could delay or prevent regulatory approval or result in significant negative consequences following marketing approval, if any.</w:t>
      </w:r>
    </w:p>
    <w:p>
      <w:pPr>
        <w:spacing w:after="0" w:line="63" w:lineRule="exact"/>
        <w:rPr>
          <w:sz w:val="20"/>
          <w:szCs w:val="20"/>
          <w:color w:val="auto"/>
        </w:rPr>
      </w:pPr>
    </w:p>
    <w:p>
      <w:pPr>
        <w:ind w:right="60" w:firstLine="509"/>
        <w:spacing w:after="0" w:line="242" w:lineRule="auto"/>
        <w:rPr>
          <w:sz w:val="20"/>
          <w:szCs w:val="20"/>
          <w:color w:val="auto"/>
        </w:rPr>
      </w:pPr>
      <w:r>
        <w:rPr>
          <w:rFonts w:ascii="Times New Roman" w:cs="Times New Roman" w:eastAsia="Times New Roman" w:hAnsi="Times New Roman"/>
          <w:sz w:val="18"/>
          <w:szCs w:val="18"/>
          <w:color w:val="auto"/>
        </w:rPr>
        <w:t>As is the case with biopharmaceuticals generally, it is likely that there may be side effects and adverse events associated with the use of tildacerfont and any future product candidates. Results of our clinical trials could reveal a high and unacceptable severity and prevalence of side effects or unexpected characteristics. Undesirable side effects caused by tildacerfont and any future product candidates could cause us or regulatory authorities to interrupt, delay or halt clinical trials and could result in a more restrictive label or the delay or denial of regulatory approval by the FDA or other comparable foreign authorities. For example, although tildacerfont has been assessed in over 200 subjects across eight completed clinical trials in which it has been well tolerated with no drug-related SAEs, in our proof-of-concept, dose-escalating Phase 2a clinical trial in adults with classic CAH, one patient experienced a grade one liver-related adverse event after 14 days of treatment at 1,000mg once daily. This patient had elevated levels of alanine transaminase, or ALT, between five and nine times the upper limit of normal, or ULN, elevations in aspartate aminotransferase, or AST, less than five times the ULN, and no increases in bilirubin. The event resolved on its own without additional medical intervention. No cases of liver enzyme elevations above three times the ULN were observed in any patient receiving total daily doses of 600mg, which is approximately three times the proposed therapeutic dose for adults with classic CAH, and below. If drug-related SAEs are observed,</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right="320"/>
        <w:spacing w:after="0" w:line="250" w:lineRule="auto"/>
        <w:rPr>
          <w:sz w:val="20"/>
          <w:szCs w:val="20"/>
          <w:color w:val="auto"/>
        </w:rPr>
      </w:pPr>
      <w:r>
        <w:rPr>
          <w:rFonts w:ascii="Times New Roman" w:cs="Times New Roman" w:eastAsia="Times New Roman" w:hAnsi="Times New Roman"/>
          <w:sz w:val="18"/>
          <w:szCs w:val="18"/>
          <w:color w:val="auto"/>
        </w:rPr>
        <w:t>our trials could be suspended or terminated and the FDA or comparable foreign regulatory authorities could order us to cease further development of or deny approval for tildacerfont for any or all targeted indications. The drug-related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69"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Furthermore, only adults have been treated with tildacerfont, and the safety profile in pediatric patients is unknown and may be different than that observed in previous clinical trials. Results of our trials could reveal a high and unacceptable severity and prevalence of side effects.</w:t>
      </w:r>
    </w:p>
    <w:p>
      <w:pPr>
        <w:spacing w:after="0" w:line="68"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Additionally, if tildacerfont and any future product candidates receive marketing approval, and we or others later identify undesirable side effects caused by such product candidate, a number of potentially significant negative consequences could result, including:</w:t>
      </w:r>
    </w:p>
    <w:p>
      <w:pPr>
        <w:spacing w:after="0" w:line="54" w:lineRule="exact"/>
        <w:rPr>
          <w:sz w:val="20"/>
          <w:szCs w:val="20"/>
          <w:color w:val="auto"/>
        </w:rPr>
      </w:pPr>
    </w:p>
    <w:p>
      <w:pPr>
        <w:ind w:left="1780" w:hanging="380"/>
        <w:spacing w:after="0"/>
        <w:tabs>
          <w:tab w:leader="none" w:pos="17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forced to suspend marketing of that product, or decide to remove the product form the marketplace;</w:t>
      </w:r>
    </w:p>
    <w:p>
      <w:pPr>
        <w:spacing w:after="0" w:line="117"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approvals or change their approvals of such product;</w:t>
      </w:r>
    </w:p>
    <w:p>
      <w:pPr>
        <w:spacing w:after="0" w:line="103" w:lineRule="exact"/>
        <w:rPr>
          <w:rFonts w:ascii="Times New Roman" w:cs="Times New Roman" w:eastAsia="Times New Roman" w:hAnsi="Times New Roman"/>
          <w:sz w:val="18"/>
          <w:szCs w:val="18"/>
          <w:color w:val="auto"/>
        </w:rPr>
      </w:pPr>
    </w:p>
    <w:p>
      <w:pPr>
        <w:jc w:val="both"/>
        <w:ind w:left="1780" w:right="160" w:hanging="380"/>
        <w:spacing w:after="0" w:line="250" w:lineRule="auto"/>
        <w:tabs>
          <w:tab w:leader="none" w:pos="17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 or limit access of that product to selective specialized centers with additional safety reporting and with requirements that patients be geographically close to these centers for all or part of their treatment;</w:t>
      </w:r>
    </w:p>
    <w:p>
      <w:pPr>
        <w:spacing w:after="0" w:line="82"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such side effects for distribution to patients;</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the product is administered;</w:t>
      </w:r>
    </w:p>
    <w:p>
      <w:pPr>
        <w:spacing w:after="0" w:line="103" w:lineRule="exact"/>
        <w:rPr>
          <w:rFonts w:ascii="Times New Roman" w:cs="Times New Roman" w:eastAsia="Times New Roman" w:hAnsi="Times New Roman"/>
          <w:sz w:val="18"/>
          <w:szCs w:val="18"/>
          <w:color w:val="auto"/>
        </w:rPr>
      </w:pPr>
    </w:p>
    <w:p>
      <w:pPr>
        <w:ind w:left="1780" w:right="60" w:hanging="380"/>
        <w:spacing w:after="0" w:line="282" w:lineRule="auto"/>
        <w:tabs>
          <w:tab w:leader="none" w:pos="17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subject to fines, injunctions, or the imposition of criminal or civil penalties, or to sued and held liable for harm caused to subjects or patients;</w:t>
      </w:r>
    </w:p>
    <w:p>
      <w:pPr>
        <w:spacing w:after="0" w:line="40"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and</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 and our reputation may suffer.</w:t>
      </w:r>
    </w:p>
    <w:p>
      <w:pPr>
        <w:spacing w:after="0" w:line="117" w:lineRule="exact"/>
        <w:rPr>
          <w:sz w:val="20"/>
          <w:szCs w:val="20"/>
          <w:color w:val="auto"/>
        </w:rPr>
      </w:pPr>
    </w:p>
    <w:p>
      <w:pPr>
        <w:ind w:right="700" w:firstLine="509"/>
        <w:spacing w:after="0" w:line="266"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tildacerfont and any future product candidates, if approved, and could significantly harm our business, results of operations, and prospects.</w:t>
      </w:r>
    </w:p>
    <w:p>
      <w:pPr>
        <w:spacing w:after="0" w:line="5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we receive regulatory approval for tildacerfont and any future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any product.</w:t>
      </w:r>
    </w:p>
    <w:p>
      <w:pPr>
        <w:spacing w:after="0" w:line="60"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8"/>
          <w:szCs w:val="18"/>
          <w:color w:val="auto"/>
        </w:rPr>
        <w:t>Any regulatory approvals that we receive may be subject to limitations on the approved indicated uses for which the product may be marketed or to the conditions of approval, or contain requirements for potentially costly post-marketing testing, including post-market studies or clinical trials, and surveillance to monitor safety and effectiveness. The FDA may also require us to adopt a REMS to ensure that the benefits of treatment with such product candidate outweigh the risks for each potential patient, which may include, among other things, a communication plan to health care practitioners, patient education, extensive patient monitoring, or distribution systems and processes that are highly controlled, restrictive and more costly than what is typical for the industry. We or our collaborators may also be required to adopt a REMS or engage in similar actions, such as patient education, certification of health care professionals, or specific monitoring, if we or others later identify undesirable side effects caused by any product that we develop alone or with collaborators.</w:t>
      </w:r>
    </w:p>
    <w:p>
      <w:pPr>
        <w:spacing w:after="0" w:line="92" w:lineRule="exact"/>
        <w:rPr>
          <w:sz w:val="20"/>
          <w:szCs w:val="20"/>
          <w:color w:val="auto"/>
        </w:rPr>
      </w:pPr>
    </w:p>
    <w:p>
      <w:pPr>
        <w:ind w:right="140" w:firstLine="509"/>
        <w:spacing w:after="0" w:line="244" w:lineRule="auto"/>
        <w:rPr>
          <w:sz w:val="20"/>
          <w:szCs w:val="20"/>
          <w:color w:val="auto"/>
        </w:rPr>
      </w:pPr>
      <w:r>
        <w:rPr>
          <w:rFonts w:ascii="Times New Roman" w:cs="Times New Roman" w:eastAsia="Times New Roman" w:hAnsi="Times New Roman"/>
          <w:sz w:val="18"/>
          <w:szCs w:val="18"/>
          <w:color w:val="auto"/>
        </w:rPr>
        <w:t>In addition, if the FDA or a comparable foreign regulatory authority approves a product candidate, the manufacturing, quality control, labeling, packaging, distribution, adverse event reporting, storage, advertising, promotion, import, export, and recordkeeping for the approved product will be subject to extensive and ongoing regulatory requirements. The FDA also requires submissions of safety and other post-marketing information and reports, registration, as well as continued compliance with cGMP requirements and GCP for any clinical trials that we conduct post-approval. Later discovery of previously unknown problems with a product candidate, including adverse events of unanticipated severity or frequency, or with our third-party manufacturers or manufacturing processes, or failure to comply with regulatory requirements, may result in, among other things:</w:t>
      </w:r>
    </w:p>
    <w:p>
      <w:pPr>
        <w:spacing w:after="0" w:line="87" w:lineRule="exact"/>
        <w:rPr>
          <w:sz w:val="20"/>
          <w:szCs w:val="20"/>
          <w:color w:val="auto"/>
        </w:rPr>
      </w:pPr>
    </w:p>
    <w:p>
      <w:pPr>
        <w:ind w:left="1780" w:hanging="380"/>
        <w:spacing w:after="0"/>
        <w:tabs>
          <w:tab w:leader="none" w:pos="1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warning letters or untitled letters;</w:t>
      </w:r>
    </w:p>
    <w:p>
      <w:pPr>
        <w:spacing w:after="0" w:line="103" w:lineRule="exact"/>
        <w:rPr>
          <w:rFonts w:ascii="Times New Roman" w:cs="Times New Roman" w:eastAsia="Times New Roman" w:hAnsi="Times New Roman"/>
          <w:sz w:val="18"/>
          <w:szCs w:val="18"/>
          <w:color w:val="auto"/>
        </w:rPr>
      </w:pPr>
    </w:p>
    <w:p>
      <w:pPr>
        <w:ind w:left="1780" w:right="460" w:hanging="380"/>
        <w:spacing w:after="0" w:line="266" w:lineRule="auto"/>
        <w:tabs>
          <w:tab w:leader="none" w:pos="1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 modifications to promotional materials or require us to provide corrective information to healthcare practitioners, or require other restrictions on the labeling or marketing of such products;</w:t>
      </w:r>
    </w:p>
    <w:p>
      <w:pPr>
        <w:spacing w:after="0" w:line="67" w:lineRule="exact"/>
        <w:rPr>
          <w:rFonts w:ascii="Times New Roman" w:cs="Times New Roman" w:eastAsia="Times New Roman" w:hAnsi="Times New Roman"/>
          <w:sz w:val="18"/>
          <w:szCs w:val="18"/>
          <w:color w:val="auto"/>
        </w:rPr>
      </w:pPr>
    </w:p>
    <w:p>
      <w:pPr>
        <w:ind w:left="1780" w:right="500" w:hanging="380"/>
        <w:spacing w:after="0" w:line="266" w:lineRule="auto"/>
        <w:tabs>
          <w:tab w:leader="none" w:pos="1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54"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 injunction or impose civil or criminal penalties or monetary fines;</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left="1780" w:hanging="380"/>
        <w:spacing w:after="0"/>
        <w:tabs>
          <w:tab w:leader="none" w:pos="17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withdraw or modify regulatory approval;</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modify any ongoing clinical trials;</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pending applications or supplements to applications filed by us;</w:t>
      </w:r>
    </w:p>
    <w:p>
      <w:pPr>
        <w:spacing w:after="0" w:line="117"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impose restrictions on operations, including costly new manufacturing requirements; or</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seize or detain products, refuse to permit the import or export of products, or require us to initiate a product recall.</w:t>
      </w:r>
    </w:p>
    <w:p>
      <w:pPr>
        <w:spacing w:after="0" w:line="104"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occurrence of any event or penalty described above may inhibit our ability to commercialize tildacerfont and any future product candidates and generate revenue and could require us to expend significant time and resources in response and could generate negative publicity.</w:t>
      </w:r>
    </w:p>
    <w:p>
      <w:pPr>
        <w:spacing w:after="0" w:line="40"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8"/>
          <w:szCs w:val="18"/>
          <w:color w:val="auto"/>
        </w:rPr>
        <w:t>Advertising and promotion of any product candidate that obtains approval in the United States will be heavily scrutinized by the FDA, the U.S. Federal Trade Commission, the Department of Justice, or the DOJ, the Office of Inspector General of the U.S. Department of Health and Human Services, or HHS, state attorneys general, members of the U.S. Congress, and the public. Additionally, advertising and promotion of any product candidate that obtains approval outside of the United States will be heavily scrutinized by comparable foreign entities and stakeholders. Violations, including actual or alleged promotion of our products for unapproved or off-label uses, are subject to enforcement letters, inquiries, and investigations, and civil and criminal sanctions by the FDA, DOJ, or comparable foreign bodies. Any actual or alleged failure to comply with labeling and promotion requirements may result in fines, warning letters, mandates to corrective information to healthcare practitioners, injunctions, or civil or criminal penalties.</w:t>
      </w:r>
    </w:p>
    <w:p>
      <w:pPr>
        <w:spacing w:after="0" w:line="73" w:lineRule="exact"/>
        <w:rPr>
          <w:sz w:val="20"/>
          <w:szCs w:val="20"/>
          <w:color w:val="auto"/>
        </w:rPr>
      </w:pPr>
    </w:p>
    <w:p>
      <w:pPr>
        <w:ind w:right="60" w:firstLine="509"/>
        <w:spacing w:after="0" w:line="246"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enacted that could prevent, limit or delay regulatory approval for tildacerfont and any future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w:t>
      </w:r>
    </w:p>
    <w:p>
      <w:pPr>
        <w:spacing w:after="0" w:line="83" w:lineRule="exact"/>
        <w:rPr>
          <w:sz w:val="20"/>
          <w:szCs w:val="20"/>
          <w:color w:val="auto"/>
        </w:rPr>
      </w:pPr>
    </w:p>
    <w:p>
      <w:pPr>
        <w:ind w:right="6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Changes in funding for the FDA and other government agencies could hinder their ability to hire and retain key leadership and other personnel, or otherwise prevent new products and services from being developed or commercialized in a timely manner, which could negatively impact our business.</w:t>
      </w:r>
    </w:p>
    <w:p>
      <w:pPr>
        <w:spacing w:after="0" w:line="27"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government agencies that fund research and development activities is subject to the political process, which is inherently fluid and unpredictable.</w:t>
      </w:r>
    </w:p>
    <w:p>
      <w:pPr>
        <w:spacing w:after="0" w:line="83"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drugs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 If a prolonged government shutdown occurs, it could significantly impact the ability of the FDA to timely review and process our regulatory submissions, which could have a material adverse effect on our business.</w:t>
      </w:r>
    </w:p>
    <w:p>
      <w:pPr>
        <w:spacing w:after="0" w:line="73" w:lineRule="exact"/>
        <w:rPr>
          <w:sz w:val="20"/>
          <w:szCs w:val="20"/>
          <w:color w:val="auto"/>
        </w:rPr>
      </w:pPr>
    </w:p>
    <w:p>
      <w:pPr>
        <w:ind w:right="60" w:firstLine="509"/>
        <w:spacing w:after="0" w:line="247" w:lineRule="auto"/>
        <w:rPr>
          <w:sz w:val="20"/>
          <w:szCs w:val="20"/>
          <w:color w:val="auto"/>
        </w:rPr>
      </w:pPr>
      <w:r>
        <w:rPr>
          <w:rFonts w:ascii="Times New Roman" w:cs="Times New Roman" w:eastAsia="Times New Roman" w:hAnsi="Times New Roman"/>
          <w:sz w:val="18"/>
          <w:szCs w:val="18"/>
          <w:color w:val="auto"/>
        </w:rPr>
        <w:t>Separately, in response to the global COVID-19 pandemic, in March 2020 the FDA announced its intention to postpone most foreign inspections of manufacturing facilities. In July 2020, the FDA restarted inspections of domestic and international manufacturing facilities on a risk-based basis. Regulatory authorities outside the United States have adopted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68"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Even if we obtain regulatory approval for tildacerfont and any future product candidates, tildacerfont and any future product candidates may not gain market acceptance among physicians, patients, healthcare payors and others in the medical community.</w:t>
      </w:r>
    </w:p>
    <w:p>
      <w:pPr>
        <w:spacing w:after="0" w:line="63" w:lineRule="exact"/>
        <w:rPr>
          <w:sz w:val="20"/>
          <w:szCs w:val="20"/>
          <w:color w:val="auto"/>
        </w:rPr>
      </w:pPr>
    </w:p>
    <w:p>
      <w:pPr>
        <w:jc w:val="both"/>
        <w:ind w:right="160" w:firstLine="509"/>
        <w:spacing w:after="0" w:line="250" w:lineRule="auto"/>
        <w:rPr>
          <w:sz w:val="20"/>
          <w:szCs w:val="20"/>
          <w:color w:val="auto"/>
        </w:rPr>
      </w:pPr>
      <w:r>
        <w:rPr>
          <w:rFonts w:ascii="Times New Roman" w:cs="Times New Roman" w:eastAsia="Times New Roman" w:hAnsi="Times New Roman"/>
          <w:sz w:val="18"/>
          <w:szCs w:val="18"/>
          <w:color w:val="auto"/>
        </w:rPr>
        <w:t>Tildacerfont and any future product candidates may not be commercially successful. The commercial success of tildacerfont or any future product candidates, if approved, will depend significantly on the broad adoption and use of such product by physicians and patients for approved indications. The degree of market acceptance of tildacerfont or any future products, if approved, will depend on a number of factors, including:</w:t>
      </w:r>
    </w:p>
    <w:p>
      <w:pPr>
        <w:spacing w:after="0" w:line="82" w:lineRule="exact"/>
        <w:rPr>
          <w:sz w:val="20"/>
          <w:szCs w:val="20"/>
          <w:color w:val="auto"/>
        </w:rPr>
      </w:pPr>
    </w:p>
    <w:p>
      <w:pPr>
        <w:ind w:left="5540" w:right="4420" w:hanging="4140"/>
        <w:spacing w:after="0" w:line="516" w:lineRule="auto"/>
        <w:tabs>
          <w:tab w:leader="none" w:pos="178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such product candidate is approved;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left="1780" w:hanging="380"/>
        <w:spacing w:after="0"/>
        <w:tabs>
          <w:tab w:leader="none" w:pos="17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physicians and patients considering the product as a safe and effective treatment;</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the product over alternative treatments;</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117"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of the FDA or other regulatory authorities;</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labeling approved by the FDA or other regulatory authorities;</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the product as well as competitive products;</w:t>
      </w:r>
    </w:p>
    <w:p>
      <w:pPr>
        <w:spacing w:after="0" w:line="117"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adequate reimbursement by third-party payors and government authorities;</w:t>
      </w:r>
    </w:p>
    <w:p>
      <w:pPr>
        <w:spacing w:after="0" w:line="103" w:lineRule="exact"/>
        <w:rPr>
          <w:rFonts w:ascii="Times New Roman" w:cs="Times New Roman" w:eastAsia="Times New Roman" w:hAnsi="Times New Roman"/>
          <w:sz w:val="18"/>
          <w:szCs w:val="18"/>
          <w:color w:val="auto"/>
        </w:rPr>
      </w:pPr>
    </w:p>
    <w:p>
      <w:pPr>
        <w:ind w:left="1780" w:right="140" w:hanging="380"/>
        <w:spacing w:after="0" w:line="282" w:lineRule="auto"/>
        <w:tabs>
          <w:tab w:leader="none" w:pos="17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out-of-pocket in the absence of coverage and adequate reimbursement by third-party payors and government authorities;</w:t>
      </w:r>
    </w:p>
    <w:p>
      <w:pPr>
        <w:spacing w:after="0" w:line="40"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 including as compared to alternative treatments and competitive therapies; and</w:t>
      </w:r>
    </w:p>
    <w:p>
      <w:pPr>
        <w:spacing w:after="0" w:line="103" w:lineRule="exact"/>
        <w:rPr>
          <w:rFonts w:ascii="Times New Roman" w:cs="Times New Roman" w:eastAsia="Times New Roman" w:hAnsi="Times New Roman"/>
          <w:sz w:val="18"/>
          <w:szCs w:val="18"/>
          <w:color w:val="auto"/>
        </w:rPr>
      </w:pPr>
    </w:p>
    <w:p>
      <w:pPr>
        <w:ind w:left="1780" w:hanging="380"/>
        <w:spacing w:after="0" w:line="266" w:lineRule="auto"/>
        <w:tabs>
          <w:tab w:leader="none" w:pos="17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efforts and those of any collaboration or distribution partner on whom we rely for sales in foreign jurisdictions.</w:t>
      </w:r>
    </w:p>
    <w:p>
      <w:pPr>
        <w:spacing w:after="0" w:line="68"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If tildacerfont and any future product candidate is approved but fails to achieve market acceptance among physicians, patients, healthcare payors or others in the medical community, we will not be able to generate significant revenues, which would have a material adverse effect on our business, prospects, financial condition, and results of operations. In addition, even if tildacerfont and any future product candidate gains acceptance, the markets for the treatment of patients with our target indications may not be as significant as we estimate.</w:t>
      </w:r>
    </w:p>
    <w:p>
      <w:pPr>
        <w:spacing w:after="0" w:line="65"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If tildacerfont and any future product candidate is approved for marketing, and we are found to have improperly promoted off-label uses, or if physicians prescribe or use tildacerfont and any future product candidates off-label, we may become subject to prohibitions on the sale or marketing of tildacerfont and any future product candidates, significant fines, penalties, sanctions, or product liability claims, and our image and reputation within the industry and marketplace could be harmed.</w:t>
      </w:r>
    </w:p>
    <w:p>
      <w:pPr>
        <w:spacing w:after="0" w:line="66" w:lineRule="exact"/>
        <w:rPr>
          <w:sz w:val="20"/>
          <w:szCs w:val="20"/>
          <w:color w:val="auto"/>
        </w:rPr>
      </w:pPr>
    </w:p>
    <w:p>
      <w:pPr>
        <w:ind w:right="40" w:firstLine="509"/>
        <w:spacing w:after="0" w:line="242" w:lineRule="auto"/>
        <w:rPr>
          <w:sz w:val="20"/>
          <w:szCs w:val="20"/>
          <w:color w:val="auto"/>
        </w:rPr>
      </w:pPr>
      <w:r>
        <w:rPr>
          <w:rFonts w:ascii="Times New Roman" w:cs="Times New Roman" w:eastAsia="Times New Roman" w:hAnsi="Times New Roman"/>
          <w:sz w:val="18"/>
          <w:szCs w:val="18"/>
          <w:color w:val="auto"/>
        </w:rPr>
        <w:t>The FDA, DOJ, and comparable foreign authorities strictly regulate the marketing and promotional claims that are made about pharmaceutical products, such as tildacerfont, if approved. In particular, a product may not be promoted for uses or indications that are not approved by the FDA or comparable foreign authorities as reflected in the product’s approved labeling. However, if we receive marketing approval for tildacerfont and any future product candidates, physicians can prescribe such product to their patients in a manner that is inconsistent with the approved label based on the physician’s independent medical judgement. If we are found to have promoted such off-label uses, we may receive warning letters from the FDA and comparable foreign authorities and become subject to significant liability, which would materially harm our business. The federal government has levied large civil and criminal fines against companies for alleged improper promotion and has enjoined several companies from engaging in off-label promotion. If we become the target of such an investigation or prosecution based on our marketing and promotional practices, we could face similar sanctions, which would materially harm our business. In addition, management’s attention could be diverted from our business operations, significant legal expenses could be incurred, and our reputation could be damaged. The FDA and other governmental authorities have also required that companies enter into consent decrees or permanent injunctions under which specified promotional conduct is changed or curtailed in order to resolve enforcement actions. If we are deemed by the FDA, DOJ, or other governmental authorities to have engaged in the promotion of tildacerfont or any future product candidate for off-label use, we could be subject to certain prohibitions or other restrictions on the sale or marketing and other operations or significant fines and penalties, and the imposition of these sanctions could also affect our reputation and position within the industry.</w:t>
      </w:r>
    </w:p>
    <w:p>
      <w:pPr>
        <w:spacing w:after="0" w:line="85" w:lineRule="exact"/>
        <w:rPr>
          <w:sz w:val="20"/>
          <w:szCs w:val="20"/>
          <w:color w:val="auto"/>
        </w:rPr>
      </w:pPr>
    </w:p>
    <w:p>
      <w:pPr>
        <w:ind w:right="4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Coverage and reimbursement may be limited or unavailable in certain market segments for tildacerfont and any future product candidates, which could make it difficult for us to sell tildacerfont and any future product candidates profitably.</w:t>
      </w:r>
    </w:p>
    <w:p>
      <w:pPr>
        <w:spacing w:after="0" w:line="50" w:lineRule="exact"/>
        <w:rPr>
          <w:sz w:val="20"/>
          <w:szCs w:val="20"/>
          <w:color w:val="auto"/>
        </w:rPr>
      </w:pPr>
    </w:p>
    <w:p>
      <w:pPr>
        <w:ind w:right="40" w:firstLine="509"/>
        <w:spacing w:after="0" w:line="247" w:lineRule="auto"/>
        <w:rPr>
          <w:sz w:val="20"/>
          <w:szCs w:val="20"/>
          <w:color w:val="auto"/>
        </w:rPr>
      </w:pPr>
      <w:r>
        <w:rPr>
          <w:rFonts w:ascii="Times New Roman" w:cs="Times New Roman" w:eastAsia="Times New Roman" w:hAnsi="Times New Roman"/>
          <w:sz w:val="18"/>
          <w:szCs w:val="18"/>
          <w:color w:val="auto"/>
        </w:rPr>
        <w:t>Successful sales of tildacerfont and any future product candidates, if approved, depend on the availability of coverage and adequate reimbursement from third-party payors. Patients who are prescribed medicine for the treatment of their conditions generally rely on third-party payors to reimburse all or part of the costs associated with their prescription drugs. Coverage and adequate reimbursement from governmental healthcare programs, such as Medicare and Medicaid, and commercial payors is critical to new product acceptance, and we may not obtain such coverage or adequate reimbursement. Moreover, we focus our clinical development of tildacerfont on treatments for rare endocrine disorders with relatively small patient populations. As a result, we must rely on obtaining appropriate coverage and reimbursement for these populations.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Government authorities and third-party payors, such as private health insurers and health maintenance organizations, decide which drugs they will cover and the amount of reimbursement they will provide. Reimbursement by a third-party payor may depend upon a number of factors, including, but not limited to, the third-party payor’s determination that use of a product is:</w:t>
      </w:r>
    </w:p>
    <w:p>
      <w:pPr>
        <w:spacing w:after="0" w:line="82" w:lineRule="exact"/>
        <w:rPr>
          <w:sz w:val="20"/>
          <w:szCs w:val="20"/>
          <w:color w:val="auto"/>
        </w:rPr>
      </w:pPr>
    </w:p>
    <w:p>
      <w:pPr>
        <w:ind w:left="1780" w:hanging="380"/>
        <w:spacing w:after="0"/>
        <w:tabs>
          <w:tab w:leader="none" w:pos="17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17"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104"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Obtaining coverage and reimbursement approval for a product from a government or other third-party payor is a time-consuming and costly process that could require us to provide to the payor supporting scientific, clinical and cost-effectiveness data for the use of our products. We may not be able to provide data sufficient to obtain coverage and adequate reimbursement. Assuming we obtain coverage for a given product, the resulting reimbursement payment rates might not be adequate or may require co-payments that patients find unacceptably high. Patients are unlikely to use tildacerfont or any future product candidate unless coverage is provided and reimbursement is adequate to cover a significant portion of the cost. Additionally, the reimbursement rates and coverage amounts may be affected by the approved label for tildacerfont or any future product candidate. If coverage and reimbursement of our future products are unavailable or limited in scope or amount, or if pricing is set at unsatisfactory levels, we may be unable to achieve or sustain profitability.</w:t>
      </w:r>
    </w:p>
    <w:p>
      <w:pPr>
        <w:spacing w:after="0" w:line="92"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color w:val="auto"/>
        </w:rPr>
        <w:t>In addition, the market for tildacerfont and any future product candidates will depend significantly on access to third-party payors’ drug formularies or lists of medications for which third-party payors provide coverage and reimbursement. The industry competition to be included in such formularies often leads to downward pricing pressures on pharmaceutical companies. Also, third-party payors may refuse to include a particular branded drug in their formularies or otherwise restrict patient access through formulary controls or otherwise to a branded drug when a less costly generic equivalent or other alternative is available.</w:t>
      </w:r>
    </w:p>
    <w:p>
      <w:pPr>
        <w:spacing w:after="0" w:line="73" w:lineRule="exact"/>
        <w:rPr>
          <w:sz w:val="20"/>
          <w:szCs w:val="20"/>
          <w:color w:val="auto"/>
        </w:rPr>
      </w:pPr>
    </w:p>
    <w:p>
      <w:pPr>
        <w:ind w:right="40" w:firstLine="509"/>
        <w:spacing w:after="0" w:line="245" w:lineRule="auto"/>
        <w:rPr>
          <w:sz w:val="20"/>
          <w:szCs w:val="20"/>
          <w:color w:val="auto"/>
        </w:rPr>
      </w:pPr>
      <w:r>
        <w:rPr>
          <w:rFonts w:ascii="Times New Roman" w:cs="Times New Roman" w:eastAsia="Times New Roman" w:hAnsi="Times New Roman"/>
          <w:sz w:val="18"/>
          <w:szCs w:val="18"/>
          <w:color w:val="auto"/>
        </w:rPr>
        <w:t>In the United States, no uniform policy of coverage and reimbursement for drug products exists among third-party payors. Third-party payors often rely upon Medicare coverage policy and payment limitations in setting their own reimbursement rates, but also have their own methods and approval process apart from Medicare determinations. Therefore, coverage and reimbursement for drug products can differ significantly from payor to payor. As a result, the coverage determination process is often a time-consuming and costly process that will require us to provide scientific and clinical support for the use of tildacerfont and any future product candidates to each payor separately, with no assurance that coverage and adequate reimbursement will be obtained. Further, coverage policies and third-party reimbursement rates may change at any time. Therefore, even if favorable coverage and reimbursement status is attained, less favorable coverage policies and reimbursement rates may be implemented in the future.</w:t>
      </w:r>
    </w:p>
    <w:p>
      <w:pPr>
        <w:spacing w:after="0" w:line="73" w:lineRule="exact"/>
        <w:rPr>
          <w:sz w:val="20"/>
          <w:szCs w:val="20"/>
          <w:color w:val="auto"/>
        </w:rPr>
      </w:pPr>
    </w:p>
    <w:p>
      <w:pPr>
        <w:ind w:right="20" w:firstLine="509"/>
        <w:spacing w:after="0" w:line="247" w:lineRule="auto"/>
        <w:rPr>
          <w:sz w:val="20"/>
          <w:szCs w:val="20"/>
          <w:color w:val="auto"/>
        </w:rPr>
      </w:pPr>
      <w:r>
        <w:rPr>
          <w:rFonts w:ascii="Times New Roman" w:cs="Times New Roman" w:eastAsia="Times New Roman" w:hAnsi="Times New Roman"/>
          <w:sz w:val="18"/>
          <w:szCs w:val="18"/>
          <w:color w:val="auto"/>
        </w:rPr>
        <w:t>We intend to seek approval to market tildacerfont in the United States and in selected foreign jurisdictions. If we obtain approval in one or more foreign jurisdictions for tildacerfont, we will be subject to rules and regulations in those jurisdictions. In some foreign countries, particularly those in the EU, the pricing of prescription pharmaceuticals and biologics is subject to governmental control. In these countries, pricing negotiations with governmental authorities can take considerable time after obtaining marketing approval for a drug candidate. In addition, market acceptance and sales of a product will depend significantly on the availability of coverage and adequate reimbursement from third-party payors for a product and may be affected by existing and future health care reform measures.</w:t>
      </w:r>
    </w:p>
    <w:p>
      <w:pPr>
        <w:spacing w:after="0" w:line="68"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Recently enacted legislation, future legislation and healthcare reform measures may increase the difficulty and cost for us to obtain marketing approval for and commercialize tildacerfont and any future product candidates and may affect the prices we may set.*</w:t>
      </w:r>
    </w:p>
    <w:p>
      <w:pPr>
        <w:spacing w:after="0" w:line="37"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and we expect there will continue to be, a number of legislative and regulatory changes to the healthcare system, including cost-containment measures that may reduce or limit coverage and reimbursement for newly approved drugs and affect our ability to profitably sell any product candidates for which we obtain marketing approval. In particular, there have been and continue to be a number of initiatives at the U.S. federal and state levels that seek to reduce healthcare costs and improve the quality of healthcare.</w:t>
      </w:r>
    </w:p>
    <w:p>
      <w:pPr>
        <w:spacing w:after="0" w:line="69" w:lineRule="exact"/>
        <w:rPr>
          <w:sz w:val="20"/>
          <w:szCs w:val="20"/>
          <w:color w:val="auto"/>
        </w:rPr>
      </w:pPr>
    </w:p>
    <w:p>
      <w:pPr>
        <w:ind w:right="120" w:firstLine="509"/>
        <w:spacing w:after="0" w:line="247" w:lineRule="auto"/>
        <w:rPr>
          <w:sz w:val="20"/>
          <w:szCs w:val="20"/>
          <w:color w:val="auto"/>
        </w:rPr>
      </w:pPr>
      <w:r>
        <w:rPr>
          <w:rFonts w:ascii="Times New Roman" w:cs="Times New Roman" w:eastAsia="Times New Roman" w:hAnsi="Times New Roman"/>
          <w:sz w:val="18"/>
          <w:szCs w:val="18"/>
          <w:color w:val="auto"/>
        </w:rPr>
        <w:t>For example, in March 2010, the Patient Protection and Affordable Care Act, as amended by the Health Care and Education Reconciliation Act, or collectively, the Affordable Care Act, was enacted in the United States. Among the provisions of the Affordable Care Act of importance to our potential product candidates are that it established an annual, nondeductible fee on any entity that manufactures or imports specified branded prescription drugs and biologic agents; expands eligibility criteria for Medicaid programs; increased the statutory minimum rebates a manufacturer must pay under the Medicaid Drug Rebate Program; created a new Medicare Part D coverage gap discount program; established a new Patient-Centered Outcomes Research Institute to oversee, identify priorities in and conduct comparative clinical effectiveness research, along with funding for such research; and established a Center</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for Medicare and Medicaid Innovation at the Centers for Medicare &amp; Medicaid Services, or CMS, to test innovative payment and service delivery models to lower Medicare and Medicaid spending.</w:t>
      </w:r>
    </w:p>
    <w:p>
      <w:pPr>
        <w:spacing w:after="0" w:line="54"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There have been executive, judicial and Congressional challenges to certain aspects of the Affordable Care Act. By way of example, legislation enacted in 2017, informally titled the Tax Cuts and Jobs Act, or the Tax Act, included a provision which repealed, effective January 1, 2019, the tax-based shared responsibility payment imposed by the Affordable Care Act on certain individuals who fail to maintain qualifying health coverage for all or part of a year that is commonly referred to as the “individual mandate.” For example, on June 17, 2021, the United States Supreme Court dismissed a challenge on procedural grounds that argued the Affordable Care Act is unconstitutional in its entirety because the "individual mandate" was repealed by Congress. Thus, the Affordable Care Act will remain in effect in its current form. Moreover, prior to the United Supreme Court ruling, on January 28, 2021, President Biden issued an executive order that initiated a special enrollment period for purposes of obtaining health insurance coverage through the Affordable Care Act marketplace, which began on February 15, 2021 and remained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Affordable Care Act. It is possible that the Affordable Care Act will be subject to judicial or Congressional challenges in the future. It is unclear how any such challenges and the healthcare reform measures of the Biden administration will impact the Affordable Care Act and our business.</w:t>
      </w:r>
    </w:p>
    <w:p>
      <w:pPr>
        <w:spacing w:after="0" w:line="81" w:lineRule="exact"/>
        <w:rPr>
          <w:sz w:val="20"/>
          <w:szCs w:val="20"/>
          <w:color w:val="auto"/>
        </w:rPr>
      </w:pPr>
    </w:p>
    <w:p>
      <w:pPr>
        <w:jc w:val="both"/>
        <w:ind w:right="180" w:firstLine="509"/>
        <w:spacing w:after="0" w:line="262" w:lineRule="auto"/>
        <w:rPr>
          <w:sz w:val="20"/>
          <w:szCs w:val="20"/>
          <w:color w:val="auto"/>
        </w:rPr>
      </w:pPr>
      <w:r>
        <w:rPr>
          <w:rFonts w:ascii="Times New Roman" w:cs="Times New Roman" w:eastAsia="Times New Roman" w:hAnsi="Times New Roman"/>
          <w:sz w:val="17"/>
          <w:szCs w:val="17"/>
          <w:color w:val="auto"/>
        </w:rPr>
        <w:t>In addition, other legislative changes have been proposed and adopted since the Affordable Care Act was enacted. On August 2, 2011, the Budget Control Act of 2011 was signed into law, which, among other things, included reductions to Medicare payments to providers of 2% per fiscal year, which went into effect on April 1, 2013 and, due to subsequent legislative amendments to the statute, will remain in effect through 2031, with the exception of a temporary suspension from May 1, 2020 through March 31, 2022 due to COVID-19 relief legislation, unless additional Congressional action is taken.</w:t>
      </w:r>
    </w:p>
    <w:p>
      <w:pPr>
        <w:spacing w:after="0" w:line="2"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8"/>
          <w:szCs w:val="18"/>
          <w:color w:val="auto"/>
        </w:rPr>
        <w:t>Under current legislation, the actual reduction in Medicare payments will vary from 1% in 2022 to up to 3% in the final fiscal year of this sequester. In addition,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 Further, Congress is considering additional health reform measures.</w:t>
      </w:r>
    </w:p>
    <w:p>
      <w:pPr>
        <w:spacing w:after="0" w:line="75"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Further, there has been heightened governmental scrutiny in the United States of pharmaceutical pricing practices in light of the rising cost of prescription drugs. Such scrutiny has resulted in several recent Presidential executive orders,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w:t>
      </w:r>
    </w:p>
    <w:p>
      <w:pPr>
        <w:spacing w:after="0" w:line="69"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At the federal level, the previous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drug pricing that attempted to implement several of the Trump administration’s proposals. As a result, the FDA concurrently released a final rule and guidance in September 2020 providing pathways for states to build and submit importation plans for drugs from Canada. Further, on November 20, 2020, HHS finalized a regulation removing safe harbor protection for price reductions from pharmaceutical manufacturers to plan sponsors under Medicare Part D, either directly or through pharmacy benefit managers, unless the price reduction is required by law. The rule also creates a new safe harbor for price reductions reflected at the point-of-sale, as well as a new safe harbor for certain fixed fee arrangements between pharmacy benefit managers and manufacturers. The implementation of the rule has been delayed until January 1, 2026. On November 20, 2020, CMS issued an interim final rule implementing the Trump administration’s Most Favored Nation, or MFN, executive order, which would tie Medicare Part B payments for certain physician-administered drugs to the lowest price paid in other economically advanced countries, effective January 1, 2021. As a result of litigation challenging the MFN model, on December 27, 2021, CMS published a final rule that rescinds the MFN Model interim final rule. In July 2021, the Biden administration released an executive order, “Promoting Competition in the American Economy,” with multiple provisions aimed at prescription drugs. In response to Biden’s executive order, on September 9, 2021,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No legislation or administrative actions have been finalized to implement these principles.</w:t>
      </w:r>
    </w:p>
    <w:p>
      <w:pPr>
        <w:spacing w:after="0" w:line="82" w:lineRule="exact"/>
        <w:rPr>
          <w:sz w:val="20"/>
          <w:szCs w:val="20"/>
          <w:color w:val="auto"/>
        </w:rPr>
      </w:pPr>
    </w:p>
    <w:p>
      <w:pPr>
        <w:jc w:val="both"/>
        <w:ind w:right="240" w:firstLine="509"/>
        <w:spacing w:after="0" w:line="247" w:lineRule="auto"/>
        <w:rPr>
          <w:sz w:val="20"/>
          <w:szCs w:val="20"/>
          <w:color w:val="auto"/>
        </w:rPr>
      </w:pPr>
      <w:r>
        <w:rPr>
          <w:rFonts w:ascii="Times New Roman" w:cs="Times New Roman" w:eastAsia="Times New Roman" w:hAnsi="Times New Roman"/>
          <w:sz w:val="18"/>
          <w:szCs w:val="18"/>
          <w:color w:val="auto"/>
        </w:rPr>
        <w:t>At the state level, individual states in the United States have also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ind w:right="180"/>
        <w:spacing w:after="0"/>
        <w:rPr>
          <w:sz w:val="20"/>
          <w:szCs w:val="20"/>
          <w:color w:val="auto"/>
        </w:rPr>
      </w:pPr>
      <w:r>
        <w:rPr>
          <w:rFonts w:ascii="Times New Roman" w:cs="Times New Roman" w:eastAsia="Times New Roman" w:hAnsi="Times New Roman"/>
          <w:sz w:val="18"/>
          <w:szCs w:val="18"/>
          <w:color w:val="auto"/>
        </w:rPr>
        <w:t>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and which suppliers will be included in their prescription drug and other healthcare programs. This could reduce the ultimate demand for tildacerfont, if approved, or put pressure on our product pricing, which could negatively affect our business, results of operations, financial condition, and prospects.</w:t>
      </w:r>
    </w:p>
    <w:p>
      <w:pPr>
        <w:spacing w:after="0" w:line="54" w:lineRule="exact"/>
        <w:rPr>
          <w:sz w:val="20"/>
          <w:szCs w:val="20"/>
          <w:color w:val="auto"/>
        </w:rPr>
      </w:pPr>
    </w:p>
    <w:p>
      <w:pPr>
        <w:ind w:right="260" w:firstLine="509"/>
        <w:spacing w:after="0" w:line="247" w:lineRule="auto"/>
        <w:rPr>
          <w:sz w:val="20"/>
          <w:szCs w:val="20"/>
          <w:color w:val="auto"/>
        </w:rPr>
      </w:pPr>
      <w:r>
        <w:rPr>
          <w:rFonts w:ascii="Times New Roman" w:cs="Times New Roman" w:eastAsia="Times New Roman" w:hAnsi="Times New Roman"/>
          <w:sz w:val="18"/>
          <w:szCs w:val="18"/>
          <w:color w:val="auto"/>
        </w:rPr>
        <w:t>We expect that the Affordable Care Act, these new laws, and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In addition, it is possible that additional governmental action will be taken in response to the COVID-19 pandemic. Any reduction in reimbursement from Medicare or other government programs may result in a similar reduction in payments from third-party payors. The implementation of cost containment measures or other healthcare reforms may prevent us from being able to generate revenue, attain profitability or commercialize tildacerfont, if approved.</w:t>
      </w:r>
    </w:p>
    <w:p>
      <w:pPr>
        <w:spacing w:after="0" w:line="68"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variety of risks associated with marketing tildacerfont and any future product candidates internationally could materially adversely affect our business.</w:t>
      </w:r>
    </w:p>
    <w:p>
      <w:pPr>
        <w:spacing w:after="0" w:line="37"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We plan to seek regulatory approval for tildacerfont and any future product candidates internationally and, accordingly, we expect that we will be subject to additional risks related to operating in foreign countries if we obtain the necessary approvals, including:</w:t>
      </w:r>
    </w:p>
    <w:p>
      <w:pPr>
        <w:spacing w:after="0" w:line="54" w:lineRule="exact"/>
        <w:rPr>
          <w:sz w:val="20"/>
          <w:szCs w:val="20"/>
          <w:color w:val="auto"/>
        </w:rPr>
      </w:pPr>
    </w:p>
    <w:p>
      <w:pPr>
        <w:ind w:left="1780" w:hanging="380"/>
        <w:spacing w:after="0"/>
        <w:tabs>
          <w:tab w:leader="none" w:pos="17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regulatory requirements in foreign countries, including differing reimbursement, pricing and insurance regimes;</w:t>
      </w:r>
    </w:p>
    <w:p>
      <w:pPr>
        <w:spacing w:after="0" w:line="117" w:lineRule="exact"/>
        <w:rPr>
          <w:rFonts w:ascii="Times New Roman" w:cs="Times New Roman" w:eastAsia="Times New Roman" w:hAnsi="Times New Roman"/>
          <w:sz w:val="18"/>
          <w:szCs w:val="18"/>
          <w:color w:val="auto"/>
        </w:rPr>
      </w:pPr>
    </w:p>
    <w:p>
      <w:pPr>
        <w:ind w:left="1780" w:hanging="380"/>
        <w:spacing w:after="0" w:line="266" w:lineRule="auto"/>
        <w:tabs>
          <w:tab w:leader="none" w:pos="17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so-called parallel importing, which is what happens when a local seller, faced with high or higher local prices, opts to import goods from a foreign market (with low or lower prices) rather than buying them locally;</w:t>
      </w:r>
    </w:p>
    <w:p>
      <w:pPr>
        <w:spacing w:after="0" w:line="54"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price and exchange controls, and other regulatory requirements;</w:t>
      </w:r>
    </w:p>
    <w:p>
      <w:pPr>
        <w:spacing w:after="0" w:line="117"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internationally;</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w:t>
      </w:r>
    </w:p>
    <w:p>
      <w:pPr>
        <w:spacing w:after="0" w:line="117" w:lineRule="exact"/>
        <w:rPr>
          <w:rFonts w:ascii="Times New Roman" w:cs="Times New Roman" w:eastAsia="Times New Roman" w:hAnsi="Times New Roman"/>
          <w:sz w:val="18"/>
          <w:szCs w:val="18"/>
          <w:color w:val="auto"/>
        </w:rPr>
      </w:pPr>
    </w:p>
    <w:p>
      <w:pPr>
        <w:ind w:left="1780" w:right="420" w:hanging="380"/>
        <w:spacing w:after="0" w:line="266" w:lineRule="auto"/>
        <w:tabs>
          <w:tab w:leader="none" w:pos="17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revenues, and other obligations incident to doing business in another country;</w:t>
      </w:r>
    </w:p>
    <w:p>
      <w:pPr>
        <w:spacing w:after="0" w:line="54"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staffing and managing foreign operations;</w:t>
      </w:r>
    </w:p>
    <w:p>
      <w:pPr>
        <w:spacing w:after="0" w:line="117"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under the U.S. Foreign Corrupt Practices Act of 1977, or FCPA, or comparable foreign regulations;</w:t>
      </w:r>
    </w:p>
    <w:p>
      <w:pPr>
        <w:spacing w:after="0" w:line="103" w:lineRule="exact"/>
        <w:rPr>
          <w:rFonts w:ascii="Times New Roman" w:cs="Times New Roman" w:eastAsia="Times New Roman" w:hAnsi="Times New Roman"/>
          <w:sz w:val="18"/>
          <w:szCs w:val="18"/>
          <w:color w:val="auto"/>
        </w:rPr>
      </w:pPr>
    </w:p>
    <w:p>
      <w:pPr>
        <w:ind w:left="1780" w:right="220" w:hanging="380"/>
        <w:spacing w:after="0" w:line="282" w:lineRule="auto"/>
        <w:tabs>
          <w:tab w:leader="none" w:pos="17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40"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internationally; and</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w:t>
      </w:r>
    </w:p>
    <w:p>
      <w:pPr>
        <w:spacing w:after="0" w:line="104"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These and other risks associated with our international operations may materially adversely affect our ability to attain or maintain profitable operations.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develop and commercialize additional product candidates, we may be unable to grow our business.</w:t>
      </w:r>
    </w:p>
    <w:p>
      <w:pPr>
        <w:spacing w:after="0" w:line="108" w:lineRule="exact"/>
        <w:rPr>
          <w:sz w:val="20"/>
          <w:szCs w:val="20"/>
          <w:color w:val="auto"/>
        </w:rPr>
      </w:pPr>
    </w:p>
    <w:p>
      <w:pPr>
        <w:ind w:right="120" w:firstLine="509"/>
        <w:spacing w:after="0" w:line="244" w:lineRule="auto"/>
        <w:rPr>
          <w:sz w:val="20"/>
          <w:szCs w:val="20"/>
          <w:color w:val="auto"/>
        </w:rPr>
      </w:pPr>
      <w:r>
        <w:rPr>
          <w:rFonts w:ascii="Times New Roman" w:cs="Times New Roman" w:eastAsia="Times New Roman" w:hAnsi="Times New Roman"/>
          <w:sz w:val="18"/>
          <w:szCs w:val="18"/>
          <w:color w:val="auto"/>
        </w:rPr>
        <w:t>We may seek to in-license or acquire development-stage product candidates in endocrine disorders that have the potential to complement our existing portfolio. If we decide to pursue the development and commercialization of any additional product candidates, we may be required to invest significant resources to acquire or in-license the rights to such product candidates or to conduct drug discovery activities. We do not currently have the necessary drug discovery personnel or expertise adequate to discover and develop an additional product candidate on our own. Any other product candidates will require additional, time-consuming development efforts, and significant financial resources, prior to commercial sale, including preclinical studies, extensive clinical trials, and approval by the FDA and applicable foreign regulatory authorities. All product candidates are prone to the risks of failure that are inherent in pharmaceutical product development, including the possibility that the product candidate will not be shown to be sufficiently safe and/or effective for approval by regulatory authorities. In addition, we may not be able to acquire, discover, or develop any additional product candidates, and any additional product candidates we may develop may not be approved,</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manufactured, or produced economically, successfully commercialized or widely accepted in the marketplace, or be more effective than other commercially available alternatives. Research programs to identify new product candidates require substantial technical, financial, and human resources whether or not we ultimately identify any candidates. If we are unable to develop or commercialize any other product candidates, our business and prospects will suffer.</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develop tildacerfont for additional indications, our commercial opportunity may be limited.</w:t>
      </w:r>
    </w:p>
    <w:p>
      <w:pPr>
        <w:spacing w:after="0" w:line="108" w:lineRule="exact"/>
        <w:rPr>
          <w:sz w:val="20"/>
          <w:szCs w:val="20"/>
          <w:color w:val="auto"/>
        </w:rPr>
      </w:pPr>
    </w:p>
    <w:p>
      <w:pPr>
        <w:ind w:right="80" w:firstLine="509"/>
        <w:spacing w:after="0" w:line="243" w:lineRule="auto"/>
        <w:rPr>
          <w:sz w:val="20"/>
          <w:szCs w:val="20"/>
          <w:color w:val="auto"/>
        </w:rPr>
      </w:pPr>
      <w:r>
        <w:rPr>
          <w:rFonts w:ascii="Times New Roman" w:cs="Times New Roman" w:eastAsia="Times New Roman" w:hAnsi="Times New Roman"/>
          <w:sz w:val="18"/>
          <w:szCs w:val="18"/>
          <w:color w:val="auto"/>
        </w:rPr>
        <w:t>One of our strategies is to pursue clinical development of tildacerfont in additional endocrine disorders, including, but not limited to, pediatric classic CAH and a subpopulation of females with PCOS. The endocrine disorders we are targeting are all rare disorders and, as a result, the market size for the treatment of patients with such disorders is limited. In addition, CRF1 receptor antagonism may not be an appropriate or effective mechanism in indications where disease biology supports a need to reduce ACTH. Due to these factors, our ability to grow revenue may be dependent on our ability to successfully develop and commercialize tildacerfont for the treatment of additional indications. Developing, obtaining regulatory approval and commercializing tildacerfont for additional indications will require substantial additional funding and is prone to the risks of failure inherent in drug development. We may not be able to successfully advance any of these indications through the development process. Even if we receive regulatory approval to market tildacerfont for the treatment of any of these additional indications, any such additional indications may not be successfully commercialized, widely accepted in the marketplace, or more effective than other commercially available alternatives. If we are unable to successfully develop and commercialize tildacerfont for these additional indications, our commercial opportunity may be limited.</w:t>
      </w:r>
    </w:p>
    <w:p>
      <w:pPr>
        <w:spacing w:after="0" w:line="74" w:lineRule="exact"/>
        <w:rPr>
          <w:sz w:val="20"/>
          <w:szCs w:val="20"/>
          <w:color w:val="auto"/>
        </w:rPr>
      </w:pPr>
    </w:p>
    <w:p>
      <w:pPr>
        <w:ind w:right="3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63"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The biopharmaceutical industry is characterized by intense competition and rapid innovation. Although we believe that we hold a leading position in our focus on rare endocrine disorders, our competitors may be able to develop other compounds or drugs that are able to achieve similar or better results. Our potential competitors include major multinational pharmaceutical companies, established biotechnology companies, specialty pharmaceutical companies and universities and other research institutions. Many of our competitors have substantially greater financial, technical and other resources, such as larger research and development staff and experienced marketing and manufacturing organizations and well-established sales forces. Smaller or early-stage companies may also prove to be significant competitors, particularly through collaborative arrangements with large, established companies.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may succeed in developing, acquiring or licensing on an exclusive basis drug products that are more effective or less costly than tildacerfont. We believe the key competitive factors that will affect the development and commercial success of tildacerfont are efficacy, safety and tolerability profile, reliability, convenience of dosing, price and reimbursement.</w:t>
      </w:r>
    </w:p>
    <w:p>
      <w:pPr>
        <w:spacing w:after="0" w:line="80" w:lineRule="exact"/>
        <w:rPr>
          <w:sz w:val="20"/>
          <w:szCs w:val="20"/>
          <w:color w:val="auto"/>
        </w:rPr>
      </w:pPr>
    </w:p>
    <w:p>
      <w:pPr>
        <w:ind w:right="40" w:firstLine="509"/>
        <w:spacing w:after="0" w:line="245" w:lineRule="auto"/>
        <w:rPr>
          <w:sz w:val="20"/>
          <w:szCs w:val="20"/>
          <w:color w:val="auto"/>
        </w:rPr>
      </w:pPr>
      <w:r>
        <w:rPr>
          <w:rFonts w:ascii="Times New Roman" w:cs="Times New Roman" w:eastAsia="Times New Roman" w:hAnsi="Times New Roman"/>
          <w:sz w:val="18"/>
          <w:szCs w:val="18"/>
          <w:color w:val="auto"/>
        </w:rPr>
        <w:t>Although classic CAH is part of the newborn screening program in most developed countries, there are no known novel therapies that have been approved in approximately 50 years. We are aware of other companies actively developing treatments for patients with classic CAH. Neurocrine Biosciences, Inc., or Neurocrine, is developing a CRF1 receptor antagonist and has completed a two-week Phase 2 clinical trial in adults with classic CAH. Neurocrine initiated a Phase 2 clinical trial in a pediatric classic CAH population and registrational trials for adult and pediatric patients with classic CAH. BridgeBio Pharma, Inc. is evaluating an AAV5 gene therapy product candidate to treat classic CAH in a Phase 1/2 proof of concept clinical trial. In addition, Crinetics Pharmaceuticals, Inc. initiated a Phase 1 clinical trial to evaluate the ability of an oral ACTH antagonist to suppress ACTH-stimulated secretion in healthy volunteers and reported preliminary findings from the single ascending dose portion of the study.</w:t>
      </w:r>
    </w:p>
    <w:p>
      <w:pPr>
        <w:spacing w:after="0" w:line="73"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8"/>
          <w:szCs w:val="18"/>
          <w:color w:val="auto"/>
        </w:rPr>
        <w:t>In addition, while tildacerfont ultimately seeks to significantly reduce steroid use for patients with classic CAH, patients will continue use of their steroid regimen. As corticosteroids are the current standard of care for the treatment of classic CAH, in the United States alone, there are more than two dozen companies manufacturing steroid-based products. One such company is Diurnal Group PLC, or Diurnal, which is developing an exogenous cortisol treatment with a modified release intended to more closely match the physiological release profile of cortisol but announced a failed Phase 3 clinical trial in 2018. Diurnal submitted a MAA to the EMA in December of 2019. In March 2021, the EMA announced a positive opinion from the Committee for Medicinal Products for Human Use, or CHMP, on granting marketing approval for its exogenous cortisol treatment with a modified release for the treatment of adults and adolescents aged 12 and over with CAH. Diurnal announced that it has launched in the EU. Diurnal also announced that the FDA agreed to a special protocol assessment for a Phase 3 trial of its exogenous cortisol treatment with a modified release for the treatments of patients aged 16 and over with CAH.</w:t>
      </w:r>
    </w:p>
    <w:p>
      <w:pPr>
        <w:spacing w:after="0" w:line="77"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Our commercial potential could be reduced or eliminated if our competitors develop and commercialize products that are safer, more effective, have fewer or less severe side effects, are more convenient, or are less expensive than products that we may develop. Our competitors also may obtain FDA or other regulatory approval for their products more rapidly than we may obtain approval for ours, which could result in our competitors establishing a strong market position before we are able to enter the market or make our</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right="860"/>
        <w:spacing w:after="0" w:line="266" w:lineRule="auto"/>
        <w:rPr>
          <w:sz w:val="20"/>
          <w:szCs w:val="20"/>
          <w:color w:val="auto"/>
        </w:rPr>
      </w:pPr>
      <w:r>
        <w:rPr>
          <w:rFonts w:ascii="Times New Roman" w:cs="Times New Roman" w:eastAsia="Times New Roman" w:hAnsi="Times New Roman"/>
          <w:sz w:val="18"/>
          <w:szCs w:val="18"/>
          <w:color w:val="auto"/>
        </w:rPr>
        <w:t>development more complicated. We believe the key competitive factors affecting the success of tildacerfont are likely to be efficacy, safety, and convenience.</w:t>
      </w:r>
    </w:p>
    <w:p>
      <w:pPr>
        <w:spacing w:after="0" w:line="50"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though we have obtained orphan drug designation for tildacerfont for the treatment of CAH, we may not be able to obtain or maintain the benefits associated with orphan drug status, including market exclusivity.</w:t>
      </w:r>
    </w:p>
    <w:p>
      <w:pPr>
        <w:spacing w:after="0" w:line="37" w:lineRule="exact"/>
        <w:rPr>
          <w:sz w:val="20"/>
          <w:szCs w:val="20"/>
          <w:color w:val="auto"/>
        </w:rPr>
      </w:pPr>
    </w:p>
    <w:p>
      <w:pPr>
        <w:ind w:right="60" w:firstLine="509"/>
        <w:spacing w:after="0" w:line="242"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United States and the EU, may designate drugs for relatively small patient populations as orphan drugs. Under the Orphan Drug Act, the FDA may designate a drug as an orphan drug if it is intended to treat a rare disease or condition, which is generally defined as a patient population of fewer than 200,000 people in the United States, or a patient population of greater than 200,000 people in the United States, but for which there is no reasonable expectation that the cost of developing the drug will be recovered from sales in the United States. In the EU, the European Commission, on the basis of the opinion of the EMA Committee for Orphan Medicinal Products, grants orphan drug designation for medicines to be developed for the diagnosis, prevention or treatment of diseases that are life-threatening or chronically debilitating, for which either no satisfactory method of diagnosis, prevention, or treatment exists, or if such method exists, the medicine is of significant benefit to those affected by such condition. To benefit from such designation, either the prevalence of such condition must not be more than five in 10,000 people across the EU or, if more prevalent, it must be unlikely that the marketing of the medicine would generate sufficient returns to justify the investment needed for its development.</w:t>
      </w:r>
    </w:p>
    <w:p>
      <w:pPr>
        <w:spacing w:after="0" w:line="93"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We have received orphan drug designation for tildacerfont for the treatment of patients with CAH in both the US and EU. Generally, if a drug with an orphan drug designation subsequently receives the first marketing approval for the indication for which it has such designation, the drug may be entitled to a period of marketing exclusivity, which precludes the FDA or the European Commission from approving another marketing application for the same drug (or, in the case of the European Commission, a similar drug) and same indication for that time period. The applicable period is seven years in the United States and ten years in the EU, which may be extended by six months and two years, respectively, in the case of product candidates that have complied with the respective regulatory agency’s agreed upon pediatric investigation plan. The exclusivity period in the EU can be reduced to six years if, at the end of the fifth year, it is established that a drug no longer meets the criteria for orphan drug designation or if the drug is sufficiently profitable so that market exclusivity is no longer justified. Orphan drug exclusivity may be lost if the FDA or EMA determines that the request for designation was materially defective or if the manufacturer is unable to assure sufficient quantity of the drug to meet the needs of patients with the rare disease or condition. In addition, even after a drug is granted orphan exclusivity and approved, the FDA and the European Commission can subsequently approve a different drug for the same condition or the same drug for a different condition, which may subject the orphan-exclusive product to off-label competition. As well, before the expiration of the orphan exclusivity period, the FDA or European Commission may grant approval to a competitor if it concludes that a subsequent application for the same drug for the same indication is clinically superior in that it is shown to be safer, more effective or makes a major contribution to patient care. In the EU, the EMA may deny marketing approval for a product candidate if it determines such product candidate is structurally similar to an approved product for the same indication. In addition, if an orphan designated product receives marketing approval for an indication broader than or different from what is designated, such product may not be entitled to orphan exclusivity. Even though the FDA has granted orphan drug designation to tildacerfont for the treatment of classic CAH, if we receive approval for tildacerfont for a modified or different indication, our current orphan designations may not provide us with exclusivity.</w:t>
      </w:r>
    </w:p>
    <w:p>
      <w:pPr>
        <w:spacing w:after="0" w:line="79" w:lineRule="exact"/>
        <w:rPr>
          <w:sz w:val="20"/>
          <w:szCs w:val="20"/>
          <w:color w:val="auto"/>
        </w:rPr>
      </w:pPr>
    </w:p>
    <w:p>
      <w:pPr>
        <w:jc w:val="both"/>
        <w:ind w:right="180" w:firstLine="509"/>
        <w:spacing w:after="0" w:line="258" w:lineRule="auto"/>
        <w:rPr>
          <w:sz w:val="20"/>
          <w:szCs w:val="20"/>
          <w:color w:val="auto"/>
        </w:rPr>
      </w:pPr>
      <w:r>
        <w:rPr>
          <w:rFonts w:ascii="Times New Roman" w:cs="Times New Roman" w:eastAsia="Times New Roman" w:hAnsi="Times New Roman"/>
          <w:sz w:val="18"/>
          <w:szCs w:val="18"/>
          <w:color w:val="auto"/>
        </w:rPr>
        <w:t>Orphan drug designation does not convey any advantage in, or shorten the duration of, the regulatory review or approval process. Also, regulatory approval for any product candidate may be withdrawn, and other product candidates may obtain approval before us and receive orphan drug exclusivity, which could block us from entering the market.</w:t>
      </w:r>
    </w:p>
    <w:p>
      <w:pPr>
        <w:spacing w:after="0" w:line="6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Even if we obtain orphan drug exclusivity for tildacerfont, that exclusivity may not effectively protect us from competition because different drugs can be approved for the same condition before the expiration of the orphan drug exclusivity period.</w:t>
      </w:r>
    </w:p>
    <w:p>
      <w:pPr>
        <w:spacing w:after="0" w:line="36"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may pursue orphan drug designation for tildacerfont for the treatment of a subpopulation of females with PCOS. The incidence and prevalence of this target patient population is based on our estimates and third-party data. If the market opportunity for this target population is larger than we estimate, we may be unable to receive orphan drug designation. Additionally, if orphan drug designation is granted, we may be unable to maintain any benefits associated with orphan drug designation, including market exclusivity.</w:t>
      </w:r>
    </w:p>
    <w:p>
      <w:pPr>
        <w:spacing w:after="0" w:line="66" w:lineRule="exact"/>
        <w:rPr>
          <w:sz w:val="20"/>
          <w:szCs w:val="20"/>
          <w:color w:val="auto"/>
        </w:rPr>
      </w:pPr>
    </w:p>
    <w:p>
      <w:pPr>
        <w:ind w:right="120" w:firstLine="509"/>
        <w:spacing w:after="0" w:line="247" w:lineRule="auto"/>
        <w:rPr>
          <w:sz w:val="20"/>
          <w:szCs w:val="20"/>
          <w:color w:val="auto"/>
        </w:rPr>
      </w:pPr>
      <w:r>
        <w:rPr>
          <w:rFonts w:ascii="Times New Roman" w:cs="Times New Roman" w:eastAsia="Times New Roman" w:hAnsi="Times New Roman"/>
          <w:sz w:val="18"/>
          <w:szCs w:val="18"/>
          <w:color w:val="auto"/>
        </w:rPr>
        <w:t>Periodically, we make estimates regarding the incidence and prevalence of target patient populations based on various third-party sources and internally generated analysis. Our estimates may be inaccurate or based on imprecise data. As described above, under the Orphan Drug Act, the FDA may designate a drug as an orphan drug if it is intended to treat a rare disease or condition, which is generally defined as a patient population of fewer than 200,000 people in the United States, or a patient population of greater than 200,000 people in the United States, but for which there is no reasonable expectation that the cost of developing the drug will be recovered from sales in the United States. If our incidence or prevalence estimates for the subpopulation of females with PCOS are incorrect, we may be unable to receive orphan drug designation.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Even if the FDA grants orphan drug designation for tildacerfont for the treatment of a subpopulation of females with PCOS, exclusive marketing rights in the United States may be limited if we seek FDA marketing approval for an indication broader than the orphan designated indication. Additionally, any product candidate that initially receives orphan drug status designation, may lose such designation if the FDA later determines that the request for designation was materially defective or if the manufacturer is unable to assure sufficient quantities of the product to meet the needs of patients with the rare disease or condition. In addition, others may obtain orphan drug status for products addressing the same diseases or conditions as products we are developing, thus limiting our ability to compete in the markets addressing such diseases or conditions for a significant period of time. As a result, our business and prospects could suffer.</w:t>
      </w:r>
    </w:p>
    <w:p>
      <w:pPr>
        <w:spacing w:after="0" w:line="69" w:lineRule="exact"/>
        <w:rPr>
          <w:sz w:val="20"/>
          <w:szCs w:val="20"/>
          <w:color w:val="auto"/>
        </w:rPr>
      </w:pPr>
    </w:p>
    <w:p>
      <w:pPr>
        <w:ind w:right="5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form or seek strategic alliances or enter into additional licensing arrangements in the future, and we may not realize the benefits of such alliances or licensing arrangements.</w:t>
      </w:r>
    </w:p>
    <w:p>
      <w:pPr>
        <w:spacing w:after="0" w:line="63"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We may form or seek strategic alliances, create joint ventures or collaborations or enter into additional licensing arrangements with third parties that we believe will complement or augment our development and commercialization efforts with respect to tildacerfont and any future product candidates that we may develop. We intend to establish commercial partnerships outside of the United States in selected foreign markets. Any of these relationships may require us to incur non-recurring and other charges, increase our near-and long-term expenditures, issue securities that dilute our existing stockholders, or disrupt our management and business. In addition, we face significant competition in seeking appropriate strategic partners and the negotiation process is time-consuming and complex. If we license products or businesses, we may not be able to realize the benefit of such transactions if we are unable to successfully integrate them with our existing operations and company culture. Following a strategic transaction or license, we may not achieve the revenues or cash flows that justifies such transaction. Any delays in entering into new strategic partnership agreements related to tildacerfont could delay the development and commercialization of tildacerfont in certain geographies for certain indications, which would harm our business prospects, financial condition, and results of operations.</w:t>
      </w:r>
    </w:p>
    <w:p>
      <w:pPr>
        <w:spacing w:after="0" w:line="91" w:lineRule="exact"/>
        <w:rPr>
          <w:sz w:val="20"/>
          <w:szCs w:val="20"/>
          <w:color w:val="auto"/>
        </w:rPr>
      </w:pPr>
    </w:p>
    <w:p>
      <w:pPr>
        <w:ind w:right="3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failure to successfully in-license, acquire, develop, and market additional product candidates or approved products would impair our ability to grow our business.</w:t>
      </w:r>
    </w:p>
    <w:p>
      <w:pPr>
        <w:spacing w:after="0" w:line="50"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Although a substantial amount of our efforts are focused on the clinical development, potential regulatory approval and commercialization of tildacerfont, a key element of our long-term strategy is to in-license, acquire, develop, market, and commercialize a portfolio of products to treat patients with endocrine disorders. Because we do not have the necessary internal research and development capabilities, unless we build such capabilities internally, we will be dependent upon pharmaceutical companies, academic scientists, and other researchers to sell or license products or technology to us. The success of this strategy depends partly upon our ability to identify and select promising biopharmaceutical product candidates and products, negotiate licensing or acquisition agreements with their current owners, and finance these arrangements. The process of proposing, negotiating, and implementing a license or acquisition of a product candidate or approved product is lengthy and complex. Other companies, including some with substantially greater financial, marketing, sales, and other resources, may compete with us for the license or acquisition of product candidates and approved products. We have limited resources to identify and execute the acquisition or in-licensing of third-party products, businesses, and technologies and integrate them into our current infrastructure. Moreover, we may devote resources to potential acquisitions or licensing opportunities that are never completed, or we may fail to realize the anticipated benefits of such efforts. We may not be able to acquire the rights to additional product candidates on terms that we find acceptable, or at all. Further, any product candidate that we acquire may require additional development efforts prior to commercial sale, including preclinical or clinical testing and approval by the FDA, the EMA and other similar regulatory authorities. All product candidates are prone to risks of failure during biopharmaceutical product development, including the possibility that a product candidate will not be shown to be sufficiently safe and effective for approval by regulatory authorities. In addition, any approved products that we acquire may not be manufactured or sold profitably or achieve market acceptance.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need to grow the size of our organization, and we may experience difficulties in managing this growth.*</w:t>
      </w:r>
    </w:p>
    <w:p>
      <w:pPr>
        <w:spacing w:after="0" w:line="121"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As of March 31, 2022, we had 16 employees, all of whom are full-time. As our development and commercialization plans and strategies develop, and as we transition into operating as a public company, we expect to need additional development, managerial, operational, financial, sales, marketing, and other personnel. Future growth would impose significant added responsibilities on members of management, including:</w:t>
      </w:r>
    </w:p>
    <w:p>
      <w:pPr>
        <w:spacing w:after="0" w:line="82" w:lineRule="exact"/>
        <w:rPr>
          <w:sz w:val="20"/>
          <w:szCs w:val="20"/>
          <w:color w:val="auto"/>
        </w:rPr>
      </w:pPr>
    </w:p>
    <w:p>
      <w:pPr>
        <w:ind w:left="1780" w:hanging="380"/>
        <w:spacing w:after="0"/>
        <w:tabs>
          <w:tab w:leader="none" w:pos="17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recruiting, integrating, maintaining, and motivating additional employees;</w:t>
      </w:r>
    </w:p>
    <w:p>
      <w:pPr>
        <w:spacing w:after="0" w:line="103" w:lineRule="exact"/>
        <w:rPr>
          <w:rFonts w:ascii="Times New Roman" w:cs="Times New Roman" w:eastAsia="Times New Roman" w:hAnsi="Times New Roman"/>
          <w:sz w:val="18"/>
          <w:szCs w:val="18"/>
          <w:color w:val="auto"/>
        </w:rPr>
      </w:pPr>
    </w:p>
    <w:p>
      <w:pPr>
        <w:ind w:left="1780" w:right="40" w:hanging="380"/>
        <w:spacing w:after="0" w:line="266" w:lineRule="auto"/>
        <w:tabs>
          <w:tab w:leader="none" w:pos="17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internal development efforts effectively, including the clinical and regulatory review process for tildacerfont and any future product candidates, while complying with our contractual obligations to contractors and other third parties; and</w:t>
      </w:r>
    </w:p>
    <w:p>
      <w:pPr>
        <w:spacing w:after="0" w:line="54"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our operational, financial and management controls, reporting systems and procedures.</w:t>
      </w:r>
    </w:p>
    <w:p>
      <w:pPr>
        <w:spacing w:after="0" w:line="117"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In addition, we initiated enrollment in CAHmelia-203, our ongoing placebo-controlled, double-blind Phase 2b clinical trial in adult patients with classic CAH with poor disease control, and in CAHmelia-204, our second Phase 2b clinical trial in adult patients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8"/>
          <w:szCs w:val="18"/>
          <w:color w:val="auto"/>
        </w:rPr>
        <w:t>with classic CAH with good disease control focused on glucocorticoid reduction. We also initiated a Phase 2 open-label clinical trial in pediatric patients between six and 17 years of age with classic CAH and a Phase 2 proof-of-concept clinical trial in females with PCOS. Our future financial performance and our ability to commercialize tildacerfont will depend, in part, on our ability to effectively manage any future growth, and our management may also have to divert a disproportionate amount of its attention away from day-to-day activities in order to devote a substantial amount of time to managing these growth activities. To date, we have used the services of outside vendors to perform tasks including clinical trial management, manufacturing, statistics and analysis, regulatory affairs, formulation development, and other drug development functions. Our growth strategy may also entail expanding our group of contractors or consultants to implement these tasks going forward. Because we rely on numerous consultants, effectively outsourcing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tildacerfont and any future product candidates or otherwise advance our business. We may not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we may not be able to successfully implement the tasks necessary to further develop and commercialize tildacerfont and any future product candidates and, accordingly, may not achieve our research, development and commercialization goals.</w:t>
      </w:r>
    </w:p>
    <w:p>
      <w:pPr>
        <w:spacing w:after="0" w:line="78"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Our indebtedness to Silicon Valley Bank may limit our flexibility in operating our business and adversely affect our financial health and competitive position, and our obligations to Silicon Valley Bank are secured by substantially all of our assets, excluding our intellectual property assets. If we default on these obligations, Silicon Valley Bank could foreclose on our assets.*</w:t>
      </w:r>
    </w:p>
    <w:p>
      <w:pPr>
        <w:spacing w:after="0" w:line="60"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In September 2019, we entered into the Loan Agreement, providing for the Term Loan, with Silicon Valley Bank. In April 2020, we entered into the Deferral Agreement, whereby we and Silicon Valley Bank agreed to extend the repayment dates of all monthly payments of principal due and the maturity date with respect to the Term Loan by six months. In March 2021, we entered into the First Amendment, which increased the aggregate principal amount of the Term Loan commitment by Silicon Valley Bank to up to $30.0 million. As of March 31, 2022, we had $5.0 million outstanding under the Loan Agreement and $10.0 million of principal commitment available for withdrawal in 2022, subject to the satisfaction of certain clinical development and financial conditions. In May 2022, we entered into the Second Amendment, which amended the milestones upon which the Second Tranche commitment of $10.0 million would become available.</w:t>
      </w:r>
    </w:p>
    <w:p>
      <w:pPr>
        <w:spacing w:after="0" w:line="87" w:lineRule="exact"/>
        <w:rPr>
          <w:sz w:val="20"/>
          <w:szCs w:val="20"/>
          <w:color w:val="auto"/>
        </w:rPr>
      </w:pPr>
    </w:p>
    <w:p>
      <w:pPr>
        <w:ind w:right="120" w:firstLine="509"/>
        <w:spacing w:after="0" w:line="244" w:lineRule="auto"/>
        <w:rPr>
          <w:sz w:val="20"/>
          <w:szCs w:val="20"/>
          <w:color w:val="auto"/>
        </w:rPr>
      </w:pPr>
      <w:r>
        <w:rPr>
          <w:rFonts w:ascii="Times New Roman" w:cs="Times New Roman" w:eastAsia="Times New Roman" w:hAnsi="Times New Roman"/>
          <w:sz w:val="18"/>
          <w:szCs w:val="18"/>
          <w:color w:val="auto"/>
        </w:rPr>
        <w:t>All obligations under the Term Loan are secured by a first priority lien on substantially all of our assets, excluding intellectual property assets. We have agreed with Silicon Valley Bank not to encumber our intellectual property assets without its prior written consent unless a security interest in the underlying intellectual property is necessary to have a security interest in the accounts and proceeds that are part of the assets securing the Term Loan, in which case our intellectual property shall automatically be included within the assets securing the Term Loan. As a result, if we default on any of our obligations under the Loan Agreement, Silicon Valley Bank could foreclose on its security interest and liquidate some or all of the collateral, which would harm our business, financial condition, and results of operations and could require us to reduce or cease operations.</w:t>
      </w:r>
    </w:p>
    <w:p>
      <w:pPr>
        <w:spacing w:after="0" w:line="74" w:lineRule="exact"/>
        <w:rPr>
          <w:sz w:val="20"/>
          <w:szCs w:val="20"/>
          <w:color w:val="auto"/>
        </w:rPr>
      </w:pPr>
    </w:p>
    <w:p>
      <w:pPr>
        <w:ind w:right="60" w:firstLine="509"/>
        <w:spacing w:after="0" w:line="245" w:lineRule="auto"/>
        <w:rPr>
          <w:sz w:val="20"/>
          <w:szCs w:val="20"/>
          <w:color w:val="auto"/>
        </w:rPr>
      </w:pPr>
      <w:r>
        <w:rPr>
          <w:rFonts w:ascii="Times New Roman" w:cs="Times New Roman" w:eastAsia="Times New Roman" w:hAnsi="Times New Roman"/>
          <w:sz w:val="18"/>
          <w:szCs w:val="18"/>
          <w:color w:val="auto"/>
        </w:rPr>
        <w:t>In order to service this indebtedness and any additional indebtedness we may incur in the future, we need to generate cash from our operating activities. Our ability to generate cash is subject, in part, to our ability to successfully execute our business strategy, as well as general economic, financial, competitive, regulatory, and other factors beyond our control. Our business may not be able to generate sufficient cash flow from operations, and future borrowings or other financings may not be available to us in an amount sufficient to enable us to service our indebtedness and fund our other liquidity needs. To the extent we are required to use cash from operations or the proceeds of any future financing to service our indebtedness instead of funding working capital, capital expenditures or other general corporate purposes, we will be less able to plan for, or react to, changes in our business, industry, and in the economy generally. This could place us at a competitive disadvantage compared to our competitors that have less indebtedness.</w:t>
      </w:r>
    </w:p>
    <w:p>
      <w:pPr>
        <w:spacing w:after="0" w:line="87" w:lineRule="exact"/>
        <w:rPr>
          <w:sz w:val="20"/>
          <w:szCs w:val="20"/>
          <w:color w:val="auto"/>
        </w:rPr>
      </w:pPr>
    </w:p>
    <w:p>
      <w:pPr>
        <w:ind w:right="60" w:firstLine="509"/>
        <w:spacing w:after="0" w:line="242" w:lineRule="auto"/>
        <w:rPr>
          <w:sz w:val="20"/>
          <w:szCs w:val="20"/>
          <w:color w:val="auto"/>
        </w:rPr>
      </w:pPr>
      <w:r>
        <w:rPr>
          <w:rFonts w:ascii="Times New Roman" w:cs="Times New Roman" w:eastAsia="Times New Roman" w:hAnsi="Times New Roman"/>
          <w:sz w:val="18"/>
          <w:szCs w:val="18"/>
          <w:color w:val="auto"/>
        </w:rPr>
        <w:t>The Loan Agreement contains certain covenants that limit our ability to engage in certain transactions that may be in our long-term best interest, including entering into a change in control transaction. The Loan Agreement also contains certain covenants that limit our ability to obtain additional debt financing, including incurring debt from third parties not permitted under the Loan Agreement or incurring liens or encumbrances on our property. While we have not previously breached and are currently in compliance with the covenants contained in the Loan Agreement, we may breach these covenants in the future. Our ability to comply with these covenants may be affected by events and factors beyond our control. In the event that we breach one or more covenants, Silicon Valley Bank may choose to declare an event of default and require that we immediately repay all amounts outstanding under the Loan Agreement, terminate any commitment to extend further credit and foreclose on the collateral. In addition, if an event of default occurs under the Loan Agreement, Silicon Valley Bank may, among other things, accelerate the Term Loan or do any acts it considers necessary or reasonable to protect its security interest in the collateral under the Term Loan. Events of default include the occurrence of a material adverse change in our business, operations, or condition (financial or otherwise). The occurrence of any of these events could have a material adverse effect on our business, financial condition, and results of operations.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right="360" w:firstLine="509"/>
        <w:spacing w:after="0" w:line="250" w:lineRule="auto"/>
        <w:rPr>
          <w:sz w:val="20"/>
          <w:szCs w:val="20"/>
          <w:color w:val="auto"/>
        </w:rPr>
      </w:pPr>
      <w:r>
        <w:rPr>
          <w:rFonts w:ascii="Times New Roman" w:cs="Times New Roman" w:eastAsia="Times New Roman" w:hAnsi="Times New Roman"/>
          <w:sz w:val="18"/>
          <w:szCs w:val="18"/>
          <w:color w:val="auto"/>
        </w:rPr>
        <w:t>For a more detailed description of the terms of the Loan Agreement, see the section titled “Management’s Discussion and Analysis of Financial Condition and Results of Operations—Liquidity and Capital Resources—Loan Agreement” and Note 7 to our financial statements, each included elsewhere in this Quarterly Report on Form 10-Q.</w:t>
      </w:r>
    </w:p>
    <w:p>
      <w:pPr>
        <w:spacing w:after="0" w:line="78"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existing stockholders, restrict our operations, or require us to relinquish rights to our technologies or product candidates.</w:t>
      </w:r>
    </w:p>
    <w:p>
      <w:pPr>
        <w:spacing w:after="0" w:line="5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We may seek additional capital through a combination of equity offerings, debt financings, strategic partnerships and alliances, and licensing</w:t>
      </w:r>
    </w:p>
    <w:p>
      <w:pPr>
        <w:spacing w:after="0" w:line="27"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8"/>
          <w:szCs w:val="18"/>
          <w:color w:val="auto"/>
        </w:rPr>
        <w:t>arrangements. To the extent that we raise additional capital through the sale of equity or convertible debt securities, your ownership interest will be diluted, and the terms of these securities may include liquidation or other preferences that adversely affect your rights as a stockholder.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current or future product candidates, or grant licenses on terms unfavorable to us.</w:t>
      </w:r>
    </w:p>
    <w:p>
      <w:pPr>
        <w:spacing w:after="0" w:line="76"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Our employees, independent contractors, principal investigators, CROs, consultants, strategic partners, and vendors may engage in misconduct or other improper activities, including noncompliance with regulatory standards and requirements.</w:t>
      </w:r>
    </w:p>
    <w:p>
      <w:pPr>
        <w:spacing w:after="0" w:line="40" w:lineRule="exact"/>
        <w:rPr>
          <w:sz w:val="20"/>
          <w:szCs w:val="20"/>
          <w:color w:val="auto"/>
        </w:rPr>
      </w:pPr>
    </w:p>
    <w:p>
      <w:pPr>
        <w:ind w:right="40" w:firstLine="509"/>
        <w:spacing w:after="0" w:line="242" w:lineRule="auto"/>
        <w:rPr>
          <w:sz w:val="20"/>
          <w:szCs w:val="20"/>
          <w:color w:val="auto"/>
        </w:rPr>
      </w:pPr>
      <w:r>
        <w:rPr>
          <w:rFonts w:ascii="Times New Roman" w:cs="Times New Roman" w:eastAsia="Times New Roman" w:hAnsi="Times New Roman"/>
          <w:sz w:val="18"/>
          <w:szCs w:val="18"/>
          <w:color w:val="auto"/>
        </w:rPr>
        <w:t>We are exposed to the risk that employees, independent contractors, principal investigators, CROs, consultants, and vendors may engage in fraudulent or other illegal activity. Misconduct by these parties could include intentional, reckless and/or negligent conduct or disclosure of unauthorized activities to us that violates: (i) the rules of the FDA and other similar foreign regulatory bodies, including those rules that require the reporting of true, complete, and accurate information to the FDA and other similar foreign regulatory bodies; (ii) manufacturing standards; (iii) healthcare fraud and abuse laws in the United States and similar foreign fraudulent misconduct laws or (iv) laws that require the true, complete, and accurate reporting of our financial information or data. These laws may impact, among other things, our current activities with principal investigators and research subjects, as well as proposed and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spacing w:after="0" w:line="94" w:lineRule="exact"/>
        <w:rPr>
          <w:sz w:val="20"/>
          <w:szCs w:val="20"/>
          <w:color w:val="auto"/>
        </w:rPr>
      </w:pPr>
    </w:p>
    <w:p>
      <w:pPr>
        <w:ind w:right="100" w:firstLine="509"/>
        <w:spacing w:after="0" w:line="242" w:lineRule="auto"/>
        <w:rPr>
          <w:sz w:val="20"/>
          <w:szCs w:val="20"/>
          <w:color w:val="auto"/>
        </w:rPr>
      </w:pPr>
      <w:r>
        <w:rPr>
          <w:rFonts w:ascii="Times New Roman" w:cs="Times New Roman" w:eastAsia="Times New Roman" w:hAnsi="Times New Roman"/>
          <w:sz w:val="18"/>
          <w:szCs w:val="18"/>
          <w:color w:val="auto"/>
        </w:rPr>
        <w:t>If we obtain regulatory approval for tildacerfont and begin commercializing those products in the United States and in Europe, our potential exposure under such laws will increase significantly, and our costs associated with compliance with such laws are also likely to increase. If any such actions are instituted against us, and we are not successful in defending ourselves or asserting our rights, those actions could have a significant impact on our business, including the imposition of significant civil, criminal and administrative penalties, damages, disgorgement, monetary fines, imprisonment, possible exclusion from participation in Medicare, Medicaid and other federal healthcare programs, additional reporting requirements and/or oversight if we become subject to a corporate integrity agreement or similar agreement to resolve allegations of non-compliance with these laws, contractual damages, reputational harm, diminished profits and future earnings, and curtailment of our operations.</w:t>
      </w:r>
    </w:p>
    <w:p>
      <w:pPr>
        <w:spacing w:after="0" w:line="88" w:lineRule="exact"/>
        <w:rPr>
          <w:sz w:val="20"/>
          <w:szCs w:val="20"/>
          <w:color w:val="auto"/>
        </w:rPr>
      </w:pPr>
    </w:p>
    <w:p>
      <w:pPr>
        <w:ind w:right="380"/>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Our relationships with customers, healthcare providers and third-party payors may be subject, directly or indirectly, to federal and state healthcare fraud and abuse laws, false claims laws, health information privacy and security laws, and other healthcare laws and regulations. If we or our employees, independent contractors, consultants, commercial partners, or vendors violate these laws, we could face substantial penalties.</w:t>
      </w:r>
    </w:p>
    <w:p>
      <w:pPr>
        <w:spacing w:after="0" w:line="63" w:lineRule="exact"/>
        <w:rPr>
          <w:sz w:val="20"/>
          <w:szCs w:val="20"/>
          <w:color w:val="auto"/>
        </w:rPr>
      </w:pPr>
    </w:p>
    <w:p>
      <w:pPr>
        <w:ind w:right="140" w:firstLine="509"/>
        <w:spacing w:after="0" w:line="243" w:lineRule="auto"/>
        <w:rPr>
          <w:sz w:val="20"/>
          <w:szCs w:val="20"/>
          <w:color w:val="auto"/>
        </w:rPr>
      </w:pPr>
      <w:r>
        <w:rPr>
          <w:rFonts w:ascii="Times New Roman" w:cs="Times New Roman" w:eastAsia="Times New Roman" w:hAnsi="Times New Roman"/>
          <w:sz w:val="18"/>
          <w:szCs w:val="18"/>
          <w:color w:val="auto"/>
        </w:rPr>
        <w:t>Our relationships with customers, healthcare providers, and third-party payors may be subject, directly or indirectly, to federal and state healthcare fraud and abuse laws, false claims laws, health information privacy and security laws, and other healthcare laws and regulations. These laws may impact, among other things, our clinical research program, as well as our proposed and future sales, marketing, and education programs. In particular, the promotion, sales and marketing of healthcare items and services is subject to extensive laws and regulations designed to prevent fraud, kickbacks, self-dealing, and other abusive practices. These laws and regulations may restrict or prohibit a wide range of pricing, discounting, marketing and promotion, sales commission, customer incentive, and other business arrangements. We may also be subject to federal, state and foreign laws governing the privacy and security of identifiable patient information. The U.S. healthcare laws and regulations that may affect our ability to operate include, but are not limited to:</w:t>
      </w:r>
    </w:p>
    <w:p>
      <w:pPr>
        <w:spacing w:after="0" w:line="78" w:lineRule="exact"/>
        <w:rPr>
          <w:sz w:val="20"/>
          <w:szCs w:val="20"/>
          <w:color w:val="auto"/>
        </w:rPr>
      </w:pPr>
    </w:p>
    <w:p>
      <w:pPr>
        <w:ind w:left="1780" w:hanging="380"/>
        <w:spacing w:after="0" w:line="246" w:lineRule="auto"/>
        <w:tabs>
          <w:tab w:leader="none" w:pos="1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any person or entity from knowingly and willfully, offering, paying, soliciting or receiving any remuneration, directly or indirectly, overtly or covertly, in cash or in kind, to induce, or in return for, the purchasing, leasing, ordering or arranging for the purchase, lease, or order of any item or service reimbursable under Medicare, Medicaid or other federal healthcare programs. The term “remuneration” has been broadly interpreted to include anything of value. Although there are a number of</w:t>
      </w:r>
    </w:p>
    <w:p>
      <w:pPr>
        <w:spacing w:after="0" w:line="1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left="1780" w:right="40"/>
        <w:spacing w:after="0" w:line="246" w:lineRule="auto"/>
        <w:rPr>
          <w:sz w:val="20"/>
          <w:szCs w:val="20"/>
          <w:color w:val="auto"/>
        </w:rPr>
      </w:pPr>
      <w:r>
        <w:rPr>
          <w:rFonts w:ascii="Times New Roman" w:cs="Times New Roman" w:eastAsia="Times New Roman" w:hAnsi="Times New Roman"/>
          <w:sz w:val="18"/>
          <w:szCs w:val="18"/>
          <w:color w:val="auto"/>
        </w:rPr>
        <w:t>statutory exceptions and regulatory safe harbors protecting some common activities from prosecution, the exceptions and safe harbors are drawn narrowly. Practices that may be alleged to be intended to induce prescribing, purchases or recommendations, include any payments of more than fair market value, and may be subject to scrutiny if they do not qualify for an exception or safe harbor. In addition, a person or entity does not need to have actual knowledge of this statute or specific intent to violate it in order to have committed a violation.</w:t>
      </w:r>
    </w:p>
    <w:p>
      <w:pPr>
        <w:spacing w:after="0" w:line="73" w:lineRule="exact"/>
        <w:rPr>
          <w:sz w:val="20"/>
          <w:szCs w:val="20"/>
          <w:color w:val="auto"/>
        </w:rPr>
      </w:pPr>
    </w:p>
    <w:p>
      <w:pPr>
        <w:ind w:left="1780" w:right="60" w:hanging="380"/>
        <w:spacing w:after="0" w:line="245" w:lineRule="auto"/>
        <w:tabs>
          <w:tab w:leader="none" w:pos="1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including the federal civil False Claims Act, and civil monetary penalty laws, which prohibit, among other things, individuals or entities from knowingly presenting, or causing to be presented, claims for payment or approval from Medicare, Medicaid, or other federal government programs that are false or fraudulent or knowingly making a false statement to improperly avoid, decrease or conceal an obligation to pay money to the federal government, including federal healthcare programs. In addition, the government may assert that a claim including items or services resulting from a violation of the federal Anti-Kickback Statute constitutes a false or fraudulent claim for purposes of the federal civil False Claims Act and the civil monetary penalties statute;</w:t>
      </w:r>
    </w:p>
    <w:p>
      <w:pPr>
        <w:spacing w:after="0" w:line="73" w:lineRule="exact"/>
        <w:rPr>
          <w:rFonts w:ascii="Times New Roman" w:cs="Times New Roman" w:eastAsia="Times New Roman" w:hAnsi="Times New Roman"/>
          <w:sz w:val="18"/>
          <w:szCs w:val="18"/>
          <w:color w:val="auto"/>
        </w:rPr>
      </w:pPr>
    </w:p>
    <w:p>
      <w:pPr>
        <w:ind w:left="1780" w:hanging="380"/>
        <w:spacing w:after="0" w:line="246" w:lineRule="auto"/>
        <w:tabs>
          <w:tab w:leader="none" w:pos="1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created new federal civil and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including private third-party payors and knowingly and willfully falsifying, concealing or covering up by any trick, scheme or device, a material fact or making any materially false, fictitious or fraudulent statements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71" w:lineRule="exact"/>
        <w:rPr>
          <w:rFonts w:ascii="Times New Roman" w:cs="Times New Roman" w:eastAsia="Times New Roman" w:hAnsi="Times New Roman"/>
          <w:sz w:val="18"/>
          <w:szCs w:val="18"/>
          <w:color w:val="auto"/>
        </w:rPr>
      </w:pPr>
    </w:p>
    <w:p>
      <w:pPr>
        <w:ind w:left="1780" w:hanging="380"/>
        <w:spacing w:after="0" w:line="250" w:lineRule="auto"/>
        <w:tabs>
          <w:tab w:leader="none" w:pos="1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and their respective implementing regulations, which impose requirements on certain healthcare providers, health plans, and healthcare clearinghouses, known as covered entities, and their respective business associates that perform services for them that involve the use, or disclosure of, individually identifiable health information as well as their covered subcontractors; and</w:t>
      </w:r>
    </w:p>
    <w:p>
      <w:pPr>
        <w:spacing w:after="0" w:line="69" w:lineRule="exact"/>
        <w:rPr>
          <w:rFonts w:ascii="Times New Roman" w:cs="Times New Roman" w:eastAsia="Times New Roman" w:hAnsi="Times New Roman"/>
          <w:sz w:val="18"/>
          <w:szCs w:val="18"/>
          <w:color w:val="auto"/>
        </w:rPr>
      </w:pPr>
    </w:p>
    <w:p>
      <w:pPr>
        <w:ind w:left="1780" w:right="180" w:hanging="380"/>
        <w:spacing w:after="0" w:line="247" w:lineRule="auto"/>
        <w:tabs>
          <w:tab w:leader="none" w:pos="1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which requires certain manufacturers of drugs, devices, biologicals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certain other healthcare professionals (such as physician assistants and nurse practitioners), and teaching hospitals, as well as ownership and investment interests held by physicians and their immediate family members.</w:t>
      </w:r>
    </w:p>
    <w:p>
      <w:pPr>
        <w:spacing w:after="0" w:line="72" w:lineRule="exact"/>
        <w:rPr>
          <w:sz w:val="20"/>
          <w:szCs w:val="20"/>
          <w:color w:val="auto"/>
        </w:rPr>
      </w:pPr>
    </w:p>
    <w:p>
      <w:pPr>
        <w:ind w:right="40" w:firstLine="509"/>
        <w:spacing w:after="0" w:line="244" w:lineRule="auto"/>
        <w:rPr>
          <w:sz w:val="20"/>
          <w:szCs w:val="20"/>
          <w:color w:val="auto"/>
        </w:rPr>
      </w:pPr>
      <w:r>
        <w:rPr>
          <w:rFonts w:ascii="Times New Roman" w:cs="Times New Roman" w:eastAsia="Times New Roman" w:hAnsi="Times New Roman"/>
          <w:sz w:val="18"/>
          <w:szCs w:val="18"/>
          <w:color w:val="auto"/>
        </w:rPr>
        <w:t>We may also be subject to state and foreign equivalents of each of the healthcare laws described above, among others, some of which may be broader in scope. For example, we may be subject to the following: state anti-kickback and false claims laws that may apply to sales or marketing arrangements and claims involving healthcare items or services reimbursed by non-governmental third party payors, including private insurers, or that apply regardless of payor; state laws that require pharmaceutical companies to comply with the pharmaceutical industry’s voluntary compliance guidelines and the relevant compliance guidance promulgated by the federal government; state laws that require drug manufacturers to report information related to payments and other transfers of value to physicians and other healthcare providers, marketing expenditures, or drug pricing; state and local laws requiring the registration of pharmaceutical sales and medical representatives; and state and foreign laws, such as the European Union General Data Protection Regulation, or GDPR, governing the privacy and security of health information in some circumstances, many of which differ from each other in significant ways and often are not preempted by HIPAA, thus complicating compliance efforts.</w:t>
      </w:r>
    </w:p>
    <w:p>
      <w:pPr>
        <w:spacing w:after="0" w:line="77"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Additionally, we may be subject to federal consumer protection and unfair competition laws, which broadly regulate marketplace activities and activities that potentially harm consumers.</w:t>
      </w:r>
    </w:p>
    <w:p>
      <w:pPr>
        <w:spacing w:after="0" w:line="68" w:lineRule="exact"/>
        <w:rPr>
          <w:sz w:val="20"/>
          <w:szCs w:val="20"/>
          <w:color w:val="auto"/>
        </w:rPr>
      </w:pPr>
    </w:p>
    <w:p>
      <w:pPr>
        <w:ind w:right="60" w:firstLine="509"/>
        <w:spacing w:after="0" w:line="244"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regulatory safe harbors available, it is possible that some of our business activities, or our arrangements with physicians, could be subject to challenge under one or more of such laws. It is not always possible to identify and deter employee misconduct or business noncompliance, and the precautions we take to detect and prevent inappropriate conduct may not be effective in controlling unknown or unmanaged risks or losses or in protecting us from governmental investigations or other actions or lawsuits stemming from a failure to be in compliance with such laws or regulations. Efforts to ensure that our business arrangements will comply with applicable healthcare laws may involve substantial costs. It is possible that governmental and enforcement authorities will conclude that our business practices may not</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8"/>
          <w:szCs w:val="18"/>
          <w:color w:val="auto"/>
        </w:rPr>
        <w:t>comply with current or future statutes, regulations or case law interpreting applicable fraud and abuse or other healthcare laws and regulations. If we or our employees, independent contractors, consultants, commercial partners and vendors violate these laws, we may be subject to investigations, enforcement actions and/or significant penalties, including the imposition of significant civil, criminal and administrative penalties, damages, disgorgement, monetary fines, imprisonment, possible exclusion from participation in Medicare, Medicaid and other federal healthcare programs, contractual damages, reputational harm, diminished profits and future earnings, additional reporting requirements and/or oversight if we become subject to a corporate integrity agreement or similar agreement to resolve allegations of non-compliance with these laws, and curtailment of our operations, any of which could adversely affect our ability to operate our business and our results of operations. In addition, the approval and commercialization of tildacerfont outside the United States will also likely subject us to foreign equivalents of the healthcare laws mentioned above, among other foreign laws.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used by our third-party collaborators or other contractors or consultants, may fail or suffer security breaches.</w:t>
      </w:r>
    </w:p>
    <w:p>
      <w:pPr>
        <w:spacing w:after="0" w:line="121"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Despite the implementation of security and back-up measures, our internal computer, server, and other information technology systems as well as those of our third-party collaborators, consultants, contractors, suppliers, and service providers, may be vulnerable to damage from physical or electronic break-ins, computer viruses, malware, ransomware, natural disasters, terrorism, war, telecommunication and electrical failure, denial of service, and other cyberattacks or disruptive incidents that could result in unauthorized access to, use or disclosure of, corruption of, or loss of sensitive, and/ or proprietary data, including personal information, including health-related information, and could subject us to significant liabilities and regulatory and enforcement actions, and reputational damage. For example, the loss of clinical trial data from completed or ongoing clinical trials could result in delays in any regulatory approval or clearance efforts and significantly increase our costs to recover or reproduce the data, and subsequently commercialize the product. Additionally, theft of our intellectual property or proprietary business information could require substantial expenditures to remedy. If we or our third-party collaborators, consultants, contractors, suppliers, or service providers were to suffer an attack or breach, for example, that resulted in the unauthorized access to or use or disclosure of personal or health information, we may have to notify consumers, partners, collaborators, government authorities, and the media, and may be subject to investigations, civil penalties, administrative and enforcement actions, and litigation, any of which could harm our business and reputation. Likewise, we rely on our third-party research institution collaborators and other third parties to conduct clinical trials, and similar events relating to their computer systems could also have a material adverse effect on our business. The COVID-19 pandemic has generally increased the risk of cybersecurity intrusions. For example, there has been an increase in phishing and spam emails as well as social engineering attempts from “hackers” hoping to use the recent COVID-19 pandemic to their advantage. To the extent that any disruption or security breach were to result in a loss of, or damage to, our data or systems, or inappropriate or unauthorized access to or disclosure or use of confidential, proprietary, or other sensitive, personal, or health information, we could incur liability and suffer reputational harm, and the development and commercialization of tildacerfont could be delayed.</w:t>
      </w:r>
    </w:p>
    <w:p>
      <w:pPr>
        <w:spacing w:after="0" w:line="81" w:lineRule="exact"/>
        <w:rPr>
          <w:sz w:val="20"/>
          <w:szCs w:val="20"/>
          <w:color w:val="auto"/>
        </w:rPr>
      </w:pPr>
    </w:p>
    <w:p>
      <w:pPr>
        <w:ind w:right="5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data protection laws and regulations could lead to government enforcement actions (which could include civil or criminal penalties), private litigation, and/or adverse publicity and could negatively affect our operating results and business.*</w:t>
      </w:r>
    </w:p>
    <w:p>
      <w:pPr>
        <w:spacing w:after="0" w:line="50" w:lineRule="exact"/>
        <w:rPr>
          <w:sz w:val="20"/>
          <w:szCs w:val="20"/>
          <w:color w:val="auto"/>
        </w:rPr>
      </w:pPr>
    </w:p>
    <w:p>
      <w:pPr>
        <w:ind w:right="120" w:firstLine="509"/>
        <w:spacing w:after="0" w:line="264" w:lineRule="auto"/>
        <w:rPr>
          <w:sz w:val="20"/>
          <w:szCs w:val="20"/>
          <w:color w:val="auto"/>
        </w:rPr>
      </w:pPr>
      <w:r>
        <w:rPr>
          <w:rFonts w:ascii="Times New Roman" w:cs="Times New Roman" w:eastAsia="Times New Roman" w:hAnsi="Times New Roman"/>
          <w:sz w:val="17"/>
          <w:szCs w:val="17"/>
          <w:color w:val="auto"/>
        </w:rPr>
        <w:t>We and our partners may be subject to federal, state, and foreign data protection laws and regulations, as well as other rules, standards, policies and contractual or other obligations, relating to the collection, use, retention, security, disclosure, transfer and other processing of personal data, collectively, Data Protection Requirements. If we fail, or are perceived to have failed, to address or comply with any such Data Protection Requirements, this could result in enforcement actions against us that could include investigations, fines, penalties, audits and inspections, additional reporting requirements and/or oversight, temporary or permanent bans on all or some processing of personal data or orders to destroy or not use personal data. Further, individuals or other relevant stakeholders could bring a variety of claims against us for our actual or perceived failure to comply with the Data Protection Requirements.</w:t>
      </w:r>
    </w:p>
    <w:p>
      <w:pPr>
        <w:spacing w:after="0" w:line="60" w:lineRule="exact"/>
        <w:rPr>
          <w:sz w:val="20"/>
          <w:szCs w:val="20"/>
          <w:color w:val="auto"/>
        </w:rPr>
      </w:pPr>
    </w:p>
    <w:p>
      <w:pPr>
        <w:ind w:right="100" w:firstLine="509"/>
        <w:spacing w:after="0" w:line="245" w:lineRule="auto"/>
        <w:rPr>
          <w:sz w:val="20"/>
          <w:szCs w:val="20"/>
          <w:color w:val="auto"/>
        </w:rPr>
      </w:pPr>
      <w:r>
        <w:rPr>
          <w:rFonts w:ascii="Times New Roman" w:cs="Times New Roman" w:eastAsia="Times New Roman" w:hAnsi="Times New Roman"/>
          <w:sz w:val="18"/>
          <w:szCs w:val="18"/>
          <w:color w:val="auto"/>
        </w:rPr>
        <w:t>In the United States, numerous federal and state laws and regulations, including state data breach notification laws, state health information privacy laws, and federal and state consumer protection laws and regulations that govern the collection, use, disclosure, and protection of health-related and other personal information could apply to our operations or the operations of our partners. In addition, we may obtain health information from third parties (including research institutions from which we obtain clinical trial data) that are subject to privacy and security requirements under HIPAA. If we violate HIPAA, we may subject to significant administrative and civil penalties. Additionally, depending on the facts and circumstances, we could be subject to criminal penalties if we knowingly obtain, use, or disclose individually identifiable health information maintained by a HIPAA-covered entity in a manner that is not authorized or permitted by HIPAA.</w:t>
      </w:r>
    </w:p>
    <w:p>
      <w:pPr>
        <w:spacing w:after="0" w:line="87" w:lineRule="exact"/>
        <w:rPr>
          <w:sz w:val="20"/>
          <w:szCs w:val="20"/>
          <w:color w:val="auto"/>
        </w:rPr>
      </w:pPr>
    </w:p>
    <w:p>
      <w:pPr>
        <w:ind w:right="220" w:firstLine="509"/>
        <w:spacing w:after="0" w:line="245" w:lineRule="auto"/>
        <w:rPr>
          <w:sz w:val="20"/>
          <w:szCs w:val="20"/>
          <w:color w:val="auto"/>
        </w:rPr>
      </w:pPr>
      <w:r>
        <w:rPr>
          <w:rFonts w:ascii="Times New Roman" w:cs="Times New Roman" w:eastAsia="Times New Roman" w:hAnsi="Times New Roman"/>
          <w:sz w:val="18"/>
          <w:szCs w:val="18"/>
          <w:color w:val="auto"/>
        </w:rPr>
        <w:t>Even when HIPAA does not apply, according to the Federal Trade Commission, or the FTC, failing to take appropriate steps to keep consumers’ personal information secure may constitute unfair acts or practices in or affecting commerce in violation of the Federal Trade Commission Act. The FTC expects a company’s data security measures to be reasonable and appropriate in light of the sensitivity and volume of consumer information it holds, the size and complexity of its business, and the cost of available tools to</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improve security and reduce vulnerabilities. Individually identifiable health information is considered sensitive data that merits stronger safeguards.</w:t>
      </w:r>
    </w:p>
    <w:p>
      <w:pPr>
        <w:spacing w:after="0" w:line="104"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In addition, California recently enacted the California Consumer Privacy Act, or CCPA, which creates new individual privacy rights for California consumers (as defined in the law) and places increased privacy and security obligations on entities handling certain personal data of consumers or households. The CCPA requires covered companies to provide new disclosure to consumers about such companies’ data collection, use and sharing practices, provide such consumers new ways to opt-out of certain sales or transfers of personal information, and provide consumers with additional causes of action. The CCPA became effective January 1, 2020, and the California Attorney General may bring enforcement actions for violations beginning July 1, 2020. The CCPA has been amended from time to time, and it remains unclear what, if any, further modifications will be made to this legislation or how it will be interpreted. As currently written, the CCPA may impact our business activities and exemplifies the vulnerability of our business to the evolving regulatory environment related to personal data and protected health information.</w:t>
      </w:r>
    </w:p>
    <w:p>
      <w:pPr>
        <w:spacing w:after="0" w:line="92" w:lineRule="exact"/>
        <w:rPr>
          <w:sz w:val="20"/>
          <w:szCs w:val="20"/>
          <w:color w:val="auto"/>
        </w:rPr>
      </w:pPr>
    </w:p>
    <w:p>
      <w:pPr>
        <w:ind w:right="40" w:firstLine="509"/>
        <w:spacing w:after="0" w:line="242" w:lineRule="auto"/>
        <w:rPr>
          <w:sz w:val="20"/>
          <w:szCs w:val="20"/>
          <w:color w:val="auto"/>
        </w:rPr>
      </w:pPr>
      <w:r>
        <w:rPr>
          <w:rFonts w:ascii="Times New Roman" w:cs="Times New Roman" w:eastAsia="Times New Roman" w:hAnsi="Times New Roman"/>
          <w:sz w:val="18"/>
          <w:szCs w:val="18"/>
          <w:color w:val="auto"/>
        </w:rPr>
        <w:t>Foreign data protection laws, including the GDPR may also apply to health-related and other personal data we process in respect of certain of our operations. The GDPR applies to any processing operations carried out in the context of the activities of an establishment in the EEA as well as any processing operations relating to the offering of goods or services to individuals in the EEA and/or the monitoring of their behavior in the EEA. Further, notwithstanding the United Kingdom’s withdrawal from the EU, by operation of the so called ‘UK GDPR’ (i.e., the GDPR as it continues to form part of the law of the United Kingdom by virtue of section 3 of the EU (Withdrawal) Act 2018 and as subsequently amended), the GDPR continues to apply in substantially equivalent form to processing operations carried out in the context of the activities of an establishment in the United Kingdom and any processing relating to the offering of goods or services to individuals in the United Kingdom and/or monitoring of their behavior in the United Kingdom. Therefore, reference to the GDPR herein also refers to the UK GDPR in the context of the United Kingdom, unless the context requires otherwise. The GDPR provides that EEA member states may make their own further laws and regulations to introduce specific requirements related to the processing of ‘special categories of personal data,’ including the personal data related to health and genetic information, which we may process in connection with clinical trials or otherwise; as well as personal data related to criminal offenses or convictions – in the United Kingdom, the United Kingdom Data Protection Act 2018 complements the UK GDPR in this regard. Such laws may introduce further conditions, including limitations which could limit our ability to collect, use and share personal data, and/or otherwise lead to greater divergence on the law that applies to the processing of such data types across the EEA and/or United Kingdom, compliance with which, as and where applicable, may increase our costs and could increase our overall compliance risk.</w:t>
      </w:r>
    </w:p>
    <w:p>
      <w:pPr>
        <w:spacing w:after="0" w:line="75" w:lineRule="exact"/>
        <w:rPr>
          <w:sz w:val="20"/>
          <w:szCs w:val="20"/>
          <w:color w:val="auto"/>
        </w:rPr>
      </w:pPr>
    </w:p>
    <w:p>
      <w:pPr>
        <w:ind w:firstLine="509"/>
        <w:spacing w:after="0"/>
        <w:rPr>
          <w:sz w:val="20"/>
          <w:szCs w:val="20"/>
          <w:color w:val="auto"/>
        </w:rPr>
      </w:pPr>
      <w:r>
        <w:rPr>
          <w:rFonts w:ascii="Times New Roman" w:cs="Times New Roman" w:eastAsia="Times New Roman" w:hAnsi="Times New Roman"/>
          <w:sz w:val="18"/>
          <w:szCs w:val="18"/>
          <w:color w:val="auto"/>
        </w:rPr>
        <w:t>The GDPR has imposed stringent requirements for controllers and processors of personal data, including, for example, by extending the rights available to affected data subjects, materially expanding the definition of what is expressly noted to constitute personal data (including expanding the relevant definition to capture expressly the ‘pseudonymized’ or key-coded data that is commonly processed in a clinical trial-related context), introducing mandatory personal data breach notifications to Supervisory Authorities and affected individuals (in certain circumstances), setting limitations on retention of information, increasing requirements pertaining to special categories of personal data (such as health data, biometric data, genetic information), and requiring that prescriptive obligations must be met when we engage third-party processors to process of personal data on our behalf. A particular issue presented by certain European data protection laws, including the GDPR, is that they generally restrict transfers of personal data from Europe, including the EEA, United Kingdom and Switzerland, to the United States and most other countries unless the parties to the transfer have implemented specific safeguards to protect the transferred personal data. Recent legal developments in the EU have created complexity and uncertainty regarding such transfers of personal data from the EEA to the United States, e.g. on July 16, 2020 in a case known colloquially as “Schrems II,” the Court of Justice of the European Union, or the CJEU, invalidated the EU-US Privacy Shield Framework, or the Privacy Shield, under which personal data could be transferred from the EEA to U.S. entities who had self-certified under the Privacy Shield scheme. Following this decision, the United Kingdom government similarly confirmed that the EU-U.S. Privacy Shield could not be used as a mechanism for lawful personal data transfers from the United Kingdom to the United States under the so-called UK GDPR, and the Swiss Federal Data Protection and Information Commissioner announced that the Swiss-U.S. Privacy Shield does not provide adequate safeguards for the purposes of personal data transfers from Switzerland to the United States. The CJEU’s decision in Schrems II also raised questions about whether one of the primary alternatives to the EU-U.S. Privacy Shield, namely, the European Commission’s Standard Contractual Clauses, can lawfully be used for personal data transfers from Europe to the United States or other third countries that are not the subject of an adequacy decision of the European Commission. While the CJEU upheld the adequacy of the Standard Contractual Clauses in principle in Schrems II, it made clear that reliance on those Clauses alone may not necessarily be sufficient in all circumstances. Use of the Standard Contractual Clauses must now be assessed on a case-by-case basis taking into account the legal regime applicable in the destination country, in particular regarding applicable surveillance laws and relevant rights of individuals with respect to the transferred data. In the context of any given transfer, where the legal regime applicable in the destination country may or does conflict with the intended operation of the Standard Contractual Clauses and/or applicable European law, the decision in Schrems II and subsequent draft guidance from the European Data Protection Board, or EDPB, would require the parties to that transfer to implement certain supplementary technical, organizational and/or contractual measures to rely on the Standard Contractual Clauses as a compliant ‘transfer mechanism.’</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However, the aforementioned draft guidance from the EDPB on such supplementary technical, organizational and/or contractual measures appears to conclude that no combination of such measures could be sufficient to allow effective reliance on the Standard Contractual Clauses in the context of transfers of personal data ‘in the clear’ to recipients in countries where the power granted to public authorities to access the transferred data goes beyond that which is ‘necessary and proportionate in a democratic society’ – which may, following the CJEU’s conclusions in Schrems II on relevant powers of United States public authorities and commentary in that draft EDPB guidance, include the United States in certain circumstances (e.g., where Section 702 of the US Foreign Intelligence Surveillance Act applies). At present, there are few, if any, viable alternatives to the EU-U.S. Privacy Shield, the Standard Contractual Clauses and/or the U.K.-specific international data transfer tools noted below. As such, if we are unable to implement a valid solution for personal data transfers from Europe, including, for example, obtaining individuals’ explicit consent to transfer their personal data from Europe to the United States or other countries, we will face increased exposure to regulatory actions, substantial fines and injunctions against processing personal data from Europe. Inability to import personal data from Europe, including the EEA, United Kingdom or Switzerland, may also: restrict our activities in Europe; limit our ability to collaborate with partners as well as other service providers, contractors and other companies subject to European data protection laws; and/or require us to increase our data processing capabilities in Europe at significant expense or otherwise cause us to change the geographical location or segregation of our relevant systems and operations – any or all of which could adversely affect our financial results. Additionally, other countries outside of Europe have enacted or are considering enacting similar cross-border data transfer restrictions and laws requiring local data residency, which could increase the cost and complexity of delivering our services and operating our business. The type of challenges we face in Europe will likely also arise in other jurisdictions that adopt laws similar in construction to the GDPR or regulatory frameworks of equivalent complexity.</w:t>
      </w:r>
    </w:p>
    <w:p>
      <w:pPr>
        <w:spacing w:after="0" w:line="90" w:lineRule="exact"/>
        <w:rPr>
          <w:sz w:val="20"/>
          <w:szCs w:val="20"/>
          <w:color w:val="auto"/>
        </w:rPr>
      </w:pPr>
    </w:p>
    <w:p>
      <w:pPr>
        <w:ind w:right="40" w:firstLine="509"/>
        <w:spacing w:after="0" w:line="246" w:lineRule="auto"/>
        <w:rPr>
          <w:sz w:val="20"/>
          <w:szCs w:val="20"/>
          <w:color w:val="auto"/>
        </w:rPr>
      </w:pPr>
      <w:r>
        <w:rPr>
          <w:rFonts w:ascii="Times New Roman" w:cs="Times New Roman" w:eastAsia="Times New Roman" w:hAnsi="Times New Roman"/>
          <w:sz w:val="18"/>
          <w:szCs w:val="18"/>
          <w:color w:val="auto"/>
        </w:rPr>
        <w:t>Following the United Kingdom’s withdrawal from the EU on January 31, 2020 and end of the transition period on December 31, 2020, as noted above, the United Kingdom has introduced the UK GDPR which currently makes the privacy regimes of the EEA and United Kingdom similar, though it is possible that either the EU, and consequently those further states that make up the remainder of the EEA, or United Kingdom could elect to change their approach and create differences in legal requirements and regulation in this area. This could expose us to two parallel regimes, each of which potentially authorizes similar fines (see below) and other potentially divergent enforcement actions for certain violations.</w:t>
      </w:r>
    </w:p>
    <w:p>
      <w:pPr>
        <w:spacing w:after="0" w:line="73" w:lineRule="exact"/>
        <w:rPr>
          <w:sz w:val="20"/>
          <w:szCs w:val="20"/>
          <w:color w:val="auto"/>
        </w:rPr>
      </w:pPr>
    </w:p>
    <w:p>
      <w:pPr>
        <w:ind w:right="220" w:firstLine="509"/>
        <w:spacing w:after="0" w:line="243" w:lineRule="auto"/>
        <w:rPr>
          <w:sz w:val="20"/>
          <w:szCs w:val="20"/>
          <w:color w:val="auto"/>
        </w:rPr>
      </w:pPr>
      <w:r>
        <w:rPr>
          <w:rFonts w:ascii="Times New Roman" w:cs="Times New Roman" w:eastAsia="Times New Roman" w:hAnsi="Times New Roman"/>
          <w:sz w:val="18"/>
          <w:szCs w:val="18"/>
          <w:color w:val="auto"/>
        </w:rPr>
        <w:t>However, on June 28, 2021, the European Commission issued an adequacy decision under the GDPR which allows transfers (other than those carried out for the purposes of U.K. immigration control) of personal data from the EEA to the U.K. to continue without restriction for a period of four years ending June 27, 2025. After that period, the adequacy decision may be renewed only if the U.K. continues to ensure an adequate level of data protection. During these four years, the European Commission will continue to monitor the legal situation in the U.K. and could intervene at any point if the U.K. deviates from the level of data protection in place at the time of issuance of the adequacy decision. If the adequacy decision is withdrawn or not renewed, transfers of personal data from the EEA to the U.K. will require a valid ‘transfer mechanism’ and we may be required to implement new processes and put new agreements in place, such as Standard Contractual Clauses, to enable transfers of personal data from the EEA to the U.K. to continue, which could disrupt our operations.</w:t>
      </w:r>
    </w:p>
    <w:p>
      <w:pPr>
        <w:spacing w:after="0" w:line="92"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8"/>
          <w:szCs w:val="18"/>
          <w:color w:val="auto"/>
        </w:rPr>
        <w:t>In particular, while the U.K. data protection regime currently permits data transfers from the U.K. to the EEA and other third countries covered by a European Commission adequacy decision, this is subject to change in the future, and any such changes could have implications for our transfers of personal data from the U.K. Furthermore, the U.K. government has now issued certain U.K.-specific international data transfer tools, namely, a UK International Data Transfer Agreement and a UK International Data Transfer Addendum to the European Union's Standard Contractual Clauses. Where relevant, we will need to implement one of these U.K.-specific tools alongside EU versions of Standard Contractual Clauses, which may require significant resources and result in significant cost to implement and manage.</w:t>
      </w:r>
    </w:p>
    <w:p>
      <w:pPr>
        <w:spacing w:after="0" w:line="87" w:lineRule="exact"/>
        <w:rPr>
          <w:sz w:val="20"/>
          <w:szCs w:val="20"/>
          <w:color w:val="auto"/>
        </w:rPr>
      </w:pPr>
    </w:p>
    <w:p>
      <w:pPr>
        <w:ind w:right="40" w:firstLine="509"/>
        <w:spacing w:after="0" w:line="241" w:lineRule="auto"/>
        <w:rPr>
          <w:sz w:val="20"/>
          <w:szCs w:val="20"/>
          <w:color w:val="auto"/>
        </w:rPr>
      </w:pPr>
      <w:r>
        <w:rPr>
          <w:rFonts w:ascii="Times New Roman" w:cs="Times New Roman" w:eastAsia="Times New Roman" w:hAnsi="Times New Roman"/>
          <w:sz w:val="18"/>
          <w:szCs w:val="18"/>
          <w:color w:val="auto"/>
        </w:rPr>
        <w:t>Under the GDPR, fines of up to €20 million or up to 4% of an undertaking’s total worldwide annual turnover of the preceding financial year, whichever is higher, may be imposed. Further, following the withdrawal of the UK from the EU and the end of the transitional period, we will have to comply with the GDPR and separately the UK GDPR, each regime having the ability to fine up to the greater of €20 million/ £17.5 million or 4% of global turnover. In addition to administrative fines, a wide variety of other potential enforcement powers are available to competent authorities in respect of potential and suspected violations of the GDPR, including extensive audit and inspection rights, and powers to order temporary or permanent bans on all or some processing of personal data carried out by noncompliant actors. Implementing mechanisms to endeavor to ensure compliance with the GDPR and relevant local legislation in EEA Member States and the UK may be onerous and may interrupt or delay our development activities, and adversely affect our business, financial condition, results of operations, and prospects. In addition to the foregoing, a breach of the GDPR or other applicable privacy and data protection laws and regulations could result in regulatory investigations, reputational damage, orders to cease/change our use of data, enforcement notices, or potential civil claims including class action-type litigation. While we have taken steps to comply with the GDPR where applicable, including by reviewing our security procedures, engaging data protection personnel, and entering into data processing agreements with relevant contractors, our efforts to achieve and remain in compliance may not be fully successful.</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59155" cy="8890"/>
                    </a:xfrm>
                    <a:prstGeom prst="rect">
                      <a:avLst/>
                    </a:prstGeom>
                    <a:noFill/>
                  </pic:spPr>
                </pic:pic>
              </a:graphicData>
            </a:graphic>
          </wp:anchor>
        </w:drawing>
      </w:r>
    </w:p>
    <w:p>
      <w:pPr>
        <w:spacing w:after="0" w:line="344" w:lineRule="exact"/>
        <w:rPr>
          <w:sz w:val="20"/>
          <w:szCs w:val="20"/>
          <w:color w:val="auto"/>
        </w:rPr>
      </w:pPr>
    </w:p>
    <w:p>
      <w:pPr>
        <w:ind w:right="40" w:firstLine="509"/>
        <w:spacing w:after="0" w:line="242" w:lineRule="auto"/>
        <w:rPr>
          <w:sz w:val="20"/>
          <w:szCs w:val="20"/>
          <w:color w:val="auto"/>
        </w:rPr>
      </w:pPr>
      <w:r>
        <w:rPr>
          <w:rFonts w:ascii="Times New Roman" w:cs="Times New Roman" w:eastAsia="Times New Roman" w:hAnsi="Times New Roman"/>
          <w:sz w:val="18"/>
          <w:szCs w:val="18"/>
          <w:color w:val="auto"/>
        </w:rPr>
        <w:t>Compliance with U.S. and foreign privacy and security laws, rules and regulations could require us to take on more onerous obligations in our contracts, require us to engage in costly compliance exercises, restrict our ability to collect, use and disclose data, or in some cases, impact our or our partners’ or suppliers’ ability to operate in certain jurisdictions. Each of these constantly evolving laws can be subject to varying interpretations. Failure to comply with U.S. and foreign data protection laws and regulations could result in government investigations and enforcement actions (which could include civil or criminal penalties), fines, private litigation, and/or adverse publicity and could negatively affect our operating results and business. Moreover, patients about whom we or our partners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89"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The withdrawal of the UK from the EU may adversely impact our ability to obtain regulatory approvals of our product candidates in the EU, result in restrictions or imposition of taxes and duties for importing our product candidates into the EU, and may require us to incur additional expenses in order to develop, manufacture and commercialize our product candidates in the EU.</w:t>
      </w:r>
    </w:p>
    <w:p>
      <w:pPr>
        <w:spacing w:after="0" w:line="68"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Following the result of a referendum in 2016, the UK left the EU on January 31, 2020, commonly referred to as Brexit. Pursuant to the formal withdrawal arrangements agreed between the UK and the EU, the UK was subject to a transition period until December 31, 2020, or the Transition Period, during which EU rules continued to apply. A trade and cooperation agreement, or the Trade and Cooperation Agreement, that outlines the future trading relationship between the United Kingdom and the European Union applied provisionally from January 1, 2021, and formally entered into force on May 1, 2021.</w:t>
      </w:r>
    </w:p>
    <w:p>
      <w:pPr>
        <w:spacing w:after="0" w:line="69"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Since a significant proportion of the regulatory framework in the UK applicable to our business and our product candidates is derived from EU directives and regulations, Brexit has had, and may continue to have, a material impact upon the regulatory regime with respect to the development, manufacture, importation, approval and commercialization of our product candidates in the UK. For example, Great Britain is no longer covered by the centralized procedures for obtaining EU-wide marketing authorization from the EMA and a separate process for authorization of drug products, including tildacerfont and any future product candidates, currently applies in Great Britain. Any delay in obtaining, or an inability to obtain, any marketing approvals, as a result of Brexit or otherwise, would restrict our ability to generate revenue and achieve and sustain profitability.</w:t>
      </w:r>
    </w:p>
    <w:p>
      <w:pPr>
        <w:spacing w:after="0" w:line="72" w:lineRule="exact"/>
        <w:rPr>
          <w:sz w:val="20"/>
          <w:szCs w:val="20"/>
          <w:color w:val="auto"/>
        </w:rPr>
      </w:pPr>
    </w:p>
    <w:p>
      <w:pPr>
        <w:ind w:right="40" w:firstLine="509"/>
        <w:spacing w:after="0" w:line="246" w:lineRule="auto"/>
        <w:rPr>
          <w:sz w:val="20"/>
          <w:szCs w:val="20"/>
          <w:color w:val="auto"/>
        </w:rPr>
      </w:pPr>
      <w:r>
        <w:rPr>
          <w:rFonts w:ascii="Times New Roman" w:cs="Times New Roman" w:eastAsia="Times New Roman" w:hAnsi="Times New Roman"/>
          <w:sz w:val="18"/>
          <w:szCs w:val="18"/>
          <w:color w:val="auto"/>
        </w:rPr>
        <w:t>Following Brexit, there is no pre-marketing authorization orphan designation in Great Britain, instead an application for orphan designation is made at the same time as an application for marketing authorization. Orphan designation in the Great Britain following Brexit is based on the prevalence of the condition in Great Britain as opposed to the previous position where prevalence in the EU was the determinant. It is therefore possible that conditions that were previously designated as orphan conditions in the United Kingdom will no longer be and that conditions that are not designated as orphan conditions in the European Union will be designated as such in the United Kingdom, or Great Britain.</w:t>
      </w:r>
    </w:p>
    <w:p>
      <w:pPr>
        <w:spacing w:after="0" w:line="73"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While the Trade and Cooperation Agreement provides for the tariff-free trade of medicinal products between the UK and the EU there are additional non-tariff costs to such trade which did not exist prior to the end of the Transition Period, and shipments between the UK and the EU are more likely to be delayed compared to the position prior to Brexit. Further, should the UK diverge from the EU from a regulatory perspective in relation to medicinal products, tariffs could be put in place in the future. If any of these outcomes occur, we may be forced to restrict or delay efforts to seek regulatory approval in the UK for tildacerfont and any future product candidates, or incur significant additional expenses to operate our business, which could significantly and materially harm or delay our ability to generate revenues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impacted nations and the UK.</w:t>
      </w:r>
    </w:p>
    <w:p>
      <w:pPr>
        <w:spacing w:after="0" w:line="67"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commercialization of tildacerfont and any future product candidates.</w:t>
      </w:r>
    </w:p>
    <w:p>
      <w:pPr>
        <w:spacing w:after="0" w:line="63"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clinical testing of tildacerfont and any future product candidates and will face an even greater risk if we commercialize any products. For example, we may be sued if tildacerfont or any future product candidates causes or is perceived to cause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tildacerfont. Even successful defense would require significant financial and management resources. Regardless of the merits or eventual outcome, liability claims may result in:</w:t>
      </w:r>
    </w:p>
    <w:p>
      <w:pPr>
        <w:spacing w:after="0" w:line="92" w:lineRule="exact"/>
        <w:rPr>
          <w:sz w:val="20"/>
          <w:szCs w:val="20"/>
          <w:color w:val="auto"/>
        </w:rPr>
      </w:pPr>
    </w:p>
    <w:p>
      <w:pPr>
        <w:ind w:left="1780" w:hanging="380"/>
        <w:spacing w:after="0"/>
        <w:tabs>
          <w:tab w:leader="none" w:pos="17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tildacerfont and any future product candidates;</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59155" cy="8890"/>
                    </a:xfrm>
                    <a:prstGeom prst="rect">
                      <a:avLst/>
                    </a:prstGeom>
                    <a:noFill/>
                  </pic:spPr>
                </pic:pic>
              </a:graphicData>
            </a:graphic>
          </wp:anchor>
        </w:drawing>
      </w:r>
    </w:p>
    <w:p>
      <w:pPr>
        <w:spacing w:after="0" w:line="344" w:lineRule="exact"/>
        <w:rPr>
          <w:sz w:val="20"/>
          <w:szCs w:val="20"/>
          <w:color w:val="auto"/>
        </w:rPr>
      </w:pPr>
    </w:p>
    <w:p>
      <w:pPr>
        <w:ind w:left="1780" w:hanging="380"/>
        <w:spacing w:after="0"/>
        <w:tabs>
          <w:tab w:leader="none" w:pos="17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regulatory authorities;</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117"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117"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exhaustion of any available insurance and our capital resources;</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tildacerfont and any future product candidates; or</w:t>
      </w:r>
    </w:p>
    <w:p>
      <w:pPr>
        <w:spacing w:after="0" w:line="117"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our share price.</w:t>
      </w:r>
    </w:p>
    <w:p>
      <w:pPr>
        <w:spacing w:after="0" w:line="104"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Our inability to obtain and retain sufficient product liability insurance at an acceptable cost to protect against potential product liability claims could prevent or inhibit the commercialization of products we develop. We currently carry an aggregate of up to $7.0 million of product liability insurance covering our clinical trials. Although we maintain such insurance, any claim that may be brought against us could result in a court judgment or settlement in an amount that is not covered, in whole or in part, by our insurance or that is in excess of the limits of our insurance coverage. If we determine that it is prudent to increase our product liability coverage due to the commercial launch of any approved product, we may be unable to obtain such increased coverage on acceptable terms, or at all.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74"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60"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We are subject to export control and import laws and regulations, including the U.S. Export Administration Regulations, U.S. Customs regulations, and various economic and trade sanctions regulations administered by the U.S. Treasury Department’s Office of Foreign Assets Controls, and anti-corruption and anti-money laundering laws and regulations, including the FCPA,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clinical research organizations, contractors and other collaborators and partners from authorizing, promising, offering, providing, soliciting or receiving, directly or indirectly, improper payments or anything else of value to recipients in the public or private sector. We may engage third parties for clinical trials outside of the United States, to sell our products internationally once we enter a commercialization phase,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clinical research organizations, contractors and other collaborators and partners,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and results of operations.</w:t>
      </w:r>
    </w:p>
    <w:p>
      <w:pPr>
        <w:spacing w:after="0" w:line="121"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including inflation and supply disruption. A domestic or global financial crisis can cause extreme volatility and disruptions in the capital and credit markets. A severe or prolonged economic downturn, which could result from an event like the COVID-19 pandemic or the recent global sanctions imposed by countries against Russia following Russia’s military intervention in Ukraine, could result in a variety of risks to our business, including disruption to enrollment within our ongoing clinical trials, our inability to purchase necessary supplies on acceptable terms, if at all, and our inability to raise additional capital when needed on acceptable terms, if at all. A weak or declining economy could strain our suppliers, possibly resulting in supply disruption, or cause delays in payments for our services by third-party payors or our collaborators. Any of the foregoing could harm our business and we cannot anticipate all of the ways in which the current economic climate and financial market conditions could adversely impact our business.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may be limited.*</w:t>
      </w:r>
    </w:p>
    <w:p>
      <w:pPr>
        <w:spacing w:after="0" w:line="108"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color w:val="auto"/>
        </w:rPr>
        <w:t>We have incurred substantial losses during our history and do not expect to become profitable in the near future, and we may never achieve profitability. As of December 31, 2021, after reducing net operating losses, or NOLs, and tax credits for amounts not</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59155" cy="8890"/>
                    </a:xfrm>
                    <a:prstGeom prst="rect">
                      <a:avLst/>
                    </a:prstGeom>
                    <a:noFill/>
                  </pic:spPr>
                </pic:pic>
              </a:graphicData>
            </a:graphic>
          </wp:anchor>
        </w:drawing>
      </w:r>
    </w:p>
    <w:p>
      <w:pPr>
        <w:spacing w:after="0" w:line="344"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expected to be utilized, we had federal NOL carryforwards of approximately $98.6 million and state NOL carryforwards of approximately $98.4 million. The federal NOL carryforwards arising in taxable years beginning prior to 2018 will begin to expire in 2036 and state NOL carryforwards will begin to expire in 2036, unless previously utilized. We also have federal and state tax credit carryforwards totaling $5.6 million and $1.0 million, respectively. The federal tax credit carryforwards will begin to expire in 2036, unless previously utilized. The state tax credits will not expire.</w:t>
      </w:r>
    </w:p>
    <w:p>
      <w:pPr>
        <w:spacing w:after="0" w:line="69"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Under the Tax Act, as modified by the Coronavirus Aid, Relief, and Economic Security Act, or CARES Act, federal NOL carryforwards generated in tax years beginning after December 31, 2017 may be carried forward indefinitely but may only be used to offset 80% of our taxable income annually. Similar rules may apply under state tax laws. Such limitations could result in the expiration of our carryforwards before they can be utilized and, if we are profitable, our future cash flows could be adversely affected due to our increased taxable income or tax liability. Our NOLs and tax credit carryforwards are subject to review and possible adjustment by the Internal Revenue Service and state tax authorities and may become subject to an annual limitations under Section 382 and 383 of the Internal Revenue Code of 1986, as amended. Under Section 382, certain cumulative changes in the ownership interest of significant stockholders over a rolling three-year period in excess of 50 percentage points (by value), could result in an ownership change that may limit our ability to utilize our NOL carryforwards and other tax attributes to offset future taxable income or tax liabilities. An ownership change analysis covering periods through December 31, 2021 concluded that an ownership change occurred in May 2016 and in August 2020. As a result of the ownership change, we derecognized NOL-related deferred tax assets down to the amount expected to be realized. Our ability to use our remaining NOL carryforwards may be further limited if we experience a Section 382 ownership change as a result of future changes in our stock ownership. As of March 31, 2022, we recorded a full valuation allowance on our net deferred tax assets.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212" w:lineRule="exact"/>
        <w:rPr>
          <w:sz w:val="20"/>
          <w:szCs w:val="20"/>
          <w:color w:val="auto"/>
        </w:rPr>
      </w:pPr>
    </w:p>
    <w:p>
      <w:pPr>
        <w:ind w:right="2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depend on intellectual property licensed from Lilly, the termination of which could result in the loss of significant rights, which would harm our business.</w:t>
      </w:r>
    </w:p>
    <w:p>
      <w:pPr>
        <w:spacing w:after="0" w:line="50" w:lineRule="exact"/>
        <w:rPr>
          <w:sz w:val="20"/>
          <w:szCs w:val="20"/>
          <w:color w:val="auto"/>
        </w:rPr>
      </w:pPr>
    </w:p>
    <w:p>
      <w:pPr>
        <w:ind w:right="260" w:firstLine="509"/>
        <w:spacing w:after="0" w:line="250" w:lineRule="auto"/>
        <w:rPr>
          <w:sz w:val="20"/>
          <w:szCs w:val="20"/>
          <w:color w:val="auto"/>
        </w:rPr>
      </w:pPr>
      <w:r>
        <w:rPr>
          <w:rFonts w:ascii="Times New Roman" w:cs="Times New Roman" w:eastAsia="Times New Roman" w:hAnsi="Times New Roman"/>
          <w:sz w:val="18"/>
          <w:szCs w:val="18"/>
          <w:color w:val="auto"/>
        </w:rPr>
        <w:t>We are dependent on technology, patents, know-how, and proprietary materials, both our own and licensed from others. We entered into a license agreement with Lilly in May 2016 pursuant to which we were granted an exclusive, worldwide, royalty bearing, sublicensable license under certain technology, patent rights, know-how, and proprietary materials relating to certain CRF1 receptor antagonist compounds. Any termination of this license will result in the loss of significant rights and will restrict our ability to develop and commercialize tildacerfont.</w:t>
      </w:r>
    </w:p>
    <w:p>
      <w:pPr>
        <w:spacing w:after="0" w:line="83" w:lineRule="exact"/>
        <w:rPr>
          <w:sz w:val="20"/>
          <w:szCs w:val="20"/>
          <w:color w:val="auto"/>
        </w:rPr>
      </w:pPr>
    </w:p>
    <w:p>
      <w:pPr>
        <w:ind w:right="220" w:firstLine="509"/>
        <w:spacing w:after="0" w:line="250" w:lineRule="auto"/>
        <w:rPr>
          <w:sz w:val="20"/>
          <w:szCs w:val="20"/>
          <w:color w:val="auto"/>
        </w:rPr>
      </w:pPr>
      <w:r>
        <w:rPr>
          <w:rFonts w:ascii="Times New Roman" w:cs="Times New Roman" w:eastAsia="Times New Roman" w:hAnsi="Times New Roman"/>
          <w:sz w:val="18"/>
          <w:szCs w:val="18"/>
          <w:color w:val="auto"/>
        </w:rPr>
        <w:t>We are generally also subject to all of the same risks with respect to protection of intellectual property that we license, as we are for intellectual property that we own, which are described below under “Risks Related to Our Intellectual Property.” If we or our licensors fail to adequately protect this intellectual property, our ability to commercialize products could suffer.</w:t>
      </w:r>
    </w:p>
    <w:p>
      <w:pPr>
        <w:spacing w:after="0" w:line="65"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clinical trials. If these third parties do not successfully carry out their contractual duties or meet expected deadlines, we may not be able to obtain regulatory approval for or commercialize tildacerfont.</w:t>
      </w:r>
    </w:p>
    <w:p>
      <w:pPr>
        <w:spacing w:after="0" w:line="37"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We currently rely on, and intend to continue relying on, third-party CROs in connection with our clinical trials for tildacerfont. We control or will control only certain aspects of their activities. Nevertheless, we are responsible for ensuring that each of our clinical trials is conducted in accordance with applicable protocol, legal, regulatory, and scientific standards, and our reliance on our CROs does not relieve us of our regulatory responsibilities. We and our CROs are required to comply with GCPs, which are regulations and guidelines enforced by the FDA and comparable foreign regulatory authorities for product candidates in clinical development. Regulatory authorities enforce these GCPs through periodic inspections of trial sponsors, principal investigators and trial sites. If we or any of these CROs fail to comply with applicable GCP regulations, the clinical data generated in our clinical trials may be deemed unreliable and the FDA or comparable foreign regulatory authorities may require us to perform additional clinical trials before approving our marketing applications. Upon inspection, such regulatory authorities may determine that our clinical trials do not comply with the GCP regulations. In addition, our clinical trials must be conducted with drug product produced under cGMP regulations and will require a large number of test subjects. Our failure or any failure by our CROs to comply with these regulations or to recruit a sufficient number of patients may require us to repeat clinical trials, which would delay the regulatory approval process. Moreover, our business may be implicated if any of our CROs violates federal or state fraud and abuse or false claims laws and regulations or healthcare privacy and security laws.</w:t>
      </w:r>
    </w:p>
    <w:p>
      <w:pPr>
        <w:spacing w:after="0" w:line="77"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Our CROs are not our employees and, except for remedies available to us under our agreements with such CROs, we cannot control whether or not they devote sufficient time and resources to our ongoing preclinical, clinical and non-clinical programs. These CROs may also have relationships with other commercial entities, including our competitors, for whom they may also be conducting clinical trials or other drug development activities, which could affect their performance on our behalf. If our CROs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59155" cy="8890"/>
                    </a:xfrm>
                    <a:prstGeom prst="rect">
                      <a:avLst/>
                    </a:prstGeom>
                    <a:noFill/>
                  </pic:spPr>
                </pic:pic>
              </a:graphicData>
            </a:graphic>
          </wp:anchor>
        </w:drawing>
      </w:r>
    </w:p>
    <w:p>
      <w:pPr>
        <w:spacing w:after="0" w:line="344" w:lineRule="exact"/>
        <w:rPr>
          <w:sz w:val="20"/>
          <w:szCs w:val="20"/>
          <w:color w:val="auto"/>
        </w:rPr>
      </w:pPr>
    </w:p>
    <w:p>
      <w:pPr>
        <w:ind w:right="420"/>
        <w:spacing w:after="0" w:line="250" w:lineRule="auto"/>
        <w:rPr>
          <w:sz w:val="20"/>
          <w:szCs w:val="20"/>
          <w:color w:val="auto"/>
        </w:rPr>
      </w:pPr>
      <w:r>
        <w:rPr>
          <w:rFonts w:ascii="Times New Roman" w:cs="Times New Roman" w:eastAsia="Times New Roman" w:hAnsi="Times New Roman"/>
          <w:sz w:val="18"/>
          <w:szCs w:val="18"/>
          <w:color w:val="auto"/>
        </w:rPr>
        <w:t>development of, obtain regulatory approval for or successfully commercialize tildacerfont and any future product candidates. As a result, our financial results and the commercial prospects for tildacerfont and any future product candidates would be harmed, our costs could increase and our ability to generate revenues could be delayed.</w:t>
      </w:r>
    </w:p>
    <w:p>
      <w:pPr>
        <w:spacing w:after="0" w:line="82" w:lineRule="exact"/>
        <w:rPr>
          <w:sz w:val="20"/>
          <w:szCs w:val="20"/>
          <w:color w:val="auto"/>
        </w:rPr>
      </w:pPr>
    </w:p>
    <w:p>
      <w:pPr>
        <w:ind w:right="360" w:firstLine="509"/>
        <w:spacing w:after="0" w:line="250" w:lineRule="auto"/>
        <w:rPr>
          <w:sz w:val="20"/>
          <w:szCs w:val="20"/>
          <w:color w:val="auto"/>
        </w:rPr>
      </w:pPr>
      <w:r>
        <w:rPr>
          <w:rFonts w:ascii="Times New Roman" w:cs="Times New Roman" w:eastAsia="Times New Roman" w:hAnsi="Times New Roman"/>
          <w:sz w:val="18"/>
          <w:szCs w:val="18"/>
          <w:color w:val="auto"/>
        </w:rPr>
        <w:t>Switching or adding CROs involves substantial cost and requires extensive management time and focus. In addition, there is a natural transition period when a new CRO commences work. As a result, delays occur, which can materially impact our ability to meet our desired clinical development timelines. Although we carefully manage our relationships with our CROs, we may encounter challenges or delays in the future and these delays or challenges may have a material adverse impact on our business, prospects, financial condition, and results of operations.</w:t>
      </w:r>
    </w:p>
    <w:p>
      <w:pPr>
        <w:spacing w:after="0" w:line="6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addition, quarantines, shelter-in-place, and similar government orders, or the perception that such orders, shutdowns or other restrictions on the conduct of business operations could occur, related to COVID-19 or other infectious diseases could impact personnel at our CROs, which could disrupt our clinical timelines, which could have a material adverse impact on our business, prospects, financial condition, and results of operations.</w:t>
      </w:r>
    </w:p>
    <w:p>
      <w:pPr>
        <w:spacing w:after="0" w:line="57"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We rely completely on third parties to manufacture our preclinical and clinical drug supplies and we intend to rely on third parties to produce commercial supplies of tildacerfont and any future product candidates, if approved, and these third parties may fail to obtain and maintain regulatory approval for their facilities, fail to provide us with sufficient quantities of drug product or fail to do so at acceptable quality levels or prices.</w:t>
      </w:r>
    </w:p>
    <w:p>
      <w:pPr>
        <w:spacing w:after="0" w:line="63"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We do not currently have nor do we plan to acquire the infrastructure or capability internally to manufacture our clinical drug supplies for use in the conduct of our clinical trials, and we lack the resources and the capability to manufacture tildacerfont and any future product candidates on a clinical or commercial scale. Instead, we rely on contract manufacturers for such production. In particular, we currently rely on a single-source manufacturer for drug product, and a single-source manufacturer for drug substance.</w:t>
      </w:r>
    </w:p>
    <w:p>
      <w:pPr>
        <w:spacing w:after="0" w:line="69" w:lineRule="exact"/>
        <w:rPr>
          <w:sz w:val="20"/>
          <w:szCs w:val="20"/>
          <w:color w:val="auto"/>
        </w:rPr>
      </w:pPr>
    </w:p>
    <w:p>
      <w:pPr>
        <w:ind w:right="100" w:firstLine="509"/>
        <w:spacing w:after="0" w:line="244" w:lineRule="auto"/>
        <w:rPr>
          <w:sz w:val="20"/>
          <w:szCs w:val="20"/>
          <w:color w:val="auto"/>
        </w:rPr>
      </w:pPr>
      <w:r>
        <w:rPr>
          <w:rFonts w:ascii="Times New Roman" w:cs="Times New Roman" w:eastAsia="Times New Roman" w:hAnsi="Times New Roman"/>
          <w:sz w:val="18"/>
          <w:szCs w:val="18"/>
          <w:color w:val="auto"/>
        </w:rPr>
        <w:t>We do not currently have any long-term agreement with a manufacturer to produce raw materials, APIs, and the finished products of tildacerfont or the associated packaging used in our current product format and we may rely on single source suppliers for clinical supply of API and drug product of tildacerfont. We will need to identify and qualify a third-party manufacturer prior to commercialization of tildacerfont, and we intend to enter into agreements for commercial production with third-party suppliers. As tildacerfont is intended to treat rare endocrine disorders, we will only require a low-volume of raw materials and APIs, and in some cases with single-source suppliers and manufacturers. Our reliance on third-party suppliers and manufacturers, including single-source suppliers, could harm our ability to develop tildacerfont and any future product candidates or to commercialize any product candidates that are approved. Further, any delay in identifying and qualifying a manufacturer for commercial production could delay the potential commercialization of tildacerfont and any future product candidates, and, in the event that we do not have sufficient product to complete our clinical trials, it could delay such trials.</w:t>
      </w:r>
    </w:p>
    <w:p>
      <w:pPr>
        <w:spacing w:after="0" w:line="77"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The facilities used by our contract manufacturers to manufacture tildacerfont and any future product candidates must be approved by the applicable regulatory authorities, including the FDA, pursuant to inspections that will be conducted after an NDA or comparable foreign regulatory marketing application is submitted. We currently do not control the manufacturing process of tildacerfont and are completely dependent on our contract manufacturing partners for compliance with the FDA’s cGMP requirements for manufacture of both the active drug substances and finished drug product. If our contract manufacturers cannot successfully manufacture material that conforms to our specifications and the FDA’s strict regulatory requirements, they will not be able to secure or maintain FDA approval for the manufacturing facilities. In addition, we have no control over the ability of our contract manufacturers to maintain adequate quality control, quality assurance and qualified personnel. If the FDA or any other applicable regulatory authority does not approve these facilities for the manufacture of tildacerfont or any future product candidates or if it withdraws any such approval in the future, or if our suppliers or contract manufacturers decide they no longer want to supply or manufacture for us, we may need to find alternative manufacturing facilities, in which case we might not be able to identify manufacturers for clinical or commercial supply on acceptable terms, or at all, which would significantly impact our ability to develop, obtain regulatory approval for, or market tildacerfont and any future product candidates.</w:t>
      </w:r>
    </w:p>
    <w:p>
      <w:pPr>
        <w:spacing w:after="0" w:line="80" w:lineRule="exact"/>
        <w:rPr>
          <w:sz w:val="20"/>
          <w:szCs w:val="20"/>
          <w:color w:val="auto"/>
        </w:rPr>
      </w:pPr>
    </w:p>
    <w:p>
      <w:pPr>
        <w:ind w:right="80" w:firstLine="509"/>
        <w:spacing w:after="0" w:line="243" w:lineRule="auto"/>
        <w:rPr>
          <w:sz w:val="20"/>
          <w:szCs w:val="20"/>
          <w:color w:val="auto"/>
        </w:rPr>
      </w:pPr>
      <w:r>
        <w:rPr>
          <w:rFonts w:ascii="Times New Roman" w:cs="Times New Roman" w:eastAsia="Times New Roman" w:hAnsi="Times New Roman"/>
          <w:sz w:val="18"/>
          <w:szCs w:val="18"/>
          <w:color w:val="auto"/>
        </w:rPr>
        <w:t>In addition, the manufacture of pharmaceutical products is complex and requires significant expertise and capital investment, including the development of advanced manufacturing techniques and process controls. Manufacturers of pharmaceutical products often encounter difficulties in production, particularly in scaling up and validating initial production and absence of contamination. These problems include difficulties with production costs and yields, quality control, including stability of the product, quality assurance testing, operator error, shortages of qualified personnel, as well as compliance with strictly enforced federal, state, and foreign regulations. Furthermore, if contaminants are discovered in our supply of tildacerfont or any future product candidates or in the manufacturing facilities, such manufacturing facilities may need to be closed for an extended period of time to investigate and remedy the contamination. Any stability or other issues relating to the manufacture of tildacerfont may occur in the future. In addition, quarantines, shelter-in-place, and similar government orders, or the perception that such orders, shutdowns, or other restrictions on the conduct of business operations could occur, related to COVID-19 or other infectious diseases could impact personnel at our third-party manufacturing facilities upon which we rely, or the availability or cost of materials, which could disrupt the supply chain for our</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59155" cy="8890"/>
                    </a:xfrm>
                    <a:prstGeom prst="rect">
                      <a:avLst/>
                    </a:prstGeom>
                    <a:noFill/>
                  </pic:spPr>
                </pic:pic>
              </a:graphicData>
            </a:graphic>
          </wp:anchor>
        </w:drawing>
      </w:r>
    </w:p>
    <w:p>
      <w:pPr>
        <w:spacing w:after="0" w:line="344"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product candidates. Additionally, our manufacturers may experience manufacturing difficulties due to resource constraints or as a result of labor disputes or unstable political environments. If our manufacturers were to encounter any of these difficulties, or otherwise fail to comply with their contractual obligations, our ability to provide our product candidate to patients in clinical trials would be jeopardized. Any delay or interruption in the supply of clinical trial supplies could delay the completion of clinical trials, increase the costs associated with maintaining clinical trial programs and, depending upon the period of delay, require us to commence new clinical trials at additional expense or terminate clinical trials completely.</w:t>
      </w:r>
    </w:p>
    <w:p>
      <w:pPr>
        <w:spacing w:after="0" w:line="69"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third-party manufacturers use hazardous and biological materials in a manner that causes injury or violates applicable law, we may be liable for damages.</w:t>
      </w:r>
    </w:p>
    <w:p>
      <w:pPr>
        <w:spacing w:after="0" w:line="37"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Our research and development activities involve the controlled use of potentially hazardous substances, including chemical and biological materials, by our third-party manufacturers. Our manufacturers are subject to federal, state, and local laws and regulations in the United States governing the use, manufacture, storage, handling and disposal of medical, radioactive and hazardous materials. Although we believe that our manufacturers’ procedures for using, handling, storing and disposing of these materials comply with legally prescribed standards, we cannot completely eliminate the risk of contamination or injury resulting from medical, radioactive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radioactive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sufficient intellectual property protection for tildacerfont, any future product candidates, and other proprietary technologies we develop, or if the scope of the intellectual property protection obtained is not sufficiently broad, our competitors could develop and commercialize products similar or identical to ours, and our ability to successfully commercialize tildacerfont, if approved, any future product candidates, and other proprietary technologies if approved, may be adversely affected.</w:t>
      </w:r>
    </w:p>
    <w:p>
      <w:pPr>
        <w:spacing w:after="0" w:line="66" w:lineRule="exact"/>
        <w:rPr>
          <w:sz w:val="20"/>
          <w:szCs w:val="20"/>
          <w:color w:val="auto"/>
        </w:rPr>
      </w:pPr>
    </w:p>
    <w:p>
      <w:pPr>
        <w:ind w:right="180" w:firstLine="509"/>
        <w:spacing w:after="0" w:line="250" w:lineRule="auto"/>
        <w:rPr>
          <w:sz w:val="20"/>
          <w:szCs w:val="20"/>
          <w:color w:val="auto"/>
        </w:rPr>
      </w:pPr>
      <w:r>
        <w:rPr>
          <w:rFonts w:ascii="Times New Roman" w:cs="Times New Roman" w:eastAsia="Times New Roman" w:hAnsi="Times New Roman"/>
          <w:sz w:val="18"/>
          <w:szCs w:val="18"/>
          <w:color w:val="auto"/>
        </w:rPr>
        <w:t>Our commercial success will depend in part on our ability to obtain and maintain a combination of patents, trade secret protection and confidentiality agreements to protect the intellectual property related to tildacerfont, any future product candidates, and other proprietary technologies we develop. If we are unable to obtain or maintain patent protection with respect to tildacerfont, any future product candidates, and other proprietary technologies we may develop, our business, financial condition, results of operations, and prospects could be materially harmed.</w:t>
      </w:r>
    </w:p>
    <w:p>
      <w:pPr>
        <w:spacing w:after="0" w:line="69"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is highly uncertain and involves complex legal, scientific, and factual questions and has been the subject of frequent litigation in recent years. As a result, the issuance, scope, validity, enforceability, and commercial value of our patent rights are highly uncertain. Our patent applications may not result in patents being issued which protect tildacerfont, any future product candidates, and other proprietary technologies we may develop or which effectively prevent others from commercializing competitive technologies and products. Further, no consistent policy regarding the breadth of claims allowed in pharmaceutical patents has emerged to date in the United States or in many jurisdictions outside of the United States. Changes in either the patent laws or interpretations of patent laws in the United States and other countries may diminish the value of our intellectual property. Accordingly, we cannot predict the breadth of claims that may be enforced in the patents that may be issued from the applications we currently or may in the future own or license from third parties. Further, if any patents we obtain or license are deemed invalid and unenforceable, our ability to commercialize or license our technology could be adversely affected.</w:t>
      </w:r>
    </w:p>
    <w:p>
      <w:pPr>
        <w:spacing w:after="0" w:line="77"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patent application process is subject to numerous risks and uncertainties, and there can be no assurance that we or any of our actual or potential future collaborators will be successful in protecting tildacerfont, any future product candidates, and other proprietary technologies and their uses by obtaining, defending and enforcing patents. These risks and uncertainties include the following:</w:t>
      </w:r>
    </w:p>
    <w:p>
      <w:pPr>
        <w:spacing w:after="0" w:line="61" w:lineRule="exact"/>
        <w:rPr>
          <w:sz w:val="20"/>
          <w:szCs w:val="20"/>
          <w:color w:val="auto"/>
        </w:rPr>
      </w:pPr>
    </w:p>
    <w:p>
      <w:pPr>
        <w:ind w:left="1780" w:right="140" w:hanging="380"/>
        <w:spacing w:after="0" w:line="250" w:lineRule="auto"/>
        <w:tabs>
          <w:tab w:leader="none" w:pos="17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United States Patent and Trademark Office, or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69"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applications may not result in any patents being issued;</w:t>
      </w:r>
    </w:p>
    <w:p>
      <w:pPr>
        <w:spacing w:after="0" w:line="103" w:lineRule="exact"/>
        <w:rPr>
          <w:rFonts w:ascii="Times New Roman" w:cs="Times New Roman" w:eastAsia="Times New Roman" w:hAnsi="Times New Roman"/>
          <w:sz w:val="18"/>
          <w:szCs w:val="18"/>
          <w:color w:val="auto"/>
        </w:rPr>
      </w:pPr>
    </w:p>
    <w:p>
      <w:pPr>
        <w:ind w:left="1780" w:right="860" w:hanging="380"/>
        <w:spacing w:after="0" w:line="282" w:lineRule="auto"/>
        <w:tabs>
          <w:tab w:leader="none" w:pos="17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that may be issued or in-licensed may be challenged, invalidated, modified, revoked, circumvented, found to be unenforceable, or may otherwise not provide any competitive advantage;</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left="1780" w:right="40" w:hanging="380"/>
        <w:spacing w:after="0" w:line="250" w:lineRule="auto"/>
        <w:tabs>
          <w:tab w:leader="none" w:pos="17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w:t>
      </w:r>
    </w:p>
    <w:p>
      <w:pPr>
        <w:spacing w:after="0" w:line="82" w:lineRule="exact"/>
        <w:rPr>
          <w:rFonts w:ascii="Times New Roman" w:cs="Times New Roman" w:eastAsia="Times New Roman" w:hAnsi="Times New Roman"/>
          <w:sz w:val="18"/>
          <w:szCs w:val="18"/>
          <w:color w:val="auto"/>
        </w:rPr>
      </w:pPr>
    </w:p>
    <w:p>
      <w:pPr>
        <w:ind w:left="1780" w:hanging="380"/>
        <w:spacing w:after="0" w:line="250" w:lineRule="auto"/>
        <w:tabs>
          <w:tab w:leader="none" w:pos="17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parties may have designed around our claims or developed technologies that may be related or competitive to our platform, may have filed or may file patent applications and may have received or may receive patents that overlap or conflict with our patent applications, either by claiming the same composition of matter, methods or formulations or by claiming subject matter that could dominate our patent position;</w:t>
      </w:r>
    </w:p>
    <w:p>
      <w:pPr>
        <w:spacing w:after="0" w:line="69" w:lineRule="exact"/>
        <w:rPr>
          <w:rFonts w:ascii="Times New Roman" w:cs="Times New Roman" w:eastAsia="Times New Roman" w:hAnsi="Times New Roman"/>
          <w:sz w:val="18"/>
          <w:szCs w:val="18"/>
          <w:color w:val="auto"/>
        </w:rPr>
      </w:pPr>
    </w:p>
    <w:p>
      <w:pPr>
        <w:ind w:left="1780" w:right="280" w:hanging="380"/>
        <w:spacing w:after="0" w:line="266" w:lineRule="auto"/>
        <w:tabs>
          <w:tab w:leader="none" w:pos="17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successful opposition to any patents owned by or licensed to us could deprive us of rights necessary for the practice of our technologies or the successful commercialization of any products or product candidates that we may develop;</w:t>
      </w:r>
    </w:p>
    <w:p>
      <w:pPr>
        <w:spacing w:after="0" w:line="67" w:lineRule="exact"/>
        <w:rPr>
          <w:rFonts w:ascii="Times New Roman" w:cs="Times New Roman" w:eastAsia="Times New Roman" w:hAnsi="Times New Roman"/>
          <w:sz w:val="18"/>
          <w:szCs w:val="18"/>
          <w:color w:val="auto"/>
        </w:rPr>
      </w:pPr>
    </w:p>
    <w:p>
      <w:pPr>
        <w:ind w:left="1780" w:right="320" w:hanging="380"/>
        <w:spacing w:after="0" w:line="250" w:lineRule="auto"/>
        <w:tabs>
          <w:tab w:leader="none" w:pos="17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patent applications in the United States and most other countries are confidential for a period of time after filing, we cannot be certain that we or our licensors were the first to file any patent application related to tildacerfont, any future product candidates, and other proprietary technologies and their uses;</w:t>
      </w:r>
    </w:p>
    <w:p>
      <w:pPr>
        <w:spacing w:after="0" w:line="68" w:lineRule="exact"/>
        <w:rPr>
          <w:rFonts w:ascii="Times New Roman" w:cs="Times New Roman" w:eastAsia="Times New Roman" w:hAnsi="Times New Roman"/>
          <w:sz w:val="18"/>
          <w:szCs w:val="18"/>
          <w:color w:val="auto"/>
        </w:rPr>
      </w:pPr>
    </w:p>
    <w:p>
      <w:pPr>
        <w:jc w:val="both"/>
        <w:ind w:left="1780" w:right="160" w:hanging="380"/>
        <w:spacing w:after="0" w:line="258" w:lineRule="auto"/>
        <w:tabs>
          <w:tab w:leader="none" w:pos="17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interference proceeding can be provoked by a third party or instituted by the USPTO to determine who was the first to invent any of the subject matter covered by the patent claims of our applications for any application with an effective filing date before March 16, 2013;</w:t>
      </w:r>
    </w:p>
    <w:p>
      <w:pPr>
        <w:spacing w:after="0" w:line="61" w:lineRule="exact"/>
        <w:rPr>
          <w:rFonts w:ascii="Times New Roman" w:cs="Times New Roman" w:eastAsia="Times New Roman" w:hAnsi="Times New Roman"/>
          <w:sz w:val="18"/>
          <w:szCs w:val="18"/>
          <w:color w:val="auto"/>
        </w:rPr>
      </w:pPr>
    </w:p>
    <w:p>
      <w:pPr>
        <w:jc w:val="both"/>
        <w:ind w:left="1780" w:right="460" w:hanging="380"/>
        <w:spacing w:after="0" w:line="258" w:lineRule="auto"/>
        <w:tabs>
          <w:tab w:leader="none" w:pos="17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61" w:lineRule="exact"/>
        <w:rPr>
          <w:rFonts w:ascii="Times New Roman" w:cs="Times New Roman" w:eastAsia="Times New Roman" w:hAnsi="Times New Roman"/>
          <w:sz w:val="18"/>
          <w:szCs w:val="18"/>
          <w:color w:val="auto"/>
        </w:rPr>
      </w:pPr>
    </w:p>
    <w:p>
      <w:pPr>
        <w:ind w:left="1780" w:right="40" w:hanging="380"/>
        <w:spacing w:after="0" w:line="282" w:lineRule="auto"/>
        <w:tabs>
          <w:tab w:leader="none" w:pos="17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countries other than the United States may have patent laws less favorable to patentees than those upheld by U.S. courts, allowing foreign competitors a better opportunity to create, develop, and market competing product candidates in those countries.</w:t>
      </w:r>
    </w:p>
    <w:p>
      <w:pPr>
        <w:spacing w:after="0" w:line="40" w:lineRule="exact"/>
        <w:rPr>
          <w:sz w:val="20"/>
          <w:szCs w:val="20"/>
          <w:color w:val="auto"/>
        </w:rPr>
      </w:pPr>
    </w:p>
    <w:p>
      <w:pPr>
        <w:ind w:right="20" w:firstLine="509"/>
        <w:spacing w:after="0" w:line="241" w:lineRule="auto"/>
        <w:rPr>
          <w:sz w:val="20"/>
          <w:szCs w:val="20"/>
          <w:color w:val="auto"/>
        </w:rPr>
      </w:pPr>
      <w:r>
        <w:rPr>
          <w:rFonts w:ascii="Times New Roman" w:cs="Times New Roman" w:eastAsia="Times New Roman" w:hAnsi="Times New Roman"/>
          <w:sz w:val="18"/>
          <w:szCs w:val="18"/>
          <w:color w:val="auto"/>
        </w:rPr>
        <w:t>The patent prosecution process is expensive, time-consuming, and complex, and we may not be able to file, prosecute, or maintain all necessary or desirable patent applications at a reasonable cost or in a timely manner, including delays as a result of the COVID-19 pandemic impacting our or our licensor's operations. It is also possible that we will fail to identify patentable aspects of our research and development output before it is too late to obtain patent protection. Although we enter into non-disclosure and confidentiality agreements with parties who have access to patentable aspects of our research and development output, such as our employees, corporate collaborators, outside scientific collaborators, CROs, contract manufacturers, consultants, advisors and other third parties, any of these parties may breach such agreements and disclose such output before a patent application is filed, thereby jeopardizing our ability to seek patent protection for such output. In addition, our ability to obtain and maintain valid and enforceable patents depends on whether the differences between our inventions and the prior art allow our inventions to be patentable over the prior art. Furthermore,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or our licensors were the first to make the inventions claimed in any of our owned or licensed patents or pending patent applications, or that we or our licensors were the first to file for patent protection of such inventions.</w:t>
      </w:r>
    </w:p>
    <w:p>
      <w:pPr>
        <w:spacing w:after="0" w:line="98" w:lineRule="exact"/>
        <w:rPr>
          <w:sz w:val="20"/>
          <w:szCs w:val="20"/>
          <w:color w:val="auto"/>
        </w:rPr>
      </w:pPr>
    </w:p>
    <w:p>
      <w:pPr>
        <w:ind w:right="220" w:firstLine="509"/>
        <w:spacing w:after="0" w:line="250" w:lineRule="auto"/>
        <w:rPr>
          <w:sz w:val="20"/>
          <w:szCs w:val="20"/>
          <w:color w:val="auto"/>
        </w:rPr>
      </w:pPr>
      <w:r>
        <w:rPr>
          <w:rFonts w:ascii="Times New Roman" w:cs="Times New Roman" w:eastAsia="Times New Roman" w:hAnsi="Times New Roman"/>
          <w:sz w:val="18"/>
          <w:szCs w:val="18"/>
          <w:color w:val="auto"/>
        </w:rPr>
        <w:t>The degree of future protection for our proprietary rights is uncertain because legal means afford only limited protection and may not adequately protect our rights or permit us to gain or keep our competitive advantage. If we do not adequately protect our intellectual property and proprietary technology, competitors may be able to use tildacerfont, any future product candidates, and other proprietary technologies and erode or negate any competitive advantage we may have, which could have a material adverse effect on our financial condition and results of operations. For example:</w:t>
      </w:r>
    </w:p>
    <w:p>
      <w:pPr>
        <w:spacing w:after="0" w:line="69" w:lineRule="exact"/>
        <w:rPr>
          <w:sz w:val="20"/>
          <w:szCs w:val="20"/>
          <w:color w:val="auto"/>
        </w:rPr>
      </w:pPr>
    </w:p>
    <w:p>
      <w:pPr>
        <w:ind w:left="1780" w:right="120" w:hanging="380"/>
        <w:spacing w:after="0" w:line="266" w:lineRule="auto"/>
        <w:tabs>
          <w:tab w:leader="none" w:pos="17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compounds that are similar to tildacerfont and any future product candidates but that are not covered by the claims of our patents;</w:t>
      </w:r>
    </w:p>
    <w:p>
      <w:pPr>
        <w:spacing w:after="0" w:line="67"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make the inventions covered by our pending patent applications;</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file patent applications for these inventions;</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w:t>
      </w:r>
    </w:p>
    <w:p>
      <w:pPr>
        <w:spacing w:after="0" w:line="117"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that we obtain may not provide us with any competitive advantages;</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2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left="1780" w:right="20" w:hanging="380"/>
        <w:spacing w:after="0" w:line="250" w:lineRule="auto"/>
        <w:tabs>
          <w:tab w:leader="none" w:pos="17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or where patent protection is weak and then use the information learned from such activities to develop competitive products for sale in our major commercial markets;</w:t>
      </w:r>
    </w:p>
    <w:p>
      <w:pPr>
        <w:spacing w:after="0" w:line="82" w:lineRule="exact"/>
        <w:rPr>
          <w:rFonts w:ascii="Times New Roman" w:cs="Times New Roman" w:eastAsia="Times New Roman" w:hAnsi="Times New Roman"/>
          <w:sz w:val="18"/>
          <w:szCs w:val="18"/>
          <w:color w:val="auto"/>
        </w:rPr>
      </w:pPr>
    </w:p>
    <w:p>
      <w:pPr>
        <w:ind w:left="1780" w:right="40" w:hanging="380"/>
        <w:spacing w:after="0" w:line="266" w:lineRule="auto"/>
        <w:tabs>
          <w:tab w:leader="none" w:pos="17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ensure that any of our patents, or any of our pending patent applications, if issued, or those of our licensors, will include claims having a scope sufficient to protect our products;</w:t>
      </w:r>
    </w:p>
    <w:p>
      <w:pPr>
        <w:spacing w:after="0" w:line="54" w:lineRule="exact"/>
        <w:rPr>
          <w:rFonts w:ascii="Times New Roman" w:cs="Times New Roman" w:eastAsia="Times New Roman" w:hAnsi="Times New Roman"/>
          <w:sz w:val="18"/>
          <w:szCs w:val="18"/>
          <w:color w:val="auto"/>
        </w:rPr>
      </w:pPr>
    </w:p>
    <w:p>
      <w:pPr>
        <w:ind w:left="1780" w:right="300" w:hanging="380"/>
        <w:spacing w:after="0" w:line="282" w:lineRule="auto"/>
        <w:tabs>
          <w:tab w:leader="none" w:pos="17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ensure that we will be able to successfully commercialize our products on a substantial scale, if approved, before the relevant patents that we own or license expire; or</w:t>
      </w:r>
    </w:p>
    <w:p>
      <w:pPr>
        <w:spacing w:after="0" w:line="40"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104"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Others have filed, and in the future are likely to file, patent applications covering products and technologies that are similar, identical or competitive to ours or important to our business. We cannot be certain that any patent application owned by a third party will not have priority over patent applications filed or in-licensed by us, or that we or our licensors will not be involved in interference, opposition or invalidity proceedings before U.S. or non-U.S. patent offices.</w:t>
      </w:r>
    </w:p>
    <w:p>
      <w:pPr>
        <w:spacing w:after="0" w:line="69"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We cannot be certain that the claims in our issued patents and pending patent applications covering tildacerfont or any future product candidates will be considered patentable by the USPTO, courts in the United States, or by patent offices and courts in foreign countries. Furthermore, the laws of some foreign countries do not protect proprietary rights to the same extent or in the same manner as the laws of the United States. As a result, we may encounter significant problems in protecting and defending our intellectual property internationally.</w:t>
      </w:r>
    </w:p>
    <w:p>
      <w:pPr>
        <w:spacing w:after="0" w:line="83"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The strength of patents in the biotechnology and pharmaceutical fields involves complex legal and scientific questions and can be uncertain. The patent applications that we own or in-license may fail to result in issued patents with claims that cover tildacerfont and any future product candidates in the United States or in foreign countries. Even if such patents do successfully issue, third parties may challenge the ownership, validity, enforceability, or scope thereof, which may result in such patents being narrowed, invalidated, or held unenforceable. Any successful opposition to our patents could deprive us of exclusive rights necessary for the successful commercialization of tildacerfont and any future product candidates. Furthermore, even if they are unchallenged, our patents may not adequately protect our intellectual property, provide exclusivity for tildacerfont or any future product candidates or prevent others from designing around our claims. If the breadth or strength of protection provided by the patents we hold with respect to tildacerfont or any future product candidates is threatened, it could dissuade companies from collaborating with us to develop, or threaten our ability to commercialize, tildacerfont or any future product candidates.</w:t>
      </w:r>
    </w:p>
    <w:p>
      <w:pPr>
        <w:spacing w:after="0" w:line="93" w:lineRule="exact"/>
        <w:rPr>
          <w:sz w:val="20"/>
          <w:szCs w:val="20"/>
          <w:color w:val="auto"/>
        </w:rPr>
      </w:pPr>
    </w:p>
    <w:p>
      <w:pPr>
        <w:ind w:right="60" w:firstLine="509"/>
        <w:spacing w:after="0" w:line="246" w:lineRule="auto"/>
        <w:rPr>
          <w:sz w:val="20"/>
          <w:szCs w:val="20"/>
          <w:color w:val="auto"/>
        </w:rPr>
      </w:pPr>
      <w:r>
        <w:rPr>
          <w:rFonts w:ascii="Times New Roman" w:cs="Times New Roman" w:eastAsia="Times New Roman" w:hAnsi="Times New Roman"/>
          <w:sz w:val="18"/>
          <w:szCs w:val="18"/>
          <w:color w:val="auto"/>
        </w:rPr>
        <w:t>For U.S. patent applications in which claims are entitled to a priority date before March 16, 2013, an interference proceeding can be provoked by a third party or instituted by the USPTO to determine who was the first to invent any of the subject matter covered by the patent claims of our patents or patent applications. An unfavorable outcome could require us to cease using the related technology or to attempt to license rights from the prevailing party. Our business could be harmed if the prevailing party does not offer us a license on commercially reasonable terms. Our participation in an interference proceeding may fail and, even if successful, may result in substantial costs and distract our management and other employees.</w:t>
      </w:r>
    </w:p>
    <w:p>
      <w:pPr>
        <w:spacing w:after="0" w:line="73"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For U.S. patent applications containing a claim not entitled to priority before March 16, 2013, there is greater level of uncertainty in the patent law. In September 2011, the Leahy-Smith America Invents Act, or America Invents Act, was signed into law. The America Invents Act includes a number of significant changes to U.S. patent law, including provisions that affect the way patent applications will be prosecuted and may also affect patent litigation. The USPTO is developing regulations and procedures to govern the administration of the America Invents Act, and many of the substantive changes to patent law associated with the America Invents Act, and in particular, the “first to file” provisions, were enacted on March 16, 2013. This will require us to be cognizant going forward of the time from invention to filing of a patent application and be diligent in filing patent applications, but circumstances could prevent us from promptly filing patent applications on our inventions. It remains unclear what impact the America Invents Act will have on the operation of our business. As such, the America Invents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 candidates for an adequate amount of time.</w:t>
      </w:r>
    </w:p>
    <w:p>
      <w:pPr>
        <w:spacing w:after="0" w:line="108" w:lineRule="exact"/>
        <w:rPr>
          <w:sz w:val="20"/>
          <w:szCs w:val="20"/>
          <w:color w:val="auto"/>
        </w:rPr>
      </w:pPr>
    </w:p>
    <w:p>
      <w:pPr>
        <w:ind w:right="40" w:firstLine="509"/>
        <w:spacing w:after="0" w:line="247" w:lineRule="auto"/>
        <w:rPr>
          <w:sz w:val="20"/>
          <w:szCs w:val="20"/>
          <w:color w:val="auto"/>
        </w:rPr>
      </w:pPr>
      <w:r>
        <w:rPr>
          <w:rFonts w:ascii="Times New Roman" w:cs="Times New Roman" w:eastAsia="Times New Roman" w:hAnsi="Times New Roman"/>
          <w:sz w:val="18"/>
          <w:szCs w:val="18"/>
          <w:color w:val="auto"/>
        </w:rPr>
        <w:t>The term of any individual patent depends on applicable law in the country where the patent is granted. In the United States, provided all maintenance fees are timely paid, a patent generally has a term of 20 years from its application filing date or earliest claimed non-provisional filing date. Extensions may be available under certain circumstances, but the life of a patent and, correspondingly, the protection it affords is limited. Even if we or our licensors obtain patents covering our product candidates, when the terms of all patents covering a product expire, our business may become subject to competition from competitive products, including generic products. Given the amount of time required for the development, testing, and regulatory review and approval of new product candidates, patents protecting such candidates may expire before or shortly after such candidates are commercialized. As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a result, our owned and licensed patent portfolio may not provide us with sufficient rights to exclude others from commercializing products similar or identical to ours.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for tildacerfont, our business may be materially harmed.</w:t>
      </w:r>
    </w:p>
    <w:p>
      <w:pPr>
        <w:spacing w:after="0" w:line="121"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Depending upon the timing, duration, and specifics of any FDA marketing approval of tildacerfont, or any future product candidate we may develop, one or more of patents issuing from our U.S. patent applications may be eligible for limited patent term extension under the Drug Price Competition and Patent Term Restoration Action of 1984, or Hatch-Waxman Amendments. The Hatch-Waxman Amendments permit a patent extension term, or PTE,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patent term restoration provisions to compensate for commercialization delay caused by regulatory review are also available in certain foreign jurisdictions, such as in Europe under Supplemental Protection Certificate, or SPC. If we encounter delays in our development efforts, including our clinical trials, the period of time during which we could market tildacerfont and any future product candidates under patent protection would be reduced. Additionally, we may not receive an extension if we fail to apply within applicable deadlines, fail to apply prior to expiration of relevant patents, or otherwise fail to satisfy applicable requirements. Moreover, the applicable time period or the scope of patent protection afforded could be less than we request. If we are unable to obtain patent term extension or restoration, or the term of any such extension is less than we request, the period during which we will have the right to exclusively market our product will be shortened and our competitors may obtain approval of competing products following our patent expiration, and our revenue could be reduced.</w:t>
      </w:r>
    </w:p>
    <w:p>
      <w:pPr>
        <w:spacing w:after="0" w:line="88" w:lineRule="exact"/>
        <w:rPr>
          <w:sz w:val="20"/>
          <w:szCs w:val="20"/>
          <w:color w:val="auto"/>
        </w:rPr>
      </w:pPr>
    </w:p>
    <w:p>
      <w:pPr>
        <w:ind w:right="24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the agreements under which we license intellectual property rights from third parties, such as our license agreement with Lilly, or otherwise experience disruptions to our business relationships with our licensors, we could lose license rights that are important to our business.</w:t>
      </w:r>
    </w:p>
    <w:p>
      <w:pPr>
        <w:spacing w:after="0" w:line="81" w:lineRule="exact"/>
        <w:rPr>
          <w:sz w:val="20"/>
          <w:szCs w:val="20"/>
          <w:color w:val="auto"/>
        </w:rPr>
      </w:pPr>
    </w:p>
    <w:p>
      <w:pPr>
        <w:jc w:val="both"/>
        <w:ind w:right="220" w:firstLine="509"/>
        <w:spacing w:after="0" w:line="250" w:lineRule="auto"/>
        <w:rPr>
          <w:sz w:val="20"/>
          <w:szCs w:val="20"/>
          <w:color w:val="auto"/>
        </w:rPr>
      </w:pPr>
      <w:r>
        <w:rPr>
          <w:rFonts w:ascii="Times New Roman" w:cs="Times New Roman" w:eastAsia="Times New Roman" w:hAnsi="Times New Roman"/>
          <w:sz w:val="18"/>
          <w:szCs w:val="18"/>
          <w:color w:val="auto"/>
        </w:rPr>
        <w:t>We are a party to a license agreement with Lilly under which we are granted intellectual property rights that are important to our business and our only product candidate, tildacerfont. If we fail to comply with our obligations under the license agreement, or we are subject to a bankruptcy, the license agreement may be terminated, in which event we would not be able to develop, commercialize or market tildacerfont.</w:t>
      </w:r>
    </w:p>
    <w:p>
      <w:pPr>
        <w:spacing w:after="0" w:line="82"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Licensing of intellectual property rights is of critical importance to our business and involves complex legal, business and scientific issues. Disputes may arise between us and our licensors regarding intellectual property rights subject to a license agreement, including:</w:t>
      </w:r>
    </w:p>
    <w:p>
      <w:pPr>
        <w:spacing w:after="0" w:line="54" w:lineRule="exact"/>
        <w:rPr>
          <w:sz w:val="20"/>
          <w:szCs w:val="20"/>
          <w:color w:val="auto"/>
        </w:rPr>
      </w:pPr>
    </w:p>
    <w:p>
      <w:pPr>
        <w:ind w:left="1780" w:hanging="380"/>
        <w:spacing w:after="0"/>
        <w:tabs>
          <w:tab w:leader="none" w:pos="17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17" w:lineRule="exact"/>
        <w:rPr>
          <w:rFonts w:ascii="Times New Roman" w:cs="Times New Roman" w:eastAsia="Times New Roman" w:hAnsi="Times New Roman"/>
          <w:sz w:val="18"/>
          <w:szCs w:val="18"/>
          <w:color w:val="auto"/>
        </w:rPr>
      </w:pPr>
    </w:p>
    <w:p>
      <w:pPr>
        <w:ind w:left="1780" w:right="260" w:hanging="380"/>
        <w:spacing w:after="0" w:line="266" w:lineRule="auto"/>
        <w:tabs>
          <w:tab w:leader="none" w:pos="17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infringe on intellectual property rights of the licensor that are not subject to the license agreement;</w:t>
      </w:r>
    </w:p>
    <w:p>
      <w:pPr>
        <w:spacing w:after="0" w:line="54"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intellectual property rights to third parties under collaborative development relationships;</w:t>
      </w:r>
    </w:p>
    <w:p>
      <w:pPr>
        <w:spacing w:after="0" w:line="103" w:lineRule="exact"/>
        <w:rPr>
          <w:rFonts w:ascii="Times New Roman" w:cs="Times New Roman" w:eastAsia="Times New Roman" w:hAnsi="Times New Roman"/>
          <w:sz w:val="18"/>
          <w:szCs w:val="18"/>
          <w:color w:val="auto"/>
        </w:rPr>
      </w:pPr>
    </w:p>
    <w:p>
      <w:pPr>
        <w:ind w:left="1780" w:right="160" w:hanging="380"/>
        <w:spacing w:after="0" w:line="282" w:lineRule="auto"/>
        <w:tabs>
          <w:tab w:leader="none" w:pos="17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commercialization of tildacerfont, and what activities satisfy those diligence obligations; and</w:t>
      </w:r>
    </w:p>
    <w:p>
      <w:pPr>
        <w:spacing w:after="0" w:line="40" w:lineRule="exact"/>
        <w:rPr>
          <w:rFonts w:ascii="Times New Roman" w:cs="Times New Roman" w:eastAsia="Times New Roman" w:hAnsi="Times New Roman"/>
          <w:sz w:val="18"/>
          <w:szCs w:val="18"/>
          <w:color w:val="auto"/>
        </w:rPr>
      </w:pPr>
    </w:p>
    <w:p>
      <w:pPr>
        <w:ind w:left="1780" w:right="120" w:hanging="380"/>
        <w:spacing w:after="0" w:line="266" w:lineRule="auto"/>
        <w:tabs>
          <w:tab w:leader="none" w:pos="17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licensors and us and our partners.</w:t>
      </w:r>
    </w:p>
    <w:p>
      <w:pPr>
        <w:spacing w:after="0" w:line="68" w:lineRule="exact"/>
        <w:rPr>
          <w:sz w:val="20"/>
          <w:szCs w:val="20"/>
          <w:color w:val="auto"/>
        </w:rPr>
      </w:pPr>
    </w:p>
    <w:p>
      <w:pPr>
        <w:ind w:right="160" w:firstLine="509"/>
        <w:spacing w:after="0" w:line="250" w:lineRule="auto"/>
        <w:rPr>
          <w:sz w:val="20"/>
          <w:szCs w:val="20"/>
          <w:color w:val="auto"/>
        </w:rPr>
      </w:pPr>
      <w:r>
        <w:rPr>
          <w:rFonts w:ascii="Times New Roman" w:cs="Times New Roman" w:eastAsia="Times New Roman" w:hAnsi="Times New Roman"/>
          <w:sz w:val="18"/>
          <w:szCs w:val="18"/>
          <w:color w:val="auto"/>
        </w:rPr>
        <w:t>Further, our current licensor or any future licensor may not always act in our best interest. If disputes over intellectual property rights that we have licensed prevent or impair our ability to maintain our current licensing arrangements on acceptable terms, our business, results of operations, financial condition, and prospects may be adversely affected. We may enter into additional licenses in the future and if we fail to comply with obligations under those agreements, we could suffer adverse consequences.</w:t>
      </w:r>
    </w:p>
    <w:p>
      <w:pPr>
        <w:spacing w:after="0" w:line="6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We are generally also subject to all of the same risks with respect to protection of intellectual property that we license as we are for intellectual property that we own, which are described below. If we, our current licensor, or any future licensor fail to adequately protect this intellectual property, our ability to commercialize tildacerfont and any future product could be impeded.</w:t>
      </w:r>
    </w:p>
    <w:p>
      <w:pPr>
        <w:spacing w:after="0" w:line="57" w:lineRule="exact"/>
        <w:rPr>
          <w:sz w:val="20"/>
          <w:szCs w:val="20"/>
          <w:color w:val="auto"/>
        </w:rPr>
      </w:pPr>
    </w:p>
    <w:p>
      <w:pPr>
        <w:jc w:val="both"/>
        <w:ind w:right="50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0"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The USPTO and various foreign governmental patent agencies require compliance with a number of procedural, documentary, fee payment, and other similar provisions during the patent process. Periodic maintenance fees, renewal fees, annuity fees and various other governmental fees on any issued patents and/or applications are due to be paid to the USPTO and foreign patent agencies in several stages over the lifetime of the patents and/or applications. We have systems in place to remind us to pay these fees, and we</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employ an outside firm and rely on our outside counsel to pay these fees due to foreign patent agencies. These systems and processes may be negatively impacted by the COVID-19 pandemic in various aspects. While an inadvertent lapse may sometimes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In such an event, our competitors might be able to enter the market with similar or identical products or technology earlier than should otherwise have been the case, which would have a material adverse effect on our business, financial condition, results of operations, and prospects.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 patent law could diminish the value of patents in general, thereby impairing our ability to protect tildacerfont.</w:t>
      </w:r>
    </w:p>
    <w:p>
      <w:pPr>
        <w:spacing w:after="0" w:line="108"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8"/>
          <w:szCs w:val="18"/>
          <w:color w:val="auto"/>
        </w:rPr>
        <w:t>As is the case with other biotechnology and pharmaceutical companies, our success is heavily dependent on intellectual property, particularly on obtaining and enforcing patents. Our patent rights may be affected by developments or uncertainty in U.S. or foreign patent statutes, patent case law, USPTO rules and regulations or the rules and regulations of foreign patent offices. Obtaining and enforcing patents in the biotechnology and pharmaceutical industry involve both technological and legal complexity, and is therefore costly, time-consuming and inherently uncertain. In addition, the United States may, at any time, enact changes to U.S. patent law and regulations, including by legislation, by regulatory rule-making, or by judicial precedent, that adversely affect the scope of patent protection available and weaken the rights of patent owners to obtain patents, enforce patent infringement and obtain injunctions and/or damages. For example, the scope of patentable subject matter under 35 U.S.C. 101 has evolved significantly over the past several years as the Court of Appeals for the Federal Circuit and the Supreme Court issued various opinions, and the USPTO modified its guidance for practitioners on multiple occasions. Other countries may likewise enact changes to their patent laws in ways that adversely diminish the scope of patent protection and weaken the rights of patent owners to obtain patents, enforce patent infringement, and obtain injunctions and/or damages.</w:t>
      </w:r>
    </w:p>
    <w:p>
      <w:pPr>
        <w:spacing w:after="0" w:line="78" w:lineRule="exact"/>
        <w:rPr>
          <w:sz w:val="20"/>
          <w:szCs w:val="20"/>
          <w:color w:val="auto"/>
        </w:rPr>
      </w:pPr>
    </w:p>
    <w:p>
      <w:pPr>
        <w:ind w:right="100" w:firstLine="509"/>
        <w:spacing w:after="0" w:line="243" w:lineRule="auto"/>
        <w:rPr>
          <w:sz w:val="20"/>
          <w:szCs w:val="20"/>
          <w:color w:val="auto"/>
        </w:rPr>
      </w:pPr>
      <w:r>
        <w:rPr>
          <w:rFonts w:ascii="Times New Roman" w:cs="Times New Roman" w:eastAsia="Times New Roman" w:hAnsi="Times New Roman"/>
          <w:sz w:val="18"/>
          <w:szCs w:val="18"/>
          <w:color w:val="auto"/>
        </w:rPr>
        <w:t>Further, the United States and other governments may, at any time, enact changes to law and regulation that create new avenues for challenging the validity of issued patents. For example, the America Invents Act created new administrative post-grant proceedings, including post-grant review, inter partes review, and derivation proceedings that allow third parties to challenge the validity of issued patents. This applies to all of our U.S. patents, even those issued before March 16, 2013.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could weaken our ability to obtain new patents or to enforce our existing patents and patents that we might obtain in the future.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08"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Patents are of national or regional effect. Filing, prosecuting, and defending patents on tildacerfont, any future product candidates, and other proprietary technologies we develop in all countries throughout the world would be prohibitively expensive. In addition, the laws of some foreign countries do not protect intellectual property rights in the same manner and to the same extent as laws in the United States. Consequently, we may not be able to prevent third parties from practicing our inventions in all countries outside the United States. Competitors may use our technologies in jurisdictions where we have not obtained patent protection to develop their own products and further, may export otherwise infringing products to territories where we have patent protection, but enforcement of such patent protection is not as strong as that in the United States. These products may compete with our products and our patents or other intellectual property rights may not be effective or sufficient to prevent them from competing.</w:t>
      </w:r>
    </w:p>
    <w:p>
      <w:pPr>
        <w:spacing w:after="0" w:line="87" w:lineRule="exact"/>
        <w:rPr>
          <w:sz w:val="20"/>
          <w:szCs w:val="20"/>
          <w:color w:val="auto"/>
        </w:rPr>
      </w:pPr>
    </w:p>
    <w:p>
      <w:pPr>
        <w:ind w:right="140" w:firstLine="509"/>
        <w:spacing w:after="0" w:line="246" w:lineRule="auto"/>
        <w:rPr>
          <w:sz w:val="20"/>
          <w:szCs w:val="20"/>
          <w:color w:val="auto"/>
        </w:rPr>
      </w:pPr>
      <w:r>
        <w:rPr>
          <w:rFonts w:ascii="Times New Roman" w:cs="Times New Roman" w:eastAsia="Times New Roman" w:hAnsi="Times New Roman"/>
          <w:sz w:val="18"/>
          <w:szCs w:val="18"/>
          <w:color w:val="auto"/>
        </w:rPr>
        <w:t>The requirements for patentability may differ in certain countries. For example, unlike other countries, China has a heightened requirement for patentability, and specifically requires a detailed description of medical uses of a claimed drug. In India, unlike the United States, there is no link between regulatory approval for a drug and its patent status. In addition to India, certain countries in Europe and developing countries, including China, have compulsory licensing laws under which a patent owner may be compelled to grant licenses to third parties. In addition, some countries limit the enforceability of patents against government agencies or government contractors.</w:t>
      </w:r>
    </w:p>
    <w:p>
      <w:pPr>
        <w:spacing w:after="0" w:line="73"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those countries, we may have limited remedies if patents are infringed or if we are compelled to grant a license to a third party, which could materially diminish the value of those patents. This could limit our potential revenue opportunities. Accordingly, our efforts to enforce intellectual property rights around the world may be inadequate to obtain a significant commercial advantage from the intellectual property that we own or license.</w:t>
      </w:r>
    </w:p>
    <w:p>
      <w:pPr>
        <w:spacing w:after="0" w:line="61"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or pharmaceutical products, which could make it difficult for us to stop the infringement of our patents or marketing of competing products in violation of our proprietary</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 xml:space="preserve">rights generally. </w:t>
      </w:r>
      <w:r>
        <w:rPr>
          <w:rFonts w:ascii="Times New Roman" w:cs="Times New Roman" w:eastAsia="Times New Roman" w:hAnsi="Times New Roman"/>
          <w:sz w:val="18"/>
          <w:szCs w:val="18"/>
          <w:color w:val="231F20"/>
        </w:rPr>
        <w:t>In Europe, no earlier than October 1, 2022, European applications will soon have the option, upon grant of a patent, of becoming a Unitary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Patent which will be subject to the jurisdiction of the Unitary Patent Court (UPC). This will be a significant change in European patent practice. As the UPC is a new court system, there is no precedent for the court, increasing the uncertainty of any litigation. </w:t>
      </w:r>
      <w:r>
        <w:rPr>
          <w:rFonts w:ascii="Times New Roman" w:cs="Times New Roman" w:eastAsia="Times New Roman" w:hAnsi="Times New Roman"/>
          <w:sz w:val="18"/>
          <w:szCs w:val="18"/>
          <w:color w:val="000000"/>
        </w:rPr>
        <w:t>Proceedings to enforce our patent rights in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foreign jurisdictions could result in substantial costs and divert our efforts and attention from other aspects of our business, could put our patents at risk of being invalidated or interpreted narrowly,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73"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that have citizenship or nationality in, are registered in, or have predominately primary place of business or profit-making activities in the United States and other countries that Russia has deemed unfriendly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become subject to claims challenging the inventorship or ownership of our patents and other intellectual property.</w:t>
      </w:r>
    </w:p>
    <w:p>
      <w:pPr>
        <w:spacing w:after="0" w:line="121" w:lineRule="exact"/>
        <w:rPr>
          <w:sz w:val="20"/>
          <w:szCs w:val="20"/>
          <w:color w:val="auto"/>
        </w:rPr>
      </w:pPr>
    </w:p>
    <w:p>
      <w:pPr>
        <w:ind w:right="20" w:firstLine="509"/>
        <w:spacing w:after="0" w:line="241" w:lineRule="auto"/>
        <w:rPr>
          <w:sz w:val="20"/>
          <w:szCs w:val="20"/>
          <w:color w:val="auto"/>
        </w:rPr>
      </w:pPr>
      <w:r>
        <w:rPr>
          <w:rFonts w:ascii="Times New Roman" w:cs="Times New Roman" w:eastAsia="Times New Roman" w:hAnsi="Times New Roman"/>
          <w:sz w:val="18"/>
          <w:szCs w:val="18"/>
          <w:color w:val="auto"/>
        </w:rPr>
        <w:t>We may be subject to claims that former employees (including former employees of our licensors), collaborators or other third parties have an interest in our patents rights, trade secrets, or other intellectual property as an inventor or co-inventor. The failure to name the proper inventors on a patent application can result in the patents issuing thereon being unenforceable. For example, we may have inventorship disputes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tildacerfont or as a result of questions regarding co-ownership of potential joint inventions. Litigation may be necessary to resolve these and other claims challenging inventorship and/or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financial condition, results of operations and prospects. Even if we are successful in defending against such claims, litigation could result in substantial costs and be a distraction to management and other employees.</w:t>
      </w:r>
    </w:p>
    <w:p>
      <w:pPr>
        <w:spacing w:after="0" w:line="91" w:lineRule="exact"/>
        <w:rPr>
          <w:sz w:val="20"/>
          <w:szCs w:val="20"/>
          <w:color w:val="auto"/>
        </w:rPr>
      </w:pPr>
    </w:p>
    <w:p>
      <w:pPr>
        <w:ind w:right="3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or maintaining necessary rights to product components and processes for our development pipeline through acquisitions and in-licenses.</w:t>
      </w:r>
    </w:p>
    <w:p>
      <w:pPr>
        <w:spacing w:after="0" w:line="50"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Presently we have intellectual property rights, through licenses from third parties including Lilly, related to tildacerfont. Because our program may require the use of additional proprietary rights held by third parties, the growth of our business will likely depend in part on our ability to acquire, in-license or use these proprietary rights. In addition, tildacerfont may require specific formulations to work effectively and efficiently and these rights may be held by others. We may be unable to acquire or in-license, on reasonable terms, proprietary rights related to any compositions, formulations, methods of use, processes or other intellectual property rights from third parties that we identify as being necessary for tildacerfont. Even if we are able to obtain a license to such proprietary rights, it may be non-exclusive, thereby giving our competitors access to the same technologies licensed to us. In that event, we may be required to expend significant time and resources to develop or license replacement technology.</w:t>
      </w:r>
    </w:p>
    <w:p>
      <w:pPr>
        <w:spacing w:after="0" w:line="87" w:lineRule="exact"/>
        <w:rPr>
          <w:sz w:val="20"/>
          <w:szCs w:val="20"/>
          <w:color w:val="auto"/>
        </w:rPr>
      </w:pPr>
    </w:p>
    <w:p>
      <w:pPr>
        <w:ind w:right="40" w:firstLine="509"/>
        <w:spacing w:after="0" w:line="241" w:lineRule="auto"/>
        <w:rPr>
          <w:sz w:val="20"/>
          <w:szCs w:val="20"/>
          <w:color w:val="auto"/>
        </w:rPr>
      </w:pPr>
      <w:r>
        <w:rPr>
          <w:rFonts w:ascii="Times New Roman" w:cs="Times New Roman" w:eastAsia="Times New Roman" w:hAnsi="Times New Roman"/>
          <w:sz w:val="18"/>
          <w:szCs w:val="18"/>
          <w:color w:val="auto"/>
        </w:rPr>
        <w:t>Where we obtain licenses from or collaborate with third parties, we may not have the right to control the preparation, filing, and prosecution of patent applications, or to maintain the patents, covering technology that we license from third parties, or such activities, if controlled by us, may require the input of such third parties. We may also require the cooperation of our licensors and collaborators to enforce any licensed patent rights, and such cooperation may not be provided. Therefore, these patents and applications may not be prosecuted and enforced in a manner consistent with the best interests of our business, or in compliance with applicable laws and regulations, which may affect the validity and enforceability of such patents or any patents that may issue from such application. Moreover, if we do obtain necessary licenses, we will likely have obligations under those licenses, including making royalty and milestone payments, and any failure to satisfy those obligations could give our licensor the right to terminate the license. Termination of a necessary license, or expiration of licensed patents or patent applications, could have a material adverse impact on our business. Our business would suffer if any such licenses terminate, if the licensors fail to abide by the terms of the license, if the licensors fail to enforce licensed patents against infringing third parties, if the licensed patents or other rights are found to be invalid or unenforceable,</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or if we are unable to enter into necessary licenses on acceptable terms. Furthermore, if any licenses terminate, or if the underlying patents fail to provide the intended exclusivity, competitors or other third parties may gain the freedom to seek regulatory approval of, and to market, products identical or similar to ours. Moreover, our licensors may own or control intellectual property that has not been licensed to us and, as a result, we may be subject to claims, regardless of their merit, that we are infringing or otherwise violating the licensor’s rights. In addition, while we cannot currently determine the amount of the royalty obligations we would be required to pay on sales of future products, if any, the amounts may be significant. The amount of our future royalty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spacing w:after="0" w:line="73"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The licensing and acquisition of third-party proprietary rights is a competitive area, and companies, which may be more established, or have greater resources than we do, may also be pursuing strategies to license or acquire third-party proprietary rights that we may consider necessary or attractive in order to commercialize tildacerfont. More established companies may have a competitive advantage over us due to their size, cash resources and greater clinical development and commercialization capabilities.</w:t>
      </w:r>
    </w:p>
    <w:p>
      <w:pPr>
        <w:spacing w:after="0" w:line="69" w:lineRule="exact"/>
        <w:rPr>
          <w:sz w:val="20"/>
          <w:szCs w:val="20"/>
          <w:color w:val="auto"/>
        </w:rPr>
      </w:pPr>
    </w:p>
    <w:p>
      <w:pPr>
        <w:ind w:right="120" w:firstLine="509"/>
        <w:spacing w:after="0" w:line="246" w:lineRule="auto"/>
        <w:rPr>
          <w:sz w:val="20"/>
          <w:szCs w:val="20"/>
          <w:color w:val="auto"/>
        </w:rPr>
      </w:pPr>
      <w:r>
        <w:rPr>
          <w:rFonts w:ascii="Times New Roman" w:cs="Times New Roman" w:eastAsia="Times New Roman" w:hAnsi="Times New Roman"/>
          <w:sz w:val="18"/>
          <w:szCs w:val="18"/>
          <w:color w:val="auto"/>
        </w:rPr>
        <w:t>For example, we may collaborate with U.S. and foreign academic institutions to accelerate our preclinical research or development under written agreements with these institutions. Typically, these institutions provide us with an option to negotiate an exclusive license to any of the institution’s proprietary rights in technology resulting from the collaboration. Regardless of such option to negotiate a license, we may be unable to negotiate a license within the specified time frame or under terms that are acceptable to us. If we are unable to do so, the institution may offer, on an exclusive basis, their proprietary rights to other parties, potentially blocking our ability to pursue our program.</w:t>
      </w:r>
    </w:p>
    <w:p>
      <w:pPr>
        <w:spacing w:after="0" w:line="87"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In addition, companies that perceive us to be a competitor may be unwilling to assign or license rights to us, either on reasonable terms, or at all. We also may be unable to license or acquire third-party intellectual property rights on terms that would allow us to make an appropriate return on our investment, or at all. If we are unable to successfully obtain rights to required third-party intellectual property rights on commercially reasonable terms, our ability to commercialize our products, and our business, financial condition, and prospects for growth, could suffer.</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Third-party claims alleging intellectual property infringement may prevent or delay our drug discovery and development efforts.</w:t>
      </w:r>
    </w:p>
    <w:p>
      <w:pPr>
        <w:spacing w:after="0" w:line="108"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8"/>
          <w:szCs w:val="18"/>
          <w:color w:val="auto"/>
        </w:rPr>
        <w:t>Our success depends in part on our avoiding infringement of the patents and proprietary rights of third parties. There is a substantial amount of litigation, both within and outside the United States, involving patents and other intellectual property rights in the biotechnology and pharmaceutical industries, as well as administrative proceedings for challenging patents, including inter partes review, interference and reexamination proceedings before the USPTO, or oppositions and other comparable proceedings in foreign jurisdictions. The America Invents Act introduced new procedures including inter partes review and post grant review. The implementation of these procedures brings uncertainty to the possibility of challenges to our patents in the future and the outcome of such challenges. Numerous U.S. and foreign issued patents and pending patent applications, which are owned by third parties, exist in the fields in which we are developing tildacerfont. As the biotechnology and pharmaceutical industries expand and more patents are issued, the risk increases that our activities related to tildacerfont may give rise to claims of infringement of the patent rights of others.</w:t>
      </w:r>
    </w:p>
    <w:p>
      <w:pPr>
        <w:spacing w:after="0" w:line="92" w:lineRule="exact"/>
        <w:rPr>
          <w:sz w:val="20"/>
          <w:szCs w:val="20"/>
          <w:color w:val="auto"/>
        </w:rPr>
      </w:pPr>
    </w:p>
    <w:p>
      <w:pPr>
        <w:ind w:right="140" w:firstLine="509"/>
        <w:spacing w:after="0" w:line="246" w:lineRule="auto"/>
        <w:rPr>
          <w:sz w:val="20"/>
          <w:szCs w:val="20"/>
          <w:color w:val="auto"/>
        </w:rPr>
      </w:pPr>
      <w:r>
        <w:rPr>
          <w:rFonts w:ascii="Times New Roman" w:cs="Times New Roman" w:eastAsia="Times New Roman" w:hAnsi="Times New Roman"/>
          <w:sz w:val="18"/>
          <w:szCs w:val="18"/>
          <w:color w:val="auto"/>
        </w:rPr>
        <w:t>The pharmaceutical and biotechnology industries have produced a proliferation of patents, and it is not always clear to industry participants, including us, which patents cover various types of products or methods of use. The coverage of patents is subject to interpretation by the courts, and the interpretation is not always uniform. We cannot assure you that any of our current or future product candidates will not infringe existing or future patents. We may not be aware of patents that have already issued that a third party might assert are infringed by one of our current or future product candidates. Nevertheless, we are not aware of any issued patents that will prevent us from marketing tildacerfont.</w:t>
      </w:r>
    </w:p>
    <w:p>
      <w:pPr>
        <w:spacing w:after="0" w:line="73"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Third parties may assert that we are employing their proprietary technology without authorization. There may be third-party patents of which we are currently unaware with claims to materials, formulations, methods of manufacture or methods for treatment related to the use or manufacture of tildacerfont. Because patent applications can take many years to issue and may be confidential for 18 months or more after filing, there may be currently pending third-party patent applications which may later result in issued patents that tildacerfont, any future product candidates, and other proprietary technologies may infringe, or which such third parties claim are infringed by the use of our technologies. Parties making claims against us for infringement or misappropriation of their intellectual property rights may seek and obtain injunctive or other equitable relief, which could effectively block our ability to further develop and commercialize tildacerfont or future product candidates. Defense of these claims, regardless of their merit, could involve substantial expenses and could be a substantial diversion of management and other employee resources from our business.</w:t>
      </w:r>
    </w:p>
    <w:p>
      <w:pPr>
        <w:spacing w:after="0" w:line="71" w:lineRule="exact"/>
        <w:rPr>
          <w:sz w:val="20"/>
          <w:szCs w:val="20"/>
          <w:color w:val="auto"/>
        </w:rPr>
      </w:pPr>
    </w:p>
    <w:p>
      <w:pPr>
        <w:ind w:right="240" w:firstLine="509"/>
        <w:spacing w:after="0" w:line="246" w:lineRule="auto"/>
        <w:rPr>
          <w:sz w:val="20"/>
          <w:szCs w:val="20"/>
          <w:color w:val="auto"/>
        </w:rPr>
      </w:pPr>
      <w:r>
        <w:rPr>
          <w:rFonts w:ascii="Times New Roman" w:cs="Times New Roman" w:eastAsia="Times New Roman" w:hAnsi="Times New Roman"/>
          <w:sz w:val="18"/>
          <w:szCs w:val="18"/>
          <w:color w:val="auto"/>
        </w:rPr>
        <w:t>If we collaborate with third parties in the development of technology in the future, our collaborators may not properly maintain or defend our intellectual property rights or may use our proprietary information in such a way as to invite litigation that could jeopardize or invalidate our intellectual property or proprietary information or expose us to litigation or potential liability. Further, collaborators may infringe the intellectual property rights of third parties, which may expose us to litigation and potential liability. In the future, we may agree to indemnify our commercial collaborators against certain intellectual property infringement claims brought by third parties.</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Any claims of patent infringement asserted by third parties would be time-consuming and could:</w:t>
      </w:r>
    </w:p>
    <w:p>
      <w:pPr>
        <w:spacing w:after="0" w:line="104" w:lineRule="exact"/>
        <w:rPr>
          <w:sz w:val="20"/>
          <w:szCs w:val="20"/>
          <w:color w:val="auto"/>
        </w:rPr>
      </w:pPr>
    </w:p>
    <w:p>
      <w:pPr>
        <w:ind w:left="1780" w:hanging="380"/>
        <w:spacing w:after="0"/>
        <w:tabs>
          <w:tab w:leader="none" w:pos="17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costly litigation;</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divert the time and attention of our technical personnel and management;</w:t>
      </w:r>
    </w:p>
    <w:p>
      <w:pPr>
        <w:spacing w:after="0" w:line="117"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development delays;</w:t>
      </w:r>
    </w:p>
    <w:p>
      <w:pPr>
        <w:spacing w:after="0" w:line="103" w:lineRule="exact"/>
        <w:rPr>
          <w:rFonts w:ascii="Times New Roman" w:cs="Times New Roman" w:eastAsia="Times New Roman" w:hAnsi="Times New Roman"/>
          <w:sz w:val="18"/>
          <w:szCs w:val="18"/>
          <w:color w:val="auto"/>
        </w:rPr>
      </w:pPr>
    </w:p>
    <w:p>
      <w:pPr>
        <w:ind w:left="1780" w:right="260" w:hanging="380"/>
        <w:spacing w:after="0" w:line="266" w:lineRule="auto"/>
        <w:tabs>
          <w:tab w:leader="none" w:pos="17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us from commercializing tildacerfont or any future product candidates until the asserted patent expires or is finally held invalid, unenforceable, or not infringed in a court of law;</w:t>
      </w:r>
    </w:p>
    <w:p>
      <w:pPr>
        <w:spacing w:after="0" w:line="67"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develop non-infringing technology, which may not be possible on a cost-effective basis;</w:t>
      </w:r>
    </w:p>
    <w:p>
      <w:pPr>
        <w:spacing w:after="0" w:line="103" w:lineRule="exact"/>
        <w:rPr>
          <w:rFonts w:ascii="Times New Roman" w:cs="Times New Roman" w:eastAsia="Times New Roman" w:hAnsi="Times New Roman"/>
          <w:sz w:val="18"/>
          <w:szCs w:val="18"/>
          <w:color w:val="auto"/>
        </w:rPr>
      </w:pPr>
    </w:p>
    <w:p>
      <w:pPr>
        <w:ind w:left="1780" w:right="340" w:hanging="380"/>
        <w:spacing w:after="0" w:line="266" w:lineRule="auto"/>
        <w:tabs>
          <w:tab w:leader="none" w:pos="17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pay damages to the party whose intellectual property rights we may be found to be infringing, which may include treble damages if we are found to have been willfully infringing such intellectual property;</w:t>
      </w:r>
    </w:p>
    <w:p>
      <w:pPr>
        <w:spacing w:after="0" w:line="67" w:lineRule="exact"/>
        <w:rPr>
          <w:rFonts w:ascii="Times New Roman" w:cs="Times New Roman" w:eastAsia="Times New Roman" w:hAnsi="Times New Roman"/>
          <w:sz w:val="18"/>
          <w:szCs w:val="18"/>
          <w:color w:val="auto"/>
        </w:rPr>
      </w:pPr>
    </w:p>
    <w:p>
      <w:pPr>
        <w:ind w:left="1780" w:right="280" w:hanging="380"/>
        <w:spacing w:after="0" w:line="266" w:lineRule="auto"/>
        <w:tabs>
          <w:tab w:leader="none" w:pos="17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pay the attorney’s fees and costs of litigation to the party whose intellectual property rights we may be found to be willfully infringing; and/or</w:t>
      </w:r>
    </w:p>
    <w:p>
      <w:pPr>
        <w:spacing w:after="0" w:line="54"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enter into royalty or license agreements, which may not be available on commercially reasonable terms, or at all.</w:t>
      </w:r>
    </w:p>
    <w:p>
      <w:pPr>
        <w:spacing w:after="0" w:line="104"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If we are sued for patent infringement, we would need to demonstrate that our products or methods either do not infringe the patent claims of the relevant patent or that the patent claims are invalid or unenforceable, and we may not be able to do either. Proving invalidity or unenforceability is difficult. For example, in the United States, proving invalidity before federal courts requires a showing of clear and convincing evidence to overcome the presumption of validity enjoyed by issued patents. Even if we are successful in these proceedings, we may incur substantial costs and divert management’s time and attention in pursuing these proceedings, which could have a material adverse effect on us. If we are unable to avoid infringing the patent rights of others, we may be required to seek a license, which may not be available, defend an infringement action or challenge the validity or enforceability of the patents in court. Patent litigation is costly and time-consuming. We may not have sufficient resources to bring these actions to a successful conclusion. In addition, if we do not obtain a license, develop or obtain non-infringing technology, fail to defend an infringement action successfully or have infringed patents declared invalid or unenforceable, we may incur substantial monetary damages, encounter significant delays in bringing tildacerfont to market and be precluded from developing, manufacturing or selling tildacerfont.</w:t>
      </w:r>
    </w:p>
    <w:p>
      <w:pPr>
        <w:spacing w:after="0" w:line="91"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We do not always conduct independent reviews of pending patent applications of and patents issued to third parties. We cannot be certain that any of our or our licensors’ patent searches or analyses, including but not limited to the identification of relevant patents, analysis of the scope of relevant patent claims or determination of the expiration of relevant patents, are complete or thorough, nor can we be certain that we have identified each and every third-party patent and pending application in the United States, Europe and elsewhere that is relevant to or necessary for the commercialization of our product candidates in any jurisdiction, because:</w:t>
      </w:r>
    </w:p>
    <w:p>
      <w:pPr>
        <w:spacing w:after="0" w:line="73" w:lineRule="exact"/>
        <w:rPr>
          <w:sz w:val="20"/>
          <w:szCs w:val="20"/>
          <w:color w:val="auto"/>
        </w:rPr>
      </w:pPr>
    </w:p>
    <w:p>
      <w:pPr>
        <w:ind w:left="1780" w:hanging="380"/>
        <w:spacing w:after="0"/>
        <w:tabs>
          <w:tab w:leader="none" w:pos="17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patent applications in the United States may be maintained in secrecy until the patents are issued;</w:t>
      </w:r>
    </w:p>
    <w:p>
      <w:pPr>
        <w:spacing w:after="0" w:line="103" w:lineRule="exact"/>
        <w:rPr>
          <w:rFonts w:ascii="Times New Roman" w:cs="Times New Roman" w:eastAsia="Times New Roman" w:hAnsi="Times New Roman"/>
          <w:sz w:val="18"/>
          <w:szCs w:val="18"/>
          <w:color w:val="auto"/>
        </w:rPr>
      </w:pPr>
    </w:p>
    <w:p>
      <w:pPr>
        <w:ind w:left="1780" w:right="780" w:hanging="380"/>
        <w:spacing w:after="0" w:line="282" w:lineRule="auto"/>
        <w:tabs>
          <w:tab w:leader="none" w:pos="17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applications in the United States and elsewhere can be pending for many years before issuance, or unintentionally abandoned patents or applications can be revived;</w:t>
      </w:r>
    </w:p>
    <w:p>
      <w:pPr>
        <w:spacing w:after="0" w:line="40" w:lineRule="exact"/>
        <w:rPr>
          <w:rFonts w:ascii="Times New Roman" w:cs="Times New Roman" w:eastAsia="Times New Roman" w:hAnsi="Times New Roman"/>
          <w:sz w:val="18"/>
          <w:szCs w:val="18"/>
          <w:color w:val="auto"/>
        </w:rPr>
      </w:pPr>
    </w:p>
    <w:p>
      <w:pPr>
        <w:ind w:left="1780" w:right="20" w:hanging="380"/>
        <w:spacing w:after="0" w:line="296" w:lineRule="auto"/>
        <w:tabs>
          <w:tab w:leader="none" w:pos="178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pending patent applications that have been published can, subject to certain limitations, be later amended in a manner that could cover our technologies, tildacerfont, and any future product candidates or the use of tildacerfont and any future product candidates;</w:t>
      </w:r>
    </w:p>
    <w:p>
      <w:pPr>
        <w:spacing w:after="0" w:line="44" w:lineRule="exact"/>
        <w:rPr>
          <w:rFonts w:ascii="Times New Roman" w:cs="Times New Roman" w:eastAsia="Times New Roman" w:hAnsi="Times New Roman"/>
          <w:sz w:val="17"/>
          <w:szCs w:val="17"/>
          <w:color w:val="auto"/>
        </w:rPr>
      </w:pPr>
    </w:p>
    <w:p>
      <w:pPr>
        <w:ind w:left="1780" w:right="200" w:hanging="380"/>
        <w:spacing w:after="0" w:line="250" w:lineRule="auto"/>
        <w:tabs>
          <w:tab w:leader="none" w:pos="17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third-party patent rights that may be relevant to our technology is difficult because patent searching is imperfect due to differences in terminology among patents, incomplete databases, and the difficulty in assessing the meaning of patent claims;</w:t>
      </w:r>
    </w:p>
    <w:p>
      <w:pPr>
        <w:spacing w:after="0" w:line="82"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applications in the United States are typically not published until 18 months after the priority date; and</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publications in the scientific literature often lag behind actual discoveries.</w:t>
      </w:r>
    </w:p>
    <w:p>
      <w:pPr>
        <w:spacing w:after="0" w:line="104" w:lineRule="exact"/>
        <w:rPr>
          <w:sz w:val="20"/>
          <w:szCs w:val="20"/>
          <w:color w:val="auto"/>
        </w:rPr>
      </w:pPr>
    </w:p>
    <w:p>
      <w:pPr>
        <w:ind w:right="80" w:firstLine="509"/>
        <w:spacing w:after="0" w:line="247" w:lineRule="auto"/>
        <w:rPr>
          <w:sz w:val="20"/>
          <w:szCs w:val="20"/>
          <w:color w:val="auto"/>
        </w:rPr>
      </w:pPr>
      <w:r>
        <w:rPr>
          <w:rFonts w:ascii="Times New Roman" w:cs="Times New Roman" w:eastAsia="Times New Roman" w:hAnsi="Times New Roman"/>
          <w:sz w:val="18"/>
          <w:szCs w:val="18"/>
          <w:color w:val="auto"/>
        </w:rPr>
        <w:t>Furthermore, the scope of a patent claim is determined by an interpretation of the law, the written disclosure in a patent and the patent’s prosecution history and can involve other factors such as expert opinion. Our interpretation of the relevance or the scope of claims in a patent or a pending application may be incorrect, which may negatively impact our ability to market our products. Further, we may incorrectly determine that our technologies, products, or product candidates are not covered by a third-party patent or may incorrectly predict whether a third party’s pending patent application will issue with claims of relevant scope. Our determination of the expiration date of any patent in the United States or internationally that we consider relevant may be incorrect, which may negatively impact our ability to develop and market our products or product candidates.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8"/>
          <w:szCs w:val="18"/>
          <w:color w:val="auto"/>
        </w:rPr>
        <w:t>Our competitors may have filed, and may in the future file, patent applications covering technology similar to ours, and others may have or obtain patents or proprietary rights that could limit our ability to make, use, sell, offer for sale or import tildacerfont and future approved products or impair our competitive position.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tildacerfont. Any such patent application may have priority over our patent applications, which could further require us to obtain rights to issued patents covering such technologies. If another party has filed a U.S. patent application on inventions similar to ours, we may have to participate in an interference proceeding declared by the USPTO to determine priority of invention in the United States. The costs of these proceedings could be substantial, and it is possible that such efforts would be unsuccessful if, unbeknownst to us, the other party had independently arrived at the same or similar invention prior to our own invention, resulting in a loss of our U.S. patent position with respect to such inventions. Other countries have similar laws that permit secrecy of patent applications and may be entitled to priority over our applications in such jurisdictions.</w:t>
      </w:r>
    </w:p>
    <w:p>
      <w:pPr>
        <w:spacing w:after="0" w:line="78" w:lineRule="exact"/>
        <w:rPr>
          <w:sz w:val="20"/>
          <w:szCs w:val="20"/>
          <w:color w:val="auto"/>
        </w:rPr>
      </w:pPr>
    </w:p>
    <w:p>
      <w:pPr>
        <w:jc w:val="both"/>
        <w:ind w:right="120" w:firstLine="509"/>
        <w:spacing w:after="0" w:line="250" w:lineRule="auto"/>
        <w:rPr>
          <w:sz w:val="20"/>
          <w:szCs w:val="20"/>
          <w:color w:val="auto"/>
        </w:rPr>
      </w:pPr>
      <w:r>
        <w:rPr>
          <w:rFonts w:ascii="Times New Roman" w:cs="Times New Roman" w:eastAsia="Times New Roman" w:hAnsi="Times New Roman"/>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spacing w:after="0" w:line="82" w:lineRule="exact"/>
        <w:rPr>
          <w:sz w:val="20"/>
          <w:szCs w:val="20"/>
          <w:color w:val="auto"/>
        </w:rPr>
      </w:pPr>
    </w:p>
    <w:p>
      <w:pPr>
        <w:jc w:val="both"/>
        <w:ind w:right="180" w:firstLine="509"/>
        <w:spacing w:after="0" w:line="250" w:lineRule="auto"/>
        <w:rPr>
          <w:sz w:val="20"/>
          <w:szCs w:val="20"/>
          <w:color w:val="auto"/>
        </w:rPr>
      </w:pPr>
      <w:r>
        <w:rPr>
          <w:rFonts w:ascii="Times New Roman" w:cs="Times New Roman" w:eastAsia="Times New Roman" w:hAnsi="Times New Roman"/>
          <w:sz w:val="18"/>
          <w:szCs w:val="18"/>
          <w:color w:val="auto"/>
        </w:rPr>
        <w:t>If a third party prevails in a patent infringement lawsuit against us, we may have to stop making and selling the infringing product, pay substantial damages, including treble damages and attorneys’ fees if we are found to be willfully infringing a third party’s patents, obtain one or more licenses from third parties, pay royalties or redesign our infringing products, which may be impossible or require substantial time and monetary expenditure.</w:t>
      </w:r>
    </w:p>
    <w:p>
      <w:pPr>
        <w:spacing w:after="0" w:line="82" w:lineRule="exact"/>
        <w:rPr>
          <w:sz w:val="20"/>
          <w:szCs w:val="20"/>
          <w:color w:val="auto"/>
        </w:rPr>
      </w:pPr>
    </w:p>
    <w:p>
      <w:pPr>
        <w:ind w:right="240" w:firstLine="509"/>
        <w:spacing w:after="0" w:line="246" w:lineRule="auto"/>
        <w:rPr>
          <w:sz w:val="20"/>
          <w:szCs w:val="20"/>
          <w:color w:val="auto"/>
        </w:rPr>
      </w:pPr>
      <w:r>
        <w:rPr>
          <w:rFonts w:ascii="Times New Roman" w:cs="Times New Roman" w:eastAsia="Times New Roman" w:hAnsi="Times New Roman"/>
          <w:sz w:val="18"/>
          <w:szCs w:val="18"/>
          <w:color w:val="auto"/>
        </w:rPr>
        <w:t>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tildacerfont. We may fail to obtain any of these licenses at a reasonable cost or on reasonable terms, if at all. In that event, we would be unable to further develop and commercialize tildacerfont, which could harm our business significantly. Even if we were able to obtain a license, the rights may be nonexclusive, which may give our competitors access to the same intellectual property.</w:t>
      </w:r>
    </w:p>
    <w:p>
      <w:pPr>
        <w:spacing w:after="0" w:line="69"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have wrongfully hired an employee from a competitor or that we or our employees have wrongfully used or disclosed alleged confidential information or trade secrets of their former employers.</w:t>
      </w:r>
    </w:p>
    <w:p>
      <w:pPr>
        <w:spacing w:after="0" w:line="37"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As is common in the biotechnology and pharmaceutical industries, in addition to our employees, we engage the services of consultants to assist us in the development of tildacerfont, any future product candidates, and other proprietary technologies. Many of these consultants, and many of our employees, were previously employed at, or may have previously provided or may be currently providing consulting services to, other 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7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the patents of our licensors, which could be expensive, time-consuming, and unsuccessful. Further, our issued patents could be found invalid or unenforceable if challenged in court, and we may incur substantial costs as a result of litigation or other proceedings relating to patent and other intellectual property rights.</w:t>
      </w:r>
    </w:p>
    <w:p>
      <w:pPr>
        <w:spacing w:after="0" w:line="60"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Third parties including competitors may infringe, misappropriate or otherwise violate our patents, patents that may issue to us in the future, or the patents of our licensors that are licensed to us. To counter infringement or unauthorized use, we may need to or choose to file infringement claims, which can be expensive and time-consuming. We may not be able to prevent, alone or with our licensors, infringement, misappropriation, or other violation of our intellectual property, particularly in countries where the laws may not protect those rights as fully as in the United States.</w:t>
      </w:r>
    </w:p>
    <w:p>
      <w:pPr>
        <w:spacing w:after="0" w:line="83"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If we choose to go to court to stop another party from using the inventions claimed in our patents, that individual or company has the right to ask the court to rule that such patents are invalid, unenforceable, or should not be enforced against that third party for any number of reasons. In patent litigation in the United States, defendant counterclaims alleging invalidity and/or unenforceability are commonplace. Grounds for a validity challenge include an alleged failure to meet any of several statutory requirements for patentability, including lack of novelty, obviousness, lack of written description, indefiniteness, or non-enablement. Grounds for an unenforceability assertion could include an allegation that someone connected with prosecution of the patent withheld relevant information from the USPTO or made a misleading statement during prosecution, i.e., committed inequitable conduct. Third parties may also raise similar claims before the USPTO, even outside the context of litigation. For example, in May 2021, Neurocrine filed a petition requesting the USPTO to institute an administrative proceeding involving the post-grant review of the patentability of United States Patent 10,849,908. In December 2021, the USPTO denied Neurocrine's request for post-grant review. In January 2022,</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Neurocrine requested a hearing of the USPTO's decision to deny the post-grant review and also filed a request that the Procedural Opinion Panel review the case. Similar mechanisms for challenging the validity and enforceability of a patent exist in foreign patent offices and courts and may result in the revocation, cancellation, or amendment of any foreign patents we or our licensors hold now or in the future. In February 2022, Neurocrine filed a petition requesting the USPTO to institute an administrative proceeding involving the post-grant review of the patentability of United States Patent 11,007,201. The outcome following legal assertions of invalidity and unenforceability is unpredictable, and prior art could render our patents or those of our licensors invalid. If a defendant were to prevail on a legal assertion of invalidity and/or unenforceability, we would lose at least part, and perhaps all, of the patent protection on such product candidate. Such a loss of patent protection would have a material adverse impact on our business.</w:t>
      </w:r>
    </w:p>
    <w:p>
      <w:pPr>
        <w:spacing w:after="0" w:line="73" w:lineRule="exact"/>
        <w:rPr>
          <w:sz w:val="20"/>
          <w:szCs w:val="20"/>
          <w:color w:val="auto"/>
        </w:rPr>
      </w:pPr>
    </w:p>
    <w:p>
      <w:pPr>
        <w:ind w:right="60" w:firstLine="509"/>
        <w:spacing w:after="0" w:line="243" w:lineRule="auto"/>
        <w:rPr>
          <w:sz w:val="20"/>
          <w:szCs w:val="20"/>
          <w:color w:val="auto"/>
        </w:rPr>
      </w:pPr>
      <w:r>
        <w:rPr>
          <w:rFonts w:ascii="Times New Roman" w:cs="Times New Roman" w:eastAsia="Times New Roman" w:hAnsi="Times New Roman"/>
          <w:sz w:val="18"/>
          <w:szCs w:val="18"/>
          <w:color w:val="auto"/>
        </w:rPr>
        <w:t>Interference or derivation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Our defense of litigation or interference proceedings may fail and, even if successful, may result in substantial costs and distract our management and other employees. In addition, the uncertainties associated with litigation could have a material adverse effect on our ability to raise the funds necessary to continue our clinical trials, continue our research programs, license necessary technology from third parties, or enter into development or manufacturing partnerships that would help us bring tildacerfont and any future product candidates to market.</w:t>
      </w:r>
    </w:p>
    <w:p>
      <w:pPr>
        <w:spacing w:after="0" w:line="78"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our intellectual property rights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91" w:lineRule="exact"/>
        <w:rPr>
          <w:sz w:val="20"/>
          <w:szCs w:val="20"/>
          <w:color w:val="auto"/>
        </w:rPr>
      </w:pPr>
    </w:p>
    <w:p>
      <w:pPr>
        <w:ind w:right="60" w:firstLine="509"/>
        <w:spacing w:after="0" w:line="245" w:lineRule="auto"/>
        <w:rPr>
          <w:sz w:val="20"/>
          <w:szCs w:val="20"/>
          <w:color w:val="auto"/>
        </w:rPr>
      </w:pPr>
      <w:r>
        <w:rPr>
          <w:rFonts w:ascii="Times New Roman" w:cs="Times New Roman" w:eastAsia="Times New Roman" w:hAnsi="Times New Roman"/>
          <w:sz w:val="18"/>
          <w:szCs w:val="18"/>
          <w:color w:val="auto"/>
        </w:rPr>
        <w:t>Our ability to enforce our patent rights depends on our ability to detect infringement. It may be difficult to detect infringers who do not advertise the components or methods that are used in connection with their products and services. Moreover, it may be difficult or impossible to obtain evidence of infringement in a competitor’s or potential competitor’s product or service. We may not prevail in any lawsuits that we initiate and the damages or other remedies awarded if we were to prevail may not be commercially meaningful.</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Because of the expense and uncertainty of litigation, we may not be in a position to enforce our intellectual property rights against third parties.</w:t>
      </w:r>
    </w:p>
    <w:p>
      <w:pPr>
        <w:spacing w:after="0" w:line="108"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Because of the expense and uncertainty of litigation, we may conclude that even if a third party is infringing our issued patent, any patents that may be issued as a result of our pending or future patent applications or other intellectual property rights, the risk-adjusted cost of bringing and enforcing such a claim or action may be too high or not in the best interest of our company or our stockholders. In such cases, we may decide that the more prudent course of action is to simply monitor the situation or initiate or seek some other non-litigious action or solution.</w:t>
      </w:r>
    </w:p>
    <w:p>
      <w:pPr>
        <w:spacing w:after="0" w:line="6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 Our reliance on third parties requires us to share our trade secrets, which increases the possibility that a competitor will discover them or that our trade secrets will be misappropriated or disclosed.</w:t>
      </w:r>
    </w:p>
    <w:p>
      <w:pPr>
        <w:spacing w:after="0" w:line="60"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We rely on trade secrets to protect our proprietary technologies,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and inventions agreements with employees, consultants, and advisors, to protect our trade secrets and other proprietary information. In addition to contractual measures, we try to protect the confidential nature of our proprietary information using commonly accepted physical and technological security measures. Despite these efforts, we cannot provide any assurances that all such agreements have been duly executed, and these agreements may not effectively prevent disclosure of confidential information and may not provide an adequate remedy in the event of unauthorized disclosure of confidential information. In addition, others may independently discover our trade secrets and proprietary information. For example, the FDA, as part of its Transparency Initiative,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Costly and time-consuming litigation could be necessary to enforce and determine the scope of our proprietary rights, and failure to obtain or maintain trade secret protection could adversely affect our competitive business position.</w:t>
      </w:r>
    </w:p>
    <w:p>
      <w:pPr>
        <w:spacing w:after="0" w:line="54"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color w:val="auto"/>
        </w:rPr>
        <w:t>In addition, such security measures may not provide adequate protection for our proprietary information, for example, in the case of misappropriation of a trade secret by an employee, consultant, customer, or third party with authorized access. Our security measures may not prevent an employee, consultant or customer from misappropriating our trade secrets and providing them to a competitor, and recourse we take against such misconduct may not provide an adequate remedy to protect our interests fully. Monitoring unauthorized uses and disclosures is difficult, and we do not know whether the steps we have taken to protect our proprietary technologies will be effective. Unauthorized parties may also attempt to copy or reverse engineer certain aspects of our products that we consider proprietary. Enforcing a claim that a party illegally disclosed or misappropriated a trade secret can be difficult, expensive and time-consuming, and the outcome is unpredictable. Even though we use commonly accepted security measures, the criteria for protection of trade secrets can vary among different jurisdictions.</w:t>
      </w:r>
    </w:p>
    <w:p>
      <w:pPr>
        <w:spacing w:after="0" w:line="71"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Enforcing a claim that a party illegally disclosed or misappropriated a trade secret is difficult, expensive and time-consuming, and the outcome is unpredictable. In addition, some courts inside and outside the United States are less willing or unwilling to protect trade secrets. Moreover, third parties may still obtain this information or may come upon this or similar information independently, and we would have no right to prevent them from using that technology or information to compete with us. Trade secrets will over time be disseminated within the industry through independent development, the publication of journal articles, and the movement of personnel skilled in the art from company to company or academic to industry scientific positions. Though our agreements with third parties typically restrict the ability of our advisors, employees, collaborators, licensors, suppliers, third-party contractors, and consultants to publish data potentially relating to our trade secrets, our agreements may contain certain limited publication rights. If any of our trade secrets were to be lawfully obtained or independently developed by a competitor, we would have no right to prevent such competitor from using that technology or information to compete with us, which could harm our competitive position. Because from time to time we expect to rely on third parties in the development, manufacture, and distribution of our products and provision of our services, we must, at times, share trade secrets with them. Despite employing the contractual and other security precautions described above, the need to share trade secrets increases the risk that such trade secrets become known by our competitors, are inadvertently incorporated into the technology of others, or are disclosed or used in violation of these agreements.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72"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50"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Our future trademarks or trade names may be unable to be obtained,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adversely affect our financial condition or results of operations.</w:t>
      </w:r>
    </w:p>
    <w:p>
      <w:pPr>
        <w:spacing w:after="0" w:line="75"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Moreover, any name we have proposed to use with tildacerfont in the United States must be approved by the FDA, regardless of whether we have registered it, or applied to register it, as a trademark. The FDA typically conducts a review of proposed product names, including an evaluation of potential for confusion with other product names. If the FDA (or an equivalent administrative body in a foreign jurisdiction) objects to any of our proposed proprietary product names, it may be required to expend significant additional resources in an effort to identify a suitable substitute name that would qualify under applicable trademark laws, not infringe the existing rights of third parties, and be acceptable to the FDA. Similar requirements exist in Europe. Furthermore, in many countries, owning and maintaining a trademark registration may not provide an adequate defense against a subsequent infringement claim asserted by the owner of a senior trademark.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If we assert trademark infringement claims, a court</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50"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collaboration arrangements that we may enter into in the future may not be successful, which could adversely affect our ability to develop and commercialize our products.</w:t>
      </w:r>
    </w:p>
    <w:p>
      <w:pPr>
        <w:spacing w:after="0" w:line="3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Any future collaborations that we enter into may not be successful. The success of our collaboration arrangements will depend heavily on the efforts and activities of our collaborators. Collaborations are subject to numerous risks, which may include that:</w:t>
      </w:r>
    </w:p>
    <w:p>
      <w:pPr>
        <w:spacing w:after="0" w:line="68" w:lineRule="exact"/>
        <w:rPr>
          <w:sz w:val="20"/>
          <w:szCs w:val="20"/>
          <w:color w:val="auto"/>
        </w:rPr>
      </w:pPr>
    </w:p>
    <w:p>
      <w:pPr>
        <w:ind w:left="1780" w:hanging="380"/>
        <w:spacing w:after="0"/>
        <w:tabs>
          <w:tab w:leader="none" w:pos="17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collaborations;</w:t>
      </w:r>
    </w:p>
    <w:p>
      <w:pPr>
        <w:spacing w:after="0" w:line="103" w:lineRule="exact"/>
        <w:rPr>
          <w:rFonts w:ascii="Times New Roman" w:cs="Times New Roman" w:eastAsia="Times New Roman" w:hAnsi="Times New Roman"/>
          <w:sz w:val="18"/>
          <w:szCs w:val="18"/>
          <w:color w:val="auto"/>
        </w:rPr>
      </w:pPr>
    </w:p>
    <w:p>
      <w:pPr>
        <w:ind w:left="1780" w:right="80" w:hanging="380"/>
        <w:spacing w:after="0" w:line="250" w:lineRule="auto"/>
        <w:tabs>
          <w:tab w:leader="none" w:pos="17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our products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spacing w:after="0" w:line="69" w:lineRule="exact"/>
        <w:rPr>
          <w:rFonts w:ascii="Times New Roman" w:cs="Times New Roman" w:eastAsia="Times New Roman" w:hAnsi="Times New Roman"/>
          <w:sz w:val="18"/>
          <w:szCs w:val="18"/>
          <w:color w:val="auto"/>
        </w:rPr>
      </w:pPr>
    </w:p>
    <w:p>
      <w:pPr>
        <w:ind w:left="1780" w:right="660" w:hanging="380"/>
        <w:spacing w:after="0" w:line="266" w:lineRule="auto"/>
        <w:tabs>
          <w:tab w:leader="none" w:pos="17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tildacerfont and any future product candidates;</w:t>
      </w:r>
    </w:p>
    <w:p>
      <w:pPr>
        <w:spacing w:after="0" w:line="67" w:lineRule="exact"/>
        <w:rPr>
          <w:rFonts w:ascii="Times New Roman" w:cs="Times New Roman" w:eastAsia="Times New Roman" w:hAnsi="Times New Roman"/>
          <w:sz w:val="18"/>
          <w:szCs w:val="18"/>
          <w:color w:val="auto"/>
        </w:rPr>
      </w:pPr>
    </w:p>
    <w:p>
      <w:pPr>
        <w:ind w:left="1780" w:right="40" w:hanging="380"/>
        <w:spacing w:after="0" w:line="266" w:lineRule="auto"/>
        <w:tabs>
          <w:tab w:leader="none" w:pos="17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manufacturing, and distribution rights to one or more products may not commit sufficient resources to or otherwise not perform satisfactorily in carrying out these activities;</w:t>
      </w:r>
    </w:p>
    <w:p>
      <w:pPr>
        <w:spacing w:after="0" w:line="54"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grant exclusive rights to our collaborators that would prevent us from collaborating with others;</w:t>
      </w:r>
    </w:p>
    <w:p>
      <w:pPr>
        <w:spacing w:after="0" w:line="117" w:lineRule="exact"/>
        <w:rPr>
          <w:rFonts w:ascii="Times New Roman" w:cs="Times New Roman" w:eastAsia="Times New Roman" w:hAnsi="Times New Roman"/>
          <w:sz w:val="18"/>
          <w:szCs w:val="18"/>
          <w:color w:val="auto"/>
        </w:rPr>
      </w:pPr>
    </w:p>
    <w:p>
      <w:pPr>
        <w:ind w:left="1780" w:right="60" w:hanging="380"/>
        <w:spacing w:after="0" w:line="250" w:lineRule="auto"/>
        <w:tabs>
          <w:tab w:leader="none" w:pos="17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82" w:lineRule="exact"/>
        <w:rPr>
          <w:rFonts w:ascii="Times New Roman" w:cs="Times New Roman" w:eastAsia="Times New Roman" w:hAnsi="Times New Roman"/>
          <w:sz w:val="18"/>
          <w:szCs w:val="18"/>
          <w:color w:val="auto"/>
        </w:rPr>
      </w:pPr>
    </w:p>
    <w:p>
      <w:pPr>
        <w:ind w:left="1780" w:right="540" w:hanging="380"/>
        <w:spacing w:after="0" w:line="250" w:lineRule="auto"/>
        <w:tabs>
          <w:tab w:leader="none" w:pos="17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us and a collaborator that causes the delay or termination of the research, development, or commercialization of our current or future products or that results in costly litigation or arbitration that diverts management attention and resources;</w:t>
      </w:r>
    </w:p>
    <w:p>
      <w:pPr>
        <w:spacing w:after="0" w:line="82" w:lineRule="exact"/>
        <w:rPr>
          <w:rFonts w:ascii="Times New Roman" w:cs="Times New Roman" w:eastAsia="Times New Roman" w:hAnsi="Times New Roman"/>
          <w:sz w:val="18"/>
          <w:szCs w:val="18"/>
          <w:color w:val="auto"/>
        </w:rPr>
      </w:pPr>
    </w:p>
    <w:p>
      <w:pPr>
        <w:ind w:left="1780" w:right="160" w:hanging="380"/>
        <w:spacing w:after="0" w:line="266" w:lineRule="auto"/>
        <w:tabs>
          <w:tab w:leader="none" w:pos="17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current or future products;</w:t>
      </w:r>
    </w:p>
    <w:p>
      <w:pPr>
        <w:spacing w:after="0" w:line="54" w:lineRule="exact"/>
        <w:rPr>
          <w:rFonts w:ascii="Times New Roman" w:cs="Times New Roman" w:eastAsia="Times New Roman" w:hAnsi="Times New Roman"/>
          <w:sz w:val="18"/>
          <w:szCs w:val="18"/>
          <w:color w:val="auto"/>
        </w:rPr>
      </w:pPr>
    </w:p>
    <w:p>
      <w:pPr>
        <w:ind w:left="1780" w:right="60" w:hanging="380"/>
        <w:spacing w:after="0" w:line="282" w:lineRule="auto"/>
        <w:tabs>
          <w:tab w:leader="none" w:pos="17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own or co-own intellectual property covering our products that results from our collaborating with them, and in such cases, we would not have the exclusive right to develop or commercialize such intellectual property;</w:t>
      </w:r>
    </w:p>
    <w:p>
      <w:pPr>
        <w:spacing w:after="0" w:line="40" w:lineRule="exact"/>
        <w:rPr>
          <w:rFonts w:ascii="Times New Roman" w:cs="Times New Roman" w:eastAsia="Times New Roman" w:hAnsi="Times New Roman"/>
          <w:sz w:val="18"/>
          <w:szCs w:val="18"/>
          <w:color w:val="auto"/>
        </w:rPr>
      </w:pPr>
    </w:p>
    <w:p>
      <w:pPr>
        <w:ind w:left="1780" w:right="20" w:hanging="380"/>
        <w:spacing w:after="0" w:line="250" w:lineRule="auto"/>
        <w:tabs>
          <w:tab w:leader="none" w:pos="17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intellectual property rights in technologies or products resulting from the collaboration; under certain situations, the collaborators may provide us with an option to negotiate a license to such developed technologies or products, however, we may not be able to negotiate such license; and</w:t>
      </w:r>
    </w:p>
    <w:p>
      <w:pPr>
        <w:spacing w:after="0" w:line="82" w:lineRule="exact"/>
        <w:rPr>
          <w:rFonts w:ascii="Times New Roman" w:cs="Times New Roman" w:eastAsia="Times New Roman" w:hAnsi="Times New Roman"/>
          <w:sz w:val="18"/>
          <w:szCs w:val="18"/>
          <w:color w:val="auto"/>
        </w:rPr>
      </w:pPr>
    </w:p>
    <w:p>
      <w:pPr>
        <w:ind w:left="1780" w:right="80" w:hanging="380"/>
        <w:spacing w:after="0" w:line="266" w:lineRule="auto"/>
        <w:tabs>
          <w:tab w:leader="none" w:pos="17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collaborator’s sales and marketing activities or other operations may not be in compliance with applicable laws resulting in civil or criminal proceedings.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liquid and orderly trading market for our common stock may not be sustained.</w:t>
      </w:r>
    </w:p>
    <w:p>
      <w:pPr>
        <w:spacing w:after="0" w:line="108"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Prior to the closing of our IPO in October 2020, there was no public market for shares of our common stock. An active trading market for our shares may not be sustained. You may not be able to sell your shares quickly or at the market price if trading in shares of our common stock is not active. As a result of these and other factors, you may be unable to resell your shares of our common stock. Further, an inactive market may also impair our ability to raise capital by selling shares of our common stock and may impair our ability to enter into strategic partnerships or acquire companies or products by using our shares of common stock as consideration.</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common stock may be volatile, and you could lose all or part of your investment.*</w:t>
      </w:r>
    </w:p>
    <w:p>
      <w:pPr>
        <w:spacing w:after="0" w:line="108"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The trading price of our common stock is likely to be highly volatile and could be subject to wide fluctuations in response to various factors, some of which are beyond our control, including limited trading volume. For example, the closing price of our common stock since its trading began on October 9, 2020 to May 10, 2022 has ranged from a low of $1.43 to a high of $32.42. In addition to the factors discussed in this “Risk Factors” section and elsewhere in this Quarterly Report on Form 10-Q, these factors include:</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left="1780" w:right="20" w:hanging="380"/>
        <w:spacing w:after="0" w:line="250" w:lineRule="auto"/>
        <w:tabs>
          <w:tab w:leader="none" w:pos="1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enrollment or results of our ongoing and planned clinical trials of tildacerfont or any future clinical trials we may conduct of tildacerfont and any future product candidates, or changes in the development status of tildacerfont and any future product candidates;</w:t>
      </w:r>
    </w:p>
    <w:p>
      <w:pPr>
        <w:spacing w:after="0" w:line="82"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by the FDA and EMA of the clinical trial design of our planned and ongoing clinical trials of tildacerfont;</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by the FDA and EMA of data from our two Phase 2b clinical trials or any future clinical trials we conduct;</w:t>
      </w:r>
    </w:p>
    <w:p>
      <w:pPr>
        <w:spacing w:after="0" w:line="103" w:lineRule="exact"/>
        <w:rPr>
          <w:rFonts w:ascii="Times New Roman" w:cs="Times New Roman" w:eastAsia="Times New Roman" w:hAnsi="Times New Roman"/>
          <w:sz w:val="18"/>
          <w:szCs w:val="18"/>
          <w:color w:val="auto"/>
        </w:rPr>
      </w:pPr>
    </w:p>
    <w:p>
      <w:pPr>
        <w:ind w:left="1780" w:right="120" w:hanging="380"/>
        <w:spacing w:after="0" w:line="258" w:lineRule="auto"/>
        <w:tabs>
          <w:tab w:leader="none" w:pos="1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 in our regulatory filings for tildacerfont and any future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spacing w:after="0" w:line="61" w:lineRule="exact"/>
        <w:rPr>
          <w:rFonts w:ascii="Times New Roman" w:cs="Times New Roman" w:eastAsia="Times New Roman" w:hAnsi="Times New Roman"/>
          <w:sz w:val="18"/>
          <w:szCs w:val="18"/>
          <w:color w:val="auto"/>
        </w:rPr>
      </w:pPr>
    </w:p>
    <w:p>
      <w:pPr>
        <w:ind w:left="1780" w:right="300" w:hanging="380"/>
        <w:spacing w:after="0" w:line="282" w:lineRule="auto"/>
        <w:tabs>
          <w:tab w:leader="none" w:pos="1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or delays in clinical trials as a result of the COVID-19 pandemic, patient engagement, protocol amendments or otherwise;</w:t>
      </w:r>
    </w:p>
    <w:p>
      <w:pPr>
        <w:spacing w:after="0" w:line="40"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decision to initiate a clinical trial, not to initiate a clinical trial, or to terminate an existing clinical trial;</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decisions, including failure to receive regulatory approval for tildacerfont and any future product candidates;</w:t>
      </w:r>
    </w:p>
    <w:p>
      <w:pPr>
        <w:spacing w:after="0" w:line="103" w:lineRule="exact"/>
        <w:rPr>
          <w:rFonts w:ascii="Times New Roman" w:cs="Times New Roman" w:eastAsia="Times New Roman" w:hAnsi="Times New Roman"/>
          <w:sz w:val="18"/>
          <w:szCs w:val="18"/>
          <w:color w:val="auto"/>
        </w:rPr>
      </w:pPr>
    </w:p>
    <w:p>
      <w:pPr>
        <w:ind w:left="1780" w:right="240" w:hanging="380"/>
        <w:spacing w:after="0" w:line="282" w:lineRule="auto"/>
        <w:tabs>
          <w:tab w:leader="none" w:pos="1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tildacerfont and any future product candidates, including but not limited to clinical trial requirements for approvals;</w:t>
      </w:r>
    </w:p>
    <w:p>
      <w:pPr>
        <w:spacing w:after="0" w:line="40"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obtain coverage and adequate reimbursement of tildacerfont and any future product candidates, if approved;</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on the structure of healthcare payment systems;</w:t>
      </w:r>
    </w:p>
    <w:p>
      <w:pPr>
        <w:spacing w:after="0" w:line="117"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concerning our manufacturers;</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adequate product supply for any approved drug product or inability to do so at acceptable prices;</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establish collaborations if needed;</w:t>
      </w:r>
    </w:p>
    <w:p>
      <w:pPr>
        <w:spacing w:after="0" w:line="117"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commercialize tildacerfont and any future product candidates;</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scientific or executive management personnel;</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serious safety concerns related to the use of tildacerfont and any future product candidates;</w:t>
      </w:r>
    </w:p>
    <w:p>
      <w:pPr>
        <w:spacing w:after="0" w:line="117" w:lineRule="exact"/>
        <w:rPr>
          <w:rFonts w:ascii="Times New Roman" w:cs="Times New Roman" w:eastAsia="Times New Roman" w:hAnsi="Times New Roman"/>
          <w:sz w:val="18"/>
          <w:szCs w:val="18"/>
          <w:color w:val="auto"/>
        </w:rPr>
      </w:pPr>
    </w:p>
    <w:p>
      <w:pPr>
        <w:ind w:left="1780" w:hanging="380"/>
        <w:spacing w:after="0" w:line="266" w:lineRule="auto"/>
        <w:tabs>
          <w:tab w:leader="none" w:pos="1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products or services offered by us or our competitors, or the release or publication of clinical trial results from competing product candidates;</w:t>
      </w:r>
    </w:p>
    <w:p>
      <w:pPr>
        <w:spacing w:after="0" w:line="54"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partnerships, joint ventures, or capital commitments by us or our competitors;</w:t>
      </w:r>
    </w:p>
    <w:p>
      <w:pPr>
        <w:spacing w:after="0" w:line="117"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w:t>
      </w:r>
    </w:p>
    <w:p>
      <w:pPr>
        <w:spacing w:after="0" w:line="103" w:lineRule="exact"/>
        <w:rPr>
          <w:rFonts w:ascii="Times New Roman" w:cs="Times New Roman" w:eastAsia="Times New Roman" w:hAnsi="Times New Roman"/>
          <w:sz w:val="18"/>
          <w:szCs w:val="18"/>
          <w:color w:val="auto"/>
        </w:rPr>
      </w:pPr>
    </w:p>
    <w:p>
      <w:pPr>
        <w:ind w:left="1780" w:right="340" w:hanging="380"/>
        <w:spacing w:after="0" w:line="266" w:lineRule="auto"/>
        <w:tabs>
          <w:tab w:leader="none" w:pos="1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if any, of the markets for classic CAH in adult and pediatric patients and a subpopulation of females with PCOS, and other rare endocrine disorders that we may target;</w:t>
      </w:r>
    </w:p>
    <w:p>
      <w:pPr>
        <w:spacing w:after="0" w:line="54"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quarterly or annual operating results;</w:t>
      </w:r>
    </w:p>
    <w:p>
      <w:pPr>
        <w:spacing w:after="0" w:line="117"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position;</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meet the estimates and projections of the investment community or that we may otherwise provide to the public;</w:t>
      </w:r>
    </w:p>
    <w:p>
      <w:pPr>
        <w:spacing w:after="0" w:line="103" w:lineRule="exact"/>
        <w:rPr>
          <w:rFonts w:ascii="Times New Roman" w:cs="Times New Roman" w:eastAsia="Times New Roman" w:hAnsi="Times New Roman"/>
          <w:sz w:val="18"/>
          <w:szCs w:val="18"/>
          <w:color w:val="auto"/>
        </w:rPr>
      </w:pPr>
    </w:p>
    <w:p>
      <w:pPr>
        <w:ind w:left="1780" w:right="560" w:hanging="380"/>
        <w:spacing w:after="0" w:line="282" w:lineRule="auto"/>
        <w:tabs>
          <w:tab w:leader="none" w:pos="1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us or our industry or positive or negative recommendations or withdrawal of research coverage by securities analysts;</w:t>
      </w:r>
    </w:p>
    <w:p>
      <w:pPr>
        <w:spacing w:after="0" w:line="40"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performance of the equity markets;</w:t>
      </w:r>
    </w:p>
    <w:p>
      <w:pPr>
        <w:spacing w:after="0" w:line="117"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issuances of debt or equity securities;</w:t>
      </w:r>
    </w:p>
    <w:p>
      <w:pPr>
        <w:spacing w:after="0" w:line="2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left="1780" w:hanging="380"/>
        <w:spacing w:after="0"/>
        <w:tabs>
          <w:tab w:leader="none" w:pos="17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our stockholders in the future;</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practices;</w:t>
      </w:r>
    </w:p>
    <w:p>
      <w:pPr>
        <w:spacing w:after="0" w:line="117"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ineffectiveness of our internal controls;</w:t>
      </w:r>
    </w:p>
    <w:p>
      <w:pPr>
        <w:spacing w:after="0" w:line="103" w:lineRule="exact"/>
        <w:rPr>
          <w:rFonts w:ascii="Times New Roman" w:cs="Times New Roman" w:eastAsia="Times New Roman" w:hAnsi="Times New Roman"/>
          <w:sz w:val="18"/>
          <w:szCs w:val="18"/>
          <w:color w:val="auto"/>
        </w:rPr>
      </w:pPr>
    </w:p>
    <w:p>
      <w:pPr>
        <w:ind w:left="1780" w:right="180" w:hanging="380"/>
        <w:spacing w:after="0" w:line="266" w:lineRule="auto"/>
        <w:tabs>
          <w:tab w:leader="none" w:pos="17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67"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political, health, and economic conditions, including the COVID-19 pandemic; and</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many of which are beyond our control.</w:t>
      </w:r>
    </w:p>
    <w:p>
      <w:pPr>
        <w:spacing w:after="0" w:line="117"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In addition, the stock market in general, and biopharmaceutical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would harm our business, operating results or financial condition.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common stock so any returns will be limited to the value of our stock.</w:t>
      </w:r>
    </w:p>
    <w:p>
      <w:pPr>
        <w:spacing w:after="0" w:line="108"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In addition, pursuant to the Loan Agreement, we are prohibited from paying cash dividends without the prior written consent of Silicon Valley Bank, and future debt instruments may materially restrict our ability to pay dividends on our common stock. Any return to stockholders would therefore be limited to the appreciation, if any, of their stock.</w:t>
      </w:r>
    </w:p>
    <w:p>
      <w:pPr>
        <w:spacing w:after="0" w:line="65"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are able to exert significant control over matters subject to stockholder approval.</w:t>
      </w:r>
    </w:p>
    <w:p>
      <w:pPr>
        <w:spacing w:after="0" w:line="63" w:lineRule="exact"/>
        <w:rPr>
          <w:sz w:val="20"/>
          <w:szCs w:val="20"/>
          <w:color w:val="auto"/>
        </w:rPr>
      </w:pPr>
    </w:p>
    <w:p>
      <w:pPr>
        <w:ind w:right="160" w:firstLine="509"/>
        <w:spacing w:after="0" w:line="244" w:lineRule="auto"/>
        <w:rPr>
          <w:sz w:val="20"/>
          <w:szCs w:val="20"/>
          <w:color w:val="auto"/>
        </w:rPr>
      </w:pPr>
      <w:r>
        <w:rPr>
          <w:rFonts w:ascii="Times New Roman" w:cs="Times New Roman" w:eastAsia="Times New Roman" w:hAnsi="Times New Roman"/>
          <w:sz w:val="18"/>
          <w:szCs w:val="18"/>
          <w:color w:val="auto"/>
        </w:rPr>
        <w:t>Our executive officers and directors, combined with our stockholders who own more than 5% of our outstanding capital stock, beneficially own shares representing a significant percentage of our common stock. Therefore, these stockholders have the ability to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spacing w:after="0" w:line="70"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the reduced reporting requirements applicable to emerging growth companies and smaller reporting companies may make our common stock less attractive to investors.*</w:t>
      </w:r>
    </w:p>
    <w:p>
      <w:pPr>
        <w:spacing w:after="0" w:line="37" w:lineRule="exact"/>
        <w:rPr>
          <w:sz w:val="20"/>
          <w:szCs w:val="20"/>
          <w:color w:val="auto"/>
        </w:rPr>
      </w:pPr>
    </w:p>
    <w:p>
      <w:pPr>
        <w:ind w:right="40" w:firstLine="509"/>
        <w:spacing w:after="0" w:line="244"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For as long as we continue to be an emerging growth company, we may take advantage of certain exemptions from various public company reporting requirements, including being permitted to provide only two years of audited financial statements, in addition to any required financial statements with correspondingly reduced “Management’s Discussion and Analysis of Financial Condition and Results of Operations” disclosure in this Quarterly Report on Form 10-Q,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may take advantage of these exemptions until December 31, 2025, or until we are no longer an emerging growth company, whichever is earlier. We will cease to be an emerging growth company prior to the end of such five-year period if certain earlier events occur, including if we become a “large accelerated filer” as defined in Rule 12b-2 under the Exchange Act, our annual gross revenues exceed $1.07 billion or we issue more than $1.0 billion of non-convertible debt in any three-year period.</w:t>
      </w:r>
    </w:p>
    <w:p>
      <w:pPr>
        <w:spacing w:after="0" w:line="77" w:lineRule="exact"/>
        <w:rPr>
          <w:sz w:val="20"/>
          <w:szCs w:val="20"/>
          <w:color w:val="auto"/>
        </w:rPr>
      </w:pPr>
    </w:p>
    <w:p>
      <w:pPr>
        <w:jc w:val="both"/>
        <w:ind w:right="180" w:firstLine="509"/>
        <w:spacing w:after="0" w:line="258" w:lineRule="auto"/>
        <w:rPr>
          <w:sz w:val="20"/>
          <w:szCs w:val="20"/>
          <w:color w:val="auto"/>
        </w:rPr>
      </w:pPr>
      <w:r>
        <w:rPr>
          <w:rFonts w:ascii="Times New Roman" w:cs="Times New Roman" w:eastAsia="Times New Roman" w:hAnsi="Times New Roman"/>
          <w:sz w:val="18"/>
          <w:szCs w:val="18"/>
          <w:color w:val="auto"/>
        </w:rPr>
        <w:t>Under the JOBS Act, emerging growth companies can also delay adopting new or revised accounting standards until such time as those standards apply to private companies. We have elected to use this extended transition period under the JOBS Act until the earlier of the date we (i) are no longer an emerging growth company or (ii) affirmatively and irrevocably opt out of the extended transition period provided in the JOBS Act.</w:t>
      </w:r>
    </w:p>
    <w:p>
      <w:pPr>
        <w:spacing w:after="0" w:line="61" w:lineRule="exact"/>
        <w:rPr>
          <w:sz w:val="20"/>
          <w:szCs w:val="20"/>
          <w:color w:val="auto"/>
        </w:rPr>
      </w:pPr>
    </w:p>
    <w:p>
      <w:pPr>
        <w:ind w:right="180" w:firstLine="509"/>
        <w:spacing w:after="0" w:line="250" w:lineRule="auto"/>
        <w:rPr>
          <w:sz w:val="20"/>
          <w:szCs w:val="20"/>
          <w:color w:val="auto"/>
        </w:rPr>
      </w:pPr>
      <w:r>
        <w:rPr>
          <w:rFonts w:ascii="Times New Roman" w:cs="Times New Roman" w:eastAsia="Times New Roman" w:hAnsi="Times New Roman"/>
          <w:sz w:val="18"/>
          <w:szCs w:val="18"/>
          <w:color w:val="auto"/>
        </w:rPr>
        <w:t>We are also a “smaller reporting company” as defined in the Exchange Act. We may continue to be a smaller reporting company even after we are no longer an emerging growth company, which would allow us to take advantage of many of the same exemptions available to emerging growth companies, including not being required to comply with the auditor attestation requirements of Section 404 of the Sarbanes-Oxley Act or 2002, or the Sarbanes-Oxley Act, and reduced disclosure obligations regarding executive</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8"/>
          <w:szCs w:val="18"/>
          <w:color w:val="auto"/>
        </w:rPr>
        <w:t>compensation. We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 Investors may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6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previously identified and remediated a material weakness in our internal control over financial reporting and may identify material weaknesses in the future or otherwise fail to maintain proper and effective internal controls, which may impair our ability to produce accurate financial statements on a timely basis.*</w:t>
      </w:r>
    </w:p>
    <w:p>
      <w:pPr>
        <w:spacing w:after="0" w:line="60" w:lineRule="exact"/>
        <w:rPr>
          <w:sz w:val="20"/>
          <w:szCs w:val="20"/>
          <w:color w:val="auto"/>
        </w:rPr>
      </w:pPr>
    </w:p>
    <w:p>
      <w:pPr>
        <w:ind w:right="220" w:firstLine="509"/>
        <w:spacing w:after="0" w:line="250" w:lineRule="auto"/>
        <w:rPr>
          <w:sz w:val="20"/>
          <w:szCs w:val="20"/>
          <w:color w:val="auto"/>
        </w:rPr>
      </w:pPr>
      <w:r>
        <w:rPr>
          <w:rFonts w:ascii="Times New Roman" w:cs="Times New Roman" w:eastAsia="Times New Roman" w:hAnsi="Times New Roman"/>
          <w:sz w:val="18"/>
          <w:szCs w:val="18"/>
          <w:color w:val="auto"/>
        </w:rPr>
        <w:t>During the preparation of our financial statements for the years ended December 31, 2018 and 2019, we identified a material weakness in internal control over financial reporting primarily related to a lack of timely review over the financial statement close process. During these periods, we did not have a sufficient complement of qualified personnel within the accounting function and had a lack of segregation of duties to adequately conduct review and analysis of certain routine transactions.</w:t>
      </w:r>
    </w:p>
    <w:p>
      <w:pPr>
        <w:spacing w:after="0" w:line="69"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color w:val="auto"/>
        </w:rPr>
        <w:t>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This material weakness could result in a misstatement of account balances or disclosures that would result in a material misstatement to the annual or interim financial statements that would not be prevented or detected. To address our material weakness, we added a chief financial officer and controller, and we implemented new processes and controls, formalized documentation of policies and procedures, and recruited additional accounting personnel. We have fully remediated the material weakness as of the filing date of our Annual Report for the fiscal year ending December 31, 2020. Completion of remediation does not provide assurance that our remediation or other controls will continue operating effectively. Remediation costs consisted primarily of additional personnel expenses, which did not have a material impact to our financial statements.</w:t>
      </w:r>
    </w:p>
    <w:p>
      <w:pPr>
        <w:spacing w:after="0" w:line="71"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the Sarbanes-Oxley Act, and the rules and regulations of Nasdaq. The Sarbanes-Oxley Act requires, among other things, that we maintain effective disclosure controls and procedures and internal controls over financial reporting. We must perform system and process evaluation and testing of our internal controls over financial reporting to allow management to report on the effectiveness of our internal controls over financial reporting in this Quarterly Report on Form 10-Q, as required by Section 404 of the Sarbanes-Oxley Act. This will require that we incur substantial additional professional fees and internal costs to expand our accounting and finance functions and that we expend significant management efforts. Prior to our IPO, we have never been required to test our internal controls within a specified period, and, as a result, we may experience difficulty in meeting these reporting requirements in a timely manner.</w:t>
      </w:r>
    </w:p>
    <w:p>
      <w:pPr>
        <w:spacing w:after="0" w:line="73" w:lineRule="exact"/>
        <w:rPr>
          <w:sz w:val="20"/>
          <w:szCs w:val="20"/>
          <w:color w:val="auto"/>
        </w:rPr>
      </w:pPr>
    </w:p>
    <w:p>
      <w:pPr>
        <w:ind w:right="40" w:firstLine="509"/>
        <w:spacing w:after="0" w:line="246" w:lineRule="auto"/>
        <w:rPr>
          <w:sz w:val="20"/>
          <w:szCs w:val="20"/>
          <w:color w:val="auto"/>
        </w:rPr>
      </w:pPr>
      <w:r>
        <w:rPr>
          <w:rFonts w:ascii="Times New Roman" w:cs="Times New Roman" w:eastAsia="Times New Roman" w:hAnsi="Times New Roman"/>
          <w:sz w:val="18"/>
          <w:szCs w:val="18"/>
          <w:color w:val="auto"/>
        </w:rPr>
        <w:t>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87" w:lineRule="exact"/>
        <w:rPr>
          <w:sz w:val="20"/>
          <w:szCs w:val="20"/>
          <w:color w:val="auto"/>
        </w:rPr>
      </w:pPr>
    </w:p>
    <w:p>
      <w:pPr>
        <w:ind w:right="200" w:firstLine="509"/>
        <w:spacing w:after="0" w:line="250" w:lineRule="auto"/>
        <w:rPr>
          <w:sz w:val="20"/>
          <w:szCs w:val="20"/>
          <w:color w:val="auto"/>
        </w:rPr>
      </w:pPr>
      <w:r>
        <w:rPr>
          <w:rFonts w:ascii="Times New Roman" w:cs="Times New Roman" w:eastAsia="Times New Roman" w:hAnsi="Times New Roman"/>
          <w:sz w:val="18"/>
          <w:szCs w:val="18"/>
          <w:color w:val="auto"/>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Nasdaq, the SEC or other regulatory authorities.</w:t>
      </w:r>
    </w:p>
    <w:p>
      <w:pPr>
        <w:spacing w:after="0" w:line="82"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The measures we have taken to date, and actions we may take in the future, may not be sufficient to remediate the control deficiencies that led to our material weakness in our internal control over financial reporting or to prevent or avoid potential future material weaknesses. We may not have identified all material weaknesses. Moreover, 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operating results or cause us to fail to meet our reporting obligations and may result in a restatement of our financial statements for prior periods, which could cause the price of our common stock to decline. In addition, if we are not able to continue to meet these requirements, we may not be able to remain listed on Nasdaq.</w:t>
      </w:r>
    </w:p>
    <w:p>
      <w:pPr>
        <w:spacing w:after="0" w:line="69" w:lineRule="exact"/>
        <w:rPr>
          <w:sz w:val="20"/>
          <w:szCs w:val="20"/>
          <w:color w:val="auto"/>
        </w:rPr>
      </w:pPr>
    </w:p>
    <w:p>
      <w:pPr>
        <w:ind w:right="4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significant increased costs as a result of operating as a public company, and our management will be required to devote substantial time to new compliance initiatives.</w:t>
      </w:r>
    </w:p>
    <w:p>
      <w:pPr>
        <w:spacing w:after="0" w:line="50"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As a public company, we have incurred and will continue to incur significant legal, accounting, and other expenses that we did not incur as a private company. We are subject to the reporting requirements of the Exchange Act, which require, among other things,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that we file with the SEC annual, quarterly, and current reports with respect to our business and financial condition. In addition, the Sarbanes-Oxley Act, as well as rules subsequently adopted by the SEC and Nasdaq to implement provisions of the Sarbanes-Oxley Act, impose significant requirements on public companies, including requiring establishment and maintenance of effective disclosure and financial controls and changes in corporate governance practices. Further, in July 2010, the Dodd-Frank Wall Street Reform and Consumer Protection Act, or the Dodd-Frank Act, was enacted. There are significant corporate governance and executive compensation related provisions in the Dodd-Frank Act that require the SEC to adopt additional rules and regulations in these areas such as “say on pay” and proxy access. Emerging growth companies and smaller reporting companies are exempted from certain of these requirements, but we may be required to implement these requirements sooner than budgeted or planned and thereby incur unexpected expenses.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78"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We expect the rules and regulations applicable to public companies to continue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could cause our stock price to fall.*</w:t>
      </w:r>
    </w:p>
    <w:p>
      <w:pPr>
        <w:spacing w:after="0" w:line="121" w:lineRule="exact"/>
        <w:rPr>
          <w:sz w:val="20"/>
          <w:szCs w:val="20"/>
          <w:color w:val="auto"/>
        </w:rPr>
      </w:pPr>
    </w:p>
    <w:p>
      <w:pPr>
        <w:ind w:right="180" w:firstLine="509"/>
        <w:spacing w:after="0" w:line="250"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As of March 31, 2022, there were 23,492,873 shares of our common stock outstanding.</w:t>
      </w:r>
    </w:p>
    <w:p>
      <w:pPr>
        <w:spacing w:after="0" w:line="82"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In addition, shares of common stock that are either subject to outstanding options or reserved for future issuance under our employee benefit plans will become eligible for sale in the public market to the extent permitted by the provisions of various vesting schedules, Rule 144 and Rule 701 under the Securities Act of 1933, as amended, or the Securities Act. If these additional shares of common stock are sold, or if it is perceived that they will be sold, in the public market, the trading price of our common stock could decline.</w:t>
      </w:r>
    </w:p>
    <w:p>
      <w:pPr>
        <w:spacing w:after="0" w:line="69"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Further, certain holders of shares of our common stock are entitled to rights with respect to the registration of their shares under the Securities Act. Registration of these shares under the Securities Act would result in the shares becoming freely tradable without restriction under the Securities Act, except for shares held by affiliates, as defined in Rule 144 under the Securities Act. Any sales of securities by these stockholders could have a material adverse effect on the trading price of our common stock.</w:t>
      </w:r>
    </w:p>
    <w:p>
      <w:pPr>
        <w:spacing w:after="0" w:line="65" w:lineRule="exact"/>
        <w:rPr>
          <w:sz w:val="20"/>
          <w:szCs w:val="20"/>
          <w:color w:val="auto"/>
        </w:rPr>
      </w:pPr>
    </w:p>
    <w:p>
      <w:pPr>
        <w:jc w:val="both"/>
        <w:ind w:right="22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Future sales and issuances of our common stock or rights to purchase common stock, including pursuant to the Shelf Registration, Sales Agreement and our equity incentive plans, could result in additional dilution of the percentage ownership of our stockholders and could cause our stock price to fall.*</w:t>
      </w:r>
    </w:p>
    <w:p>
      <w:pPr>
        <w:spacing w:after="0" w:line="60"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8"/>
          <w:szCs w:val="18"/>
          <w:color w:val="auto"/>
        </w:rPr>
        <w:t>We expect that we will need significant additional capital in the future to continue our planned operations, including conducting clinical trials, commercialization efforts, expanded research and development activities, and costs associated with operating a public company. To raise capital, we may sell common stock, convertible securities or other equity securities in one or more transactions at prices and in a manner we determine from time to time, including through the registration statement on Form S-3, as amended, declared effective in February 2022, covering the sale of up to $200.0 million of our securities, or the Shelf Registration. For example, in February 2022, we entered into the Sales Agreement with Jefferies, pursuant to which we may elect to issue and sell, from time to time, shares of common stock having an aggregate offering price of up to $21.0 million under the Shelf Registration through Jefferies acting as the sales agent and/or principal. If we sell common stock, convertible securities or other equity securities, investors may be materially diluted by subsequent sales. Such sales may also result in material dilution to our existing stockholders, and new investors could gain rights, preferences and privileges senior to the holders of our common stock. As of March 31, 2022, we have not issued any shares of common stock pursuant to the Sales Agreement.</w:t>
      </w:r>
    </w:p>
    <w:p>
      <w:pPr>
        <w:spacing w:after="0" w:line="78" w:lineRule="exact"/>
        <w:rPr>
          <w:sz w:val="20"/>
          <w:szCs w:val="20"/>
          <w:color w:val="auto"/>
        </w:rPr>
      </w:pPr>
    </w:p>
    <w:p>
      <w:pPr>
        <w:ind w:right="20" w:firstLine="509"/>
        <w:spacing w:after="0" w:line="264" w:lineRule="auto"/>
        <w:rPr>
          <w:sz w:val="20"/>
          <w:szCs w:val="20"/>
          <w:color w:val="auto"/>
        </w:rPr>
      </w:pPr>
      <w:r>
        <w:rPr>
          <w:rFonts w:ascii="Times New Roman" w:cs="Times New Roman" w:eastAsia="Times New Roman" w:hAnsi="Times New Roman"/>
          <w:sz w:val="17"/>
          <w:szCs w:val="17"/>
          <w:color w:val="auto"/>
        </w:rPr>
        <w:t>Pursuant to our 2020 Plan, our management is authorized to grant stock options and other stock awards to our employees, directors and consultants. Additionally, the number of shares of our common stock reserved for issuance under our 2020 Plan will automatically increase on January 1 of each year continuing through and including January 1, 2030, by 5% of the total number of shares of our capital stock outstanding on December 31 of the preceding calendar year, or a lesser number of shares determined by our board of directors. In addition, pursuant to our 2020 Employee Stock Purchase Plan, or ESPP, the number of shares of our common stock reserved for issuance will automatically increase on January 1 of each calendar year continuing through January 1, 2030, by the lesser of (i) 1% of the total number of shares of our common stock outstanding on the last day of the calendar month before the date of</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the automatic increase, and (ii) 441,280 shares; provided that before the date of any such increase, our board of directors may determine that such increase will be less than the amount set forth in clauses (i) and (ii). Unless our board of directors elects not to increase the number of shares available for future grant each year, our stockholders may experience additional dilution, which could cause our stock price to fall.</w:t>
      </w:r>
    </w:p>
    <w:p>
      <w:pPr>
        <w:spacing w:after="0" w:line="78"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spacing w:after="0" w:line="50"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could delay or prevent a change of control of our company or changes in our board of directors that our stockholders might consider favorable. Some of these provisions include:</w:t>
      </w:r>
    </w:p>
    <w:p>
      <w:pPr>
        <w:spacing w:after="0" w:line="40" w:lineRule="exact"/>
        <w:rPr>
          <w:sz w:val="20"/>
          <w:szCs w:val="20"/>
          <w:color w:val="auto"/>
        </w:rPr>
      </w:pPr>
    </w:p>
    <w:p>
      <w:pPr>
        <w:ind w:left="1780" w:right="280" w:hanging="380"/>
        <w:spacing w:after="0" w:line="266" w:lineRule="auto"/>
        <w:tabs>
          <w:tab w:leader="none" w:pos="17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board of directors divided into three classes serving staggered three-year terms, such that not all members of the board will be elected at one time;</w:t>
      </w:r>
    </w:p>
    <w:p>
      <w:pPr>
        <w:spacing w:after="0" w:line="67" w:lineRule="exact"/>
        <w:rPr>
          <w:rFonts w:ascii="Times New Roman" w:cs="Times New Roman" w:eastAsia="Times New Roman" w:hAnsi="Times New Roman"/>
          <w:sz w:val="18"/>
          <w:szCs w:val="18"/>
          <w:color w:val="auto"/>
        </w:rPr>
      </w:pPr>
    </w:p>
    <w:p>
      <w:pPr>
        <w:ind w:left="1780" w:hanging="380"/>
        <w:spacing w:after="0" w:line="266" w:lineRule="auto"/>
        <w:tabs>
          <w:tab w:leader="none" w:pos="17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through written consent, which requires that all stockholder actions be taken at a meeting of our stockholders;</w:t>
      </w:r>
    </w:p>
    <w:p>
      <w:pPr>
        <w:spacing w:after="0" w:line="54" w:lineRule="exact"/>
        <w:rPr>
          <w:rFonts w:ascii="Times New Roman" w:cs="Times New Roman" w:eastAsia="Times New Roman" w:hAnsi="Times New Roman"/>
          <w:sz w:val="18"/>
          <w:szCs w:val="18"/>
          <w:color w:val="auto"/>
        </w:rPr>
      </w:pPr>
    </w:p>
    <w:p>
      <w:pPr>
        <w:ind w:left="1780" w:right="280" w:hanging="380"/>
        <w:spacing w:after="0" w:line="266" w:lineRule="auto"/>
        <w:tabs>
          <w:tab w:leader="none" w:pos="17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special meetings of stockholders be called only by the chairman of the board of directors, the chief executive officer, the president, or by a majority of the total number of authorized directors;</w:t>
      </w:r>
    </w:p>
    <w:p>
      <w:pPr>
        <w:spacing w:after="0" w:line="67"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stockholder proposals and nominations for election to our board of directors;</w:t>
      </w:r>
    </w:p>
    <w:p>
      <w:pPr>
        <w:spacing w:after="0" w:line="103" w:lineRule="exact"/>
        <w:rPr>
          <w:rFonts w:ascii="Times New Roman" w:cs="Times New Roman" w:eastAsia="Times New Roman" w:hAnsi="Times New Roman"/>
          <w:sz w:val="18"/>
          <w:szCs w:val="18"/>
          <w:color w:val="auto"/>
        </w:rPr>
      </w:pPr>
    </w:p>
    <w:p>
      <w:pPr>
        <w:ind w:left="1780" w:right="180" w:hanging="380"/>
        <w:spacing w:after="0" w:line="258" w:lineRule="auto"/>
        <w:tabs>
          <w:tab w:leader="none" w:pos="17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61" w:lineRule="exact"/>
        <w:rPr>
          <w:rFonts w:ascii="Times New Roman" w:cs="Times New Roman" w:eastAsia="Times New Roman" w:hAnsi="Times New Roman"/>
          <w:sz w:val="18"/>
          <w:szCs w:val="18"/>
          <w:color w:val="auto"/>
        </w:rPr>
      </w:pPr>
    </w:p>
    <w:p>
      <w:pPr>
        <w:ind w:left="1780" w:right="680" w:hanging="380"/>
        <w:spacing w:after="0" w:line="266" w:lineRule="auto"/>
        <w:tabs>
          <w:tab w:leader="none" w:pos="17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of approval of not less than two-thirds of all outstanding shares of our voting stock to amend any bylaws by stockholder action or to amend specific provisions of our certificate of incorporation; and</w:t>
      </w:r>
    </w:p>
    <w:p>
      <w:pPr>
        <w:spacing w:after="0" w:line="67" w:lineRule="exact"/>
        <w:rPr>
          <w:rFonts w:ascii="Times New Roman" w:cs="Times New Roman" w:eastAsia="Times New Roman" w:hAnsi="Times New Roman"/>
          <w:sz w:val="18"/>
          <w:szCs w:val="18"/>
          <w:color w:val="auto"/>
        </w:rPr>
      </w:pPr>
    </w:p>
    <w:p>
      <w:pPr>
        <w:ind w:left="1780" w:right="240" w:hanging="380"/>
        <w:spacing w:after="0" w:line="266" w:lineRule="auto"/>
        <w:tabs>
          <w:tab w:leader="none" w:pos="17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the board of directors to issue preferred stock on terms determined by the board of directors without stockholder approval and which preferred stock may include rights superior to the rights of the holders of common stock.</w:t>
      </w:r>
    </w:p>
    <w:p>
      <w:pPr>
        <w:spacing w:after="0" w:line="54"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8"/>
          <w:szCs w:val="18"/>
          <w:color w:val="auto"/>
        </w:rPr>
        <w:t>In addition, because we are incorporated in Delaware, we are governed by the provisions of Section 203 of the Delaware General Corporate Law, which may prohibit certain business combinations with stockholders owning 15% or more of our outstanding voting stock. These anti-takeover provisions and other provisions in our amended and restated certificate of incorporation and amended and restated bylaws could make it more difficult for stockholders or potential acquirors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69"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and amended and restated bylaws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60" w:lineRule="exact"/>
        <w:rPr>
          <w:sz w:val="20"/>
          <w:szCs w:val="20"/>
          <w:color w:val="auto"/>
        </w:rPr>
      </w:pPr>
    </w:p>
    <w:p>
      <w:pPr>
        <w:ind w:right="40" w:firstLine="509"/>
        <w:spacing w:after="0" w:line="24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the Court of Chancery of the State of Delaware (and any appellate court therefrom) is the sole and exclusive forum for the following types of actions or proceedings under Delaware statutory or common law: (i) any derivative claim or cause of action brought on our behalf; (ii) any claim or cause of action for breach of a fiduciary duty owed by any of our current or former directors, officers, or other employees to us or our stockholders; (iii) any claim or cause of action against us or any of our current or former directors, officers, or other employees, arising out of or pursuant to any provision of the Delaware General Corporation Law, our amended and restated certificate of incorporation or our amended and restated bylaws; (iv) any claim or cause of action seeking to interpret, apply, enforce, or determine the validity of our amended and restated certificate of incorporation or our amended and restated bylaws (in each case as may be amended from time to time); (v) any claim or cause of action as to which the Delaware General Corporation Law confers jurisdiction to the Court of Chancery of the State of Delaware; and (vi) any claim or cause of action against us or any of our current or former directors, officers, or other employees governed by the internal affairs doctrine, in all cases to the fullest extent permitted by law and subject to the court’s having personal jurisdiction over the indispensable parties named as defendants. These provisions would not apply to claims or causes of action brought to enforce a duty or liability created by the Securities Act and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multiple jurisdictions and the threat of inconsistent or contrary rulings by different courts, among other considerations, our amended and restated certificate of incorporation and our amended and restated bylaws further provide that, to the fullest extent permitted by law, the federal district courts of the United States of America is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and our amended and restated bylaws. This may require significant additional costs associated with resolving such action in other jurisdictions and the provisions may not be enforced by a court in those other jurisdictions.</w:t>
      </w:r>
    </w:p>
    <w:p>
      <w:pPr>
        <w:spacing w:after="0" w:line="73" w:lineRule="exact"/>
        <w:rPr>
          <w:sz w:val="20"/>
          <w:szCs w:val="20"/>
          <w:color w:val="auto"/>
        </w:rPr>
      </w:pPr>
    </w:p>
    <w:p>
      <w:pPr>
        <w:ind w:right="100" w:firstLine="509"/>
        <w:spacing w:after="0" w:line="244" w:lineRule="auto"/>
        <w:rPr>
          <w:sz w:val="20"/>
          <w:szCs w:val="20"/>
          <w:color w:val="auto"/>
        </w:rPr>
      </w:pPr>
      <w:r>
        <w:rPr>
          <w:rFonts w:ascii="Times New Roman" w:cs="Times New Roman" w:eastAsia="Times New Roman" w:hAnsi="Times New Roman"/>
          <w:sz w:val="18"/>
          <w:szCs w:val="18"/>
          <w:color w:val="auto"/>
        </w:rPr>
        <w:t>These exclusive forum provisions may limit a stockholder’s ability to bring a claim in a judicial forum that it finds favorable for disputes with us or our directors, officers, or other employees and may discourage these types of lawsuits. Furthermore, the enforceability of similar choice of forum provisions in other companies’ certificates of incorporation or bylaws has been challenged in legal proceedings, and it is possible that a court could find these types of provisions to be inapplicable or unenforceable. If a court were to find either exclusive forum provision contained in our amended and restated certificate of incorporation or amended and restated bylaws to be inapplicable or unenforceable in an action, we may incur further significant additional costs associated with resolving such action in other jurisdictions, all of which could seriously harm our business.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meet Nasdaq’s continued listing requirements could result in a delisting of our common stock.</w:t>
      </w:r>
    </w:p>
    <w:p>
      <w:pPr>
        <w:spacing w:after="0" w:line="121" w:lineRule="exact"/>
        <w:rPr>
          <w:sz w:val="20"/>
          <w:szCs w:val="20"/>
          <w:color w:val="auto"/>
        </w:rPr>
      </w:pPr>
    </w:p>
    <w:p>
      <w:pPr>
        <w:ind w:right="40" w:firstLine="509"/>
        <w:spacing w:after="0" w:line="244" w:lineRule="auto"/>
        <w:rPr>
          <w:sz w:val="20"/>
          <w:szCs w:val="20"/>
          <w:color w:val="auto"/>
        </w:rPr>
      </w:pPr>
      <w:r>
        <w:rPr>
          <w:rFonts w:ascii="Times New Roman" w:cs="Times New Roman" w:eastAsia="Times New Roman" w:hAnsi="Times New Roman"/>
          <w:sz w:val="18"/>
          <w:szCs w:val="18"/>
          <w:color w:val="auto"/>
        </w:rPr>
        <w:t>If we fail to satisfy the continued listing requirements of Nasdaq,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the listing requirements of Nasdaq.</w:t>
      </w:r>
    </w:p>
    <w:p>
      <w:pPr>
        <w:spacing w:after="0" w:line="83"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50" w:lineRule="exact"/>
        <w:rPr>
          <w:sz w:val="20"/>
          <w:szCs w:val="20"/>
          <w:color w:val="auto"/>
        </w:rPr>
      </w:pPr>
    </w:p>
    <w:p>
      <w:pPr>
        <w:ind w:right="120" w:firstLine="509"/>
        <w:spacing w:after="0" w:line="250" w:lineRule="auto"/>
        <w:rPr>
          <w:sz w:val="20"/>
          <w:szCs w:val="20"/>
          <w:color w:val="auto"/>
        </w:rPr>
      </w:pPr>
      <w:r>
        <w:rPr>
          <w:rFonts w:ascii="Times New Roman" w:cs="Times New Roman" w:eastAsia="Times New Roman" w:hAnsi="Times New Roman"/>
          <w:sz w:val="18"/>
          <w:szCs w:val="18"/>
          <w:color w:val="auto"/>
        </w:rPr>
        <w:t>The trading market for our common stock depends in part on the research and reports that securities or industry analysts publish about us or our business. If one or more of the analysts who covers us downgrades our stock or publishes inaccurate or unfavorable research about our business, our stock price may decline. If one or more of these analysts ceases coverage of our company or fails to publish reports on us regularly, demand for our stock could decrease, which might cause our stock price and trading volume to decline.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disruptions could seriously harm our future revenues and financial condition and increase our costs and expenses.</w:t>
      </w:r>
    </w:p>
    <w:p>
      <w:pPr>
        <w:spacing w:after="0" w:line="121"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7"/>
          <w:szCs w:val="17"/>
          <w:color w:val="auto"/>
        </w:rPr>
        <w:t>Our operations, and those of our CROs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tildacerfont. Our ability to obtain clinical supplies of tildacerfont and any future product candidates could be disrupted if the operations of these suppliers are affected by a man-made or natural disaster or other business interruption. Our corporate headquarters is located in California near major earthquake faults and fire zones. The ultimate impact on us, our suppliers and our general infrastructure of being located near major earthquake faults and fire zones and being consolidated in certain geographical areas is unknown, but our operations and financial condition could suffer in the event of a major earthquake, fire or other natural disaster.</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subject to securities class action litigation.</w:t>
      </w:r>
    </w:p>
    <w:p>
      <w:pPr>
        <w:spacing w:after="0" w:line="121" w:lineRule="exact"/>
        <w:rPr>
          <w:sz w:val="20"/>
          <w:szCs w:val="20"/>
          <w:color w:val="auto"/>
        </w:rPr>
      </w:pPr>
    </w:p>
    <w:p>
      <w:pPr>
        <w:jc w:val="both"/>
        <w:ind w:right="180" w:firstLine="509"/>
        <w:spacing w:after="0" w:line="250"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a company following a decline in the market price of its securities. This risk is especially relevant for us because biopharmaceutical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Second Amendment to Loan and Security Agreement</w:t>
      </w:r>
    </w:p>
    <w:p>
      <w:pPr>
        <w:spacing w:after="0" w:line="229" w:lineRule="exact"/>
        <w:rPr>
          <w:sz w:val="20"/>
          <w:szCs w:val="20"/>
          <w:color w:val="auto"/>
        </w:rPr>
      </w:pPr>
    </w:p>
    <w:p>
      <w:pPr>
        <w:ind w:right="80" w:firstLine="509"/>
        <w:spacing w:after="0" w:line="244" w:lineRule="auto"/>
        <w:rPr>
          <w:sz w:val="20"/>
          <w:szCs w:val="20"/>
          <w:color w:val="auto"/>
        </w:rPr>
      </w:pPr>
      <w:r>
        <w:rPr>
          <w:rFonts w:ascii="Times New Roman" w:cs="Times New Roman" w:eastAsia="Times New Roman" w:hAnsi="Times New Roman"/>
          <w:sz w:val="18"/>
          <w:szCs w:val="18"/>
          <w:color w:val="auto"/>
        </w:rPr>
        <w:t>In May 2022, the Company and Silicon Valley Bank entered into the Second Amendment, which amended the milestones upon which the Second Tranche commitment of $10.0 million would become available. The Second Amendment also reduced the interest rate on the outstanding First Tranche Term Loan of $5.0 million and any advances that occur under the Second Tranche to a floating per annum rate equal to the greater of (A) one-half of one percent (0.50%) above the Prime Rate (as defined in the Loan Agreement) or (B) three and three-quarters of one percent (3.75%), and, in the event that the Supplemental Term Loans (as defined in the Loan Agreement) under the Second Tranche become available and the Company obtains an advance thereunder, the interest only period for all Term Loans (as defined in the Loan Agreement) will be extended from December 31, 2022, to June 30, 2023.</w:t>
      </w:r>
    </w:p>
    <w:p>
      <w:pPr>
        <w:spacing w:after="0" w:line="182"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Further, in the event that the Supplemental Term Loans under the Second Tranche become available and the Company obtains an advance thereunder, the Company will be required to comply with a new liquidity covenant of at least $50.0 million at all times, and if the Company does not comply with the foregoing liquidity covenant, a springing cash pledge will occur, pursuant to which the Company must maintain a cash secured blocked account with Silicon Valley Bank with a cash balance in an amount equal to the outstanding Silicon Valley Bank obligations at such time (excluding Bank Services (as defined in the Loan Agreement)), provided that the foregoing cash collateral requirement will terminate upon a certain additional equity raise, which must occur on or before September 30, 2024. The Loan Agreement, as amended by the Deferral Agreement, the First Amendment, and the Second Amendment, provides for monthly cash interest-only payments following the funding date of each respective tranche and continuing thereafter through December 31, 2022 to the extent that the Company does not borrow any part of the Second Tranche or June 30, 2023 if the Company has borrowed some or all of the Second Tranche. Following the interest-only period, the outstanding Term Loan balance will be payable in (i) 37 consecutive monthly payments (or 31 if the Company borrows under the Second Tranche) after the end of the interest-only period and continuing on the same day of each month thereafter, in amounts that would fully amortize such Term Loan balance, as of the first business day of the first month following the amended interest-only period, over the repayment period, plus (ii) monthly payments of accrued but unpaid interest.</w:t>
      </w:r>
    </w:p>
    <w:p>
      <w:pPr>
        <w:spacing w:after="0" w:line="185" w:lineRule="exact"/>
        <w:rPr>
          <w:sz w:val="20"/>
          <w:szCs w:val="20"/>
          <w:color w:val="auto"/>
        </w:rPr>
      </w:pPr>
    </w:p>
    <w:p>
      <w:pPr>
        <w:ind w:right="180" w:firstLine="509"/>
        <w:spacing w:after="0" w:line="245" w:lineRule="auto"/>
        <w:rPr>
          <w:sz w:val="20"/>
          <w:szCs w:val="20"/>
          <w:color w:val="auto"/>
        </w:rPr>
      </w:pPr>
      <w:r>
        <w:rPr>
          <w:rFonts w:ascii="Times New Roman" w:cs="Times New Roman" w:eastAsia="Times New Roman" w:hAnsi="Times New Roman"/>
          <w:sz w:val="18"/>
          <w:szCs w:val="18"/>
          <w:color w:val="auto"/>
        </w:rPr>
        <w:t>The Second Amendment amended the Second Tranche final payment due on the maturity date, which payments shall include all outstanding principal and all accrued unpaid interest and an end of term payment, or the Supplemental Final Payment, totaling (x) 6% of the original funded principal amount of the First Tranche, and (y) 4.0% of the total original funded principal amount under the Second Tranche if the Company does borrow under the Second Tranche. The Second Amendment also amended the prepayment amounts, so that the Company may prepay amounts outstanding under the Term Loan at any time provided certain notification conditions are met, in which case all outstanding principal plus accrued and unpaid interest, the Supplemental Final Payment, a prepayment fee of 1% or 2% of the principal amount of the first and second tranches, and any bank expenses become due and payable.</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600" w:type="dxa"/>
            <w:vAlign w:val="bottom"/>
            <w:gridSpan w:val="30"/>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5600" w:type="dxa"/>
            <w:vAlign w:val="bottom"/>
            <w:tcBorders>
              <w:bottom w:val="single" w:sz="8" w:color="auto"/>
            </w:tcBorders>
            <w:gridSpan w:val="30"/>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20" w:type="dxa"/>
            <w:vAlign w:val="bottom"/>
          </w:tcPr>
          <w:p>
            <w:pPr>
              <w:ind w:left="160"/>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4"/>
                <w:szCs w:val="14"/>
                <w:color w:val="auto"/>
              </w:rPr>
            </w:pPr>
          </w:p>
        </w:tc>
        <w:tc>
          <w:tcPr>
            <w:tcW w:w="10120" w:type="dxa"/>
            <w:vAlign w:val="bottom"/>
            <w:gridSpan w:val="44"/>
          </w:tcPr>
          <w:p>
            <w:pPr>
              <w:spacing w:after="0" w:line="169" w:lineRule="exact"/>
              <w:rPr>
                <w:rFonts w:ascii="Times New Roman" w:cs="Times New Roman" w:eastAsia="Times New Roman" w:hAnsi="Times New Roman"/>
                <w:sz w:val="18"/>
                <w:szCs w:val="18"/>
                <w:color w:val="0000FF"/>
              </w:rPr>
            </w:pPr>
            <w:hyperlink r:id="rId340">
              <w:r>
                <w:rPr>
                  <w:rFonts w:ascii="Times New Roman" w:cs="Times New Roman" w:eastAsia="Times New Roman" w:hAnsi="Times New Roman"/>
                  <w:sz w:val="18"/>
                  <w:szCs w:val="18"/>
                  <w:color w:val="0000FF"/>
                </w:rPr>
                <w:t>Amended and Restated Certificate of Incorporation of the Registrant (incorporated by reference to Exhibit 3.1 to the Registrant’s Current</w:t>
              </w:r>
            </w:hyperlink>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900" w:type="dxa"/>
            <w:vAlign w:val="bottom"/>
            <w:tcBorders>
              <w:top w:val="single" w:sz="8" w:color="0000FF"/>
            </w:tcBorders>
            <w:gridSpan w:val="33"/>
          </w:tcPr>
          <w:p>
            <w:pPr>
              <w:spacing w:after="0" w:line="169" w:lineRule="exact"/>
              <w:rPr>
                <w:rFonts w:ascii="Times New Roman" w:cs="Times New Roman" w:eastAsia="Times New Roman" w:hAnsi="Times New Roman"/>
                <w:sz w:val="18"/>
                <w:szCs w:val="18"/>
                <w:color w:val="0000FF"/>
              </w:rPr>
            </w:pPr>
            <w:hyperlink r:id="rId340">
              <w:r>
                <w:rPr>
                  <w:rFonts w:ascii="Times New Roman" w:cs="Times New Roman" w:eastAsia="Times New Roman" w:hAnsi="Times New Roman"/>
                  <w:sz w:val="18"/>
                  <w:szCs w:val="18"/>
                  <w:color w:val="0000FF"/>
                </w:rPr>
                <w:t>Report on Form 8-K, filed with the SEC on October 14, 2020).</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4"/>
                <w:szCs w:val="24"/>
                <w:color w:val="auto"/>
              </w:rPr>
            </w:pPr>
          </w:p>
        </w:tc>
        <w:tc>
          <w:tcPr>
            <w:tcW w:w="10120" w:type="dxa"/>
            <w:vAlign w:val="bottom"/>
            <w:gridSpan w:val="44"/>
          </w:tcPr>
          <w:p>
            <w:pPr>
              <w:spacing w:after="0"/>
              <w:rPr>
                <w:rFonts w:ascii="Times New Roman" w:cs="Times New Roman" w:eastAsia="Times New Roman" w:hAnsi="Times New Roman"/>
                <w:sz w:val="18"/>
                <w:szCs w:val="18"/>
                <w:color w:val="0000FF"/>
              </w:rPr>
            </w:pPr>
            <w:hyperlink r:id="rId341">
              <w:r>
                <w:rPr>
                  <w:rFonts w:ascii="Times New Roman" w:cs="Times New Roman" w:eastAsia="Times New Roman" w:hAnsi="Times New Roman"/>
                  <w:sz w:val="18"/>
                  <w:szCs w:val="18"/>
                  <w:color w:val="0000FF"/>
                </w:rPr>
                <w:t>Amended and Restated Bylaws of the Registrant (incorporated by reference to Exhibit 3.2 to the Registrant’s Current Report on Form 8-K,</w:t>
              </w:r>
            </w:hyperlink>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60" w:type="dxa"/>
            <w:vAlign w:val="bottom"/>
            <w:tcBorders>
              <w:top w:val="single" w:sz="8" w:color="0000FF"/>
              <w:bottom w:val="single" w:sz="8" w:color="0000FF"/>
            </w:tcBorders>
            <w:gridSpan w:val="12"/>
          </w:tcPr>
          <w:p>
            <w:pPr>
              <w:spacing w:after="0" w:line="169" w:lineRule="exact"/>
              <w:rPr>
                <w:rFonts w:ascii="Times New Roman" w:cs="Times New Roman" w:eastAsia="Times New Roman" w:hAnsi="Times New Roman"/>
                <w:sz w:val="18"/>
                <w:szCs w:val="18"/>
                <w:color w:val="0000FF"/>
                <w:w w:val="99"/>
              </w:rPr>
            </w:pPr>
            <w:hyperlink r:id="rId341">
              <w:r>
                <w:rPr>
                  <w:rFonts w:ascii="Times New Roman" w:cs="Times New Roman" w:eastAsia="Times New Roman" w:hAnsi="Times New Roman"/>
                  <w:sz w:val="18"/>
                  <w:szCs w:val="18"/>
                  <w:color w:val="0000FF"/>
                  <w:w w:val="99"/>
                </w:rPr>
                <w:t>filed with the SEC on October 14, 2020).</w:t>
              </w:r>
            </w:hyperlink>
          </w:p>
        </w:tc>
        <w:tc>
          <w:tcPr>
            <w:tcW w:w="20" w:type="dxa"/>
            <w:vAlign w:val="bottom"/>
            <w:tcBorders>
              <w:top w:val="single" w:sz="8" w:color="0000FF"/>
              <w:bottom w:val="single" w:sz="8" w:color="0000EE"/>
            </w:tcBorders>
          </w:tcPr>
          <w:p>
            <w:pPr>
              <w:spacing w:after="0"/>
              <w:rPr>
                <w:sz w:val="14"/>
                <w:szCs w:val="14"/>
                <w:color w:val="auto"/>
              </w:rPr>
            </w:pPr>
          </w:p>
        </w:tc>
        <w:tc>
          <w:tcPr>
            <w:tcW w:w="7080" w:type="dxa"/>
            <w:vAlign w:val="bottom"/>
            <w:tcBorders>
              <w:top w:val="single" w:sz="8" w:color="0000FF"/>
            </w:tcBorders>
            <w:gridSpan w:val="28"/>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24"/>
                <w:szCs w:val="24"/>
                <w:color w:val="auto"/>
              </w:rPr>
            </w:pPr>
          </w:p>
        </w:tc>
        <w:tc>
          <w:tcPr>
            <w:tcW w:w="10120" w:type="dxa"/>
            <w:vAlign w:val="bottom"/>
            <w:gridSpan w:val="44"/>
          </w:tcPr>
          <w:p>
            <w:pPr>
              <w:spacing w:after="0"/>
              <w:rPr>
                <w:rFonts w:ascii="Times New Roman" w:cs="Times New Roman" w:eastAsia="Times New Roman" w:hAnsi="Times New Roman"/>
                <w:sz w:val="18"/>
                <w:szCs w:val="18"/>
                <w:color w:val="0000FF"/>
              </w:rPr>
            </w:pPr>
            <w:hyperlink r:id="rId342">
              <w:r>
                <w:rPr>
                  <w:rFonts w:ascii="Times New Roman" w:cs="Times New Roman" w:eastAsia="Times New Roman" w:hAnsi="Times New Roman"/>
                  <w:sz w:val="18"/>
                  <w:szCs w:val="18"/>
                  <w:color w:val="0000FF"/>
                </w:rPr>
                <w:t>Form of Common Stock Certificate (incorporated by reference to Exhibit 4.1 to the Registrant’s Registration Statement on Form S-1, as</w:t>
              </w:r>
            </w:hyperlink>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80" w:type="dxa"/>
            <w:vAlign w:val="bottom"/>
            <w:tcBorders>
              <w:top w:val="single" w:sz="8" w:color="0000FF"/>
              <w:bottom w:val="single" w:sz="8" w:color="0000FF"/>
            </w:tcBorders>
            <w:gridSpan w:val="15"/>
          </w:tcPr>
          <w:p>
            <w:pPr>
              <w:spacing w:after="0" w:line="169" w:lineRule="exact"/>
              <w:rPr>
                <w:rFonts w:ascii="Times New Roman" w:cs="Times New Roman" w:eastAsia="Times New Roman" w:hAnsi="Times New Roman"/>
                <w:sz w:val="18"/>
                <w:szCs w:val="18"/>
                <w:color w:val="0000FF"/>
                <w:w w:val="99"/>
              </w:rPr>
            </w:pPr>
            <w:hyperlink r:id="rId342">
              <w:r>
                <w:rPr>
                  <w:rFonts w:ascii="Times New Roman" w:cs="Times New Roman" w:eastAsia="Times New Roman" w:hAnsi="Times New Roman"/>
                  <w:sz w:val="18"/>
                  <w:szCs w:val="18"/>
                  <w:color w:val="0000FF"/>
                  <w:w w:val="99"/>
                </w:rPr>
                <w:t>amended (File No. 333-248924), filed with the SEC on October 5, 2020).</w:t>
              </w:r>
            </w:hyperlink>
          </w:p>
        </w:tc>
        <w:tc>
          <w:tcPr>
            <w:tcW w:w="20" w:type="dxa"/>
            <w:vAlign w:val="bottom"/>
            <w:tcBorders>
              <w:top w:val="single" w:sz="8" w:color="0000FF"/>
              <w:bottom w:val="single" w:sz="8" w:color="0000EE"/>
            </w:tcBorders>
          </w:tcPr>
          <w:p>
            <w:pPr>
              <w:spacing w:after="0"/>
              <w:rPr>
                <w:sz w:val="14"/>
                <w:szCs w:val="14"/>
                <w:color w:val="auto"/>
              </w:rPr>
            </w:pPr>
          </w:p>
        </w:tc>
        <w:tc>
          <w:tcPr>
            <w:tcW w:w="4520" w:type="dxa"/>
            <w:vAlign w:val="bottom"/>
            <w:tcBorders>
              <w:top w:val="single" w:sz="8" w:color="0000FF"/>
            </w:tcBorders>
            <w:gridSpan w:val="14"/>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24"/>
                <w:szCs w:val="24"/>
                <w:color w:val="auto"/>
              </w:rPr>
            </w:pPr>
          </w:p>
        </w:tc>
        <w:tc>
          <w:tcPr>
            <w:tcW w:w="10120" w:type="dxa"/>
            <w:vAlign w:val="bottom"/>
            <w:gridSpan w:val="44"/>
          </w:tcPr>
          <w:p>
            <w:pPr>
              <w:spacing w:after="0"/>
              <w:rPr>
                <w:rFonts w:ascii="Times New Roman" w:cs="Times New Roman" w:eastAsia="Times New Roman" w:hAnsi="Times New Roman"/>
                <w:sz w:val="18"/>
                <w:szCs w:val="18"/>
                <w:color w:val="0000FF"/>
              </w:rPr>
            </w:pPr>
            <w:hyperlink r:id="rId343">
              <w:r>
                <w:rPr>
                  <w:rFonts w:ascii="Times New Roman" w:cs="Times New Roman" w:eastAsia="Times New Roman" w:hAnsi="Times New Roman"/>
                  <w:sz w:val="18"/>
                  <w:szCs w:val="18"/>
                  <w:color w:val="0000FF"/>
                </w:rPr>
                <w:t>Amended and Restated Investors’ Rights Agreement, by and among the Registrant and certain of its stockholders, dated February 19, 2020</w:t>
              </w:r>
            </w:hyperlink>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80" w:type="dxa"/>
            <w:vAlign w:val="bottom"/>
            <w:tcBorders>
              <w:top w:val="single" w:sz="8" w:color="0000FF"/>
            </w:tcBorders>
            <w:gridSpan w:val="42"/>
          </w:tcPr>
          <w:p>
            <w:pPr>
              <w:spacing w:after="0" w:line="169" w:lineRule="exact"/>
              <w:rPr>
                <w:rFonts w:ascii="Times New Roman" w:cs="Times New Roman" w:eastAsia="Times New Roman" w:hAnsi="Times New Roman"/>
                <w:sz w:val="18"/>
                <w:szCs w:val="18"/>
                <w:color w:val="0000FF"/>
              </w:rPr>
            </w:pPr>
            <w:hyperlink r:id="rId343">
              <w:r>
                <w:rPr>
                  <w:rFonts w:ascii="Times New Roman" w:cs="Times New Roman" w:eastAsia="Times New Roman" w:hAnsi="Times New Roman"/>
                  <w:sz w:val="18"/>
                  <w:szCs w:val="18"/>
                  <w:color w:val="0000FF"/>
                </w:rPr>
                <w:t>(incorporated by reference to Exhibit 4.2 to the Registrant’s Registration Statement on Form S-1, as amended (File No. 333-248924), filed</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80" w:type="dxa"/>
            <w:vAlign w:val="bottom"/>
            <w:tcBorders>
              <w:top w:val="single" w:sz="8" w:color="0000FF"/>
              <w:bottom w:val="single" w:sz="8" w:color="0000FF"/>
            </w:tcBorders>
            <w:gridSpan w:val="10"/>
          </w:tcPr>
          <w:p>
            <w:pPr>
              <w:spacing w:after="0" w:line="169" w:lineRule="exact"/>
              <w:rPr>
                <w:rFonts w:ascii="Times New Roman" w:cs="Times New Roman" w:eastAsia="Times New Roman" w:hAnsi="Times New Roman"/>
                <w:sz w:val="18"/>
                <w:szCs w:val="18"/>
                <w:color w:val="0000FF"/>
                <w:w w:val="99"/>
              </w:rPr>
            </w:pPr>
            <w:hyperlink r:id="rId343">
              <w:r>
                <w:rPr>
                  <w:rFonts w:ascii="Times New Roman" w:cs="Times New Roman" w:eastAsia="Times New Roman" w:hAnsi="Times New Roman"/>
                  <w:sz w:val="18"/>
                  <w:szCs w:val="18"/>
                  <w:color w:val="0000FF"/>
                  <w:w w:val="99"/>
                </w:rPr>
                <w:t>with the SEC on September 18. 2020).</w:t>
              </w:r>
            </w:hyperlink>
          </w:p>
        </w:tc>
        <w:tc>
          <w:tcPr>
            <w:tcW w:w="20" w:type="dxa"/>
            <w:vAlign w:val="bottom"/>
            <w:tcBorders>
              <w:top w:val="single" w:sz="8" w:color="0000FF"/>
              <w:bottom w:val="single" w:sz="8" w:color="0000EE"/>
            </w:tcBorders>
          </w:tcPr>
          <w:p>
            <w:pPr>
              <w:spacing w:after="0"/>
              <w:rPr>
                <w:sz w:val="14"/>
                <w:szCs w:val="14"/>
                <w:color w:val="auto"/>
              </w:rPr>
            </w:pPr>
          </w:p>
        </w:tc>
        <w:tc>
          <w:tcPr>
            <w:tcW w:w="7200" w:type="dxa"/>
            <w:vAlign w:val="bottom"/>
            <w:tcBorders>
              <w:top w:val="single" w:sz="8" w:color="0000FF"/>
            </w:tcBorders>
            <w:gridSpan w:val="2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10120" w:type="dxa"/>
            <w:vAlign w:val="bottom"/>
            <w:gridSpan w:val="44"/>
          </w:tcPr>
          <w:p>
            <w:pPr>
              <w:spacing w:after="0"/>
              <w:rPr>
                <w:rFonts w:ascii="Times New Roman" w:cs="Times New Roman" w:eastAsia="Times New Roman" w:hAnsi="Times New Roman"/>
                <w:sz w:val="18"/>
                <w:szCs w:val="18"/>
                <w:color w:val="0000FF"/>
              </w:rPr>
            </w:pPr>
            <w:hyperlink r:id="rId344">
              <w:r>
                <w:rPr>
                  <w:rFonts w:ascii="Times New Roman" w:cs="Times New Roman" w:eastAsia="Times New Roman" w:hAnsi="Times New Roman"/>
                  <w:sz w:val="18"/>
                  <w:szCs w:val="18"/>
                  <w:color w:val="0000FF"/>
                </w:rPr>
                <w:t>Offer Letter, by and between the Registrant and Javier Szwarcberg, M.D., MPH, dated December 29, 2021 (incorporated by reference to</w:t>
              </w:r>
            </w:hyperlink>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300" w:type="dxa"/>
            <w:vAlign w:val="bottom"/>
            <w:tcBorders>
              <w:top w:val="single" w:sz="8" w:color="0000FF"/>
              <w:bottom w:val="single" w:sz="8" w:color="0000FF"/>
            </w:tcBorders>
            <w:gridSpan w:val="19"/>
          </w:tcPr>
          <w:p>
            <w:pPr>
              <w:spacing w:after="0" w:line="169" w:lineRule="exact"/>
              <w:rPr>
                <w:rFonts w:ascii="Times New Roman" w:cs="Times New Roman" w:eastAsia="Times New Roman" w:hAnsi="Times New Roman"/>
                <w:sz w:val="18"/>
                <w:szCs w:val="18"/>
                <w:color w:val="0000FF"/>
                <w:w w:val="99"/>
              </w:rPr>
            </w:pPr>
            <w:hyperlink r:id="rId344">
              <w:r>
                <w:rPr>
                  <w:rFonts w:ascii="Times New Roman" w:cs="Times New Roman" w:eastAsia="Times New Roman" w:hAnsi="Times New Roman"/>
                  <w:sz w:val="18"/>
                  <w:szCs w:val="18"/>
                  <w:color w:val="0000FF"/>
                  <w:w w:val="99"/>
                </w:rPr>
                <w:t>Exhibit 10.1 to the Registrant’s Current Report on Form 8-K, filed with the SEC on January 5, 2022).</w:t>
              </w:r>
            </w:hyperlink>
          </w:p>
        </w:tc>
        <w:tc>
          <w:tcPr>
            <w:tcW w:w="20" w:type="dxa"/>
            <w:vAlign w:val="bottom"/>
            <w:tcBorders>
              <w:top w:val="single" w:sz="8" w:color="0000FF"/>
              <w:bottom w:val="single" w:sz="8" w:color="0000EE"/>
            </w:tcBorders>
          </w:tcPr>
          <w:p>
            <w:pPr>
              <w:spacing w:after="0"/>
              <w:rPr>
                <w:sz w:val="14"/>
                <w:szCs w:val="14"/>
                <w:color w:val="auto"/>
              </w:rPr>
            </w:pPr>
          </w:p>
        </w:tc>
        <w:tc>
          <w:tcPr>
            <w:tcW w:w="2540" w:type="dxa"/>
            <w:vAlign w:val="bottom"/>
            <w:tcBorders>
              <w:top w:val="single" w:sz="8" w:color="0000FF"/>
            </w:tcBorders>
            <w:gridSpan w:val="11"/>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24"/>
                <w:szCs w:val="24"/>
                <w:color w:val="auto"/>
              </w:rPr>
            </w:pPr>
          </w:p>
        </w:tc>
        <w:tc>
          <w:tcPr>
            <w:tcW w:w="10120" w:type="dxa"/>
            <w:vAlign w:val="bottom"/>
            <w:gridSpan w:val="44"/>
          </w:tcPr>
          <w:p>
            <w:pPr>
              <w:spacing w:after="0"/>
              <w:rPr>
                <w:rFonts w:ascii="Times New Roman" w:cs="Times New Roman" w:eastAsia="Times New Roman" w:hAnsi="Times New Roman"/>
                <w:sz w:val="18"/>
                <w:szCs w:val="18"/>
                <w:color w:val="0000FF"/>
              </w:rPr>
            </w:pPr>
            <w:hyperlink r:id="rId345">
              <w:r>
                <w:rPr>
                  <w:rFonts w:ascii="Times New Roman" w:cs="Times New Roman" w:eastAsia="Times New Roman" w:hAnsi="Times New Roman"/>
                  <w:sz w:val="18"/>
                  <w:szCs w:val="18"/>
                  <w:color w:val="0000FF"/>
                </w:rPr>
                <w:t>Amendment to Offer Letter, by and between the Registrant and Javier Szwarcberg, M.D., MPH, dated April 6, 2022, (incorporated by</w:t>
              </w:r>
            </w:hyperlink>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20" w:type="dxa"/>
            <w:vAlign w:val="bottom"/>
            <w:tcBorders>
              <w:top w:val="single" w:sz="8" w:color="0000FF"/>
              <w:bottom w:val="single" w:sz="8" w:color="0000FF"/>
            </w:tcBorders>
            <w:gridSpan w:val="22"/>
          </w:tcPr>
          <w:p>
            <w:pPr>
              <w:spacing w:after="0" w:line="169" w:lineRule="exact"/>
              <w:rPr>
                <w:rFonts w:ascii="Times New Roman" w:cs="Times New Roman" w:eastAsia="Times New Roman" w:hAnsi="Times New Roman"/>
                <w:sz w:val="18"/>
                <w:szCs w:val="18"/>
                <w:color w:val="0000FF"/>
                <w:w w:val="99"/>
              </w:rPr>
            </w:pPr>
            <w:hyperlink r:id="rId345">
              <w:r>
                <w:rPr>
                  <w:rFonts w:ascii="Times New Roman" w:cs="Times New Roman" w:eastAsia="Times New Roman" w:hAnsi="Times New Roman"/>
                  <w:sz w:val="18"/>
                  <w:szCs w:val="18"/>
                  <w:color w:val="0000FF"/>
                  <w:w w:val="99"/>
                </w:rPr>
                <w:t>reference to Exhibit 10.1 to the Registrant’s Current Report on Form 8-K, filed with the SEC on April 8, 2022).</w:t>
              </w:r>
            </w:hyperlink>
          </w:p>
        </w:tc>
        <w:tc>
          <w:tcPr>
            <w:tcW w:w="20" w:type="dxa"/>
            <w:vAlign w:val="bottom"/>
            <w:tcBorders>
              <w:top w:val="single" w:sz="8" w:color="0000FF"/>
              <w:bottom w:val="single" w:sz="8" w:color="0000EE"/>
            </w:tcBorders>
          </w:tcPr>
          <w:p>
            <w:pPr>
              <w:spacing w:after="0"/>
              <w:rPr>
                <w:sz w:val="14"/>
                <w:szCs w:val="14"/>
                <w:color w:val="auto"/>
              </w:rPr>
            </w:pPr>
          </w:p>
        </w:tc>
        <w:tc>
          <w:tcPr>
            <w:tcW w:w="1640" w:type="dxa"/>
            <w:vAlign w:val="bottom"/>
            <w:tcBorders>
              <w:top w:val="single" w:sz="8" w:color="0000FF"/>
            </w:tcBorders>
            <w:gridSpan w:val="6"/>
          </w:tcPr>
          <w:p>
            <w:pPr>
              <w:spacing w:after="0"/>
              <w:rPr>
                <w:sz w:val="14"/>
                <w:szCs w:val="14"/>
                <w:color w:val="auto"/>
              </w:rPr>
            </w:pPr>
          </w:p>
        </w:tc>
        <w:tc>
          <w:tcPr>
            <w:tcW w:w="20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24"/>
                <w:szCs w:val="24"/>
                <w:color w:val="auto"/>
              </w:rPr>
            </w:pPr>
          </w:p>
        </w:tc>
        <w:tc>
          <w:tcPr>
            <w:tcW w:w="10120" w:type="dxa"/>
            <w:vAlign w:val="bottom"/>
            <w:gridSpan w:val="44"/>
          </w:tcPr>
          <w:p>
            <w:pPr>
              <w:spacing w:after="0"/>
              <w:rPr>
                <w:rFonts w:ascii="Times New Roman" w:cs="Times New Roman" w:eastAsia="Times New Roman" w:hAnsi="Times New Roman"/>
                <w:sz w:val="18"/>
                <w:szCs w:val="18"/>
                <w:color w:val="0000FF"/>
              </w:rPr>
            </w:pPr>
            <w:hyperlink r:id="rId346">
              <w:r>
                <w:rPr>
                  <w:rFonts w:ascii="Times New Roman" w:cs="Times New Roman" w:eastAsia="Times New Roman" w:hAnsi="Times New Roman"/>
                  <w:sz w:val="18"/>
                  <w:szCs w:val="18"/>
                  <w:color w:val="0000FF"/>
                </w:rPr>
                <w:t>Form of Stock Option Grant Notice, Option Agreement and Notice of Exercise for Inducement Grant Outside of the Spruce Biosciences,</w:t>
              </w:r>
            </w:hyperlink>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80" w:type="dxa"/>
            <w:vAlign w:val="bottom"/>
            <w:tcBorders>
              <w:top w:val="single" w:sz="8" w:color="0000FF"/>
              <w:bottom w:val="single" w:sz="8" w:color="0000FF"/>
            </w:tcBorders>
            <w:gridSpan w:val="32"/>
          </w:tcPr>
          <w:p>
            <w:pPr>
              <w:spacing w:after="0" w:line="169" w:lineRule="exact"/>
              <w:rPr>
                <w:rFonts w:ascii="Times New Roman" w:cs="Times New Roman" w:eastAsia="Times New Roman" w:hAnsi="Times New Roman"/>
                <w:sz w:val="18"/>
                <w:szCs w:val="18"/>
                <w:color w:val="0000FF"/>
                <w:w w:val="99"/>
              </w:rPr>
            </w:pPr>
            <w:hyperlink r:id="rId346">
              <w:r>
                <w:rPr>
                  <w:rFonts w:ascii="Times New Roman" w:cs="Times New Roman" w:eastAsia="Times New Roman" w:hAnsi="Times New Roman"/>
                  <w:sz w:val="18"/>
                  <w:szCs w:val="18"/>
                  <w:color w:val="0000FF"/>
                  <w:w w:val="99"/>
                </w:rPr>
                <w:t>Inc. 2020 Equity Incentive Plan (incorporated by reference to Exhibit 10.2 to the Registrant’s Current Report on Form 8-K, filed with the</w:t>
              </w:r>
            </w:hyperlink>
          </w:p>
        </w:tc>
        <w:tc>
          <w:tcPr>
            <w:tcW w:w="40" w:type="dxa"/>
            <w:vAlign w:val="bottom"/>
            <w:tcBorders>
              <w:bottom w:val="single" w:sz="8" w:color="0000FF"/>
            </w:tcBorders>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920" w:type="dxa"/>
            <w:vAlign w:val="bottom"/>
            <w:gridSpan w:val="34"/>
          </w:tcPr>
          <w:p>
            <w:pPr>
              <w:spacing w:after="0" w:line="169" w:lineRule="exact"/>
              <w:rPr>
                <w:rFonts w:ascii="Times New Roman" w:cs="Times New Roman" w:eastAsia="Times New Roman" w:hAnsi="Times New Roman"/>
                <w:sz w:val="18"/>
                <w:szCs w:val="18"/>
                <w:color w:val="0000FF"/>
              </w:rPr>
            </w:pPr>
            <w:hyperlink r:id="rId346">
              <w:r>
                <w:rPr>
                  <w:rFonts w:ascii="Times New Roman" w:cs="Times New Roman" w:eastAsia="Times New Roman" w:hAnsi="Times New Roman"/>
                  <w:sz w:val="18"/>
                  <w:szCs w:val="18"/>
                  <w:color w:val="0000FF"/>
                </w:rPr>
                <w:t>SEC on January 5, 2022).</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10120" w:type="dxa"/>
            <w:vAlign w:val="bottom"/>
            <w:gridSpan w:val="44"/>
          </w:tcPr>
          <w:p>
            <w:pPr>
              <w:spacing w:after="0"/>
              <w:rPr>
                <w:rFonts w:ascii="Times New Roman" w:cs="Times New Roman" w:eastAsia="Times New Roman" w:hAnsi="Times New Roman"/>
                <w:sz w:val="18"/>
                <w:szCs w:val="18"/>
                <w:color w:val="0000FF"/>
              </w:rPr>
            </w:pPr>
            <w:hyperlink r:id="rId347">
              <w:r>
                <w:rPr>
                  <w:rFonts w:ascii="Times New Roman" w:cs="Times New Roman" w:eastAsia="Times New Roman" w:hAnsi="Times New Roman"/>
                  <w:sz w:val="18"/>
                  <w:szCs w:val="18"/>
                  <w:color w:val="0000FF"/>
                </w:rPr>
                <w:t>Separation and Release Agreement, by and between the Registrant and Rosh Dias, M.D., M.R.C.P., dated March 11, 2022 (filed as Exhibit</w:t>
              </w:r>
            </w:hyperlink>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20" w:type="dxa"/>
            <w:vAlign w:val="bottom"/>
            <w:tcBorders>
              <w:top w:val="single" w:sz="8" w:color="0000FF"/>
            </w:tcBorders>
            <w:gridSpan w:val="39"/>
          </w:tcPr>
          <w:p>
            <w:pPr>
              <w:spacing w:after="0" w:line="169" w:lineRule="exact"/>
              <w:rPr>
                <w:rFonts w:ascii="Times New Roman" w:cs="Times New Roman" w:eastAsia="Times New Roman" w:hAnsi="Times New Roman"/>
                <w:sz w:val="18"/>
                <w:szCs w:val="18"/>
                <w:color w:val="0000FF"/>
              </w:rPr>
            </w:pPr>
            <w:hyperlink r:id="rId34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23</w:t>
              </w:r>
              <w:r>
                <w:rPr>
                  <w:rFonts w:ascii="Times New Roman" w:cs="Times New Roman" w:eastAsia="Times New Roman" w:hAnsi="Times New Roman"/>
                  <w:sz w:val="18"/>
                  <w:szCs w:val="18"/>
                  <w:color w:val="0000FF"/>
                </w:rPr>
                <w:t xml:space="preserve"> to the Registrant’s Annual Report on Form 10-K for the fiscal year ended December 31, 2021, filed with the SEC on March 14,</w:t>
              </w:r>
            </w:hyperlink>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4"/>
              </w:rPr>
            </w:pPr>
            <w:hyperlink r:id="rId347">
              <w:r>
                <w:rPr>
                  <w:rFonts w:ascii="Times New Roman" w:cs="Times New Roman" w:eastAsia="Times New Roman" w:hAnsi="Times New Roman"/>
                  <w:sz w:val="18"/>
                  <w:szCs w:val="18"/>
                  <w:color w:val="0000FF"/>
                  <w:w w:val="94"/>
                </w:rPr>
                <w:t>2022).</w:t>
              </w:r>
            </w:hyperlink>
          </w:p>
        </w:tc>
        <w:tc>
          <w:tcPr>
            <w:tcW w:w="20" w:type="dxa"/>
            <w:vAlign w:val="bottom"/>
            <w:tcBorders>
              <w:top w:val="single" w:sz="8" w:color="0000FF"/>
              <w:bottom w:val="single" w:sz="8" w:color="0000EE"/>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94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540" w:type="dxa"/>
            <w:vAlign w:val="bottom"/>
            <w:tcBorders>
              <w:top w:val="single" w:sz="8" w:color="0000FF"/>
            </w:tcBorders>
          </w:tcPr>
          <w:p>
            <w:pPr>
              <w:spacing w:after="0"/>
              <w:rPr>
                <w:sz w:val="14"/>
                <w:szCs w:val="14"/>
                <w:color w:val="auto"/>
              </w:rPr>
            </w:pPr>
          </w:p>
        </w:tc>
        <w:tc>
          <w:tcPr>
            <w:tcW w:w="7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4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4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24"/>
                <w:szCs w:val="24"/>
                <w:color w:val="auto"/>
              </w:rPr>
            </w:pPr>
          </w:p>
        </w:tc>
        <w:tc>
          <w:tcPr>
            <w:tcW w:w="10120" w:type="dxa"/>
            <w:vAlign w:val="bottom"/>
            <w:gridSpan w:val="44"/>
          </w:tcPr>
          <w:p>
            <w:pPr>
              <w:spacing w:after="0"/>
              <w:rPr>
                <w:rFonts w:ascii="Times New Roman" w:cs="Times New Roman" w:eastAsia="Times New Roman" w:hAnsi="Times New Roman"/>
                <w:sz w:val="18"/>
                <w:szCs w:val="18"/>
                <w:color w:val="0000FF"/>
              </w:rPr>
            </w:pPr>
            <w:hyperlink r:id="rId348">
              <w:r>
                <w:rPr>
                  <w:rFonts w:ascii="Times New Roman" w:cs="Times New Roman" w:eastAsia="Times New Roman" w:hAnsi="Times New Roman"/>
                  <w:sz w:val="18"/>
                  <w:szCs w:val="18"/>
                  <w:color w:val="0000FF"/>
                </w:rPr>
                <w:t>Offer Letter, by and between the Registrant and Ralph William Charlton III, M.D., M.A.S., dated March 14, 2022 (filed as Exhibit 10.24 to</w:t>
              </w:r>
            </w:hyperlink>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500" w:type="dxa"/>
            <w:vAlign w:val="bottom"/>
            <w:tcBorders>
              <w:top w:val="single" w:sz="8" w:color="0000FF"/>
              <w:bottom w:val="single" w:sz="8" w:color="0000FF"/>
            </w:tcBorders>
            <w:gridSpan w:val="24"/>
          </w:tcPr>
          <w:p>
            <w:pPr>
              <w:spacing w:after="0" w:line="169" w:lineRule="exact"/>
              <w:rPr>
                <w:rFonts w:ascii="Times New Roman" w:cs="Times New Roman" w:eastAsia="Times New Roman" w:hAnsi="Times New Roman"/>
                <w:sz w:val="18"/>
                <w:szCs w:val="18"/>
                <w:color w:val="0000FF"/>
                <w:w w:val="99"/>
              </w:rPr>
            </w:pPr>
            <w:hyperlink r:id="rId348">
              <w:r>
                <w:rPr>
                  <w:rFonts w:ascii="Times New Roman" w:cs="Times New Roman" w:eastAsia="Times New Roman" w:hAnsi="Times New Roman"/>
                  <w:sz w:val="18"/>
                  <w:szCs w:val="18"/>
                  <w:color w:val="0000FF"/>
                  <w:w w:val="99"/>
                </w:rPr>
                <w:t>the Registrant’s Annual Report on Form 10-K for the fiscal year ended December 31, 2021, filed with the SEC on March 14, 2022).</w:t>
              </w:r>
            </w:hyperlink>
          </w:p>
        </w:tc>
        <w:tc>
          <w:tcPr>
            <w:tcW w:w="20" w:type="dxa"/>
            <w:vAlign w:val="bottom"/>
            <w:tcBorders>
              <w:top w:val="single" w:sz="8" w:color="0000FF"/>
              <w:bottom w:val="single" w:sz="8" w:color="0000EE"/>
            </w:tcBorders>
          </w:tcPr>
          <w:p>
            <w:pPr>
              <w:spacing w:after="0"/>
              <w:rPr>
                <w:sz w:val="14"/>
                <w:szCs w:val="14"/>
                <w:color w:val="auto"/>
              </w:rPr>
            </w:pPr>
          </w:p>
        </w:tc>
        <w:tc>
          <w:tcPr>
            <w:tcW w:w="580" w:type="dxa"/>
            <w:vAlign w:val="bottom"/>
            <w:tcBorders>
              <w:top w:val="single" w:sz="8" w:color="0000FF"/>
            </w:tcBorders>
            <w:gridSpan w:val="18"/>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0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tcPr>
          <w:p>
            <w:pPr>
              <w:spacing w:after="0"/>
              <w:rPr>
                <w:sz w:val="21"/>
                <w:szCs w:val="21"/>
                <w:color w:val="auto"/>
              </w:rPr>
            </w:pPr>
          </w:p>
        </w:tc>
        <w:tc>
          <w:tcPr>
            <w:tcW w:w="2140" w:type="dxa"/>
            <w:vAlign w:val="bottom"/>
            <w:gridSpan w:val="7"/>
            <w:vMerge w:val="restart"/>
          </w:tcPr>
          <w:p>
            <w:pPr>
              <w:spacing w:after="0"/>
              <w:rPr>
                <w:rFonts w:ascii="Times New Roman" w:cs="Times New Roman" w:eastAsia="Times New Roman" w:hAnsi="Times New Roman"/>
                <w:sz w:val="18"/>
                <w:szCs w:val="18"/>
                <w:color w:val="0000FF"/>
                <w:w w:val="98"/>
              </w:rPr>
            </w:pPr>
            <w:hyperlink r:id="rId349">
              <w:r>
                <w:rPr>
                  <w:rFonts w:ascii="Times New Roman" w:cs="Times New Roman" w:eastAsia="Times New Roman" w:hAnsi="Times New Roman"/>
                  <w:sz w:val="18"/>
                  <w:szCs w:val="18"/>
                  <w:color w:val="0000FF"/>
                  <w:w w:val="98"/>
                </w:rPr>
                <w:t>Open Market Sale Agreement</w:t>
              </w:r>
            </w:hyperlink>
          </w:p>
        </w:tc>
        <w:tc>
          <w:tcPr>
            <w:tcW w:w="180" w:type="dxa"/>
            <w:vAlign w:val="bottom"/>
            <w:tcBorders>
              <w:bottom w:val="single" w:sz="8" w:color="0000FF"/>
            </w:tcBorders>
            <w:gridSpan w:val="2"/>
          </w:tcPr>
          <w:p>
            <w:pPr>
              <w:spacing w:after="0"/>
              <w:rPr>
                <w:rFonts w:ascii="Times New Roman" w:cs="Times New Roman" w:eastAsia="Times New Roman" w:hAnsi="Times New Roman"/>
                <w:sz w:val="12"/>
                <w:szCs w:val="12"/>
                <w:color w:val="0000FF"/>
                <w:w w:val="91"/>
              </w:rPr>
            </w:pPr>
            <w:hyperlink r:id="rId349">
              <w:r>
                <w:rPr>
                  <w:rFonts w:ascii="Times New Roman" w:cs="Times New Roman" w:eastAsia="Times New Roman" w:hAnsi="Times New Roman"/>
                  <w:sz w:val="12"/>
                  <w:szCs w:val="12"/>
                  <w:color w:val="0000FF"/>
                  <w:w w:val="91"/>
                </w:rPr>
                <w:t>SM</w:t>
              </w:r>
            </w:hyperlink>
          </w:p>
        </w:tc>
        <w:tc>
          <w:tcPr>
            <w:tcW w:w="7640" w:type="dxa"/>
            <w:vAlign w:val="bottom"/>
            <w:gridSpan w:val="27"/>
            <w:vMerge w:val="restart"/>
          </w:tcPr>
          <w:p>
            <w:pPr>
              <w:jc w:val="center"/>
              <w:ind w:right="40"/>
              <w:spacing w:after="0"/>
              <w:rPr>
                <w:rFonts w:ascii="Times New Roman" w:cs="Times New Roman" w:eastAsia="Times New Roman" w:hAnsi="Times New Roman"/>
                <w:sz w:val="18"/>
                <w:szCs w:val="18"/>
                <w:color w:val="0000FF"/>
                <w:w w:val="99"/>
              </w:rPr>
            </w:pPr>
            <w:hyperlink r:id="rId349">
              <w:r>
                <w:rPr>
                  <w:rFonts w:ascii="Times New Roman" w:cs="Times New Roman" w:eastAsia="Times New Roman" w:hAnsi="Times New Roman"/>
                  <w:sz w:val="18"/>
                  <w:szCs w:val="18"/>
                  <w:color w:val="0000FF"/>
                  <w:w w:val="99"/>
                </w:rPr>
                <w:t>, by and between the Registrant and Jefferies LLC, dated February 25, 2022 (incorporated by reference to</w:t>
              </w:r>
            </w:hyperlink>
          </w:p>
        </w:tc>
        <w:tc>
          <w:tcPr>
            <w:tcW w:w="160" w:type="dxa"/>
            <w:vAlign w:val="bottom"/>
            <w:gridSpan w:val="8"/>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61"/>
        </w:trPr>
        <w:tc>
          <w:tcPr>
            <w:tcW w:w="10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2140" w:type="dxa"/>
            <w:vAlign w:val="bottom"/>
            <w:tcBorders>
              <w:bottom w:val="single" w:sz="8" w:color="0000FF"/>
            </w:tcBorders>
            <w:gridSpan w:val="7"/>
            <w:vMerge w:val="continue"/>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7640" w:type="dxa"/>
            <w:vAlign w:val="bottom"/>
            <w:tcBorders>
              <w:bottom w:val="single" w:sz="8" w:color="0000FF"/>
            </w:tcBorders>
            <w:gridSpan w:val="27"/>
            <w:vMerge w:val="continue"/>
          </w:tcPr>
          <w:p>
            <w:pPr>
              <w:spacing w:after="0"/>
              <w:rPr>
                <w:sz w:val="5"/>
                <w:szCs w:val="5"/>
                <w:color w:val="auto"/>
              </w:rPr>
            </w:pPr>
          </w:p>
        </w:tc>
        <w:tc>
          <w:tcPr>
            <w:tcW w:w="16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gridSpan w:val="8"/>
          </w:tcPr>
          <w:p>
            <w:pPr>
              <w:spacing w:after="0" w:line="169" w:lineRule="exact"/>
              <w:rPr>
                <w:rFonts w:ascii="Times New Roman" w:cs="Times New Roman" w:eastAsia="Times New Roman" w:hAnsi="Times New Roman"/>
                <w:sz w:val="18"/>
                <w:szCs w:val="18"/>
                <w:color w:val="0000FF"/>
                <w:w w:val="92"/>
              </w:rPr>
            </w:pPr>
            <w:hyperlink r:id="rId349">
              <w:r>
                <w:rPr>
                  <w:rFonts w:ascii="Times New Roman" w:cs="Times New Roman" w:eastAsia="Times New Roman" w:hAnsi="Times New Roman"/>
                  <w:sz w:val="18"/>
                  <w:szCs w:val="18"/>
                  <w:color w:val="0000FF"/>
                  <w:w w:val="92"/>
                </w:rPr>
                <w:t>Exhibit 10.22 to the Registrant's</w:t>
              </w:r>
            </w:hyperlink>
          </w:p>
        </w:tc>
        <w:tc>
          <w:tcPr>
            <w:tcW w:w="160" w:type="dxa"/>
            <w:vAlign w:val="bottom"/>
          </w:tcPr>
          <w:p>
            <w:pPr>
              <w:spacing w:after="0"/>
              <w:rPr>
                <w:sz w:val="14"/>
                <w:szCs w:val="14"/>
                <w:color w:val="auto"/>
              </w:rPr>
            </w:pPr>
          </w:p>
        </w:tc>
        <w:tc>
          <w:tcPr>
            <w:tcW w:w="7640" w:type="dxa"/>
            <w:vAlign w:val="bottom"/>
            <w:gridSpan w:val="27"/>
          </w:tcPr>
          <w:p>
            <w:pPr>
              <w:jc w:val="center"/>
              <w:ind w:right="20"/>
              <w:spacing w:after="0" w:line="169" w:lineRule="exact"/>
              <w:rPr>
                <w:rFonts w:ascii="Times New Roman" w:cs="Times New Roman" w:eastAsia="Times New Roman" w:hAnsi="Times New Roman"/>
                <w:sz w:val="18"/>
                <w:szCs w:val="18"/>
                <w:color w:val="0000FF"/>
                <w:w w:val="99"/>
              </w:rPr>
            </w:pPr>
            <w:hyperlink r:id="rId349">
              <w:r>
                <w:rPr>
                  <w:rFonts w:ascii="Times New Roman" w:cs="Times New Roman" w:eastAsia="Times New Roman" w:hAnsi="Times New Roman"/>
                  <w:sz w:val="18"/>
                  <w:szCs w:val="18"/>
                  <w:color w:val="0000FF"/>
                  <w:w w:val="99"/>
                </w:rPr>
                <w:t>Annual Report on Form 10-K for the fiscal year ended December 31, 2021, filed with the SEC on March</w:t>
              </w:r>
            </w:hyperlink>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Borders>
              <w:top w:val="single" w:sz="8" w:color="0000FF"/>
            </w:tcBorders>
            <w:gridSpan w:val="3"/>
          </w:tcPr>
          <w:p>
            <w:pPr>
              <w:spacing w:after="0" w:line="169" w:lineRule="exact"/>
              <w:rPr>
                <w:rFonts w:ascii="Times New Roman" w:cs="Times New Roman" w:eastAsia="Times New Roman" w:hAnsi="Times New Roman"/>
                <w:sz w:val="18"/>
                <w:szCs w:val="18"/>
                <w:color w:val="0000FF"/>
                <w:w w:val="95"/>
              </w:rPr>
            </w:pPr>
            <w:hyperlink r:id="rId349">
              <w:r>
                <w:rPr>
                  <w:rFonts w:ascii="Times New Roman" w:cs="Times New Roman" w:eastAsia="Times New Roman" w:hAnsi="Times New Roman"/>
                  <w:sz w:val="18"/>
                  <w:szCs w:val="18"/>
                  <w:color w:val="0000FF"/>
                  <w:w w:val="95"/>
                </w:rPr>
                <w:t>14, 2022).</w:t>
              </w:r>
            </w:hyperlink>
          </w:p>
        </w:tc>
        <w:tc>
          <w:tcPr>
            <w:tcW w:w="1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94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540" w:type="dxa"/>
            <w:vAlign w:val="bottom"/>
            <w:tcBorders>
              <w:top w:val="single" w:sz="8" w:color="0000FF"/>
            </w:tcBorders>
          </w:tcPr>
          <w:p>
            <w:pPr>
              <w:spacing w:after="0"/>
              <w:rPr>
                <w:sz w:val="14"/>
                <w:szCs w:val="14"/>
                <w:color w:val="auto"/>
              </w:rPr>
            </w:pPr>
          </w:p>
        </w:tc>
        <w:tc>
          <w:tcPr>
            <w:tcW w:w="7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4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4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EE"/>
            </w:tcBorders>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4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10"/>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tcPr>
          <w:p>
            <w:pPr>
              <w:spacing w:after="0"/>
              <w:rPr>
                <w:sz w:val="24"/>
                <w:szCs w:val="24"/>
                <w:color w:val="auto"/>
              </w:rPr>
            </w:pPr>
          </w:p>
        </w:tc>
        <w:tc>
          <w:tcPr>
            <w:tcW w:w="10120" w:type="dxa"/>
            <w:vAlign w:val="bottom"/>
            <w:gridSpan w:val="44"/>
          </w:tcPr>
          <w:p>
            <w:pPr>
              <w:spacing w:after="0"/>
              <w:rPr>
                <w:sz w:val="20"/>
                <w:szCs w:val="20"/>
                <w:color w:val="auto"/>
              </w:rPr>
            </w:pPr>
            <w:r>
              <w:rPr>
                <w:rFonts w:ascii="Times New Roman" w:cs="Times New Roman" w:eastAsia="Times New Roman" w:hAnsi="Times New Roman"/>
                <w:sz w:val="18"/>
                <w:szCs w:val="18"/>
                <w:color w:val="0000FF"/>
              </w:rPr>
              <w:t>Spruce Biosciences, Inc. 2020 Non-Employee Director Compensation Policy, as amended on April 6, 2022.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940" w:type="dxa"/>
            <w:vAlign w:val="bottom"/>
            <w:gridSpan w:val="1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80" w:type="dxa"/>
            <w:vAlign w:val="bottom"/>
            <w:tcBorders>
              <w:right w:val="single" w:sz="8" w:color="0000EE"/>
            </w:tcBorders>
            <w:gridSpan w:val="3"/>
            <w:shd w:val="clear" w:color="auto" w:fill="0000FF"/>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10"/>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tcPr>
          <w:p>
            <w:pPr>
              <w:spacing w:after="0"/>
              <w:rPr>
                <w:sz w:val="24"/>
                <w:szCs w:val="24"/>
                <w:color w:val="auto"/>
              </w:rPr>
            </w:pPr>
          </w:p>
        </w:tc>
        <w:tc>
          <w:tcPr>
            <w:tcW w:w="10120" w:type="dxa"/>
            <w:vAlign w:val="bottom"/>
            <w:gridSpan w:val="44"/>
          </w:tcPr>
          <w:p>
            <w:pPr>
              <w:spacing w:after="0"/>
              <w:rPr>
                <w:sz w:val="20"/>
                <w:szCs w:val="20"/>
                <w:color w:val="auto"/>
              </w:rPr>
            </w:pPr>
            <w:r>
              <w:rPr>
                <w:rFonts w:ascii="Times New Roman" w:cs="Times New Roman" w:eastAsia="Times New Roman" w:hAnsi="Times New Roman"/>
                <w:sz w:val="18"/>
                <w:szCs w:val="18"/>
                <w:color w:val="0000FF"/>
              </w:rPr>
              <w:t>Second Amendment to Loan and Security Agreement, by and between the Registrant and Silicon Valley Bank, dated May 10, 2022.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940" w:type="dxa"/>
            <w:vAlign w:val="bottom"/>
            <w:gridSpan w:val="1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20" w:type="dxa"/>
            <w:vAlign w:val="bottom"/>
            <w:tcBorders>
              <w:right w:val="single" w:sz="8" w:color="0000EE"/>
            </w:tcBorders>
            <w:gridSpan w:val="6"/>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10"/>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24"/>
                <w:szCs w:val="24"/>
                <w:color w:val="auto"/>
              </w:rPr>
            </w:pPr>
          </w:p>
        </w:tc>
        <w:tc>
          <w:tcPr>
            <w:tcW w:w="10120" w:type="dxa"/>
            <w:vAlign w:val="bottom"/>
            <w:gridSpan w:val="44"/>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60" w:type="dxa"/>
            <w:vAlign w:val="bottom"/>
            <w:tcBorders>
              <w:top w:val="single" w:sz="8" w:color="0000FF"/>
              <w:bottom w:val="single" w:sz="8" w:color="0000FF"/>
            </w:tcBorders>
            <w:gridSpan w:val="17"/>
          </w:tcPr>
          <w:p>
            <w:pPr>
              <w:spacing w:after="0" w:line="169" w:lineRule="exact"/>
              <w:rPr>
                <w:sz w:val="20"/>
                <w:szCs w:val="20"/>
                <w:color w:val="auto"/>
              </w:rPr>
            </w:pPr>
            <w:r>
              <w:rPr>
                <w:rFonts w:ascii="Times New Roman" w:cs="Times New Roman" w:eastAsia="Times New Roman" w:hAnsi="Times New Roman"/>
                <w:sz w:val="18"/>
                <w:szCs w:val="18"/>
                <w:color w:val="0000FF"/>
                <w:w w:val="99"/>
              </w:rPr>
              <w:t>amended, as adopted pursuant to Section 302 of the Sarbanes-Oxley Act of 2002.</w:t>
            </w:r>
          </w:p>
        </w:tc>
        <w:tc>
          <w:tcPr>
            <w:tcW w:w="20" w:type="dxa"/>
            <w:vAlign w:val="bottom"/>
            <w:tcBorders>
              <w:top w:val="single" w:sz="8" w:color="0000FF"/>
              <w:bottom w:val="single" w:sz="8" w:color="0000EE"/>
            </w:tcBorders>
          </w:tcPr>
          <w:p>
            <w:pPr>
              <w:spacing w:after="0"/>
              <w:rPr>
                <w:sz w:val="14"/>
                <w:szCs w:val="14"/>
                <w:color w:val="auto"/>
              </w:rPr>
            </w:pPr>
          </w:p>
        </w:tc>
        <w:tc>
          <w:tcPr>
            <w:tcW w:w="3760" w:type="dxa"/>
            <w:vAlign w:val="bottom"/>
            <w:tcBorders>
              <w:top w:val="single" w:sz="8" w:color="0000FF"/>
            </w:tcBorders>
            <w:gridSpan w:val="9"/>
          </w:tcPr>
          <w:p>
            <w:pPr>
              <w:spacing w:after="0"/>
              <w:rPr>
                <w:sz w:val="14"/>
                <w:szCs w:val="14"/>
                <w:color w:val="auto"/>
              </w:rPr>
            </w:pPr>
          </w:p>
        </w:tc>
        <w:tc>
          <w:tcPr>
            <w:tcW w:w="340" w:type="dxa"/>
            <w:vAlign w:val="bottom"/>
            <w:gridSpan w:val="10"/>
          </w:tcPr>
          <w:p>
            <w:pPr>
              <w:spacing w:after="0"/>
              <w:rPr>
                <w:sz w:val="14"/>
                <w:szCs w:val="14"/>
                <w:color w:val="auto"/>
              </w:rPr>
            </w:pPr>
          </w:p>
        </w:tc>
        <w:tc>
          <w:tcPr>
            <w:tcW w:w="60" w:type="dxa"/>
            <w:vAlign w:val="bottom"/>
            <w:gridSpan w:val="3"/>
          </w:tcPr>
          <w:p>
            <w:pPr>
              <w:spacing w:after="0"/>
              <w:rPr>
                <w:sz w:val="14"/>
                <w:szCs w:val="14"/>
                <w:color w:val="auto"/>
              </w:rPr>
            </w:pPr>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24"/>
                <w:szCs w:val="24"/>
                <w:color w:val="auto"/>
              </w:rPr>
            </w:pPr>
          </w:p>
        </w:tc>
        <w:tc>
          <w:tcPr>
            <w:tcW w:w="10120" w:type="dxa"/>
            <w:vAlign w:val="bottom"/>
            <w:gridSpan w:val="44"/>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60" w:type="dxa"/>
            <w:vAlign w:val="bottom"/>
            <w:tcBorders>
              <w:top w:val="single" w:sz="8" w:color="0000FF"/>
              <w:bottom w:val="single" w:sz="8" w:color="0000FF"/>
            </w:tcBorders>
            <w:gridSpan w:val="17"/>
          </w:tcPr>
          <w:p>
            <w:pPr>
              <w:spacing w:after="0" w:line="169" w:lineRule="exact"/>
              <w:rPr>
                <w:sz w:val="20"/>
                <w:szCs w:val="20"/>
                <w:color w:val="auto"/>
              </w:rPr>
            </w:pPr>
            <w:r>
              <w:rPr>
                <w:rFonts w:ascii="Times New Roman" w:cs="Times New Roman" w:eastAsia="Times New Roman" w:hAnsi="Times New Roman"/>
                <w:sz w:val="18"/>
                <w:szCs w:val="18"/>
                <w:color w:val="0000FF"/>
                <w:w w:val="99"/>
              </w:rPr>
              <w:t>amended, as adopted pursuant to Section 302 of the Sarbanes-Oxley Act of 2002.</w:t>
            </w:r>
          </w:p>
        </w:tc>
        <w:tc>
          <w:tcPr>
            <w:tcW w:w="20" w:type="dxa"/>
            <w:vAlign w:val="bottom"/>
            <w:tcBorders>
              <w:top w:val="single" w:sz="8" w:color="0000FF"/>
              <w:bottom w:val="single" w:sz="8" w:color="0000EE"/>
            </w:tcBorders>
          </w:tcPr>
          <w:p>
            <w:pPr>
              <w:spacing w:after="0"/>
              <w:rPr>
                <w:sz w:val="14"/>
                <w:szCs w:val="14"/>
                <w:color w:val="auto"/>
              </w:rPr>
            </w:pPr>
          </w:p>
        </w:tc>
        <w:tc>
          <w:tcPr>
            <w:tcW w:w="3720" w:type="dxa"/>
            <w:vAlign w:val="bottom"/>
            <w:tcBorders>
              <w:top w:val="single" w:sz="8" w:color="0000FF"/>
            </w:tcBorders>
            <w:gridSpan w:val="8"/>
          </w:tcPr>
          <w:p>
            <w:pPr>
              <w:spacing w:after="0"/>
              <w:rPr>
                <w:sz w:val="14"/>
                <w:szCs w:val="14"/>
                <w:color w:val="auto"/>
              </w:rPr>
            </w:pPr>
          </w:p>
        </w:tc>
        <w:tc>
          <w:tcPr>
            <w:tcW w:w="380" w:type="dxa"/>
            <w:vAlign w:val="bottom"/>
            <w:gridSpan w:val="11"/>
          </w:tcPr>
          <w:p>
            <w:pPr>
              <w:spacing w:after="0"/>
              <w:rPr>
                <w:sz w:val="14"/>
                <w:szCs w:val="14"/>
                <w:color w:val="auto"/>
              </w:rPr>
            </w:pPr>
          </w:p>
        </w:tc>
        <w:tc>
          <w:tcPr>
            <w:tcW w:w="60" w:type="dxa"/>
            <w:vAlign w:val="bottom"/>
            <w:gridSpan w:val="3"/>
          </w:tcPr>
          <w:p>
            <w:pPr>
              <w:spacing w:after="0"/>
              <w:rPr>
                <w:sz w:val="14"/>
                <w:szCs w:val="14"/>
                <w:color w:val="auto"/>
              </w:rPr>
            </w:pPr>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24"/>
                <w:szCs w:val="24"/>
                <w:color w:val="auto"/>
              </w:rPr>
            </w:pPr>
          </w:p>
        </w:tc>
        <w:tc>
          <w:tcPr>
            <w:tcW w:w="10120" w:type="dxa"/>
            <w:vAlign w:val="bottom"/>
            <w:gridSpan w:val="44"/>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Borders>
              <w:top w:val="single" w:sz="8" w:color="0000FF"/>
              <w:bottom w:val="single" w:sz="8" w:color="0000FF"/>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FF"/>
                <w:w w:val="97"/>
              </w:rPr>
              <w:t>Act of 2002.</w:t>
            </w:r>
          </w:p>
        </w:tc>
        <w:tc>
          <w:tcPr>
            <w:tcW w:w="20" w:type="dxa"/>
            <w:vAlign w:val="bottom"/>
            <w:tcBorders>
              <w:top w:val="single" w:sz="8" w:color="0000FF"/>
              <w:bottom w:val="single" w:sz="8" w:color="0000EE"/>
            </w:tcBorders>
          </w:tcPr>
          <w:p>
            <w:pPr>
              <w:spacing w:after="0"/>
              <w:rPr>
                <w:sz w:val="14"/>
                <w:szCs w:val="14"/>
                <w:color w:val="auto"/>
              </w:rPr>
            </w:pPr>
          </w:p>
        </w:tc>
        <w:tc>
          <w:tcPr>
            <w:tcW w:w="9120" w:type="dxa"/>
            <w:vAlign w:val="bottom"/>
            <w:tcBorders>
              <w:top w:val="single" w:sz="8" w:color="0000FF"/>
            </w:tcBorders>
            <w:gridSpan w:val="35"/>
          </w:tcPr>
          <w:p>
            <w:pPr>
              <w:spacing w:after="0"/>
              <w:rPr>
                <w:sz w:val="14"/>
                <w:szCs w:val="14"/>
                <w:color w:val="auto"/>
              </w:rPr>
            </w:pPr>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32.2*#</w:t>
            </w:r>
          </w:p>
        </w:tc>
        <w:tc>
          <w:tcPr>
            <w:tcW w:w="140" w:type="dxa"/>
            <w:vAlign w:val="bottom"/>
          </w:tcPr>
          <w:p>
            <w:pPr>
              <w:spacing w:after="0"/>
              <w:rPr>
                <w:sz w:val="24"/>
                <w:szCs w:val="24"/>
                <w:color w:val="auto"/>
              </w:rPr>
            </w:pPr>
          </w:p>
        </w:tc>
        <w:tc>
          <w:tcPr>
            <w:tcW w:w="10120" w:type="dxa"/>
            <w:vAlign w:val="bottom"/>
            <w:gridSpan w:val="44"/>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Borders>
              <w:top w:val="single" w:sz="8" w:color="0000FF"/>
              <w:bottom w:val="single" w:sz="8" w:color="0000FF"/>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FF"/>
                <w:w w:val="97"/>
              </w:rPr>
              <w:t>Act of 2002.</w:t>
            </w:r>
          </w:p>
        </w:tc>
        <w:tc>
          <w:tcPr>
            <w:tcW w:w="20" w:type="dxa"/>
            <w:vAlign w:val="bottom"/>
            <w:tcBorders>
              <w:top w:val="single" w:sz="8" w:color="0000FF"/>
              <w:bottom w:val="single" w:sz="8" w:color="0000EE"/>
            </w:tcBorders>
          </w:tcPr>
          <w:p>
            <w:pPr>
              <w:spacing w:after="0"/>
              <w:rPr>
                <w:sz w:val="14"/>
                <w:szCs w:val="14"/>
                <w:color w:val="auto"/>
              </w:rPr>
            </w:pPr>
          </w:p>
        </w:tc>
        <w:tc>
          <w:tcPr>
            <w:tcW w:w="9060" w:type="dxa"/>
            <w:vAlign w:val="bottom"/>
            <w:tcBorders>
              <w:top w:val="single" w:sz="8" w:color="0000FF"/>
            </w:tcBorders>
            <w:gridSpan w:val="32"/>
          </w:tcPr>
          <w:p>
            <w:pPr>
              <w:spacing w:after="0"/>
              <w:rPr>
                <w:sz w:val="14"/>
                <w:szCs w:val="14"/>
                <w:color w:val="auto"/>
              </w:rPr>
            </w:pPr>
          </w:p>
        </w:tc>
        <w:tc>
          <w:tcPr>
            <w:tcW w:w="14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372"/>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40" w:type="dxa"/>
            <w:vAlign w:val="bottom"/>
          </w:tcPr>
          <w:p>
            <w:pPr>
              <w:spacing w:after="0"/>
              <w:rPr>
                <w:sz w:val="24"/>
                <w:szCs w:val="24"/>
                <w:color w:val="auto"/>
              </w:rPr>
            </w:pPr>
          </w:p>
        </w:tc>
        <w:tc>
          <w:tcPr>
            <w:tcW w:w="10120" w:type="dxa"/>
            <w:vAlign w:val="bottom"/>
            <w:gridSpan w:val="44"/>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35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40" w:type="dxa"/>
            <w:vAlign w:val="bottom"/>
          </w:tcPr>
          <w:p>
            <w:pPr>
              <w:spacing w:after="0"/>
              <w:rPr>
                <w:sz w:val="24"/>
                <w:szCs w:val="24"/>
                <w:color w:val="auto"/>
              </w:rPr>
            </w:pPr>
          </w:p>
        </w:tc>
        <w:tc>
          <w:tcPr>
            <w:tcW w:w="10120" w:type="dxa"/>
            <w:vAlign w:val="bottom"/>
            <w:gridSpan w:val="4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5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140" w:type="dxa"/>
            <w:vAlign w:val="bottom"/>
          </w:tcPr>
          <w:p>
            <w:pPr>
              <w:spacing w:after="0"/>
              <w:rPr>
                <w:sz w:val="24"/>
                <w:szCs w:val="24"/>
                <w:color w:val="auto"/>
              </w:rPr>
            </w:pPr>
          </w:p>
        </w:tc>
        <w:tc>
          <w:tcPr>
            <w:tcW w:w="10120" w:type="dxa"/>
            <w:vAlign w:val="bottom"/>
            <w:gridSpan w:val="4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5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140" w:type="dxa"/>
            <w:vAlign w:val="bottom"/>
          </w:tcPr>
          <w:p>
            <w:pPr>
              <w:spacing w:after="0"/>
              <w:rPr>
                <w:sz w:val="24"/>
                <w:szCs w:val="24"/>
                <w:color w:val="auto"/>
              </w:rPr>
            </w:pPr>
          </w:p>
        </w:tc>
        <w:tc>
          <w:tcPr>
            <w:tcW w:w="10120" w:type="dxa"/>
            <w:vAlign w:val="bottom"/>
            <w:gridSpan w:val="4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783"/>
        </w:trPr>
        <w:tc>
          <w:tcPr>
            <w:tcW w:w="1020" w:type="dxa"/>
            <w:vAlign w:val="bottom"/>
          </w:tcPr>
          <w:p>
            <w:pPr>
              <w:spacing w:after="0"/>
              <w:rPr>
                <w:sz w:val="24"/>
                <w:szCs w:val="24"/>
                <w:color w:val="auto"/>
              </w:rPr>
            </w:pPr>
          </w:p>
        </w:tc>
        <w:tc>
          <w:tcPr>
            <w:tcW w:w="5420" w:type="dxa"/>
            <w:vAlign w:val="bottom"/>
            <w:gridSpan w:val="16"/>
          </w:tcPr>
          <w:p>
            <w:pPr>
              <w:jc w:val="right"/>
              <w:ind w:right="648"/>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0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85915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2">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101.LAB*</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Inline XBRL Taxonomy Extension Label Linkbase Document</w:t>
      </w:r>
    </w:p>
    <w:p>
      <w:pPr>
        <w:spacing w:after="0" w:line="156" w:lineRule="exact"/>
        <w:rPr>
          <w:sz w:val="20"/>
          <w:szCs w:val="20"/>
          <w:color w:val="auto"/>
        </w:rPr>
      </w:pPr>
    </w:p>
    <w:p>
      <w:pPr>
        <w:sectPr>
          <w:pgSz w:w="11900" w:h="16838" w:orient="portrait"/>
          <w:cols w:equalWidth="0" w:num="2">
            <w:col w:w="780" w:space="380"/>
            <w:col w:w="10020"/>
          </w:cols>
          <w:pgMar w:left="320" w:top="117" w:right="39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p>
      <w:pPr>
        <w:spacing w:after="0" w:line="155" w:lineRule="exact"/>
        <w:rPr>
          <w:sz w:val="20"/>
          <w:szCs w:val="20"/>
          <w:color w:val="auto"/>
        </w:rPr>
      </w:pPr>
    </w:p>
    <w:p>
      <w:pPr>
        <w:sectPr>
          <w:pgSz w:w="11900" w:h="16838" w:orient="portrait"/>
          <w:cols w:equalWidth="0" w:num="2">
            <w:col w:w="760" w:space="400"/>
            <w:col w:w="10020"/>
          </w:cols>
          <w:pgMar w:left="320" w:top="117" w:right="399" w:bottom="1440" w:gutter="0" w:footer="0" w:header="0"/>
          <w:type w:val="continuous"/>
        </w:sectPr>
      </w:pPr>
    </w:p>
    <w:p>
      <w:pPr>
        <w:ind w:right="4240" w:firstLine="21"/>
        <w:spacing w:after="0" w:line="371" w:lineRule="auto"/>
        <w:tabs>
          <w:tab w:leader="none" w:pos="1147"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Filed herewith.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management contract or compensatory plan.</w:t>
      </w:r>
    </w:p>
    <w:p>
      <w:pPr>
        <w:spacing w:after="0" w:line="7" w:lineRule="exact"/>
        <w:rPr>
          <w:sz w:val="20"/>
          <w:szCs w:val="20"/>
          <w:color w:val="auto"/>
        </w:rPr>
      </w:pPr>
    </w:p>
    <w:p>
      <w:pPr>
        <w:ind w:right="60" w:firstLine="8"/>
        <w:spacing w:after="0" w:line="235" w:lineRule="auto"/>
        <w:tabs>
          <w:tab w:leader="none" w:pos="13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601(b)(10) of Regulation S-K, certain portions of this exhibit (indicated by asterisks) have been omitted because such portions are both not material and are the type that the Registrant treats as private or confidential.</w:t>
      </w:r>
    </w:p>
    <w:p>
      <w:pPr>
        <w:spacing w:after="0" w:line="1" w:lineRule="exact"/>
        <w:rPr>
          <w:rFonts w:ascii="Times New Roman" w:cs="Times New Roman" w:eastAsia="Times New Roman" w:hAnsi="Times New Roman"/>
          <w:sz w:val="18"/>
          <w:szCs w:val="18"/>
          <w:color w:val="auto"/>
        </w:rPr>
      </w:pPr>
    </w:p>
    <w:p>
      <w:pPr>
        <w:spacing w:after="0" w:line="24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information in Exhibits 32.1 and 32.2 shall not be deemed “filed” for purposes of Section 18 of the Securities Exchange Act of 1934, as amended, or otherwise subject to the liabilities of that section, nor shall it be deemed incorporated by reference in any filing under the Securities Act of 1933, as amended, or the Securities Exchange Act of 1934, as amended (including this Quarterly Report on Form 10-Q), unless the Registrant specifically incorporates the foregoing information into those documents by reference.</w:t>
      </w:r>
    </w:p>
    <w:p>
      <w:pPr>
        <w:spacing w:after="0" w:line="19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4">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782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SPRUCE BIOSCIENCES, INC.</w:t>
            </w:r>
          </w:p>
        </w:tc>
      </w:tr>
      <w:tr>
        <w:trPr>
          <w:trHeight w:val="405"/>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Date: May 11, 2022</w:t>
            </w:r>
          </w:p>
        </w:tc>
        <w:tc>
          <w:tcPr>
            <w:tcW w:w="228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5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Javier Szwarcberg M.D., MPH</w:t>
            </w:r>
          </w:p>
        </w:tc>
      </w:tr>
      <w:tr>
        <w:trPr>
          <w:trHeight w:val="164"/>
        </w:trPr>
        <w:tc>
          <w:tcPr>
            <w:tcW w:w="34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5540" w:type="dxa"/>
            <w:vAlign w:val="bottom"/>
          </w:tcPr>
          <w:p>
            <w:pPr>
              <w:jc w:val="center"/>
              <w:spacing w:after="0" w:line="164" w:lineRule="exact"/>
              <w:rPr>
                <w:sz w:val="20"/>
                <w:szCs w:val="20"/>
                <w:color w:val="auto"/>
              </w:rPr>
            </w:pPr>
            <w:r>
              <w:rPr>
                <w:rFonts w:ascii="Times New Roman" w:cs="Times New Roman" w:eastAsia="Times New Roman" w:hAnsi="Times New Roman"/>
                <w:sz w:val="18"/>
                <w:szCs w:val="18"/>
                <w:color w:val="auto"/>
                <w:w w:val="99"/>
              </w:rPr>
              <w:t>Javier Szwarcberg, M.D., MPH</w:t>
            </w:r>
          </w:p>
        </w:tc>
      </w:tr>
      <w:tr>
        <w:trPr>
          <w:trHeight w:val="189"/>
        </w:trPr>
        <w:tc>
          <w:tcPr>
            <w:tcW w:w="34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55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234"/>
        </w:trPr>
        <w:tc>
          <w:tcPr>
            <w:tcW w:w="34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05"/>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Date: May 11, 2022</w:t>
            </w:r>
          </w:p>
        </w:tc>
        <w:tc>
          <w:tcPr>
            <w:tcW w:w="228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5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rPr>
              <w:t>/s/ Samir Gharib</w:t>
            </w:r>
          </w:p>
        </w:tc>
      </w:tr>
      <w:tr>
        <w:trPr>
          <w:trHeight w:val="184"/>
        </w:trPr>
        <w:tc>
          <w:tcPr>
            <w:tcW w:w="34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55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Samir Gharib</w:t>
            </w:r>
          </w:p>
        </w:tc>
      </w:tr>
    </w:tbl>
    <w:p>
      <w:pPr>
        <w:jc w:val="center"/>
        <w:ind w:left="5680"/>
        <w:spacing w:after="0" w:line="219" w:lineRule="auto"/>
        <w:rPr>
          <w:sz w:val="20"/>
          <w:szCs w:val="20"/>
          <w:color w:val="auto"/>
        </w:rPr>
      </w:pPr>
      <w:r>
        <w:rPr>
          <w:rFonts w:ascii="Times New Roman" w:cs="Times New Roman" w:eastAsia="Times New Roman" w:hAnsi="Times New Roman"/>
          <w:sz w:val="18"/>
          <w:szCs w:val="18"/>
          <w:color w:val="auto"/>
        </w:rPr>
        <w:t>President and Chief Financial Officer</w:t>
      </w:r>
    </w:p>
    <w:p>
      <w:pPr>
        <w:jc w:val="center"/>
        <w:ind w:left="56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22"/>
          <w:szCs w:val="22"/>
          <w:b w:val="1"/>
          <w:bCs w:val="1"/>
          <w:color w:val="auto"/>
        </w:rPr>
        <w:t>EXHIBIT 10.7</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SPRUCE BIOSCIENCES, INC.</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NON-EMPLOYEE DIRECTOR COMPENSATION POLICY</w:t>
      </w:r>
    </w:p>
    <w:p>
      <w:pPr>
        <w:spacing w:after="0" w:line="200" w:lineRule="exact"/>
        <w:rPr>
          <w:sz w:val="20"/>
          <w:szCs w:val="20"/>
          <w:color w:val="auto"/>
        </w:rPr>
      </w:pPr>
    </w:p>
    <w:p>
      <w:pPr>
        <w:spacing w:after="0" w:line="28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Each member of the Board of Directors (the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who is not also serving as an employee of or consultant to Spruce Biosciences,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or any of its subsidiaries (each such member, an “</w:t>
      </w:r>
      <w:r>
        <w:rPr>
          <w:rFonts w:ascii="Times New Roman" w:cs="Times New Roman" w:eastAsia="Times New Roman" w:hAnsi="Times New Roman"/>
          <w:sz w:val="22"/>
          <w:szCs w:val="22"/>
          <w:b w:val="1"/>
          <w:bCs w:val="1"/>
          <w:i w:val="1"/>
          <w:iCs w:val="1"/>
          <w:color w:val="auto"/>
        </w:rPr>
        <w:t>Eligible Director</w:t>
      </w:r>
      <w:r>
        <w:rPr>
          <w:rFonts w:ascii="Times New Roman" w:cs="Times New Roman" w:eastAsia="Times New Roman" w:hAnsi="Times New Roman"/>
          <w:sz w:val="22"/>
          <w:szCs w:val="22"/>
          <w:color w:val="auto"/>
        </w:rPr>
        <w:t>”) will receive the compensation described in this Non-Employee Director Compensation Policy for his or her Board service upon and following the date of the underwriting agreement between the Company and the underwriters managing the initial public offering of the Company’s common stock (the “</w:t>
      </w:r>
      <w:r>
        <w:rPr>
          <w:rFonts w:ascii="Times New Roman" w:cs="Times New Roman" w:eastAsia="Times New Roman" w:hAnsi="Times New Roman"/>
          <w:sz w:val="22"/>
          <w:szCs w:val="22"/>
          <w:b w:val="1"/>
          <w:bCs w:val="1"/>
          <w:i w:val="1"/>
          <w:iCs w:val="1"/>
          <w:color w:val="auto"/>
        </w:rPr>
        <w:t>Common Stock</w:t>
      </w:r>
      <w:r>
        <w:rPr>
          <w:rFonts w:ascii="Times New Roman" w:cs="Times New Roman" w:eastAsia="Times New Roman" w:hAnsi="Times New Roman"/>
          <w:sz w:val="22"/>
          <w:szCs w:val="22"/>
          <w:color w:val="auto"/>
        </w:rPr>
        <w:t>”), pursuant to which the Common Stock is priced in such initial public offering (the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An Eligible Director may decline all or any portion of his or her compensation by giving notice to the Company prior to the date cash may be paid or equity awards are to be granted, as the case may be. This policy is effective as of the Effective Date and may be amended at any time in the sole discretion of the Board.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Annual Cash Compensation</w:t>
      </w:r>
    </w:p>
    <w:p>
      <w:pPr>
        <w:spacing w:after="0" w:line="25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The annual cash compensation amount set forth below is payable to Eligible Directors in equal quarterly installments, payable in arrears on the last day of each fiscal quarter in which the service occurred. If an Eligible Director joins the Board or a committee of the Board at a time other than effective as of the first day of a fiscal quarter, each annual retainer set forth below will be pro-rated based on days served in the applicable fiscal year, with the pro-rated amount paid for the first fiscal quarter in which the Eligible Director provides the service and regular full quarterly payments thereafter. All annual cash fees are vested upon payment.</w:t>
      </w:r>
    </w:p>
    <w:p>
      <w:pPr>
        <w:spacing w:after="0" w:line="217" w:lineRule="exact"/>
        <w:rPr>
          <w:sz w:val="20"/>
          <w:szCs w:val="20"/>
          <w:color w:val="auto"/>
        </w:rPr>
      </w:pPr>
    </w:p>
    <w:p>
      <w:pPr>
        <w:ind w:left="440" w:hanging="432"/>
        <w:spacing w:after="0"/>
        <w:tabs>
          <w:tab w:leader="none" w:pos="44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Board Service Retainer</w:t>
      </w:r>
      <w:r>
        <w:rPr>
          <w:rFonts w:ascii="Times New Roman" w:cs="Times New Roman" w:eastAsia="Times New Roman" w:hAnsi="Times New Roman"/>
          <w:sz w:val="22"/>
          <w:szCs w:val="22"/>
          <w:color w:val="auto"/>
        </w:rPr>
        <w:t>:</w:t>
      </w:r>
    </w:p>
    <w:p>
      <w:pPr>
        <w:spacing w:after="0" w:line="14"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Eligible Directors: $40,000</w:t>
      </w:r>
    </w:p>
    <w:p>
      <w:pPr>
        <w:spacing w:after="0" w:line="3" w:lineRule="exact"/>
        <w:rPr>
          <w:rFonts w:ascii="Times New Roman" w:cs="Times New Roman" w:eastAsia="Times New Roman" w:hAnsi="Times New Roman"/>
          <w:sz w:val="22"/>
          <w:szCs w:val="22"/>
          <w:color w:val="auto"/>
        </w:rPr>
      </w:pPr>
    </w:p>
    <w:p>
      <w:pPr>
        <w:ind w:left="8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   Executive Chairman of the Board Service Retainer (in addition to Eligible Director Service Retainer): $30,000</w:t>
      </w:r>
    </w:p>
    <w:p>
      <w:pPr>
        <w:spacing w:after="0" w:line="209" w:lineRule="exact"/>
        <w:rPr>
          <w:rFonts w:ascii="Times New Roman" w:cs="Times New Roman" w:eastAsia="Times New Roman" w:hAnsi="Times New Roman"/>
          <w:sz w:val="22"/>
          <w:szCs w:val="22"/>
          <w:color w:val="auto"/>
        </w:rPr>
      </w:pPr>
    </w:p>
    <w:p>
      <w:pPr>
        <w:ind w:left="440" w:hanging="432"/>
        <w:spacing w:after="0"/>
        <w:tabs>
          <w:tab w:leader="none" w:pos="44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Committee Chair Service Retainer (in lieu of Annual Committee Member Service Retainer)</w:t>
      </w:r>
      <w:r>
        <w:rPr>
          <w:rFonts w:ascii="Times New Roman" w:cs="Times New Roman" w:eastAsia="Times New Roman" w:hAnsi="Times New Roman"/>
          <w:sz w:val="22"/>
          <w:szCs w:val="22"/>
          <w:color w:val="auto"/>
        </w:rPr>
        <w:t>:</w:t>
      </w:r>
    </w:p>
    <w:p>
      <w:pPr>
        <w:spacing w:after="0" w:line="27" w:lineRule="exact"/>
        <w:rPr>
          <w:rFonts w:ascii="Times New Roman" w:cs="Times New Roman" w:eastAsia="Times New Roman" w:hAnsi="Times New Roman"/>
          <w:sz w:val="22"/>
          <w:szCs w:val="22"/>
          <w:color w:val="auto"/>
        </w:rPr>
      </w:pPr>
    </w:p>
    <w:p>
      <w:pPr>
        <w:ind w:left="1180" w:hanging="423"/>
        <w:spacing w:after="0" w:line="230" w:lineRule="auto"/>
        <w:tabs>
          <w:tab w:leader="none" w:pos="1180"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Chair of the Audit Committee: $15,000</w:t>
      </w:r>
    </w:p>
    <w:p>
      <w:pPr>
        <w:ind w:left="1180" w:hanging="423"/>
        <w:spacing w:after="0"/>
        <w:tabs>
          <w:tab w:leader="none" w:pos="1180"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Chair of the Compensation Committee: $10,000</w:t>
      </w:r>
    </w:p>
    <w:p>
      <w:pPr>
        <w:spacing w:after="0" w:line="3"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Chair of the Nominating and Corporate Governance Committee: $8,000</w:t>
      </w:r>
    </w:p>
    <w:p>
      <w:pPr>
        <w:spacing w:after="0" w:line="209" w:lineRule="exact"/>
        <w:rPr>
          <w:rFonts w:ascii="Times New Roman" w:cs="Times New Roman" w:eastAsia="Times New Roman" w:hAnsi="Times New Roman"/>
          <w:sz w:val="22"/>
          <w:szCs w:val="22"/>
          <w:color w:val="auto"/>
        </w:rPr>
      </w:pPr>
    </w:p>
    <w:p>
      <w:pPr>
        <w:ind w:left="440" w:hanging="432"/>
        <w:spacing w:after="0"/>
        <w:tabs>
          <w:tab w:leader="none" w:pos="44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Committee Member Service Retainer</w:t>
      </w:r>
      <w:r>
        <w:rPr>
          <w:rFonts w:ascii="Times New Roman" w:cs="Times New Roman" w:eastAsia="Times New Roman" w:hAnsi="Times New Roman"/>
          <w:sz w:val="22"/>
          <w:szCs w:val="22"/>
          <w:color w:val="auto"/>
        </w:rPr>
        <w:t>:</w:t>
      </w:r>
    </w:p>
    <w:p>
      <w:pPr>
        <w:spacing w:after="0" w:line="27" w:lineRule="exact"/>
        <w:rPr>
          <w:rFonts w:ascii="Times New Roman" w:cs="Times New Roman" w:eastAsia="Times New Roman" w:hAnsi="Times New Roman"/>
          <w:sz w:val="22"/>
          <w:szCs w:val="22"/>
          <w:color w:val="auto"/>
        </w:rPr>
      </w:pPr>
    </w:p>
    <w:p>
      <w:pPr>
        <w:ind w:left="1180" w:hanging="423"/>
        <w:spacing w:after="0" w:line="230" w:lineRule="auto"/>
        <w:tabs>
          <w:tab w:leader="none" w:pos="1180"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Member of the Audit Committee: $7,500</w:t>
      </w:r>
    </w:p>
    <w:p>
      <w:pPr>
        <w:ind w:left="1180" w:hanging="423"/>
        <w:spacing w:after="0" w:line="230" w:lineRule="auto"/>
        <w:tabs>
          <w:tab w:leader="none" w:pos="1180"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Member of the Compensation Committee: $5,000</w:t>
      </w:r>
    </w:p>
    <w:p>
      <w:pPr>
        <w:ind w:left="1180" w:hanging="423"/>
        <w:spacing w:after="0"/>
        <w:tabs>
          <w:tab w:leader="none" w:pos="1180"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Member of the Nominating and Corporate Governance Committee: $4,000</w:t>
      </w:r>
    </w:p>
    <w:p>
      <w:pPr>
        <w:spacing w:after="0" w:line="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3"/>
          <w:szCs w:val="13"/>
          <w:color w:val="auto"/>
        </w:rPr>
        <w:t>266428367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186690</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22"/>
          <w:szCs w:val="22"/>
          <w:b w:val="1"/>
          <w:bCs w:val="1"/>
          <w:color w:val="auto"/>
        </w:rPr>
        <w:t>Equity Compensation</w:t>
      </w:r>
    </w:p>
    <w:p>
      <w:pPr>
        <w:spacing w:after="0" w:line="24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2"/>
          <w:szCs w:val="22"/>
          <w:color w:val="auto"/>
        </w:rPr>
        <w:t>The equity compensation set forth below will be granted under the Company’s 2020 Equity Incentive Plan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subject to the approval of the Plan by the Company’s stockholders. All stock options granted under this policy will be nonstatutory stock options, with an exercise price per share equal to 100% of the Fair Market Value (as defined in the Plan) of the underlying Common Stock on the date of grant, and a term of ten years from the date of grant (subject to earlier termination in connection with a termination of service as provided in the Plan, provided that upon a termination of service other than for death, disability or cause, the post-termination exercise period will be three months from the date of termination).</w:t>
      </w:r>
    </w:p>
    <w:p>
      <w:pPr>
        <w:spacing w:after="0" w:line="217" w:lineRule="exact"/>
        <w:rPr>
          <w:sz w:val="20"/>
          <w:szCs w:val="20"/>
          <w:color w:val="auto"/>
        </w:rPr>
      </w:pPr>
    </w:p>
    <w:p>
      <w:pPr>
        <w:jc w:val="both"/>
        <w:ind w:firstLine="8"/>
        <w:spacing w:after="0" w:line="238" w:lineRule="auto"/>
        <w:tabs>
          <w:tab w:leader="none" w:pos="432"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Initial Grant</w:t>
      </w:r>
      <w:r>
        <w:rPr>
          <w:rFonts w:ascii="Times New Roman" w:cs="Times New Roman" w:eastAsia="Times New Roman" w:hAnsi="Times New Roman"/>
          <w:sz w:val="22"/>
          <w:szCs w:val="22"/>
          <w:color w:val="auto"/>
        </w:rPr>
        <w:t>: For each Eligible Director who is first elected or appointed to the Board following the Effective Date, on the date of such Eligible Director’s initial election or appointment to the Board (or, if such date is not a market trading day, the first market trading day thereafter), the Eligible Director will be automatically, and without further action by the Board, granted a stock option to purchase 45,000 shares of Common Stock (the “</w:t>
      </w:r>
      <w:r>
        <w:rPr>
          <w:rFonts w:ascii="Times New Roman" w:cs="Times New Roman" w:eastAsia="Times New Roman" w:hAnsi="Times New Roman"/>
          <w:sz w:val="22"/>
          <w:szCs w:val="22"/>
          <w:b w:val="1"/>
          <w:bCs w:val="1"/>
          <w:i w:val="1"/>
          <w:iCs w:val="1"/>
          <w:color w:val="auto"/>
        </w:rPr>
        <w:t>Initial Grant</w:t>
      </w:r>
      <w:r>
        <w:rPr>
          <w:rFonts w:ascii="Times New Roman" w:cs="Times New Roman" w:eastAsia="Times New Roman" w:hAnsi="Times New Roman"/>
          <w:sz w:val="22"/>
          <w:szCs w:val="22"/>
          <w:color w:val="auto"/>
        </w:rPr>
        <w:t>”). Each person who, after the Effective Date, served as an employee of, or consultant to, the Company and as a member of the Board, but who later ceases to provide such employment or consulting services shall not be entitled to an Initial Grant. The shares subject to each Initial Grant will vest in equal monthly installments over a three year period such that the option is fully vested on the third anniversary of the date of grant, subject to the Eligible Director’s Continuous Service (as defined in the Plan) through each such vesting date and will vest in full upon a Change in Control (as defined in the Plan).</w:t>
      </w:r>
    </w:p>
    <w:p>
      <w:pPr>
        <w:spacing w:after="0" w:line="226" w:lineRule="exact"/>
        <w:rPr>
          <w:rFonts w:ascii="Times New Roman" w:cs="Times New Roman" w:eastAsia="Times New Roman" w:hAnsi="Times New Roman"/>
          <w:sz w:val="22"/>
          <w:szCs w:val="22"/>
          <w:color w:val="auto"/>
        </w:rPr>
      </w:pPr>
    </w:p>
    <w:p>
      <w:pPr>
        <w:jc w:val="both"/>
        <w:ind w:firstLine="8"/>
        <w:spacing w:after="0" w:line="238" w:lineRule="auto"/>
        <w:tabs>
          <w:tab w:leader="none" w:pos="432"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Grant</w:t>
      </w:r>
      <w:r>
        <w:rPr>
          <w:rFonts w:ascii="Times New Roman" w:cs="Times New Roman" w:eastAsia="Times New Roman" w:hAnsi="Times New Roman"/>
          <w:sz w:val="22"/>
          <w:szCs w:val="22"/>
          <w:color w:val="auto"/>
        </w:rPr>
        <w:t>: On the date of each annual stockholder meeting of the Company held after the Effective Date, each Eligible Director who continues to serve as a non-employee member of the Board following such stockholder meeting will be automatically, and without further action by the Board, granted a stock option to purchase 22,500 shares of Common Stock (the “</w:t>
      </w:r>
      <w:r>
        <w:rPr>
          <w:rFonts w:ascii="Times New Roman" w:cs="Times New Roman" w:eastAsia="Times New Roman" w:hAnsi="Times New Roman"/>
          <w:sz w:val="22"/>
          <w:szCs w:val="22"/>
          <w:b w:val="1"/>
          <w:bCs w:val="1"/>
          <w:i w:val="1"/>
          <w:iCs w:val="1"/>
          <w:color w:val="auto"/>
        </w:rPr>
        <w:t>Annual Grant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if the Eligible Director has not served as member of the Board for 12 months prior to the applicable annual stockholder meeting, the number of shares subject to such individual’s Annual Grant will be pro-rated based on the number of full months served on the Board, rounded to the nearest whole share. The shares subject to the Annual Grant will vest on the first anniversary of the date of grant, provided that the Annual Grant will in any case be fully vested on the date of Company’s next annual stockholder meeting, subject to the Eligible Director’s Continuous Service (as defined in the Plan) through such vesting date and will vest in full upon a Change in Control (as defined in the Plan).</w:t>
      </w:r>
    </w:p>
    <w:p>
      <w:pPr>
        <w:spacing w:after="0" w:line="226" w:lineRule="exact"/>
        <w:rPr>
          <w:rFonts w:ascii="Times New Roman" w:cs="Times New Roman" w:eastAsia="Times New Roman" w:hAnsi="Times New Roman"/>
          <w:sz w:val="22"/>
          <w:szCs w:val="22"/>
          <w:color w:val="auto"/>
        </w:rPr>
      </w:pPr>
    </w:p>
    <w:p>
      <w:pPr>
        <w:jc w:val="both"/>
        <w:ind w:firstLine="8"/>
        <w:spacing w:after="0"/>
        <w:tabs>
          <w:tab w:leader="none" w:pos="459"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Non-Employee Director Compensation Limit:</w:t>
      </w:r>
      <w:r>
        <w:rPr>
          <w:rFonts w:ascii="Times New Roman" w:cs="Times New Roman" w:eastAsia="Times New Roman" w:hAnsi="Times New Roman"/>
          <w:sz w:val="22"/>
          <w:szCs w:val="22"/>
          <w:color w:val="auto"/>
        </w:rPr>
        <w:t xml:space="preserve"> The aggregate value of all compensation granted or paid, as applicable, to any Eligible Director for service as a non-employee member of the Board with respect to any period commencing on the date of the Company’s Annual Meeting of Stockholders for a particular year and ending on the day immediately prior to the date of the Company’s Annual Meeting of Stockholders for the next subsequent year (the “</w:t>
      </w:r>
      <w:r>
        <w:rPr>
          <w:rFonts w:ascii="Times New Roman" w:cs="Times New Roman" w:eastAsia="Times New Roman" w:hAnsi="Times New Roman"/>
          <w:sz w:val="22"/>
          <w:szCs w:val="22"/>
          <w:b w:val="1"/>
          <w:bCs w:val="1"/>
          <w:i w:val="1"/>
          <w:iCs w:val="1"/>
          <w:color w:val="auto"/>
        </w:rPr>
        <w:t>Annual Period</w:t>
      </w:r>
      <w:r>
        <w:rPr>
          <w:rFonts w:ascii="Times New Roman" w:cs="Times New Roman" w:eastAsia="Times New Roman" w:hAnsi="Times New Roman"/>
          <w:sz w:val="22"/>
          <w:szCs w:val="22"/>
          <w:color w:val="auto"/>
        </w:rPr>
        <w:t>”), including equity awards granted and cash fees paid by the Company to such Eligible Director, will</w:t>
      </w:r>
    </w:p>
    <w:p>
      <w:pPr>
        <w:spacing w:after="0" w:line="1" w:lineRule="exact"/>
        <w:rPr>
          <w:rFonts w:ascii="Times New Roman" w:cs="Times New Roman" w:eastAsia="Times New Roman" w:hAnsi="Times New Roman"/>
          <w:sz w:val="22"/>
          <w:szCs w:val="22"/>
          <w:color w:val="auto"/>
        </w:rPr>
      </w:pPr>
    </w:p>
    <w:p>
      <w:pPr>
        <w:ind w:left="4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3"/>
          <w:szCs w:val="13"/>
          <w:color w:val="auto"/>
        </w:rPr>
        <w:t>266428367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85" w:name="page86"/>
    <w:bookmarkEnd w:id="85"/>
    <w:p>
      <w:pPr>
        <w:spacing w:after="0" w:line="260" w:lineRule="auto"/>
        <w:rPr>
          <w:sz w:val="20"/>
          <w:szCs w:val="20"/>
          <w:color w:val="auto"/>
        </w:rPr>
      </w:pPr>
      <w:r>
        <w:rPr>
          <w:rFonts w:ascii="Times New Roman" w:cs="Times New Roman" w:eastAsia="Times New Roman" w:hAnsi="Times New Roman"/>
          <w:sz w:val="21"/>
          <w:szCs w:val="21"/>
          <w:color w:val="auto"/>
        </w:rPr>
        <w:t>not exceed (i) $750,000 in total value or (ii) in the event such Eligible Director is first appointed or elected to the Board during such Annual Period, $1,000,000 in total value, in each case calculating the value of any equity awards based on the grant date fair</w:t>
      </w:r>
    </w:p>
    <w:p>
      <w:pPr>
        <w:spacing w:after="0" w:line="1"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color w:val="auto"/>
        </w:rPr>
        <w:t>value of such equity awards for financial reporting purposes. The limitations in this section shall apply commencing with the Annual Period that begins on the Company’s first Annual Meeting of Stockholders following the Effective Date.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Adopted: October 8, 2020</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Amended: April 6, 2022</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auto"/>
        </w:rPr>
        <w:t>266428367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186690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22"/>
          <w:szCs w:val="22"/>
          <w:b w:val="1"/>
          <w:bCs w:val="1"/>
          <w:color w:val="auto"/>
        </w:rPr>
        <w:t>Exhibit 10.8</w:t>
      </w:r>
    </w:p>
    <w:p>
      <w:pPr>
        <w:spacing w:after="0" w:line="200" w:lineRule="exact"/>
        <w:rPr>
          <w:sz w:val="20"/>
          <w:szCs w:val="20"/>
          <w:color w:val="auto"/>
        </w:rPr>
      </w:pPr>
    </w:p>
    <w:p>
      <w:pPr>
        <w:spacing w:after="0" w:line="272" w:lineRule="exact"/>
        <w:rPr>
          <w:sz w:val="20"/>
          <w:szCs w:val="20"/>
          <w:color w:val="auto"/>
        </w:rPr>
      </w:pPr>
    </w:p>
    <w:p>
      <w:pPr>
        <w:jc w:val="center"/>
        <w:ind w:right="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Certain identified information has been excluded from this exhibit because it is both not material and is the type that the registrant treats as private or confidential. Information that was omitted has been noted in this document with a placeholder identified by the mark “[***]”</w:t>
      </w:r>
      <w:r>
        <w:rPr>
          <w:rFonts w:ascii="Times New Roman" w:cs="Times New Roman" w:eastAsia="Times New Roman" w:hAnsi="Times New Roman"/>
          <w:sz w:val="18"/>
          <w:szCs w:val="18"/>
          <w:i w:val="1"/>
          <w:iCs w:val="1"/>
          <w:color w:val="auto"/>
        </w:rPr>
        <w: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SECOND AMENDMENT</w:t>
      </w:r>
    </w:p>
    <w:p>
      <w:pPr>
        <w:spacing w:after="0" w:line="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LOAN AND SECURITY AGREEMENT</w:t>
      </w:r>
    </w:p>
    <w:p>
      <w:pPr>
        <w:spacing w:after="0" w:line="205"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22"/>
          <w:szCs w:val="22"/>
          <w:color w:val="auto"/>
        </w:rPr>
        <w:t>This Second Amendment to Loan and Security Agreement (this “</w:t>
      </w:r>
      <w:r>
        <w:rPr>
          <w:rFonts w:ascii="Times New Roman" w:cs="Times New Roman" w:eastAsia="Times New Roman" w:hAnsi="Times New Roman"/>
          <w:sz w:val="22"/>
          <w:szCs w:val="22"/>
          <w:b w:val="1"/>
          <w:bCs w:val="1"/>
          <w:color w:val="auto"/>
        </w:rPr>
        <w:t>Amendment</w:t>
      </w:r>
      <w:r>
        <w:rPr>
          <w:rFonts w:ascii="Times New Roman" w:cs="Times New Roman" w:eastAsia="Times New Roman" w:hAnsi="Times New Roman"/>
          <w:sz w:val="22"/>
          <w:szCs w:val="22"/>
          <w:color w:val="auto"/>
        </w:rPr>
        <w:t xml:space="preserve">”) is entered into this 10th day of May, 2022, by and among (a) </w:t>
      </w:r>
      <w:r>
        <w:rPr>
          <w:rFonts w:ascii="Times New Roman" w:cs="Times New Roman" w:eastAsia="Times New Roman" w:hAnsi="Times New Roman"/>
          <w:sz w:val="22"/>
          <w:szCs w:val="22"/>
          <w:b w:val="1"/>
          <w:bCs w:val="1"/>
          <w:color w:val="auto"/>
        </w:rPr>
        <w:t>SILICON VALLEY BANK</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Bank</w:t>
      </w:r>
      <w:r>
        <w:rPr>
          <w:rFonts w:ascii="Times New Roman" w:cs="Times New Roman" w:eastAsia="Times New Roman" w:hAnsi="Times New Roman"/>
          <w:sz w:val="22"/>
          <w:szCs w:val="22"/>
          <w:color w:val="auto"/>
        </w:rPr>
        <w:t xml:space="preserve">”), (b) </w:t>
      </w:r>
      <w:r>
        <w:rPr>
          <w:rFonts w:ascii="Times New Roman" w:cs="Times New Roman" w:eastAsia="Times New Roman" w:hAnsi="Times New Roman"/>
          <w:sz w:val="22"/>
          <w:szCs w:val="22"/>
          <w:b w:val="1"/>
          <w:bCs w:val="1"/>
          <w:color w:val="auto"/>
        </w:rPr>
        <w:t>SPRUCE BIOSCIENCES, INC.</w:t>
      </w:r>
      <w:r>
        <w:rPr>
          <w:rFonts w:ascii="Times New Roman" w:cs="Times New Roman" w:eastAsia="Times New Roman" w:hAnsi="Times New Roman"/>
          <w:sz w:val="22"/>
          <w:szCs w:val="22"/>
          <w:color w:val="auto"/>
        </w:rPr>
        <w:t>, a Delaware corporation (“</w:t>
      </w:r>
      <w:r>
        <w:rPr>
          <w:rFonts w:ascii="Times New Roman" w:cs="Times New Roman" w:eastAsia="Times New Roman" w:hAnsi="Times New Roman"/>
          <w:sz w:val="22"/>
          <w:szCs w:val="22"/>
          <w:b w:val="1"/>
          <w:bCs w:val="1"/>
          <w:color w:val="auto"/>
        </w:rPr>
        <w:t>Borrower</w:t>
      </w:r>
      <w:r>
        <w:rPr>
          <w:rFonts w:ascii="Times New Roman" w:cs="Times New Roman" w:eastAsia="Times New Roman" w:hAnsi="Times New Roman"/>
          <w:sz w:val="22"/>
          <w:szCs w:val="22"/>
          <w:color w:val="auto"/>
        </w:rPr>
        <w: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w:t>
      </w:r>
      <w:r>
        <w:rPr>
          <w:rFonts w:ascii="Times New Roman" w:cs="Times New Roman" w:eastAsia="Times New Roman" w:hAnsi="Times New Roman"/>
          <w:sz w:val="14"/>
          <w:szCs w:val="14"/>
          <w:b w:val="1"/>
          <w:bCs w:val="1"/>
          <w:color w:val="auto"/>
        </w:rPr>
        <w:t>ecitals</w:t>
      </w:r>
    </w:p>
    <w:p>
      <w:pPr>
        <w:spacing w:after="0" w:line="210" w:lineRule="exact"/>
        <w:rPr>
          <w:sz w:val="20"/>
          <w:szCs w:val="20"/>
          <w:color w:val="auto"/>
        </w:rPr>
      </w:pPr>
    </w:p>
    <w:p>
      <w:pPr>
        <w:jc w:val="both"/>
        <w:ind w:firstLine="757"/>
        <w:spacing w:after="0" w:line="268" w:lineRule="auto"/>
        <w:tabs>
          <w:tab w:leader="none" w:pos="1181" w:val="left"/>
        </w:tabs>
        <w:numPr>
          <w:ilvl w:val="0"/>
          <w:numId w:val="4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Bank and Borrower have entered into that certain Loan and Security Agreement dated as of September 23, 2019, as amended by that certain First Amendment to Loan and Security Agreement dated as of March 19, 2021 by and between Borrower and Bank (as the same may from time to time be further amended, modified, supplemented or restated, the “</w:t>
      </w:r>
      <w:r>
        <w:rPr>
          <w:rFonts w:ascii="Times New Roman" w:cs="Times New Roman" w:eastAsia="Times New Roman" w:hAnsi="Times New Roman"/>
          <w:sz w:val="21"/>
          <w:szCs w:val="21"/>
          <w:b w:val="1"/>
          <w:bCs w:val="1"/>
          <w:color w:val="auto"/>
        </w:rPr>
        <w:t>Loan Agreement</w:t>
      </w:r>
      <w:r>
        <w:rPr>
          <w:rFonts w:ascii="Times New Roman" w:cs="Times New Roman" w:eastAsia="Times New Roman" w:hAnsi="Times New Roman"/>
          <w:sz w:val="21"/>
          <w:szCs w:val="21"/>
          <w:color w:val="auto"/>
        </w:rPr>
        <w:t>”).</w:t>
      </w:r>
    </w:p>
    <w:p>
      <w:pPr>
        <w:spacing w:after="0" w:line="149" w:lineRule="exact"/>
        <w:rPr>
          <w:rFonts w:ascii="Times New Roman" w:cs="Times New Roman" w:eastAsia="Times New Roman" w:hAnsi="Times New Roman"/>
          <w:sz w:val="21"/>
          <w:szCs w:val="21"/>
          <w:b w:val="1"/>
          <w:bCs w:val="1"/>
          <w:color w:val="auto"/>
        </w:rPr>
      </w:pPr>
    </w:p>
    <w:p>
      <w:pPr>
        <w:ind w:left="1180" w:hanging="423"/>
        <w:spacing w:after="0"/>
        <w:tabs>
          <w:tab w:leader="none" w:pos="1180" w:val="left"/>
        </w:tabs>
        <w:numPr>
          <w:ilvl w:val="0"/>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Bank has extended credit to Borrower for the purposes permitted in the Loan Agreement.</w:t>
      </w:r>
    </w:p>
    <w:p>
      <w:pPr>
        <w:spacing w:after="0" w:line="206" w:lineRule="exact"/>
        <w:rPr>
          <w:rFonts w:ascii="Times New Roman" w:cs="Times New Roman" w:eastAsia="Times New Roman" w:hAnsi="Times New Roman"/>
          <w:sz w:val="22"/>
          <w:szCs w:val="22"/>
          <w:b w:val="1"/>
          <w:bCs w:val="1"/>
          <w:color w:val="auto"/>
        </w:rPr>
      </w:pPr>
    </w:p>
    <w:p>
      <w:pPr>
        <w:ind w:firstLine="757"/>
        <w:spacing w:after="0" w:line="271" w:lineRule="auto"/>
        <w:tabs>
          <w:tab w:leader="none" w:pos="1181" w:val="left"/>
        </w:tabs>
        <w:numPr>
          <w:ilvl w:val="0"/>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Borrower has requested that Bank amend the Loan Agreement to make certain revisions to the Loan Agreement as more fully set forth herein.</w:t>
      </w:r>
    </w:p>
    <w:p>
      <w:pPr>
        <w:spacing w:after="0" w:line="144" w:lineRule="exact"/>
        <w:rPr>
          <w:rFonts w:ascii="Times New Roman" w:cs="Times New Roman" w:eastAsia="Times New Roman" w:hAnsi="Times New Roman"/>
          <w:sz w:val="22"/>
          <w:szCs w:val="22"/>
          <w:b w:val="1"/>
          <w:bCs w:val="1"/>
          <w:color w:val="auto"/>
        </w:rPr>
      </w:pPr>
    </w:p>
    <w:p>
      <w:pPr>
        <w:ind w:right="20" w:firstLine="757"/>
        <w:spacing w:after="0" w:line="271" w:lineRule="auto"/>
        <w:tabs>
          <w:tab w:leader="none" w:pos="1181" w:val="left"/>
        </w:tabs>
        <w:numPr>
          <w:ilvl w:val="0"/>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Bank has agreed to so amend certain provisions of the Loan Agreement, but only to the extent, in accordance with the terms, subject to the conditions and in reliance upon the representations and warranties set forth below.</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greement</w:t>
      </w:r>
    </w:p>
    <w:p>
      <w:pPr>
        <w:spacing w:after="0" w:line="206" w:lineRule="exact"/>
        <w:rPr>
          <w:sz w:val="20"/>
          <w:szCs w:val="20"/>
          <w:color w:val="auto"/>
        </w:rPr>
      </w:pPr>
    </w:p>
    <w:p>
      <w:pPr>
        <w:ind w:right="20" w:firstLine="432"/>
        <w:spacing w:after="0" w:line="275" w:lineRule="auto"/>
        <w:rPr>
          <w:sz w:val="20"/>
          <w:szCs w:val="20"/>
          <w:color w:val="auto"/>
        </w:rPr>
      </w:pPr>
      <w:r>
        <w:rPr>
          <w:rFonts w:ascii="Times New Roman" w:cs="Times New Roman" w:eastAsia="Times New Roman" w:hAnsi="Times New Roman"/>
          <w:sz w:val="22"/>
          <w:szCs w:val="22"/>
          <w:b w:val="1"/>
          <w:bCs w:val="1"/>
          <w:color w:val="auto"/>
        </w:rPr>
        <w:t>N</w:t>
      </w:r>
      <w:r>
        <w:rPr>
          <w:rFonts w:ascii="Times New Roman" w:cs="Times New Roman" w:eastAsia="Times New Roman" w:hAnsi="Times New Roman"/>
          <w:sz w:val="14"/>
          <w:szCs w:val="14"/>
          <w:b w:val="1"/>
          <w:bCs w:val="1"/>
          <w:color w:val="auto"/>
        </w:rPr>
        <w:t>ow</w:t>
      </w:r>
      <w:r>
        <w:rPr>
          <w:rFonts w:ascii="Times New Roman" w:cs="Times New Roman" w:eastAsia="Times New Roman" w:hAnsi="Times New Roman"/>
          <w:sz w:val="22"/>
          <w:szCs w:val="22"/>
          <w:b w:val="1"/>
          <w:bCs w:val="1"/>
          <w:color w:val="auto"/>
        </w:rPr>
        <w:t>, T</w:t>
      </w:r>
      <w:r>
        <w:rPr>
          <w:rFonts w:ascii="Times New Roman" w:cs="Times New Roman" w:eastAsia="Times New Roman" w:hAnsi="Times New Roman"/>
          <w:sz w:val="14"/>
          <w:szCs w:val="14"/>
          <w:b w:val="1"/>
          <w:bCs w:val="1"/>
          <w:color w:val="auto"/>
        </w:rPr>
        <w:t>herefore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consideration of the foregoing recitals and other good and valuable consideration, the receipt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adequacy of which is hereby acknowledged, and intending to be legally bound, the parties hereto agree as follows:</w:t>
      </w:r>
    </w:p>
    <w:p>
      <w:pPr>
        <w:spacing w:after="0" w:line="136" w:lineRule="exact"/>
        <w:rPr>
          <w:sz w:val="20"/>
          <w:szCs w:val="20"/>
          <w:color w:val="auto"/>
        </w:rPr>
      </w:pPr>
    </w:p>
    <w:p>
      <w:pPr>
        <w:ind w:right="20" w:firstLine="757"/>
        <w:spacing w:after="0" w:line="275" w:lineRule="auto"/>
        <w:tabs>
          <w:tab w:leader="none" w:pos="1498" w:val="left"/>
        </w:tabs>
        <w:numPr>
          <w:ilvl w:val="0"/>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Definitions. </w:t>
      </w:r>
      <w:r>
        <w:rPr>
          <w:rFonts w:ascii="Times New Roman" w:cs="Times New Roman" w:eastAsia="Times New Roman" w:hAnsi="Times New Roman"/>
          <w:sz w:val="22"/>
          <w:szCs w:val="22"/>
          <w:color w:val="auto"/>
        </w:rPr>
        <w:t>Capitalized terms used but not defined in this Amendment shall have the meanings given to them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the Loan Agreement.</w:t>
      </w:r>
    </w:p>
    <w:p>
      <w:pPr>
        <w:spacing w:after="0" w:line="1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2.Amendments to Loan Agreement.</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2380" w:type="dxa"/>
            <w:vAlign w:val="bottom"/>
          </w:tcPr>
          <w:p>
            <w:pPr>
              <w:jc w:val="right"/>
              <w:ind w:right="492"/>
              <w:spacing w:after="0"/>
              <w:rPr>
                <w:sz w:val="20"/>
                <w:szCs w:val="20"/>
                <w:color w:val="auto"/>
              </w:rPr>
            </w:pPr>
            <w:r>
              <w:rPr>
                <w:rFonts w:ascii="Times New Roman" w:cs="Times New Roman" w:eastAsia="Times New Roman" w:hAnsi="Times New Roman"/>
                <w:sz w:val="22"/>
                <w:szCs w:val="22"/>
                <w:b w:val="1"/>
                <w:bCs w:val="1"/>
                <w:color w:val="auto"/>
              </w:rPr>
              <w:t>2.1</w:t>
            </w:r>
          </w:p>
        </w:tc>
        <w:tc>
          <w:tcPr>
            <w:tcW w:w="8860" w:type="dxa"/>
            <w:vAlign w:val="bottom"/>
          </w:tcPr>
          <w:p>
            <w:pPr>
              <w:ind w:left="620"/>
              <w:spacing w:after="0"/>
              <w:rPr>
                <w:sz w:val="20"/>
                <w:szCs w:val="20"/>
                <w:color w:val="auto"/>
              </w:rPr>
            </w:pPr>
            <w:r>
              <w:rPr>
                <w:rFonts w:ascii="Times New Roman" w:cs="Times New Roman" w:eastAsia="Times New Roman" w:hAnsi="Times New Roman"/>
                <w:sz w:val="22"/>
                <w:szCs w:val="22"/>
                <w:b w:val="1"/>
                <w:bCs w:val="1"/>
                <w:color w:val="auto"/>
              </w:rPr>
              <w:t>Section 2.1.2(b)(ii) (Principal and Interest Payments)</w:t>
            </w:r>
            <w:r>
              <w:rPr>
                <w:rFonts w:ascii="Times New Roman" w:cs="Times New Roman" w:eastAsia="Times New Roman" w:hAnsi="Times New Roman"/>
                <w:sz w:val="22"/>
                <w:szCs w:val="22"/>
                <w:color w:val="auto"/>
              </w:rPr>
              <w:t>.  Section 2.1.2(b)(ii) is amended by</w:t>
            </w:r>
          </w:p>
        </w:tc>
      </w:tr>
      <w:tr>
        <w:trPr>
          <w:trHeight w:val="282"/>
        </w:trPr>
        <w:tc>
          <w:tcPr>
            <w:tcW w:w="11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deleting the words “or twenty-five (25)” and replacing them with the words “or thirty-one (31)”.</w:t>
            </w:r>
          </w:p>
        </w:tc>
      </w:tr>
      <w:tr>
        <w:trPr>
          <w:trHeight w:val="457"/>
        </w:trPr>
        <w:tc>
          <w:tcPr>
            <w:tcW w:w="2380" w:type="dxa"/>
            <w:vAlign w:val="bottom"/>
          </w:tcPr>
          <w:p>
            <w:pPr>
              <w:jc w:val="right"/>
              <w:ind w:right="492"/>
              <w:spacing w:after="0"/>
              <w:rPr>
                <w:sz w:val="20"/>
                <w:szCs w:val="20"/>
                <w:color w:val="auto"/>
              </w:rPr>
            </w:pPr>
            <w:r>
              <w:rPr>
                <w:rFonts w:ascii="Times New Roman" w:cs="Times New Roman" w:eastAsia="Times New Roman" w:hAnsi="Times New Roman"/>
                <w:sz w:val="22"/>
                <w:szCs w:val="22"/>
                <w:b w:val="1"/>
                <w:bCs w:val="1"/>
                <w:color w:val="auto"/>
              </w:rPr>
              <w:t>2.2</w:t>
            </w:r>
          </w:p>
        </w:tc>
        <w:tc>
          <w:tcPr>
            <w:tcW w:w="8860" w:type="dxa"/>
            <w:vAlign w:val="bottom"/>
          </w:tcPr>
          <w:p>
            <w:pPr>
              <w:ind w:left="620"/>
              <w:spacing w:after="0"/>
              <w:rPr>
                <w:sz w:val="20"/>
                <w:szCs w:val="20"/>
                <w:color w:val="auto"/>
              </w:rPr>
            </w:pPr>
            <w:r>
              <w:rPr>
                <w:rFonts w:ascii="Times New Roman" w:cs="Times New Roman" w:eastAsia="Times New Roman" w:hAnsi="Times New Roman"/>
                <w:sz w:val="22"/>
                <w:szCs w:val="22"/>
                <w:b w:val="1"/>
                <w:bCs w:val="1"/>
                <w:color w:val="auto"/>
              </w:rPr>
              <w:t xml:space="preserve">Section 2.3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Payment of Interest on the Credit Extensions</w:t>
            </w:r>
            <w:r>
              <w:rPr>
                <w:rFonts w:ascii="Times New Roman" w:cs="Times New Roman" w:eastAsia="Times New Roman" w:hAnsi="Times New Roman"/>
                <w:sz w:val="22"/>
                <w:szCs w:val="22"/>
                <w:color w:val="auto"/>
              </w:rPr>
              <w:t>).  Section 2.3(a)(ii) is amended</w:t>
            </w:r>
          </w:p>
        </w:tc>
      </w:tr>
    </w:tbl>
    <w:p>
      <w:pPr>
        <w:spacing w:after="0"/>
        <w:rPr>
          <w:sz w:val="20"/>
          <w:szCs w:val="20"/>
          <w:color w:val="auto"/>
        </w:rPr>
      </w:pPr>
      <w:r>
        <w:rPr>
          <w:rFonts w:ascii="Times New Roman" w:cs="Times New Roman" w:eastAsia="Times New Roman" w:hAnsi="Times New Roman"/>
          <w:sz w:val="22"/>
          <w:szCs w:val="22"/>
          <w:color w:val="auto"/>
        </w:rPr>
        <w:t>in its entirety and replaced with the following:</w:t>
      </w:r>
    </w:p>
    <w:p>
      <w:pPr>
        <w:spacing w:after="0" w:line="182" w:lineRule="exact"/>
        <w:rPr>
          <w:sz w:val="20"/>
          <w:szCs w:val="20"/>
          <w:color w:val="auto"/>
        </w:rPr>
      </w:pPr>
    </w:p>
    <w:p>
      <w:pPr>
        <w:jc w:val="both"/>
        <w:ind w:left="1500"/>
        <w:spacing w:after="0" w:line="250" w:lineRule="auto"/>
        <w:rPr>
          <w:sz w:val="20"/>
          <w:szCs w:val="20"/>
          <w:color w:val="auto"/>
        </w:rPr>
      </w:pPr>
      <w:r>
        <w:rPr>
          <w:rFonts w:ascii="Times New Roman" w:cs="Times New Roman" w:eastAsia="Times New Roman" w:hAnsi="Times New Roman"/>
          <w:sz w:val="22"/>
          <w:szCs w:val="22"/>
          <w:color w:val="auto"/>
        </w:rPr>
        <w:t xml:space="preserve">“ (ii) </w:t>
      </w:r>
      <w:r>
        <w:rPr>
          <w:rFonts w:ascii="Times New Roman" w:cs="Times New Roman" w:eastAsia="Times New Roman" w:hAnsi="Times New Roman"/>
          <w:sz w:val="22"/>
          <w:szCs w:val="22"/>
          <w:u w:val="single" w:color="auto"/>
          <w:color w:val="auto"/>
        </w:rPr>
        <w:t>Supplemental Term Loans</w:t>
      </w:r>
      <w:r>
        <w:rPr>
          <w:rFonts w:ascii="Times New Roman" w:cs="Times New Roman" w:eastAsia="Times New Roman" w:hAnsi="Times New Roman"/>
          <w:sz w:val="22"/>
          <w:szCs w:val="22"/>
          <w:color w:val="auto"/>
        </w:rPr>
        <w:t>. Subject to Section 2.3(b), the principal amount outstanding for each Supplemental Term Loan shall accrue interest at a floating per annum rate equal to the greater of (A) one-half of one percent (0.50%) above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162560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7" w:name="page88"/>
    <w:bookmarkEnd w:id="87"/>
    <w:p>
      <w:pPr>
        <w:ind w:left="1500"/>
        <w:spacing w:after="0" w:line="271" w:lineRule="auto"/>
        <w:rPr>
          <w:sz w:val="20"/>
          <w:szCs w:val="20"/>
          <w:color w:val="auto"/>
        </w:rPr>
      </w:pPr>
      <w:r>
        <w:rPr>
          <w:rFonts w:ascii="Times New Roman" w:cs="Times New Roman" w:eastAsia="Times New Roman" w:hAnsi="Times New Roman"/>
          <w:sz w:val="22"/>
          <w:szCs w:val="22"/>
          <w:color w:val="auto"/>
        </w:rPr>
        <w:t>Prime Rate or (B) three and three-quarters of one percent (3.75%), in each case, which shall be payable monthly in accordance with Section 2.3(d) hereof.”</w:t>
      </w:r>
    </w:p>
    <w:p>
      <w:pPr>
        <w:spacing w:after="0" w:line="181" w:lineRule="exact"/>
        <w:rPr>
          <w:sz w:val="20"/>
          <w:szCs w:val="20"/>
          <w:color w:val="auto"/>
        </w:rPr>
      </w:pPr>
    </w:p>
    <w:p>
      <w:pPr>
        <w:ind w:left="1500"/>
        <w:spacing w:after="0"/>
        <w:tabs>
          <w:tab w:leader="none" w:pos="2980" w:val="left"/>
        </w:tabs>
        <w:rPr>
          <w:sz w:val="20"/>
          <w:szCs w:val="20"/>
          <w:color w:val="auto"/>
        </w:rPr>
      </w:pPr>
      <w:r>
        <w:rPr>
          <w:rFonts w:ascii="Times New Roman" w:cs="Times New Roman" w:eastAsia="Times New Roman" w:hAnsi="Times New Roman"/>
          <w:sz w:val="22"/>
          <w:szCs w:val="22"/>
          <w:b w:val="1"/>
          <w:bCs w:val="1"/>
          <w:color w:val="auto"/>
        </w:rPr>
        <w:t>2.3</w:t>
      </w:r>
      <w:r>
        <w:rPr>
          <w:sz w:val="20"/>
          <w:szCs w:val="20"/>
          <w:color w:val="auto"/>
        </w:rPr>
        <w:tab/>
      </w:r>
      <w:r>
        <w:rPr>
          <w:rFonts w:ascii="Times New Roman" w:cs="Times New Roman" w:eastAsia="Times New Roman" w:hAnsi="Times New Roman"/>
          <w:sz w:val="22"/>
          <w:szCs w:val="22"/>
          <w:b w:val="1"/>
          <w:bCs w:val="1"/>
          <w:color w:val="auto"/>
        </w:rPr>
        <w:t>Section 6.2 (Financial Statements; Reports)</w:t>
      </w:r>
      <w:r>
        <w:rPr>
          <w:rFonts w:ascii="Times New Roman" w:cs="Times New Roman" w:eastAsia="Times New Roman" w:hAnsi="Times New Roman"/>
          <w:sz w:val="22"/>
          <w:szCs w:val="22"/>
          <w:color w:val="auto"/>
        </w:rPr>
        <w:t>.  Section 6.2 is amended by (i) deleting the “;</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 at the end of clause (i) thereof, (ii) deleting the “.” at the end of clause (j) thereof and inserting in lieu thereof “; and”, and</w:t>
      </w:r>
    </w:p>
    <w:p>
      <w:pPr>
        <w:ind w:left="380" w:hanging="372"/>
        <w:spacing w:after="0"/>
        <w:tabs>
          <w:tab w:leader="none" w:pos="38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inserting the following new clause (k) to appear immediately following clause (j) thereof:</w:t>
      </w:r>
    </w:p>
    <w:p>
      <w:pPr>
        <w:spacing w:after="0" w:line="195" w:lineRule="exact"/>
        <w:rPr>
          <w:rFonts w:ascii="Times New Roman" w:cs="Times New Roman" w:eastAsia="Times New Roman" w:hAnsi="Times New Roman"/>
          <w:sz w:val="22"/>
          <w:szCs w:val="22"/>
          <w:color w:val="auto"/>
        </w:rPr>
      </w:pPr>
    </w:p>
    <w:p>
      <w:pPr>
        <w:jc w:val="both"/>
        <w:ind w:left="15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(k) </w:t>
      </w:r>
      <w:r>
        <w:rPr>
          <w:rFonts w:ascii="Times New Roman" w:cs="Times New Roman" w:eastAsia="Times New Roman" w:hAnsi="Times New Roman"/>
          <w:sz w:val="22"/>
          <w:szCs w:val="22"/>
          <w:u w:val="single" w:color="auto"/>
          <w:color w:val="auto"/>
        </w:rPr>
        <w:t>Monthly Trial Enrollment Reports</w:t>
      </w:r>
      <w:r>
        <w:rPr>
          <w:rFonts w:ascii="Times New Roman" w:cs="Times New Roman" w:eastAsia="Times New Roman" w:hAnsi="Times New Roman"/>
          <w:sz w:val="22"/>
          <w:szCs w:val="22"/>
          <w:color w:val="auto"/>
        </w:rPr>
        <w:t>. Within fifteen (15) days after the end of each month, a report detailing the monthly trial enrollment with respect to Borrower’s CAHmelia clinical trials in form and substance satisfactory to Bank (“</w:t>
      </w:r>
      <w:r>
        <w:rPr>
          <w:rFonts w:ascii="Times New Roman" w:cs="Times New Roman" w:eastAsia="Times New Roman" w:hAnsi="Times New Roman"/>
          <w:sz w:val="22"/>
          <w:szCs w:val="22"/>
          <w:b w:val="1"/>
          <w:bCs w:val="1"/>
          <w:color w:val="auto"/>
        </w:rPr>
        <w:t>Monthly Trial Enrollment Reports</w:t>
      </w:r>
      <w:r>
        <w:rPr>
          <w:rFonts w:ascii="Times New Roman" w:cs="Times New Roman" w:eastAsia="Times New Roman" w:hAnsi="Times New Roman"/>
          <w:sz w:val="22"/>
          <w:szCs w:val="22"/>
          <w:color w:val="auto"/>
        </w:rPr>
        <w:t>”) (provided that, if Bank does not make a Supplemental Term Loan under the Supplemental Second Tranche, Borrower shall not be required to delivery Monthly Trial Enrollment Reports for any month after December 31, 2022).”</w:t>
      </w:r>
    </w:p>
    <w:p>
      <w:pPr>
        <w:spacing w:after="0" w:line="216" w:lineRule="exact"/>
        <w:rPr>
          <w:sz w:val="20"/>
          <w:szCs w:val="20"/>
          <w:color w:val="auto"/>
        </w:rPr>
      </w:pPr>
    </w:p>
    <w:p>
      <w:pPr>
        <w:jc w:val="right"/>
        <w:spacing w:after="0"/>
        <w:tabs>
          <w:tab w:leader="none" w:pos="8220" w:val="left"/>
        </w:tabs>
        <w:rPr>
          <w:sz w:val="20"/>
          <w:szCs w:val="20"/>
          <w:color w:val="auto"/>
        </w:rPr>
      </w:pPr>
      <w:r>
        <w:rPr>
          <w:rFonts w:ascii="Times New Roman" w:cs="Times New Roman" w:eastAsia="Times New Roman" w:hAnsi="Times New Roman"/>
          <w:sz w:val="22"/>
          <w:szCs w:val="22"/>
          <w:b w:val="1"/>
          <w:bCs w:val="1"/>
          <w:color w:val="auto"/>
        </w:rPr>
        <w:t>2.4</w:t>
      </w:r>
      <w:r>
        <w:rPr>
          <w:sz w:val="20"/>
          <w:szCs w:val="20"/>
          <w:color w:val="auto"/>
        </w:rPr>
        <w:tab/>
      </w:r>
      <w:r>
        <w:rPr>
          <w:rFonts w:ascii="Times New Roman" w:cs="Times New Roman" w:eastAsia="Times New Roman" w:hAnsi="Times New Roman"/>
          <w:sz w:val="21"/>
          <w:szCs w:val="21"/>
          <w:b w:val="1"/>
          <w:bCs w:val="1"/>
          <w:color w:val="auto"/>
        </w:rPr>
        <w:t>Section 6.6 (Operating Accounts)</w:t>
      </w:r>
      <w:r>
        <w:rPr>
          <w:rFonts w:ascii="Times New Roman" w:cs="Times New Roman" w:eastAsia="Times New Roman" w:hAnsi="Times New Roman"/>
          <w:sz w:val="21"/>
          <w:szCs w:val="21"/>
          <w:color w:val="auto"/>
        </w:rPr>
        <w:t>. Section 6.6(a) is amended in its entirety and replaced with</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w:t>
      </w:r>
    </w:p>
    <w:p>
      <w:pPr>
        <w:spacing w:after="0" w:line="196" w:lineRule="exact"/>
        <w:rPr>
          <w:sz w:val="20"/>
          <w:szCs w:val="20"/>
          <w:color w:val="auto"/>
        </w:rPr>
      </w:pPr>
    </w:p>
    <w:p>
      <w:pPr>
        <w:jc w:val="both"/>
        <w:ind w:left="1500" w:right="220"/>
        <w:spacing w:after="0" w:line="250" w:lineRule="auto"/>
        <w:rPr>
          <w:sz w:val="20"/>
          <w:szCs w:val="20"/>
          <w:color w:val="auto"/>
        </w:rPr>
      </w:pPr>
      <w:r>
        <w:rPr>
          <w:rFonts w:ascii="Times New Roman" w:cs="Times New Roman" w:eastAsia="Times New Roman" w:hAnsi="Times New Roman"/>
          <w:sz w:val="22"/>
          <w:szCs w:val="22"/>
          <w:color w:val="auto"/>
        </w:rPr>
        <w:t>“ (a) (i) Maintain all of its and all of its Subsidiaries’ operating accounts, depository accounts, and excess cash with Bank and Bank’s Affiliates, and (ii) conduct all primary banking with Bank, such as letters of credit and business credit cards.”</w:t>
      </w:r>
    </w:p>
    <w:p>
      <w:pPr>
        <w:spacing w:after="0" w:line="191" w:lineRule="exact"/>
        <w:rPr>
          <w:sz w:val="20"/>
          <w:szCs w:val="20"/>
          <w:color w:val="auto"/>
        </w:rPr>
      </w:pPr>
    </w:p>
    <w:p>
      <w:pPr>
        <w:ind w:firstLine="1497"/>
        <w:spacing w:after="0" w:line="275" w:lineRule="auto"/>
        <w:rPr>
          <w:sz w:val="20"/>
          <w:szCs w:val="20"/>
          <w:color w:val="auto"/>
        </w:rPr>
      </w:pPr>
      <w:r>
        <w:rPr>
          <w:rFonts w:ascii="Times New Roman" w:cs="Times New Roman" w:eastAsia="Times New Roman" w:hAnsi="Times New Roman"/>
          <w:sz w:val="22"/>
          <w:szCs w:val="22"/>
          <w:b w:val="1"/>
          <w:bCs w:val="1"/>
          <w:color w:val="auto"/>
        </w:rPr>
        <w:t>2.5 Section 6.12 (Liquidity Requirement)</w:t>
      </w:r>
      <w:r>
        <w:rPr>
          <w:rFonts w:ascii="Times New Roman" w:cs="Times New Roman" w:eastAsia="Times New Roman" w:hAnsi="Times New Roman"/>
          <w:sz w:val="22"/>
          <w:szCs w:val="22"/>
          <w:color w:val="auto"/>
        </w:rPr>
        <w:t>. The Loan Agreement is amended by inserting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following new Section 6.12 to appear immediately following Section 6.11 thereof:</w:t>
      </w:r>
    </w:p>
    <w:p>
      <w:pPr>
        <w:spacing w:after="0" w:line="136" w:lineRule="exact"/>
        <w:rPr>
          <w:sz w:val="20"/>
          <w:szCs w:val="20"/>
          <w:color w:val="auto"/>
        </w:rPr>
      </w:pPr>
    </w:p>
    <w:p>
      <w:pPr>
        <w:jc w:val="both"/>
        <w:ind w:left="1500"/>
        <w:spacing w:after="0" w:line="251" w:lineRule="auto"/>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6.12 Liquidity Requirement</w:t>
      </w:r>
      <w:r>
        <w:rPr>
          <w:rFonts w:ascii="Times New Roman" w:cs="Times New Roman" w:eastAsia="Times New Roman" w:hAnsi="Times New Roman"/>
          <w:sz w:val="21"/>
          <w:szCs w:val="21"/>
          <w:color w:val="auto"/>
        </w:rPr>
        <w:t>. If a Supplemental Term Loan is made under the Supplemental Second Tranche, Borrower shall maintain, at all times, Liquidity of at least $50,000,000.00 (the “</w:t>
      </w:r>
      <w:r>
        <w:rPr>
          <w:rFonts w:ascii="Times New Roman" w:cs="Times New Roman" w:eastAsia="Times New Roman" w:hAnsi="Times New Roman"/>
          <w:sz w:val="21"/>
          <w:szCs w:val="21"/>
          <w:b w:val="1"/>
          <w:bCs w:val="1"/>
          <w:color w:val="auto"/>
        </w:rPr>
        <w:t>Liquidity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Threshold</w:t>
      </w:r>
      <w:r>
        <w:rPr>
          <w:rFonts w:ascii="Times New Roman" w:cs="Times New Roman" w:eastAsia="Times New Roman" w:hAnsi="Times New Roman"/>
          <w:sz w:val="21"/>
          <w:szCs w:val="21"/>
          <w:color w:val="auto"/>
        </w:rPr>
        <w:t>”). If Borrower fails to maintain the Liquidity Threshold (which failure in and of itself is not 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Event of Default), (the “</w:t>
      </w:r>
      <w:r>
        <w:rPr>
          <w:rFonts w:ascii="Times New Roman" w:cs="Times New Roman" w:eastAsia="Times New Roman" w:hAnsi="Times New Roman"/>
          <w:sz w:val="21"/>
          <w:szCs w:val="21"/>
          <w:b w:val="1"/>
          <w:bCs w:val="1"/>
          <w:color w:val="auto"/>
        </w:rPr>
        <w:t>Trigger Event</w:t>
      </w:r>
      <w:r>
        <w:rPr>
          <w:rFonts w:ascii="Times New Roman" w:cs="Times New Roman" w:eastAsia="Times New Roman" w:hAnsi="Times New Roman"/>
          <w:sz w:val="21"/>
          <w:szCs w:val="21"/>
          <w:color w:val="auto"/>
        </w:rPr>
        <w:t>”), Borrower shall immediately deposit into the Collateral Money Market Account unrestricted and unencumbered cash (other than Liens in favor of Bank) cash in an amount of at least 100.0% of the outstanding Obligations owing to Bank on the date of the Trigger Event (as determined by Bank), to secure all of the outstanding Obligations (other than Bank Services) (a “</w:t>
      </w:r>
      <w:r>
        <w:rPr>
          <w:rFonts w:ascii="Times New Roman" w:cs="Times New Roman" w:eastAsia="Times New Roman" w:hAnsi="Times New Roman"/>
          <w:sz w:val="21"/>
          <w:szCs w:val="21"/>
          <w:b w:val="1"/>
          <w:bCs w:val="1"/>
          <w:color w:val="auto"/>
        </w:rPr>
        <w:t>Cash Collateralization</w:t>
      </w:r>
      <w:r>
        <w:rPr>
          <w:rFonts w:ascii="Times New Roman" w:cs="Times New Roman" w:eastAsia="Times New Roman" w:hAnsi="Times New Roman"/>
          <w:sz w:val="21"/>
          <w:szCs w:val="21"/>
          <w:color w:val="auto"/>
        </w:rPr>
        <w:t>”). Borrower hereby authorizes and directs Bank to transfer to the Collateral Money Market Account an amount equal to 100.0% of the outstanding Obligations (other than Bank Services) owing to Bank, determined on the date of the Trigger Event, if Borrower fails to effect a Cash Collateralization as required under this Section 6.12. Notwithstanding the foregoing, upon the occurrence of the Equity Event, Bank shall transfer any and all funds maintained in the Collateral Money Market Account to another account of Borrower maintained at Bank.”</w:t>
      </w:r>
    </w:p>
    <w:p>
      <w:pPr>
        <w:spacing w:after="0" w:line="196" w:lineRule="exact"/>
        <w:rPr>
          <w:sz w:val="20"/>
          <w:szCs w:val="20"/>
          <w:color w:val="auto"/>
        </w:rPr>
      </w:pPr>
    </w:p>
    <w:p>
      <w:pPr>
        <w:ind w:left="1500"/>
        <w:spacing w:after="0"/>
        <w:tabs>
          <w:tab w:leader="none" w:pos="2980" w:val="left"/>
        </w:tabs>
        <w:rPr>
          <w:sz w:val="20"/>
          <w:szCs w:val="20"/>
          <w:color w:val="auto"/>
        </w:rPr>
      </w:pPr>
      <w:r>
        <w:rPr>
          <w:rFonts w:ascii="Times New Roman" w:cs="Times New Roman" w:eastAsia="Times New Roman" w:hAnsi="Times New Roman"/>
          <w:sz w:val="22"/>
          <w:szCs w:val="22"/>
          <w:b w:val="1"/>
          <w:bCs w:val="1"/>
          <w:color w:val="auto"/>
        </w:rPr>
        <w:t>2.6</w:t>
      </w:r>
      <w:r>
        <w:rPr>
          <w:sz w:val="20"/>
          <w:szCs w:val="20"/>
          <w:color w:val="auto"/>
        </w:rPr>
        <w:tab/>
      </w:r>
      <w:r>
        <w:rPr>
          <w:rFonts w:ascii="Times New Roman" w:cs="Times New Roman" w:eastAsia="Times New Roman" w:hAnsi="Times New Roman"/>
          <w:sz w:val="22"/>
          <w:szCs w:val="22"/>
          <w:b w:val="1"/>
          <w:bCs w:val="1"/>
          <w:color w:val="auto"/>
        </w:rPr>
        <w:t xml:space="preserve">Section 13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Definitions</w:t>
      </w:r>
      <w:r>
        <w:rPr>
          <w:rFonts w:ascii="Times New Roman" w:cs="Times New Roman" w:eastAsia="Times New Roman" w:hAnsi="Times New Roman"/>
          <w:sz w:val="22"/>
          <w:szCs w:val="22"/>
          <w:color w:val="auto"/>
        </w:rPr>
        <w:t>). The following terms and their respective definitions set forth in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13.1 are amended in their entirety and replaced with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308610</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88" w:name="page89"/>
    <w:bookmarkEnd w:id="88"/>
    <w:p>
      <w:pPr>
        <w:jc w:val="both"/>
        <w:ind w:left="380"/>
        <w:spacing w:after="0" w:line="250" w:lineRule="exact"/>
        <w:rPr>
          <w:sz w:val="20"/>
          <w:szCs w:val="20"/>
          <w:color w:val="auto"/>
        </w:rPr>
      </w:pP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b w:val="1"/>
          <w:bCs w:val="1"/>
          <w:color w:val="auto"/>
        </w:rPr>
        <w:t>Change in Control</w:t>
      </w:r>
      <w:r>
        <w:rPr>
          <w:rFonts w:ascii="Times New Roman" w:cs="Times New Roman" w:eastAsia="Times New Roman" w:hAnsi="Times New Roman"/>
          <w:sz w:val="21"/>
          <w:szCs w:val="21"/>
          <w:color w:val="auto"/>
        </w:rPr>
        <w:t>” means (a) at any time, any “person” or “group” (as such terms are used in Sections 13(d) and 14(d) of the Securities Exchange Act of 1934, as amended (the “</w:t>
      </w:r>
      <w:r>
        <w:rPr>
          <w:rFonts w:ascii="Times New Roman" w:cs="Times New Roman" w:eastAsia="Times New Roman" w:hAnsi="Times New Roman"/>
          <w:sz w:val="21"/>
          <w:szCs w:val="21"/>
          <w:b w:val="1"/>
          <w:bCs w:val="1"/>
          <w:i w:val="1"/>
          <w:iCs w:val="1"/>
          <w:color w:val="auto"/>
        </w:rPr>
        <w:t>Exchange Act</w:t>
      </w:r>
      <w:r>
        <w:rPr>
          <w:rFonts w:ascii="Times New Roman" w:cs="Times New Roman" w:eastAsia="Times New Roman" w:hAnsi="Times New Roman"/>
          <w:sz w:val="21"/>
          <w:szCs w:val="21"/>
          <w:color w:val="auto"/>
        </w:rPr>
        <w:t>”)), shall become, or obtain rights (whether by means or warrants, options or otherwise) to become, the “beneficial owner” (as defined in Rules 13(d)-3 and 13(d)</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5 under the Exchange Act), directly or indirectly, of 49.0% or more of the ordinary voting power for the election of directors of Borrower (determined on a fully diluted basis) other than by the sale of Borrower’s equity securities in a public offering or to venture capital or private equity investors so long as Borrower identifies to Bank the venture capital or private equity investors at least seven (7) Business Days prior to the closing of the transaction and provides to Bank a description of the material terms of the transaction; (b) during any period of 12 consecutive months, a majority of the members of the board of directors or other equivalent governing body of Borrower cease to be composed of individuals (i) who were members of that board or equivalent governing body on the first day of such period, (ii) whose election or nomination to that board or equivalent governing body was approved by individuals referred to in clause (i) above constituting at the time of such election or nomination at least a majority of that board or equivalent governing body or (iii) whose election or nomination to that board or other equivalent governing body was approved by individuals referred to in clauses (i) and (ii) above constituting at the time of such election or nomination at least a majority of that board or equivalent governing body; or (c) at any time, Borrower shall cease to own and control, of record and beneficially, directly or indirectly, 100% of each class of outstanding capital stock of each subsidiary of Borrower free and clear of all Liens (except Liens created by this Agreement).”</w:t>
      </w:r>
    </w:p>
    <w:p>
      <w:pPr>
        <w:spacing w:after="0" w:line="2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Key Person</w:t>
      </w:r>
      <w:r>
        <w:rPr>
          <w:rFonts w:ascii="Times New Roman" w:cs="Times New Roman" w:eastAsia="Times New Roman" w:hAnsi="Times New Roman"/>
          <w:sz w:val="22"/>
          <w:szCs w:val="22"/>
          <w:color w:val="auto"/>
        </w:rPr>
        <w:t>” is Borrower’s Chief Executive Officer.”</w:t>
      </w:r>
    </w:p>
    <w:p>
      <w:pPr>
        <w:spacing w:after="0" w:line="246" w:lineRule="exact"/>
        <w:rPr>
          <w:sz w:val="20"/>
          <w:szCs w:val="20"/>
          <w:color w:val="auto"/>
        </w:rPr>
      </w:pPr>
    </w:p>
    <w:p>
      <w:pPr>
        <w:jc w:val="both"/>
        <w:ind w:left="380"/>
        <w:spacing w:after="0"/>
        <w:rPr>
          <w:sz w:val="20"/>
          <w:szCs w:val="20"/>
          <w:color w:val="auto"/>
        </w:rPr>
      </w:pPr>
      <w:r>
        <w:rPr>
          <w:rFonts w:ascii="Times New Roman" w:cs="Times New Roman" w:eastAsia="Times New Roman" w:hAnsi="Times New Roman"/>
          <w:sz w:val="22"/>
          <w:szCs w:val="22"/>
          <w:color w:val="auto"/>
        </w:rPr>
        <w:t xml:space="preserve">“ “ </w:t>
      </w:r>
      <w:r>
        <w:rPr>
          <w:rFonts w:ascii="Times New Roman" w:cs="Times New Roman" w:eastAsia="Times New Roman" w:hAnsi="Times New Roman"/>
          <w:sz w:val="22"/>
          <w:szCs w:val="22"/>
          <w:b w:val="1"/>
          <w:bCs w:val="1"/>
          <w:color w:val="auto"/>
        </w:rPr>
        <w:t>Obligations</w:t>
      </w:r>
      <w:r>
        <w:rPr>
          <w:rFonts w:ascii="Times New Roman" w:cs="Times New Roman" w:eastAsia="Times New Roman" w:hAnsi="Times New Roman"/>
          <w:sz w:val="22"/>
          <w:szCs w:val="22"/>
          <w:color w:val="auto"/>
        </w:rPr>
        <w:t>” are Borrower’s obligations to pay when due any debts, principal, interest, fees, Bank Expenses, the Final Payment, the Supplemental Prepayment Fee, the Supplemental Final Payment, and other amounts Borrower owes Bank now or later, whether under this Agreement, the other Loan Documents (other than the Warrant), or otherwise, including, without limitation, all obligations relating to letters of credit (including reimbursement obligations for drawn and undrawn letters of credit), cash management services, and foreign exchange contracts, if any, and including interest accruing after Insolvency Proceedings begin and debts, liabilities, or obligations of Borrower assigned to Bank, and to perform Borrower’s duties under the Loan Documents (other than the Warrant).”</w:t>
      </w:r>
    </w:p>
    <w:p>
      <w:pPr>
        <w:spacing w:after="0" w:line="217" w:lineRule="exact"/>
        <w:rPr>
          <w:sz w:val="20"/>
          <w:szCs w:val="20"/>
          <w:color w:val="auto"/>
        </w:rPr>
      </w:pPr>
    </w:p>
    <w:p>
      <w:pPr>
        <w:ind w:left="380" w:right="400"/>
        <w:spacing w:after="0" w:line="260" w:lineRule="auto"/>
        <w:rPr>
          <w:sz w:val="20"/>
          <w:szCs w:val="20"/>
          <w:color w:val="auto"/>
        </w:rPr>
      </w:pP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b w:val="1"/>
          <w:bCs w:val="1"/>
          <w:color w:val="auto"/>
        </w:rPr>
        <w:t>Supplemental Final Payment Percentage</w:t>
      </w:r>
      <w:r>
        <w:rPr>
          <w:rFonts w:ascii="Times New Roman" w:cs="Times New Roman" w:eastAsia="Times New Roman" w:hAnsi="Times New Roman"/>
          <w:sz w:val="21"/>
          <w:szCs w:val="21"/>
          <w:color w:val="auto"/>
        </w:rPr>
        <w:t>” is (a) for a Supplemental Term Loan made under the Supplemental First Tranche, six percent (6.00%) of the principal amount of the Supplemental First Tranche advanced to Borrower, or (b) for a Supplemental Term Loan made under the Supplemental Second Tranche, four percent (4.00%) of the principal amount of the Supplemental Second Tranche advanced to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157480</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608" w:right="339" w:bottom="1440" w:gutter="0" w:footer="0" w:header="0"/>
        </w:sectPr>
      </w:pPr>
    </w:p>
    <w:bookmarkStart w:id="89" w:name="page90"/>
    <w:bookmarkEnd w:id="89"/>
    <w:p>
      <w:pPr>
        <w:ind w:left="1500" w:right="80"/>
        <w:spacing w:after="0" w:line="245" w:lineRule="auto"/>
        <w:rPr>
          <w:sz w:val="20"/>
          <w:szCs w:val="20"/>
          <w:color w:val="auto"/>
        </w:rPr>
      </w:pP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Supplemental Interest-Only Period</w:t>
      </w:r>
      <w:r>
        <w:rPr>
          <w:rFonts w:ascii="Times New Roman" w:cs="Times New Roman" w:eastAsia="Times New Roman" w:hAnsi="Times New Roman"/>
          <w:sz w:val="22"/>
          <w:szCs w:val="22"/>
          <w:color w:val="auto"/>
        </w:rPr>
        <w:t>” means, with respect to each Supplemental Term Loan, the period commencing on the Funding Date of such Supplemental Term Loan and continuing through (a) if no Supplemental Term Loan has been made under the Supplemental Second Tranche, December 31, 2022, or (b) if a Supplemental Term Loan has been made under the Supplemental Second Tranche, June 30, 2023.”</w:t>
      </w:r>
    </w:p>
    <w:p>
      <w:pPr>
        <w:spacing w:after="0" w:line="209" w:lineRule="exact"/>
        <w:rPr>
          <w:sz w:val="20"/>
          <w:szCs w:val="20"/>
          <w:color w:val="auto"/>
        </w:rPr>
      </w:pPr>
    </w:p>
    <w:p>
      <w:pPr>
        <w:jc w:val="both"/>
        <w:ind w:left="1500"/>
        <w:spacing w:after="0" w:line="242" w:lineRule="auto"/>
        <w:rPr>
          <w:sz w:val="20"/>
          <w:szCs w:val="20"/>
          <w:color w:val="auto"/>
        </w:rPr>
      </w:pPr>
      <w:r>
        <w:rPr>
          <w:rFonts w:ascii="Times New Roman" w:cs="Times New Roman" w:eastAsia="Times New Roman" w:hAnsi="Times New Roman"/>
          <w:sz w:val="22"/>
          <w:szCs w:val="22"/>
          <w:color w:val="auto"/>
        </w:rPr>
        <w:t xml:space="preserve">“ “ </w:t>
      </w:r>
      <w:r>
        <w:rPr>
          <w:rFonts w:ascii="Times New Roman" w:cs="Times New Roman" w:eastAsia="Times New Roman" w:hAnsi="Times New Roman"/>
          <w:sz w:val="22"/>
          <w:szCs w:val="22"/>
          <w:b w:val="1"/>
          <w:bCs w:val="1"/>
          <w:color w:val="auto"/>
        </w:rPr>
        <w:t>Supplemental Prepayment Fee</w:t>
      </w:r>
      <w:r>
        <w:rPr>
          <w:rFonts w:ascii="Times New Roman" w:cs="Times New Roman" w:eastAsia="Times New Roman" w:hAnsi="Times New Roman"/>
          <w:sz w:val="22"/>
          <w:szCs w:val="22"/>
          <w:color w:val="auto"/>
        </w:rPr>
        <w:t>” shall be, with respect to the prepayment of the Supplemental Term Loans, an amount equal to (i) two percent (2.0%) of the then-outstanding principal amount of the Supplemental Term Loans if such prepayment occurs prior to the first (1</w:t>
      </w:r>
      <w:r>
        <w:rPr>
          <w:rFonts w:ascii="Times New Roman" w:cs="Times New Roman" w:eastAsia="Times New Roman" w:hAnsi="Times New Roman"/>
          <w:sz w:val="14"/>
          <w:szCs w:val="14"/>
          <w:color w:val="auto"/>
        </w:rPr>
        <w:t>st</w:t>
      </w:r>
      <w:r>
        <w:rPr>
          <w:rFonts w:ascii="Times New Roman" w:cs="Times New Roman" w:eastAsia="Times New Roman" w:hAnsi="Times New Roman"/>
          <w:sz w:val="22"/>
          <w:szCs w:val="22"/>
          <w:color w:val="auto"/>
        </w:rPr>
        <w:t>) anniversary of the Second Amendment Effective Date, and (ii) one percent (1.0%) of the then-outstanding principal amount of the Supplemental Term Loans if such prepayment occurs on or after the second (2</w:t>
      </w:r>
      <w:r>
        <w:rPr>
          <w:rFonts w:ascii="Times New Roman" w:cs="Times New Roman" w:eastAsia="Times New Roman" w:hAnsi="Times New Roman"/>
          <w:sz w:val="14"/>
          <w:szCs w:val="14"/>
          <w:color w:val="auto"/>
        </w:rPr>
        <w:t>nd</w:t>
      </w:r>
      <w:r>
        <w:rPr>
          <w:rFonts w:ascii="Times New Roman" w:cs="Times New Roman" w:eastAsia="Times New Roman" w:hAnsi="Times New Roman"/>
          <w:sz w:val="22"/>
          <w:szCs w:val="22"/>
          <w:color w:val="auto"/>
        </w:rPr>
        <w:t>) anniversary of the Second Amendment Effective Date, but prior to the Supplemental Term Loan Maturity Date.”</w:t>
      </w:r>
    </w:p>
    <w:p>
      <w:pPr>
        <w:spacing w:after="0" w:line="197" w:lineRule="exact"/>
        <w:rPr>
          <w:sz w:val="20"/>
          <w:szCs w:val="20"/>
          <w:color w:val="auto"/>
        </w:rPr>
      </w:pPr>
    </w:p>
    <w:p>
      <w:pPr>
        <w:jc w:val="both"/>
        <w:ind w:left="1500"/>
        <w:spacing w:after="0" w:line="252" w:lineRule="auto"/>
        <w:rPr>
          <w:sz w:val="20"/>
          <w:szCs w:val="20"/>
          <w:color w:val="auto"/>
        </w:rPr>
      </w:pP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Supplemental Second Tranche Milestone</w:t>
      </w:r>
      <w:r>
        <w:rPr>
          <w:rFonts w:ascii="Times New Roman" w:cs="Times New Roman" w:eastAsia="Times New Roman" w:hAnsi="Times New Roman"/>
          <w:sz w:val="22"/>
          <w:szCs w:val="22"/>
          <w:color w:val="auto"/>
        </w:rPr>
        <w:t>” means that Borrower has delivered evidence to Bank, after the Second Amendment Effective Date but on or prior to December 31, 2022, that it has achieved Performance Milestone 1 and Performance Milestone 2.”</w:t>
      </w:r>
    </w:p>
    <w:p>
      <w:pPr>
        <w:spacing w:after="0" w:line="202" w:lineRule="exact"/>
        <w:rPr>
          <w:sz w:val="20"/>
          <w:szCs w:val="20"/>
          <w:color w:val="auto"/>
        </w:rPr>
      </w:pPr>
    </w:p>
    <w:p>
      <w:pPr>
        <w:ind w:firstLine="1497"/>
        <w:spacing w:after="0" w:line="262" w:lineRule="auto"/>
        <w:rPr>
          <w:sz w:val="20"/>
          <w:szCs w:val="20"/>
          <w:color w:val="auto"/>
        </w:rPr>
      </w:pPr>
      <w:r>
        <w:rPr>
          <w:rFonts w:ascii="Times New Roman" w:cs="Times New Roman" w:eastAsia="Times New Roman" w:hAnsi="Times New Roman"/>
          <w:sz w:val="22"/>
          <w:szCs w:val="22"/>
          <w:b w:val="1"/>
          <w:bCs w:val="1"/>
          <w:color w:val="auto"/>
        </w:rPr>
        <w:t>2.7 Section 13 (Definitions)</w:t>
      </w:r>
      <w:r>
        <w:rPr>
          <w:rFonts w:ascii="Times New Roman" w:cs="Times New Roman" w:eastAsia="Times New Roman" w:hAnsi="Times New Roman"/>
          <w:sz w:val="22"/>
          <w:szCs w:val="22"/>
          <w:color w:val="auto"/>
        </w:rPr>
        <w:t>. The following new terms and their respective definitions are hereby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inserted to appear alphabetically in Section 13.1 thereof:</w:t>
      </w:r>
    </w:p>
    <w:p>
      <w:pPr>
        <w:spacing w:after="0" w:line="16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Cash Collateralization</w:t>
      </w:r>
      <w:r>
        <w:rPr>
          <w:rFonts w:ascii="Times New Roman" w:cs="Times New Roman" w:eastAsia="Times New Roman" w:hAnsi="Times New Roman"/>
          <w:sz w:val="22"/>
          <w:szCs w:val="22"/>
          <w:color w:val="auto"/>
        </w:rPr>
        <w:t>” is defined in Section 6.12.”</w:t>
      </w:r>
    </w:p>
    <w:p>
      <w:pPr>
        <w:spacing w:after="0" w:line="206" w:lineRule="exact"/>
        <w:rPr>
          <w:sz w:val="20"/>
          <w:szCs w:val="20"/>
          <w:color w:val="auto"/>
        </w:rPr>
      </w:pPr>
    </w:p>
    <w:p>
      <w:pPr>
        <w:ind w:left="1500" w:right="420"/>
        <w:spacing w:after="0" w:line="252" w:lineRule="auto"/>
        <w:rPr>
          <w:sz w:val="20"/>
          <w:szCs w:val="20"/>
          <w:color w:val="auto"/>
        </w:rPr>
      </w:pP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Cash Pledge Agreement</w:t>
      </w:r>
      <w:r>
        <w:rPr>
          <w:rFonts w:ascii="Times New Roman" w:cs="Times New Roman" w:eastAsia="Times New Roman" w:hAnsi="Times New Roman"/>
          <w:sz w:val="22"/>
          <w:szCs w:val="22"/>
          <w:color w:val="auto"/>
        </w:rPr>
        <w:t>” is that certain Cash Pledge Agreement dated as of the Second Amendment Effective Date executed by Borrower in favor of Bank, but effective only upon the occurrence of a Trigger Event, until the occurrence of the Equity Event.”</w:t>
      </w:r>
    </w:p>
    <w:p>
      <w:pPr>
        <w:spacing w:after="0" w:line="202" w:lineRule="exact"/>
        <w:rPr>
          <w:sz w:val="20"/>
          <w:szCs w:val="20"/>
          <w:color w:val="auto"/>
        </w:rPr>
      </w:pPr>
    </w:p>
    <w:p>
      <w:pPr>
        <w:jc w:val="both"/>
        <w:ind w:left="1500" w:right="320"/>
        <w:spacing w:after="0" w:line="252" w:lineRule="auto"/>
        <w:rPr>
          <w:sz w:val="20"/>
          <w:szCs w:val="20"/>
          <w:color w:val="auto"/>
        </w:rPr>
      </w:pP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Collateral Money Market Account</w:t>
      </w:r>
      <w:r>
        <w:rPr>
          <w:rFonts w:ascii="Times New Roman" w:cs="Times New Roman" w:eastAsia="Times New Roman" w:hAnsi="Times New Roman"/>
          <w:sz w:val="22"/>
          <w:szCs w:val="22"/>
          <w:color w:val="auto"/>
        </w:rPr>
        <w:t>” means a separate segregated collateral money market account of Borrower maintained with Bank, which is subject to the Cash Pledge Agreement, but effective only upon the occurrence of a Trigger Event, until the occurrence of the Equity Event.”</w:t>
      </w:r>
    </w:p>
    <w:p>
      <w:pPr>
        <w:spacing w:after="0" w:line="188" w:lineRule="exact"/>
        <w:rPr>
          <w:sz w:val="20"/>
          <w:szCs w:val="20"/>
          <w:color w:val="auto"/>
        </w:rPr>
      </w:pPr>
    </w:p>
    <w:p>
      <w:pPr>
        <w:jc w:val="both"/>
        <w:ind w:left="1500"/>
        <w:spacing w:after="0" w:line="244" w:lineRule="auto"/>
        <w:rPr>
          <w:sz w:val="20"/>
          <w:szCs w:val="20"/>
          <w:color w:val="auto"/>
        </w:rPr>
      </w:pP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Equity Event</w:t>
      </w:r>
      <w:r>
        <w:rPr>
          <w:rFonts w:ascii="Times New Roman" w:cs="Times New Roman" w:eastAsia="Times New Roman" w:hAnsi="Times New Roman"/>
          <w:sz w:val="22"/>
          <w:szCs w:val="22"/>
          <w:color w:val="auto"/>
        </w:rPr>
        <w:t>” means Borrower has delivered evidence, on or prior to September 30, 2024, satisfactory to Bank in Bank’s sole but reasonable discretion, that Borrower has received, after the Second Amendment Effective Date, but on or prior to September 30, 2024, unrestricted and unencumbered net cash proceeds from the issuance and sale of its equity securities to investors satisfactory to Bank in its sole but reasonable discretion, in an aggregate amount of at least [***].”</w:t>
      </w:r>
    </w:p>
    <w:p>
      <w:pPr>
        <w:spacing w:after="0" w:line="212" w:lineRule="exact"/>
        <w:rPr>
          <w:sz w:val="20"/>
          <w:szCs w:val="20"/>
          <w:color w:val="auto"/>
        </w:rPr>
      </w:pPr>
    </w:p>
    <w:p>
      <w:pPr>
        <w:ind w:left="1500" w:right="20"/>
        <w:spacing w:after="0" w:line="262" w:lineRule="auto"/>
        <w:rPr>
          <w:sz w:val="20"/>
          <w:szCs w:val="20"/>
          <w:color w:val="auto"/>
        </w:rPr>
      </w:pP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Liquidity</w:t>
      </w:r>
      <w:r>
        <w:rPr>
          <w:rFonts w:ascii="Times New Roman" w:cs="Times New Roman" w:eastAsia="Times New Roman" w:hAnsi="Times New Roman"/>
          <w:sz w:val="22"/>
          <w:szCs w:val="22"/>
          <w:color w:val="auto"/>
        </w:rPr>
        <w:t>” means Borrower’s unrestricted and unencumbered cash and Cash Equivalents maintained at Bank or Bank’s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290830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8" w:right="339" w:bottom="1440" w:gutter="0" w:footer="0" w:header="0"/>
        </w:sectPr>
      </w:pPr>
    </w:p>
    <w:bookmarkStart w:id="90" w:name="page91"/>
    <w:bookmarkEnd w:id="90"/>
    <w:p>
      <w:pPr>
        <w:ind w:left="1500"/>
        <w:spacing w:after="0"/>
        <w:rPr>
          <w:sz w:val="20"/>
          <w:szCs w:val="20"/>
          <w:color w:val="auto"/>
        </w:rPr>
      </w:pP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Liquidity Threshold</w:t>
      </w:r>
      <w:r>
        <w:rPr>
          <w:rFonts w:ascii="Times New Roman" w:cs="Times New Roman" w:eastAsia="Times New Roman" w:hAnsi="Times New Roman"/>
          <w:sz w:val="22"/>
          <w:szCs w:val="22"/>
          <w:color w:val="auto"/>
        </w:rPr>
        <w:t>” is defined in Section 6.12.”</w:t>
      </w:r>
    </w:p>
    <w:p>
      <w:pPr>
        <w:spacing w:after="0" w:line="24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Monthly Trial Enrollment Reports</w:t>
      </w:r>
      <w:r>
        <w:rPr>
          <w:rFonts w:ascii="Times New Roman" w:cs="Times New Roman" w:eastAsia="Times New Roman" w:hAnsi="Times New Roman"/>
          <w:sz w:val="22"/>
          <w:szCs w:val="22"/>
          <w:color w:val="auto"/>
        </w:rPr>
        <w:t>” is defined in Section 6.2(k).”</w:t>
      </w:r>
    </w:p>
    <w:p>
      <w:pPr>
        <w:spacing w:after="0" w:line="246" w:lineRule="exact"/>
        <w:rPr>
          <w:sz w:val="20"/>
          <w:szCs w:val="20"/>
          <w:color w:val="auto"/>
        </w:rPr>
      </w:pPr>
    </w:p>
    <w:p>
      <w:pPr>
        <w:jc w:val="both"/>
        <w:ind w:left="1500"/>
        <w:spacing w:after="0" w:line="252" w:lineRule="auto"/>
        <w:rPr>
          <w:sz w:val="20"/>
          <w:szCs w:val="20"/>
          <w:color w:val="auto"/>
        </w:rPr>
      </w:pP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Performance Milestone 1</w:t>
      </w:r>
      <w:r>
        <w:rPr>
          <w:rFonts w:ascii="Times New Roman" w:cs="Times New Roman" w:eastAsia="Times New Roman" w:hAnsi="Times New Roman"/>
          <w:sz w:val="22"/>
          <w:szCs w:val="22"/>
          <w:color w:val="auto"/>
        </w:rPr>
        <w:t>” means Borrower has delivered evidence to Bank, on or prior to December 31, 2022, satisfactory to Bank in Bank’s sole but reasonable discretion, that Borrower has achieved, on or prior to [***], (a) [***], and (b) [***].”</w:t>
      </w:r>
    </w:p>
    <w:p>
      <w:pPr>
        <w:spacing w:after="0" w:line="202" w:lineRule="exact"/>
        <w:rPr>
          <w:sz w:val="20"/>
          <w:szCs w:val="20"/>
          <w:color w:val="auto"/>
        </w:rPr>
      </w:pPr>
    </w:p>
    <w:p>
      <w:pPr>
        <w:jc w:val="both"/>
        <w:ind w:left="1500"/>
        <w:spacing w:after="0" w:line="245" w:lineRule="auto"/>
        <w:rPr>
          <w:sz w:val="20"/>
          <w:szCs w:val="20"/>
          <w:color w:val="auto"/>
        </w:rPr>
      </w:pP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Performance Milestone 2</w:t>
      </w:r>
      <w:r>
        <w:rPr>
          <w:rFonts w:ascii="Times New Roman" w:cs="Times New Roman" w:eastAsia="Times New Roman" w:hAnsi="Times New Roman"/>
          <w:sz w:val="22"/>
          <w:szCs w:val="22"/>
          <w:color w:val="auto"/>
        </w:rPr>
        <w:t>” means Borrower has delivered evidence to Bank, on or prior to December 31, 2022, satisfactory to Bank in Bank’s sole but reasonable discretion, that Borrower has received, after the Second Amendment Effective Date, but on or prior to [***], unrestricted and unencumbered net cash proceeds in an aggregate amount of at least $[***] from (a) [***] and/or (b) [***].”</w:t>
      </w:r>
    </w:p>
    <w:p>
      <w:pPr>
        <w:spacing w:after="0" w:line="19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Trigger Event</w:t>
      </w:r>
      <w:r>
        <w:rPr>
          <w:rFonts w:ascii="Times New Roman" w:cs="Times New Roman" w:eastAsia="Times New Roman" w:hAnsi="Times New Roman"/>
          <w:sz w:val="22"/>
          <w:szCs w:val="22"/>
          <w:color w:val="auto"/>
        </w:rPr>
        <w:t>” is defined in Section 6.12.”</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320" w:type="dxa"/>
            <w:vAlign w:val="bottom"/>
          </w:tcPr>
          <w:p>
            <w:pPr>
              <w:jc w:val="right"/>
              <w:ind w:right="432"/>
              <w:spacing w:after="0"/>
              <w:rPr>
                <w:sz w:val="20"/>
                <w:szCs w:val="20"/>
                <w:color w:val="auto"/>
              </w:rPr>
            </w:pPr>
            <w:r>
              <w:rPr>
                <w:rFonts w:ascii="Times New Roman" w:cs="Times New Roman" w:eastAsia="Times New Roman" w:hAnsi="Times New Roman"/>
                <w:sz w:val="22"/>
                <w:szCs w:val="22"/>
                <w:b w:val="1"/>
                <w:bCs w:val="1"/>
                <w:color w:val="auto"/>
              </w:rPr>
              <w:t>2.8</w:t>
            </w:r>
          </w:p>
        </w:tc>
        <w:tc>
          <w:tcPr>
            <w:tcW w:w="8920" w:type="dxa"/>
            <w:vAlign w:val="bottom"/>
            <w:gridSpan w:val="4"/>
          </w:tcPr>
          <w:p>
            <w:pPr>
              <w:ind w:left="680"/>
              <w:spacing w:after="0"/>
              <w:rPr>
                <w:sz w:val="20"/>
                <w:szCs w:val="20"/>
                <w:color w:val="auto"/>
              </w:rPr>
            </w:pPr>
            <w:r>
              <w:rPr>
                <w:rFonts w:ascii="Times New Roman" w:cs="Times New Roman" w:eastAsia="Times New Roman" w:hAnsi="Times New Roman"/>
                <w:sz w:val="22"/>
                <w:szCs w:val="22"/>
                <w:b w:val="1"/>
                <w:bCs w:val="1"/>
                <w:color w:val="auto"/>
              </w:rPr>
              <w:t xml:space="preserve">Exhibit D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Compliance Statement</w:t>
            </w:r>
            <w:r>
              <w:rPr>
                <w:rFonts w:ascii="Times New Roman" w:cs="Times New Roman" w:eastAsia="Times New Roman" w:hAnsi="Times New Roman"/>
                <w:sz w:val="22"/>
                <w:szCs w:val="22"/>
                <w:color w:val="auto"/>
              </w:rPr>
              <w:t>). Exhibit D to the Loan Agreement is amended in its</w:t>
            </w:r>
          </w:p>
        </w:tc>
      </w:tr>
      <w:tr>
        <w:trPr>
          <w:trHeight w:val="237"/>
        </w:trPr>
        <w:tc>
          <w:tcPr>
            <w:tcW w:w="6460" w:type="dxa"/>
            <w:vAlign w:val="bottom"/>
            <w:gridSpan w:val="3"/>
          </w:tcPr>
          <w:p>
            <w:pPr>
              <w:spacing w:after="0" w:line="237" w:lineRule="exact"/>
              <w:rPr>
                <w:sz w:val="20"/>
                <w:szCs w:val="20"/>
                <w:color w:val="auto"/>
              </w:rPr>
            </w:pPr>
            <w:r>
              <w:rPr>
                <w:rFonts w:ascii="Times New Roman" w:cs="Times New Roman" w:eastAsia="Times New Roman" w:hAnsi="Times New Roman"/>
                <w:sz w:val="22"/>
                <w:szCs w:val="22"/>
                <w:color w:val="auto"/>
              </w:rPr>
              <w:t>entirety and replaced with Exhibit D attached hereto.</w:t>
            </w:r>
          </w:p>
        </w:tc>
        <w:tc>
          <w:tcPr>
            <w:tcW w:w="880" w:type="dxa"/>
            <w:vAlign w:val="bottom"/>
            <w:tcBorders>
              <w:top w:val="single" w:sz="8" w:color="auto"/>
            </w:tcBorders>
          </w:tcPr>
          <w:p>
            <w:pPr>
              <w:spacing w:after="0"/>
              <w:rPr>
                <w:sz w:val="20"/>
                <w:szCs w:val="20"/>
                <w:color w:val="auto"/>
              </w:rPr>
            </w:pPr>
          </w:p>
        </w:tc>
        <w:tc>
          <w:tcPr>
            <w:tcW w:w="3900" w:type="dxa"/>
            <w:vAlign w:val="bottom"/>
          </w:tcPr>
          <w:p>
            <w:pPr>
              <w:spacing w:after="0"/>
              <w:rPr>
                <w:sz w:val="20"/>
                <w:szCs w:val="20"/>
                <w:color w:val="auto"/>
              </w:rPr>
            </w:pPr>
          </w:p>
        </w:tc>
      </w:tr>
      <w:tr>
        <w:trPr>
          <w:trHeight w:val="20"/>
        </w:trPr>
        <w:tc>
          <w:tcPr>
            <w:tcW w:w="2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80" w:type="dxa"/>
            <w:vAlign w:val="bottom"/>
            <w:gridSpan w:val="3"/>
          </w:tcPr>
          <w:p>
            <w:pPr>
              <w:spacing w:after="0" w:line="20" w:lineRule="exact"/>
              <w:rPr>
                <w:sz w:val="1"/>
                <w:szCs w:val="1"/>
                <w:color w:val="auto"/>
              </w:rPr>
            </w:pPr>
          </w:p>
        </w:tc>
      </w:tr>
      <w:tr>
        <w:trPr>
          <w:trHeight w:val="492"/>
        </w:trPr>
        <w:tc>
          <w:tcPr>
            <w:tcW w:w="11240" w:type="dxa"/>
            <w:vAlign w:val="bottom"/>
            <w:gridSpan w:val="5"/>
          </w:tcPr>
          <w:p>
            <w:pPr>
              <w:ind w:left="760"/>
              <w:spacing w:after="0"/>
              <w:rPr>
                <w:sz w:val="20"/>
                <w:szCs w:val="20"/>
                <w:color w:val="auto"/>
              </w:rPr>
            </w:pPr>
            <w:r>
              <w:rPr>
                <w:rFonts w:ascii="Times New Roman" w:cs="Times New Roman" w:eastAsia="Times New Roman" w:hAnsi="Times New Roman"/>
                <w:sz w:val="22"/>
                <w:szCs w:val="22"/>
                <w:b w:val="1"/>
                <w:bCs w:val="1"/>
                <w:color w:val="auto"/>
              </w:rPr>
              <w:t>3.Limitation of Amendments.</w:t>
            </w:r>
          </w:p>
        </w:tc>
      </w:tr>
      <w:tr>
        <w:trPr>
          <w:trHeight w:val="457"/>
        </w:trPr>
        <w:tc>
          <w:tcPr>
            <w:tcW w:w="2320" w:type="dxa"/>
            <w:vAlign w:val="bottom"/>
          </w:tcPr>
          <w:p>
            <w:pPr>
              <w:jc w:val="right"/>
              <w:ind w:right="432"/>
              <w:spacing w:after="0"/>
              <w:rPr>
                <w:sz w:val="20"/>
                <w:szCs w:val="20"/>
                <w:color w:val="auto"/>
              </w:rPr>
            </w:pPr>
            <w:r>
              <w:rPr>
                <w:rFonts w:ascii="Times New Roman" w:cs="Times New Roman" w:eastAsia="Times New Roman" w:hAnsi="Times New Roman"/>
                <w:sz w:val="22"/>
                <w:szCs w:val="22"/>
                <w:b w:val="1"/>
                <w:bCs w:val="1"/>
                <w:color w:val="auto"/>
              </w:rPr>
              <w:t>3.1</w:t>
            </w:r>
          </w:p>
        </w:tc>
        <w:tc>
          <w:tcPr>
            <w:tcW w:w="8920" w:type="dxa"/>
            <w:vAlign w:val="bottom"/>
            <w:gridSpan w:val="4"/>
          </w:tcPr>
          <w:p>
            <w:pPr>
              <w:ind w:left="680"/>
              <w:spacing w:after="0"/>
              <w:rPr>
                <w:sz w:val="20"/>
                <w:szCs w:val="20"/>
                <w:color w:val="auto"/>
              </w:rPr>
            </w:pPr>
            <w:r>
              <w:rPr>
                <w:rFonts w:ascii="Times New Roman" w:cs="Times New Roman" w:eastAsia="Times New Roman" w:hAnsi="Times New Roman"/>
                <w:sz w:val="22"/>
                <w:szCs w:val="22"/>
                <w:color w:val="auto"/>
                <w:w w:val="98"/>
              </w:rPr>
              <w:t>The amendments set forth in Section 2 above are effective for the purposes set forth herein and</w:t>
            </w:r>
          </w:p>
        </w:tc>
      </w:tr>
    </w:tbl>
    <w:p>
      <w:pPr>
        <w:jc w:val="both"/>
        <w:spacing w:after="0" w:line="239" w:lineRule="auto"/>
        <w:rPr>
          <w:sz w:val="20"/>
          <w:szCs w:val="20"/>
          <w:color w:val="auto"/>
        </w:rPr>
      </w:pPr>
      <w:r>
        <w:rPr>
          <w:rFonts w:ascii="Times New Roman" w:cs="Times New Roman" w:eastAsia="Times New Roman" w:hAnsi="Times New Roman"/>
          <w:sz w:val="22"/>
          <w:szCs w:val="22"/>
          <w:color w:val="auto"/>
        </w:rPr>
        <w:t>shall be limited precisely as written and shall not be deemed to (a) be a consent to any amendment, waiver or modification of any other term or condition of any Loan Document, or (b) otherwise prejudice any right or remedy which Bank may now have or may have in the future under or in connection with any Loan Document.</w:t>
      </w:r>
    </w:p>
    <w:p>
      <w:pPr>
        <w:spacing w:after="0" w:line="175" w:lineRule="exact"/>
        <w:rPr>
          <w:sz w:val="20"/>
          <w:szCs w:val="20"/>
          <w:color w:val="auto"/>
        </w:rPr>
      </w:pPr>
    </w:p>
    <w:p>
      <w:pPr>
        <w:jc w:val="both"/>
        <w:ind w:firstLine="1497"/>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3.2 </w:t>
      </w:r>
      <w:r>
        <w:rPr>
          <w:rFonts w:ascii="Times New Roman" w:cs="Times New Roman" w:eastAsia="Times New Roman" w:hAnsi="Times New Roman"/>
          <w:sz w:val="22"/>
          <w:szCs w:val="22"/>
          <w:color w:val="auto"/>
        </w:rPr>
        <w:t>This Amendment shall be construed in connection with and as part of the Loan Documents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terms, conditions, representations, warranties, covenants and agreements set forth in the Loan Documents, except as herein amended, are hereby ratified and confirmed and shall remain in full force and effect.</w:t>
      </w:r>
    </w:p>
    <w:p>
      <w:pPr>
        <w:spacing w:after="0" w:line="162" w:lineRule="exact"/>
        <w:rPr>
          <w:sz w:val="20"/>
          <w:szCs w:val="20"/>
          <w:color w:val="auto"/>
        </w:rPr>
      </w:pPr>
    </w:p>
    <w:p>
      <w:pPr>
        <w:ind w:firstLine="757"/>
        <w:spacing w:after="0" w:line="275" w:lineRule="auto"/>
        <w:tabs>
          <w:tab w:leader="none" w:pos="1498"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Representations and Warranties. </w:t>
      </w:r>
      <w:r>
        <w:rPr>
          <w:rFonts w:ascii="Times New Roman" w:cs="Times New Roman" w:eastAsia="Times New Roman" w:hAnsi="Times New Roman"/>
          <w:sz w:val="22"/>
          <w:szCs w:val="22"/>
          <w:color w:val="auto"/>
        </w:rPr>
        <w:t>To induce Bank to enter into this Amendment, Borrower hereby represents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warrants to Bank as follows:</w:t>
      </w:r>
    </w:p>
    <w:p>
      <w:pPr>
        <w:spacing w:after="0" w:line="136" w:lineRule="exact"/>
        <w:rPr>
          <w:sz w:val="20"/>
          <w:szCs w:val="20"/>
          <w:color w:val="auto"/>
        </w:rPr>
      </w:pPr>
    </w:p>
    <w:p>
      <w:pPr>
        <w:jc w:val="both"/>
        <w:ind w:firstLine="1497"/>
        <w:spacing w:after="0" w:line="243" w:lineRule="auto"/>
        <w:rPr>
          <w:sz w:val="20"/>
          <w:szCs w:val="20"/>
          <w:color w:val="auto"/>
        </w:rPr>
      </w:pPr>
      <w:r>
        <w:rPr>
          <w:rFonts w:ascii="Times New Roman" w:cs="Times New Roman" w:eastAsia="Times New Roman" w:hAnsi="Times New Roman"/>
          <w:sz w:val="22"/>
          <w:szCs w:val="22"/>
          <w:b w:val="1"/>
          <w:bCs w:val="1"/>
          <w:color w:val="auto"/>
        </w:rPr>
        <w:t xml:space="preserve">4.1 </w:t>
      </w:r>
      <w:r>
        <w:rPr>
          <w:rFonts w:ascii="Times New Roman" w:cs="Times New Roman" w:eastAsia="Times New Roman" w:hAnsi="Times New Roman"/>
          <w:sz w:val="22"/>
          <w:szCs w:val="22"/>
          <w:color w:val="auto"/>
        </w:rPr>
        <w:t>Immediately after giving effect to this Amendment (a) the representations and warranties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contained in the Loan Documents are true, accurate and complete in all material respects as of the date hereof (except to the extent such representations and warranties relate to an earlier date, in which case they are true and correct as of such date),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no Event of Default has occurred and is continuing;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380" w:type="dxa"/>
            <w:vAlign w:val="bottom"/>
          </w:tcPr>
          <w:p>
            <w:pPr>
              <w:jc w:val="right"/>
              <w:ind w:right="492"/>
              <w:spacing w:after="0"/>
              <w:rPr>
                <w:sz w:val="20"/>
                <w:szCs w:val="20"/>
                <w:color w:val="auto"/>
              </w:rPr>
            </w:pPr>
            <w:r>
              <w:rPr>
                <w:rFonts w:ascii="Times New Roman" w:cs="Times New Roman" w:eastAsia="Times New Roman" w:hAnsi="Times New Roman"/>
                <w:sz w:val="22"/>
                <w:szCs w:val="22"/>
                <w:b w:val="1"/>
                <w:bCs w:val="1"/>
                <w:color w:val="auto"/>
              </w:rPr>
              <w:t>4.2</w:t>
            </w:r>
          </w:p>
        </w:tc>
        <w:tc>
          <w:tcPr>
            <w:tcW w:w="886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Borrower has the power and authority to execute and deliver this Amendment and to perform</w:t>
            </w:r>
          </w:p>
        </w:tc>
      </w:tr>
      <w:tr>
        <w:trPr>
          <w:trHeight w:val="282"/>
        </w:trPr>
        <w:tc>
          <w:tcPr>
            <w:tcW w:w="11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its obligations under the Loan Agreement, as amended by this Amendment;</w:t>
            </w:r>
          </w:p>
        </w:tc>
      </w:tr>
      <w:tr>
        <w:trPr>
          <w:trHeight w:val="457"/>
        </w:trPr>
        <w:tc>
          <w:tcPr>
            <w:tcW w:w="2380" w:type="dxa"/>
            <w:vAlign w:val="bottom"/>
          </w:tcPr>
          <w:p>
            <w:pPr>
              <w:jc w:val="right"/>
              <w:ind w:right="492"/>
              <w:spacing w:after="0"/>
              <w:rPr>
                <w:sz w:val="20"/>
                <w:szCs w:val="20"/>
                <w:color w:val="auto"/>
              </w:rPr>
            </w:pPr>
            <w:r>
              <w:rPr>
                <w:rFonts w:ascii="Times New Roman" w:cs="Times New Roman" w:eastAsia="Times New Roman" w:hAnsi="Times New Roman"/>
                <w:sz w:val="22"/>
                <w:szCs w:val="22"/>
                <w:b w:val="1"/>
                <w:bCs w:val="1"/>
                <w:color w:val="auto"/>
              </w:rPr>
              <w:t>4.3</w:t>
            </w:r>
          </w:p>
        </w:tc>
        <w:tc>
          <w:tcPr>
            <w:tcW w:w="886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The  organizational  documents  of  Borrower  delivered  to  Bank  as  of  the  date  of  this</w:t>
            </w:r>
          </w:p>
        </w:tc>
      </w:tr>
    </w:tbl>
    <w:p>
      <w:pPr>
        <w:spacing w:after="0"/>
        <w:rPr>
          <w:sz w:val="20"/>
          <w:szCs w:val="20"/>
          <w:color w:val="auto"/>
        </w:rPr>
      </w:pPr>
      <w:r>
        <w:rPr>
          <w:rFonts w:ascii="Times New Roman" w:cs="Times New Roman" w:eastAsia="Times New Roman" w:hAnsi="Times New Roman"/>
          <w:sz w:val="22"/>
          <w:szCs w:val="22"/>
          <w:color w:val="auto"/>
        </w:rPr>
        <w:t>Amendment remain true, accurate and complete and have not been amended, supplemented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308610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22"/>
          <w:szCs w:val="22"/>
          <w:color w:val="auto"/>
        </w:rPr>
        <w:t>or restated and are and continue to be in full force and effect;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380" w:type="dxa"/>
            <w:vAlign w:val="bottom"/>
          </w:tcPr>
          <w:p>
            <w:pPr>
              <w:jc w:val="right"/>
              <w:ind w:right="492"/>
              <w:spacing w:after="0"/>
              <w:rPr>
                <w:sz w:val="20"/>
                <w:szCs w:val="20"/>
                <w:color w:val="auto"/>
              </w:rPr>
            </w:pPr>
            <w:r>
              <w:rPr>
                <w:rFonts w:ascii="Times New Roman" w:cs="Times New Roman" w:eastAsia="Times New Roman" w:hAnsi="Times New Roman"/>
                <w:sz w:val="22"/>
                <w:szCs w:val="22"/>
                <w:b w:val="1"/>
                <w:bCs w:val="1"/>
                <w:color w:val="auto"/>
              </w:rPr>
              <w:t>4.4</w:t>
            </w:r>
          </w:p>
        </w:tc>
        <w:tc>
          <w:tcPr>
            <w:tcW w:w="8840" w:type="dxa"/>
            <w:vAlign w:val="bottom"/>
          </w:tcPr>
          <w:p>
            <w:pPr>
              <w:ind w:left="620"/>
              <w:spacing w:after="0"/>
              <w:rPr>
                <w:sz w:val="20"/>
                <w:szCs w:val="20"/>
                <w:color w:val="auto"/>
              </w:rPr>
            </w:pPr>
            <w:r>
              <w:rPr>
                <w:rFonts w:ascii="Times New Roman" w:cs="Times New Roman" w:eastAsia="Times New Roman" w:hAnsi="Times New Roman"/>
                <w:sz w:val="22"/>
                <w:szCs w:val="22"/>
                <w:color w:val="auto"/>
                <w:w w:val="98"/>
              </w:rPr>
              <w:t>The execution and delivery by Borrower of this Amendment and the performance by Borrower</w:t>
            </w:r>
          </w:p>
        </w:tc>
      </w:tr>
      <w:tr>
        <w:trPr>
          <w:trHeight w:val="282"/>
        </w:trPr>
        <w:tc>
          <w:tcPr>
            <w:tcW w:w="112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of its obligations under the Loan Agreement, as amended by this Amendment, have been duly authorized;</w:t>
            </w:r>
          </w:p>
        </w:tc>
      </w:tr>
      <w:tr>
        <w:trPr>
          <w:trHeight w:val="457"/>
        </w:trPr>
        <w:tc>
          <w:tcPr>
            <w:tcW w:w="2380" w:type="dxa"/>
            <w:vAlign w:val="bottom"/>
          </w:tcPr>
          <w:p>
            <w:pPr>
              <w:jc w:val="right"/>
              <w:ind w:right="492"/>
              <w:spacing w:after="0"/>
              <w:rPr>
                <w:sz w:val="20"/>
                <w:szCs w:val="20"/>
                <w:color w:val="auto"/>
              </w:rPr>
            </w:pPr>
            <w:r>
              <w:rPr>
                <w:rFonts w:ascii="Times New Roman" w:cs="Times New Roman" w:eastAsia="Times New Roman" w:hAnsi="Times New Roman"/>
                <w:sz w:val="22"/>
                <w:szCs w:val="22"/>
                <w:b w:val="1"/>
                <w:bCs w:val="1"/>
                <w:color w:val="auto"/>
              </w:rPr>
              <w:t>4.5</w:t>
            </w:r>
          </w:p>
        </w:tc>
        <w:tc>
          <w:tcPr>
            <w:tcW w:w="8840" w:type="dxa"/>
            <w:vAlign w:val="bottom"/>
          </w:tcPr>
          <w:p>
            <w:pPr>
              <w:ind w:left="620"/>
              <w:spacing w:after="0"/>
              <w:rPr>
                <w:sz w:val="20"/>
                <w:szCs w:val="20"/>
                <w:color w:val="auto"/>
              </w:rPr>
            </w:pPr>
            <w:r>
              <w:rPr>
                <w:rFonts w:ascii="Times New Roman" w:cs="Times New Roman" w:eastAsia="Times New Roman" w:hAnsi="Times New Roman"/>
                <w:sz w:val="22"/>
                <w:szCs w:val="22"/>
                <w:color w:val="auto"/>
                <w:w w:val="98"/>
              </w:rPr>
              <w:t>The execution and delivery by Borrower of this Amendment and the performance by Borrower</w:t>
            </w:r>
          </w:p>
        </w:tc>
      </w:tr>
    </w:tbl>
    <w:p>
      <w:pPr>
        <w:jc w:val="both"/>
        <w:spacing w:after="0" w:line="237" w:lineRule="auto"/>
        <w:rPr>
          <w:sz w:val="20"/>
          <w:szCs w:val="20"/>
          <w:color w:val="auto"/>
        </w:rPr>
      </w:pPr>
      <w:r>
        <w:rPr>
          <w:rFonts w:ascii="Times New Roman" w:cs="Times New Roman" w:eastAsia="Times New Roman" w:hAnsi="Times New Roman"/>
          <w:sz w:val="22"/>
          <w:szCs w:val="22"/>
          <w:color w:val="auto"/>
        </w:rPr>
        <w:t>of its obligations under the Loan Agreement, as amended by this Amendment, do not and will not contravene (a) any law or regulation binding on or affecting Borrower, (b) any contractual restriction with a Person binding on Borrower, (c) any order, judgment or decree of any court or other governmental or public body or authority, or subdivision thereof, binding on Borrower, or (d) the organizational documents of Borrower;</w:t>
      </w:r>
    </w:p>
    <w:p>
      <w:pPr>
        <w:spacing w:after="0" w:line="188" w:lineRule="exact"/>
        <w:rPr>
          <w:sz w:val="20"/>
          <w:szCs w:val="20"/>
          <w:color w:val="auto"/>
        </w:rPr>
      </w:pPr>
    </w:p>
    <w:p>
      <w:pPr>
        <w:jc w:val="both"/>
        <w:ind w:firstLine="1497"/>
        <w:spacing w:after="0" w:line="245" w:lineRule="auto"/>
        <w:rPr>
          <w:sz w:val="20"/>
          <w:szCs w:val="20"/>
          <w:color w:val="auto"/>
        </w:rPr>
      </w:pPr>
      <w:r>
        <w:rPr>
          <w:rFonts w:ascii="Times New Roman" w:cs="Times New Roman" w:eastAsia="Times New Roman" w:hAnsi="Times New Roman"/>
          <w:sz w:val="22"/>
          <w:szCs w:val="22"/>
          <w:b w:val="1"/>
          <w:bCs w:val="1"/>
          <w:color w:val="auto"/>
        </w:rPr>
        <w:t xml:space="preserve">4.6 </w:t>
      </w:r>
      <w:r>
        <w:rPr>
          <w:rFonts w:ascii="Times New Roman" w:cs="Times New Roman" w:eastAsia="Times New Roman" w:hAnsi="Times New Roman"/>
          <w:sz w:val="22"/>
          <w:szCs w:val="22"/>
          <w:color w:val="auto"/>
        </w:rPr>
        <w:t>The execution and delivery by Borrower of this Amendment and the performance by Borrower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its obligations under the Loan Agreement, as amended by this Amendment, do not require any order, consent, approval, license, authorization or validation of, or filing, recording or registration with, or exemption by any governmental or public body or authority, or subdivision thereof, binding on Borrower, except as already has been obtained or made; and</w:t>
      </w:r>
    </w:p>
    <w:p>
      <w:pPr>
        <w:spacing w:after="0" w:line="169" w:lineRule="exact"/>
        <w:rPr>
          <w:sz w:val="20"/>
          <w:szCs w:val="20"/>
          <w:color w:val="auto"/>
        </w:rPr>
      </w:pPr>
    </w:p>
    <w:p>
      <w:pPr>
        <w:jc w:val="both"/>
        <w:ind w:firstLine="1497"/>
        <w:spacing w:after="0" w:line="245" w:lineRule="auto"/>
        <w:rPr>
          <w:sz w:val="20"/>
          <w:szCs w:val="20"/>
          <w:color w:val="auto"/>
        </w:rPr>
      </w:pPr>
      <w:r>
        <w:rPr>
          <w:rFonts w:ascii="Times New Roman" w:cs="Times New Roman" w:eastAsia="Times New Roman" w:hAnsi="Times New Roman"/>
          <w:sz w:val="22"/>
          <w:szCs w:val="22"/>
          <w:b w:val="1"/>
          <w:bCs w:val="1"/>
          <w:color w:val="auto"/>
        </w:rPr>
        <w:t xml:space="preserve">4.7 </w:t>
      </w:r>
      <w:r>
        <w:rPr>
          <w:rFonts w:ascii="Times New Roman" w:cs="Times New Roman" w:eastAsia="Times New Roman" w:hAnsi="Times New Roman"/>
          <w:sz w:val="22"/>
          <w:szCs w:val="22"/>
          <w:color w:val="auto"/>
        </w:rPr>
        <w:t>This Amendment has been duly executed and delivered by Borrower and is the binding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obligation of Borrower, enforceable against Borrower in accordance with its terms, except as such enforceability may be limited by bankruptcy, insolvency, reorganization, liquidation, moratorium or other similar laws of general application and equitable principles relating to or affecting creditors’ rights.</w:t>
      </w:r>
    </w:p>
    <w:p>
      <w:pPr>
        <w:spacing w:after="0" w:line="182" w:lineRule="exact"/>
        <w:rPr>
          <w:sz w:val="20"/>
          <w:szCs w:val="20"/>
          <w:color w:val="auto"/>
        </w:rPr>
      </w:pPr>
    </w:p>
    <w:p>
      <w:pPr>
        <w:jc w:val="both"/>
        <w:ind w:firstLine="757"/>
        <w:spacing w:after="0" w:line="245" w:lineRule="auto"/>
        <w:tabs>
          <w:tab w:leader="none" w:pos="1498"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Ratification of Perfection Certificate. </w:t>
      </w:r>
      <w:r>
        <w:rPr>
          <w:rFonts w:ascii="Times New Roman" w:cs="Times New Roman" w:eastAsia="Times New Roman" w:hAnsi="Times New Roman"/>
          <w:sz w:val="22"/>
          <w:szCs w:val="22"/>
          <w:color w:val="auto"/>
        </w:rPr>
        <w:t>Borrower hereby ratifies, confirms and reaffirms, all and singular,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terms and disclosures contained in a certain Perfection Certificate of Borrower dated as of March 19, 2021, and acknowledges, confirms and agrees the disclosures and information Borrower provided to Bank in said Perfection Certificate have not changed, as of the date hereof, except as set forth on </w:t>
      </w:r>
      <w:r>
        <w:rPr>
          <w:rFonts w:ascii="Times New Roman" w:cs="Times New Roman" w:eastAsia="Times New Roman" w:hAnsi="Times New Roman"/>
          <w:sz w:val="22"/>
          <w:szCs w:val="22"/>
          <w:u w:val="single" w:color="auto"/>
          <w:color w:val="auto"/>
        </w:rPr>
        <w:t>Schedule 1</w:t>
      </w:r>
      <w:r>
        <w:rPr>
          <w:rFonts w:ascii="Times New Roman" w:cs="Times New Roman" w:eastAsia="Times New Roman" w:hAnsi="Times New Roman"/>
          <w:sz w:val="22"/>
          <w:szCs w:val="22"/>
          <w:color w:val="auto"/>
        </w:rPr>
        <w:t xml:space="preserve"> attached to this Amendment.</w:t>
      </w:r>
    </w:p>
    <w:p>
      <w:pPr>
        <w:sectPr>
          <w:pgSz w:w="11900" w:h="16838" w:orient="portrait"/>
          <w:cols w:equalWidth="0" w:num="1">
            <w:col w:w="11240"/>
          </w:cols>
          <w:pgMar w:left="320" w:top="355" w:right="339" w:bottom="1440" w:gutter="0" w:footer="0" w:header="0"/>
        </w:sectPr>
      </w:pPr>
    </w:p>
    <w:p>
      <w:pPr>
        <w:spacing w:after="0" w:line="169" w:lineRule="exact"/>
        <w:rPr>
          <w:sz w:val="20"/>
          <w:szCs w:val="20"/>
          <w:color w:val="auto"/>
        </w:rPr>
      </w:pPr>
    </w:p>
    <w:p>
      <w:pPr>
        <w:jc w:val="both"/>
        <w:ind w:firstLine="757"/>
        <w:spacing w:after="0" w:line="252" w:lineRule="auto"/>
        <w:tabs>
          <w:tab w:leader="none" w:pos="1498" w:val="left"/>
        </w:tabs>
        <w:numPr>
          <w:ilvl w:val="0"/>
          <w:numId w:val="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Post-Closing Condition. </w:t>
      </w:r>
      <w:r>
        <w:rPr>
          <w:rFonts w:ascii="Times New Roman" w:cs="Times New Roman" w:eastAsia="Times New Roman" w:hAnsi="Times New Roman"/>
          <w:sz w:val="22"/>
          <w:szCs w:val="22"/>
          <w:color w:val="auto"/>
        </w:rPr>
        <w:t>additional insured insurance endorsement satisfactory to Bank.</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firstLine="60"/>
        <w:spacing w:after="0" w:line="295" w:lineRule="auto"/>
        <w:rPr>
          <w:sz w:val="20"/>
          <w:szCs w:val="20"/>
          <w:color w:val="auto"/>
        </w:rPr>
      </w:pPr>
      <w:r>
        <w:rPr>
          <w:rFonts w:ascii="Times New Roman" w:cs="Times New Roman" w:eastAsia="Times New Roman" w:hAnsi="Times New Roman"/>
          <w:sz w:val="21"/>
          <w:szCs w:val="21"/>
          <w:color w:val="auto"/>
        </w:rPr>
        <w:t>Within 30 days after the date of this Amendment, Borrower shall deliver to Bank an with respect to Borrower’s general liability insurance policy in form and substance</w:t>
      </w:r>
    </w:p>
    <w:p>
      <w:pPr>
        <w:spacing w:after="0" w:line="361" w:lineRule="exact"/>
        <w:rPr>
          <w:sz w:val="20"/>
          <w:szCs w:val="20"/>
          <w:color w:val="auto"/>
        </w:rPr>
      </w:pPr>
    </w:p>
    <w:p>
      <w:pPr>
        <w:sectPr>
          <w:pgSz w:w="11900" w:h="16838" w:orient="portrait"/>
          <w:cols w:equalWidth="0" w:num="2">
            <w:col w:w="3700" w:space="80"/>
            <w:col w:w="7460"/>
          </w:cols>
          <w:pgMar w:left="320" w:top="355" w:right="339" w:bottom="1440" w:gutter="0" w:footer="0" w:header="0"/>
          <w:type w:val="continuous"/>
        </w:sectPr>
      </w:pPr>
    </w:p>
    <w:p>
      <w:pPr>
        <w:ind w:right="20" w:firstLine="757"/>
        <w:spacing w:after="0" w:line="275" w:lineRule="auto"/>
        <w:tabs>
          <w:tab w:leader="none" w:pos="1498"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Counterparts. </w:t>
      </w:r>
      <w:r>
        <w:rPr>
          <w:rFonts w:ascii="Times New Roman" w:cs="Times New Roman" w:eastAsia="Times New Roman" w:hAnsi="Times New Roman"/>
          <w:sz w:val="22"/>
          <w:szCs w:val="22"/>
          <w:color w:val="auto"/>
        </w:rPr>
        <w:t>This Amendment may be executed in any number of counterparts and all of such counterparts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taken together shall be deemed to constitute one and the same instrument.</w:t>
      </w:r>
    </w:p>
    <w:p>
      <w:pPr>
        <w:spacing w:after="0" w:line="135" w:lineRule="exact"/>
        <w:rPr>
          <w:rFonts w:ascii="Times New Roman" w:cs="Times New Roman" w:eastAsia="Times New Roman" w:hAnsi="Times New Roman"/>
          <w:sz w:val="22"/>
          <w:szCs w:val="22"/>
          <w:b w:val="1"/>
          <w:bCs w:val="1"/>
          <w:color w:val="auto"/>
        </w:rPr>
      </w:pPr>
    </w:p>
    <w:p>
      <w:pPr>
        <w:jc w:val="both"/>
        <w:ind w:firstLine="757"/>
        <w:spacing w:after="0" w:line="245" w:lineRule="auto"/>
        <w:tabs>
          <w:tab w:leader="none" w:pos="1498"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Effectiveness</w:t>
      </w:r>
      <w:r>
        <w:rPr>
          <w:rFonts w:ascii="Times New Roman" w:cs="Times New Roman" w:eastAsia="Times New Roman" w:hAnsi="Times New Roman"/>
          <w:sz w:val="22"/>
          <w:szCs w:val="22"/>
          <w:color w:val="auto"/>
        </w:rPr>
        <w:t>. This Amendment shall be deemed effective upon (a) the due execution and delivery to Bank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Amendment by each party hereto, and (b) Borrower’s payment to Bank of Bank’s legal fees and expenses incurred in connection with this Amendment. Borrower has paid to Bank a good faith deposit of $20,000.00 prior to the date hereof which shall be applied towards Bank Expenses incurred through the date of this Amendment.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type w:val="continuous"/>
        </w:sectPr>
      </w:pPr>
    </w:p>
    <w:bookmarkStart w:id="92" w:name="page93"/>
    <w:bookmarkEnd w:id="92"/>
    <w:p>
      <w:pPr>
        <w:ind w:left="760"/>
        <w:spacing w:after="0"/>
        <w:rPr>
          <w:sz w:val="20"/>
          <w:szCs w:val="20"/>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parties hereto have caused this Amendment to be executed as of the date first written above.</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3980" w:type="dxa"/>
            <w:vAlign w:val="bottom"/>
            <w:gridSpan w:val="3"/>
          </w:tcPr>
          <w:p>
            <w:pPr>
              <w:ind w:left="100"/>
              <w:spacing w:after="0"/>
              <w:rPr>
                <w:sz w:val="20"/>
                <w:szCs w:val="20"/>
                <w:color w:val="auto"/>
              </w:rPr>
            </w:pPr>
            <w:r>
              <w:rPr>
                <w:rFonts w:ascii="Times New Roman" w:cs="Times New Roman" w:eastAsia="Times New Roman" w:hAnsi="Times New Roman"/>
                <w:sz w:val="22"/>
                <w:szCs w:val="22"/>
                <w:b w:val="1"/>
                <w:bCs w:val="1"/>
                <w:color w:val="auto"/>
              </w:rPr>
              <w:t>BANK</w:t>
            </w:r>
          </w:p>
        </w:tc>
        <w:tc>
          <w:tcPr>
            <w:tcW w:w="7260" w:type="dxa"/>
            <w:vAlign w:val="bottom"/>
            <w:gridSpan w:val="3"/>
          </w:tcPr>
          <w:p>
            <w:pPr>
              <w:ind w:left="1460"/>
              <w:spacing w:after="0"/>
              <w:rPr>
                <w:sz w:val="20"/>
                <w:szCs w:val="20"/>
                <w:color w:val="auto"/>
              </w:rPr>
            </w:pPr>
            <w:r>
              <w:rPr>
                <w:rFonts w:ascii="Times New Roman" w:cs="Times New Roman" w:eastAsia="Times New Roman" w:hAnsi="Times New Roman"/>
                <w:sz w:val="22"/>
                <w:szCs w:val="22"/>
                <w:b w:val="1"/>
                <w:bCs w:val="1"/>
                <w:color w:val="auto"/>
              </w:rPr>
              <w:t>BORROWER</w:t>
            </w:r>
          </w:p>
        </w:tc>
        <w:tc>
          <w:tcPr>
            <w:tcW w:w="0" w:type="dxa"/>
            <w:vAlign w:val="bottom"/>
          </w:tcPr>
          <w:p>
            <w:pPr>
              <w:spacing w:after="0"/>
              <w:rPr>
                <w:sz w:val="1"/>
                <w:szCs w:val="1"/>
                <w:color w:val="auto"/>
              </w:rPr>
            </w:pPr>
          </w:p>
        </w:tc>
      </w:tr>
      <w:tr>
        <w:trPr>
          <w:trHeight w:val="473"/>
        </w:trPr>
        <w:tc>
          <w:tcPr>
            <w:tcW w:w="398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SILICON VALLEY BANK</w:t>
            </w:r>
          </w:p>
        </w:tc>
        <w:tc>
          <w:tcPr>
            <w:tcW w:w="7260" w:type="dxa"/>
            <w:vAlign w:val="bottom"/>
            <w:gridSpan w:val="3"/>
          </w:tcPr>
          <w:p>
            <w:pPr>
              <w:ind w:left="1460"/>
              <w:spacing w:after="0"/>
              <w:rPr>
                <w:sz w:val="20"/>
                <w:szCs w:val="20"/>
                <w:color w:val="auto"/>
              </w:rPr>
            </w:pPr>
            <w:r>
              <w:rPr>
                <w:rFonts w:ascii="Times New Roman" w:cs="Times New Roman" w:eastAsia="Times New Roman" w:hAnsi="Times New Roman"/>
                <w:sz w:val="22"/>
                <w:szCs w:val="22"/>
                <w:color w:val="auto"/>
              </w:rPr>
              <w:t>SPRUCE BIOSCIENCES, INC.</w:t>
            </w:r>
          </w:p>
        </w:tc>
        <w:tc>
          <w:tcPr>
            <w:tcW w:w="0" w:type="dxa"/>
            <w:vAlign w:val="bottom"/>
          </w:tcPr>
          <w:p>
            <w:pPr>
              <w:spacing w:after="0"/>
              <w:rPr>
                <w:sz w:val="1"/>
                <w:szCs w:val="1"/>
                <w:color w:val="auto"/>
              </w:rPr>
            </w:pPr>
          </w:p>
        </w:tc>
      </w:tr>
      <w:tr>
        <w:trPr>
          <w:trHeight w:val="636"/>
        </w:trPr>
        <w:tc>
          <w:tcPr>
            <w:tcW w:w="3980" w:type="dxa"/>
            <w:vAlign w:val="bottom"/>
            <w:gridSpan w:val="3"/>
            <w:vMerge w:val="restart"/>
          </w:tcPr>
          <w:p>
            <w:pPr>
              <w:ind w:left="100"/>
              <w:spacing w:after="0"/>
              <w:rPr>
                <w:sz w:val="20"/>
                <w:szCs w:val="20"/>
                <w:color w:val="auto"/>
              </w:rPr>
            </w:pPr>
            <w:r>
              <w:rPr>
                <w:rFonts w:ascii="Times New Roman" w:cs="Times New Roman" w:eastAsia="Times New Roman" w:hAnsi="Times New Roman"/>
                <w:sz w:val="22"/>
                <w:szCs w:val="22"/>
                <w:color w:val="auto"/>
              </w:rPr>
              <w:t>By: /s/ Shawn Parry</w:t>
            </w:r>
          </w:p>
        </w:tc>
        <w:tc>
          <w:tcPr>
            <w:tcW w:w="7260" w:type="dxa"/>
            <w:vAlign w:val="bottom"/>
            <w:gridSpan w:val="3"/>
          </w:tcPr>
          <w:p>
            <w:pPr>
              <w:ind w:left="1460"/>
              <w:spacing w:after="0"/>
              <w:rPr>
                <w:sz w:val="20"/>
                <w:szCs w:val="20"/>
                <w:color w:val="auto"/>
              </w:rPr>
            </w:pPr>
            <w:r>
              <w:rPr>
                <w:rFonts w:ascii="Times New Roman" w:cs="Times New Roman" w:eastAsia="Times New Roman" w:hAnsi="Times New Roman"/>
                <w:sz w:val="22"/>
                <w:szCs w:val="22"/>
                <w:color w:val="auto"/>
              </w:rPr>
              <w:t>By: /s/ Javier Szwarcberg</w:t>
            </w:r>
          </w:p>
        </w:tc>
        <w:tc>
          <w:tcPr>
            <w:tcW w:w="0" w:type="dxa"/>
            <w:vAlign w:val="bottom"/>
          </w:tcPr>
          <w:p>
            <w:pPr>
              <w:spacing w:after="0"/>
              <w:rPr>
                <w:sz w:val="1"/>
                <w:szCs w:val="1"/>
                <w:color w:val="auto"/>
              </w:rPr>
            </w:pPr>
          </w:p>
        </w:tc>
      </w:tr>
      <w:tr>
        <w:trPr>
          <w:trHeight w:val="88"/>
        </w:trPr>
        <w:tc>
          <w:tcPr>
            <w:tcW w:w="3980" w:type="dxa"/>
            <w:vAlign w:val="bottom"/>
            <w:gridSpan w:val="3"/>
            <w:vMerge w:val="continue"/>
          </w:tcPr>
          <w:p>
            <w:pPr>
              <w:spacing w:after="0"/>
              <w:rPr>
                <w:sz w:val="7"/>
                <w:szCs w:val="7"/>
                <w:color w:val="auto"/>
              </w:rPr>
            </w:pPr>
          </w:p>
        </w:tc>
        <w:tc>
          <w:tcPr>
            <w:tcW w:w="1880" w:type="dxa"/>
            <w:vAlign w:val="bottom"/>
          </w:tcPr>
          <w:p>
            <w:pPr>
              <w:spacing w:after="0"/>
              <w:rPr>
                <w:sz w:val="7"/>
                <w:szCs w:val="7"/>
                <w:color w:val="auto"/>
              </w:rPr>
            </w:pPr>
          </w:p>
        </w:tc>
        <w:tc>
          <w:tcPr>
            <w:tcW w:w="1840" w:type="dxa"/>
            <w:vAlign w:val="bottom"/>
            <w:tcBorders>
              <w:top w:val="single" w:sz="8" w:color="auto"/>
            </w:tcBorders>
          </w:tcPr>
          <w:p>
            <w:pPr>
              <w:spacing w:after="0"/>
              <w:rPr>
                <w:sz w:val="7"/>
                <w:szCs w:val="7"/>
                <w:color w:val="auto"/>
              </w:rPr>
            </w:pPr>
          </w:p>
        </w:tc>
        <w:tc>
          <w:tcPr>
            <w:tcW w:w="3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398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Name: Shawn Parry</w:t>
            </w:r>
          </w:p>
        </w:tc>
        <w:tc>
          <w:tcPr>
            <w:tcW w:w="7260" w:type="dxa"/>
            <w:vAlign w:val="bottom"/>
            <w:gridSpan w:val="3"/>
          </w:tcPr>
          <w:p>
            <w:pPr>
              <w:ind w:left="1460"/>
              <w:spacing w:after="0"/>
              <w:rPr>
                <w:sz w:val="20"/>
                <w:szCs w:val="20"/>
                <w:color w:val="auto"/>
              </w:rPr>
            </w:pPr>
            <w:r>
              <w:rPr>
                <w:rFonts w:ascii="Times New Roman" w:cs="Times New Roman" w:eastAsia="Times New Roman" w:hAnsi="Times New Roman"/>
                <w:sz w:val="22"/>
                <w:szCs w:val="22"/>
                <w:color w:val="auto"/>
              </w:rPr>
              <w:t>Name: Javier Szwarcberg</w:t>
            </w:r>
          </w:p>
        </w:tc>
        <w:tc>
          <w:tcPr>
            <w:tcW w:w="0" w:type="dxa"/>
            <w:vAlign w:val="bottom"/>
          </w:tcPr>
          <w:p>
            <w:pPr>
              <w:spacing w:after="0"/>
              <w:rPr>
                <w:sz w:val="1"/>
                <w:szCs w:val="1"/>
                <w:color w:val="auto"/>
              </w:rPr>
            </w:pPr>
          </w:p>
        </w:tc>
      </w:tr>
      <w:tr>
        <w:trPr>
          <w:trHeight w:val="324"/>
        </w:trPr>
        <w:tc>
          <w:tcPr>
            <w:tcW w:w="398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Title: Managing Director</w:t>
            </w:r>
          </w:p>
        </w:tc>
        <w:tc>
          <w:tcPr>
            <w:tcW w:w="7260" w:type="dxa"/>
            <w:vAlign w:val="bottom"/>
            <w:gridSpan w:val="3"/>
            <w:vMerge w:val="restart"/>
          </w:tcPr>
          <w:p>
            <w:pPr>
              <w:ind w:left="1460"/>
              <w:spacing w:after="0"/>
              <w:rPr>
                <w:sz w:val="20"/>
                <w:szCs w:val="20"/>
                <w:color w:val="auto"/>
              </w:rPr>
            </w:pPr>
            <w:r>
              <w:rPr>
                <w:rFonts w:ascii="Times New Roman" w:cs="Times New Roman" w:eastAsia="Times New Roman" w:hAnsi="Times New Roman"/>
                <w:sz w:val="22"/>
                <w:szCs w:val="22"/>
                <w:color w:val="auto"/>
              </w:rPr>
              <w:t>Title: Chief Executive Officer</w:t>
            </w:r>
          </w:p>
        </w:tc>
        <w:tc>
          <w:tcPr>
            <w:tcW w:w="0" w:type="dxa"/>
            <w:vAlign w:val="bottom"/>
          </w:tcPr>
          <w:p>
            <w:pPr>
              <w:spacing w:after="0"/>
              <w:rPr>
                <w:sz w:val="1"/>
                <w:szCs w:val="1"/>
                <w:color w:val="auto"/>
              </w:rPr>
            </w:pPr>
          </w:p>
        </w:tc>
      </w:tr>
      <w:tr>
        <w:trPr>
          <w:trHeight w:val="135"/>
        </w:trPr>
        <w:tc>
          <w:tcPr>
            <w:tcW w:w="5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72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93"/>
        </w:trPr>
        <w:tc>
          <w:tcPr>
            <w:tcW w:w="5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35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93" w:name="page94"/>
    <w:bookmarkEnd w:id="93"/>
    <w:p>
      <w:pPr>
        <w:jc w:val="center"/>
        <w:ind w:right="180"/>
        <w:spacing w:after="0"/>
        <w:rPr>
          <w:sz w:val="20"/>
          <w:szCs w:val="20"/>
          <w:color w:val="auto"/>
        </w:rPr>
      </w:pPr>
      <w:r>
        <w:rPr>
          <w:rFonts w:ascii="Times New Roman" w:cs="Times New Roman" w:eastAsia="Times New Roman" w:hAnsi="Times New Roman"/>
          <w:sz w:val="18"/>
          <w:szCs w:val="18"/>
          <w:b w:val="1"/>
          <w:bCs w:val="1"/>
          <w:u w:val="single" w:color="auto"/>
          <w:color w:val="auto"/>
        </w:rPr>
        <w:t>EXHIBIT D</w:t>
      </w:r>
    </w:p>
    <w:p>
      <w:pPr>
        <w:spacing w:after="0" w:line="25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u w:val="single" w:color="auto"/>
          <w:color w:val="auto"/>
        </w:rPr>
        <w:t>COMPLIANCE CERTIFICATE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60"/>
        <w:spacing w:after="0"/>
        <w:tabs>
          <w:tab w:leader="none" w:pos="2660" w:val="left"/>
          <w:tab w:leader="none" w:pos="3420" w:val="left"/>
        </w:tabs>
        <w:rPr>
          <w:sz w:val="20"/>
          <w:szCs w:val="20"/>
          <w:color w:val="auto"/>
        </w:rPr>
      </w:pPr>
      <w:r>
        <w:rPr>
          <w:rFonts w:ascii="Times New Roman" w:cs="Times New Roman" w:eastAsia="Times New Roman" w:hAnsi="Times New Roman"/>
          <w:sz w:val="18"/>
          <w:szCs w:val="18"/>
          <w:color w:val="auto"/>
        </w:rPr>
        <w:t>TO: SILICON VALLEY BANK</w:t>
        <w:tab/>
        <w:t>Date:</w:t>
      </w:r>
      <w:r>
        <w:rPr>
          <w:sz w:val="20"/>
          <w:szCs w:val="20"/>
          <w:color w:val="auto"/>
        </w:rPr>
        <w:tab/>
      </w:r>
      <w:r>
        <w:rPr>
          <w:rFonts w:ascii="Times New Roman" w:cs="Times New Roman" w:eastAsia="Times New Roman" w:hAnsi="Times New Roman"/>
          <w:sz w:val="18"/>
          <w:szCs w:val="18"/>
          <w:color w:val="auto"/>
        </w:rPr>
        <w:t>FROM: SPRUCE BIOSCIENCES,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1972945</wp:posOffset>
            </wp:positionH>
            <wp:positionV relativeFrom="paragraph">
              <wp:posOffset>-7620</wp:posOffset>
            </wp:positionV>
            <wp:extent cx="18097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7">
                      <a:extLst>
                        <a:ext uri="{28A0092B-C50C-407E-A947-70E740481C1C}"/>
                      </a:extLst>
                    </a:blip>
                    <a:srcRect/>
                    <a:stretch>
                      <a:fillRect/>
                    </a:stretch>
                  </pic:blipFill>
                  <pic:spPr bwMode="auto">
                    <a:xfrm>
                      <a:off x="0" y="0"/>
                      <a:ext cx="180975" cy="8255"/>
                    </a:xfrm>
                    <a:prstGeom prst="rect">
                      <a:avLst/>
                    </a:prstGeom>
                    <a:noFill/>
                  </pic:spPr>
                </pic:pic>
              </a:graphicData>
            </a:graphic>
          </wp:anchor>
        </w:drawing>
      </w:r>
    </w:p>
    <w:p>
      <w:pPr>
        <w:spacing w:after="0" w:line="300" w:lineRule="exact"/>
        <w:rPr>
          <w:sz w:val="20"/>
          <w:szCs w:val="20"/>
          <w:color w:val="auto"/>
        </w:rPr>
      </w:pPr>
    </w:p>
    <w:p>
      <w:pPr>
        <w:jc w:val="both"/>
        <w:ind w:left="160" w:right="320" w:firstLine="374"/>
        <w:spacing w:after="0" w:line="250" w:lineRule="auto"/>
        <w:rPr>
          <w:sz w:val="20"/>
          <w:szCs w:val="20"/>
          <w:color w:val="auto"/>
        </w:rPr>
      </w:pPr>
      <w:r>
        <w:rPr>
          <w:rFonts w:ascii="Times New Roman" w:cs="Times New Roman" w:eastAsia="Times New Roman" w:hAnsi="Times New Roman"/>
          <w:sz w:val="18"/>
          <w:szCs w:val="18"/>
          <w:color w:val="auto"/>
        </w:rPr>
        <w:t>Under the terms and conditions of the Loan and Security Agreement between Borrower and Bank dated as of the Effective Date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Borrower is in complete compliance for the period ending _ with all required covenants except as noted below</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Attached are the required documents evidencing such compliance, except as explained in an accompanying letter or footnotes. Capitalized terms used but not otherwise defined herein shall have the meanings given them in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3594735</wp:posOffset>
            </wp:positionH>
            <wp:positionV relativeFrom="paragraph">
              <wp:posOffset>-295275</wp:posOffset>
            </wp:positionV>
            <wp:extent cx="18415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8">
                      <a:extLst>
                        <a:ext uri="{28A0092B-C50C-407E-A947-70E740481C1C}"/>
                      </a:extLst>
                    </a:blip>
                    <a:srcRect/>
                    <a:stretch>
                      <a:fillRect/>
                    </a:stretch>
                  </pic:blipFill>
                  <pic:spPr bwMode="auto">
                    <a:xfrm>
                      <a:off x="0" y="0"/>
                      <a:ext cx="184150" cy="8255"/>
                    </a:xfrm>
                    <a:prstGeom prst="rect">
                      <a:avLst/>
                    </a:prstGeom>
                    <a:noFill/>
                  </pic:spPr>
                </pic:pic>
              </a:graphicData>
            </a:graphic>
          </wp:anchor>
        </w:drawing>
      </w:r>
    </w:p>
    <w:p>
      <w:pPr>
        <w:spacing w:after="0" w:line="2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Please indicate compliance status by circling Yes/No under “Complies” column.</w:t>
      </w:r>
    </w:p>
    <w:p>
      <w:pPr>
        <w:spacing w:after="0" w:line="319" w:lineRule="exact"/>
        <w:rPr>
          <w:sz w:val="20"/>
          <w:szCs w:val="20"/>
          <w:color w:val="auto"/>
        </w:rPr>
      </w:pPr>
    </w:p>
    <w:tbl>
      <w:tblPr>
        <w:tblLayout w:type="fixed"/>
        <w:tblInd w:w="250" w:type="dxa"/>
        <w:tblCellMar>
          <w:top w:w="0" w:type="dxa"/>
          <w:left w:w="0" w:type="dxa"/>
          <w:bottom w:w="0" w:type="dxa"/>
          <w:right w:w="0" w:type="dxa"/>
        </w:tblCellMar>
      </w:tblPr>
      <w:tr>
        <w:trPr>
          <w:trHeight w:val="192"/>
        </w:trPr>
        <w:tc>
          <w:tcPr>
            <w:tcW w:w="5300" w:type="dxa"/>
            <w:vAlign w:val="bottom"/>
            <w:tcBorders>
              <w:top w:val="single" w:sz="8" w:color="auto"/>
              <w:left w:val="single" w:sz="8" w:color="auto"/>
              <w:right w:val="single" w:sz="8" w:color="auto"/>
            </w:tcBorders>
            <w:gridSpan w:val="3"/>
          </w:tcPr>
          <w:p>
            <w:pPr>
              <w:ind w:left="120"/>
              <w:spacing w:after="0" w:line="192" w:lineRule="exact"/>
              <w:rPr>
                <w:sz w:val="20"/>
                <w:szCs w:val="20"/>
                <w:color w:val="auto"/>
              </w:rPr>
            </w:pPr>
            <w:r>
              <w:rPr>
                <w:rFonts w:ascii="Times New Roman" w:cs="Times New Roman" w:eastAsia="Times New Roman" w:hAnsi="Times New Roman"/>
                <w:sz w:val="18"/>
                <w:szCs w:val="18"/>
                <w:b w:val="1"/>
                <w:bCs w:val="1"/>
                <w:color w:val="auto"/>
              </w:rPr>
              <w:t>Reporting Covenants</w:t>
            </w:r>
          </w:p>
        </w:tc>
        <w:tc>
          <w:tcPr>
            <w:tcW w:w="1600" w:type="dxa"/>
            <w:vAlign w:val="bottom"/>
            <w:tcBorders>
              <w:top w:val="single" w:sz="8" w:color="auto"/>
            </w:tcBorders>
          </w:tcPr>
          <w:p>
            <w:pPr>
              <w:spacing w:after="0"/>
              <w:rPr>
                <w:sz w:val="16"/>
                <w:szCs w:val="16"/>
                <w:color w:val="auto"/>
              </w:rPr>
            </w:pPr>
          </w:p>
        </w:tc>
        <w:tc>
          <w:tcPr>
            <w:tcW w:w="2360" w:type="dxa"/>
            <w:vAlign w:val="bottom"/>
            <w:tcBorders>
              <w:top w:val="single" w:sz="8" w:color="auto"/>
              <w:right w:val="single" w:sz="8" w:color="auto"/>
            </w:tcBorders>
            <w:gridSpan w:val="2"/>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Required</w:t>
            </w:r>
          </w:p>
        </w:tc>
        <w:tc>
          <w:tcPr>
            <w:tcW w:w="1640" w:type="dxa"/>
            <w:vAlign w:val="bottom"/>
            <w:tcBorders>
              <w:top w:val="single" w:sz="8" w:color="auto"/>
              <w:right w:val="single" w:sz="8" w:color="auto"/>
            </w:tcBorders>
            <w:gridSpan w:val="4"/>
          </w:tcPr>
          <w:p>
            <w:pPr>
              <w:jc w:val="center"/>
              <w:ind w:right="240"/>
              <w:spacing w:after="0" w:line="192" w:lineRule="exact"/>
              <w:rPr>
                <w:sz w:val="20"/>
                <w:szCs w:val="20"/>
                <w:color w:val="auto"/>
              </w:rPr>
            </w:pPr>
            <w:r>
              <w:rPr>
                <w:rFonts w:ascii="Times New Roman" w:cs="Times New Roman" w:eastAsia="Times New Roman" w:hAnsi="Times New Roman"/>
                <w:sz w:val="18"/>
                <w:szCs w:val="18"/>
                <w:b w:val="1"/>
                <w:bCs w:val="1"/>
                <w:color w:val="auto"/>
                <w:w w:val="99"/>
              </w:rPr>
              <w:t>Complies</w:t>
            </w:r>
          </w:p>
        </w:tc>
      </w:tr>
      <w:tr>
        <w:trPr>
          <w:trHeight w:val="31"/>
        </w:trPr>
        <w:tc>
          <w:tcPr>
            <w:tcW w:w="120" w:type="dxa"/>
            <w:vAlign w:val="bottom"/>
            <w:tcBorders>
              <w:left w:val="single" w:sz="8" w:color="auto"/>
              <w:bottom w:val="single" w:sz="8" w:color="auto"/>
            </w:tcBorders>
          </w:tcPr>
          <w:p>
            <w:pPr>
              <w:spacing w:after="0"/>
              <w:rPr>
                <w:sz w:val="2"/>
                <w:szCs w:val="2"/>
                <w:color w:val="auto"/>
              </w:rPr>
            </w:pPr>
          </w:p>
        </w:tc>
        <w:tc>
          <w:tcPr>
            <w:tcW w:w="1640" w:type="dxa"/>
            <w:vAlign w:val="bottom"/>
            <w:tcBorders>
              <w:top w:val="single" w:sz="8" w:color="auto"/>
              <w:bottom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r>
      <w:tr>
        <w:trPr>
          <w:trHeight w:val="199"/>
        </w:trPr>
        <w:tc>
          <w:tcPr>
            <w:tcW w:w="120" w:type="dxa"/>
            <w:vAlign w:val="bottom"/>
            <w:tcBorders>
              <w:left w:val="single" w:sz="8" w:color="auto"/>
              <w:bottom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3540" w:type="dxa"/>
            <w:vAlign w:val="bottom"/>
            <w:tcBorders>
              <w:bottom w:val="single" w:sz="8" w:color="auto"/>
              <w:right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40" w:type="dxa"/>
            <w:vAlign w:val="bottom"/>
            <w:tcBorders>
              <w:bottom w:val="single" w:sz="8" w:color="auto"/>
              <w:right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spacing w:after="0"/>
              <w:rPr>
                <w:sz w:val="17"/>
                <w:szCs w:val="17"/>
                <w:color w:val="auto"/>
              </w:rPr>
            </w:pPr>
          </w:p>
        </w:tc>
      </w:tr>
      <w:tr>
        <w:trPr>
          <w:trHeight w:val="178"/>
        </w:trPr>
        <w:tc>
          <w:tcPr>
            <w:tcW w:w="5300" w:type="dxa"/>
            <w:vAlign w:val="bottom"/>
            <w:tcBorders>
              <w:left w:val="single" w:sz="8" w:color="auto"/>
              <w:right w:val="single" w:sz="8" w:color="auto"/>
            </w:tcBorders>
            <w:gridSpan w:val="3"/>
          </w:tcPr>
          <w:p>
            <w:pPr>
              <w:ind w:left="120"/>
              <w:spacing w:after="0" w:line="177" w:lineRule="exact"/>
              <w:rPr>
                <w:sz w:val="20"/>
                <w:szCs w:val="20"/>
                <w:color w:val="auto"/>
              </w:rPr>
            </w:pPr>
            <w:r>
              <w:rPr>
                <w:rFonts w:ascii="Times New Roman" w:cs="Times New Roman" w:eastAsia="Times New Roman" w:hAnsi="Times New Roman"/>
                <w:sz w:val="18"/>
                <w:szCs w:val="18"/>
                <w:color w:val="auto"/>
              </w:rPr>
              <w:t>Quarterly 10-Q with financial statements (consolidated balance sheet,</w:t>
            </w:r>
          </w:p>
        </w:tc>
        <w:tc>
          <w:tcPr>
            <w:tcW w:w="3960" w:type="dxa"/>
            <w:vAlign w:val="bottom"/>
            <w:tcBorders>
              <w:right w:val="single" w:sz="8" w:color="auto"/>
            </w:tcBorders>
            <w:gridSpan w:val="3"/>
          </w:tcPr>
          <w:p>
            <w:pPr>
              <w:ind w:left="80"/>
              <w:spacing w:after="0" w:line="177" w:lineRule="exact"/>
              <w:rPr>
                <w:sz w:val="20"/>
                <w:szCs w:val="20"/>
                <w:color w:val="auto"/>
              </w:rPr>
            </w:pPr>
            <w:r>
              <w:rPr>
                <w:rFonts w:ascii="Times New Roman" w:cs="Times New Roman" w:eastAsia="Times New Roman" w:hAnsi="Times New Roman"/>
                <w:sz w:val="18"/>
                <w:szCs w:val="18"/>
                <w:color w:val="auto"/>
              </w:rPr>
              <w:t>Within 45 days of quarter end</w:t>
            </w:r>
          </w:p>
        </w:tc>
        <w:tc>
          <w:tcPr>
            <w:tcW w:w="340" w:type="dxa"/>
            <w:vAlign w:val="bottom"/>
          </w:tcPr>
          <w:p>
            <w:pPr>
              <w:spacing w:after="0"/>
              <w:rPr>
                <w:sz w:val="15"/>
                <w:szCs w:val="15"/>
                <w:color w:val="auto"/>
              </w:rPr>
            </w:pPr>
          </w:p>
        </w:tc>
        <w:tc>
          <w:tcPr>
            <w:tcW w:w="540" w:type="dxa"/>
            <w:vAlign w:val="bottom"/>
          </w:tcPr>
          <w:p>
            <w:pPr>
              <w:jc w:val="center"/>
              <w:ind w:left="90"/>
              <w:spacing w:after="0" w:line="177" w:lineRule="exact"/>
              <w:rPr>
                <w:sz w:val="20"/>
                <w:szCs w:val="20"/>
                <w:color w:val="auto"/>
              </w:rPr>
            </w:pPr>
            <w:r>
              <w:rPr>
                <w:rFonts w:ascii="Times New Roman" w:cs="Times New Roman" w:eastAsia="Times New Roman" w:hAnsi="Times New Roman"/>
                <w:sz w:val="18"/>
                <w:szCs w:val="18"/>
                <w:color w:val="auto"/>
                <w:w w:val="99"/>
              </w:rPr>
              <w:t>Yes</w:t>
            </w:r>
          </w:p>
        </w:tc>
        <w:tc>
          <w:tcPr>
            <w:tcW w:w="760" w:type="dxa"/>
            <w:vAlign w:val="bottom"/>
            <w:tcBorders>
              <w:right w:val="single" w:sz="8" w:color="auto"/>
            </w:tcBorders>
            <w:gridSpan w:val="2"/>
          </w:tcPr>
          <w:p>
            <w:pPr>
              <w:ind w:left="100"/>
              <w:spacing w:after="0" w:line="177" w:lineRule="exact"/>
              <w:rPr>
                <w:sz w:val="20"/>
                <w:szCs w:val="20"/>
                <w:color w:val="auto"/>
              </w:rPr>
            </w:pPr>
            <w:r>
              <w:rPr>
                <w:rFonts w:ascii="Times New Roman" w:cs="Times New Roman" w:eastAsia="Times New Roman" w:hAnsi="Times New Roman"/>
                <w:sz w:val="18"/>
                <w:szCs w:val="18"/>
                <w:color w:val="auto"/>
              </w:rPr>
              <w:t>No</w:t>
            </w:r>
          </w:p>
        </w:tc>
      </w:tr>
      <w:tr>
        <w:trPr>
          <w:trHeight w:val="243"/>
        </w:trPr>
        <w:tc>
          <w:tcPr>
            <w:tcW w:w="530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statement of cash flows, and income statement) with Compliance</w:t>
            </w:r>
          </w:p>
        </w:tc>
        <w:tc>
          <w:tcPr>
            <w:tcW w:w="396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(except for the last quarter of each FY)</w:t>
            </w: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Borders>
              <w:right w:val="single" w:sz="8" w:color="auto"/>
            </w:tcBorders>
          </w:tcPr>
          <w:p>
            <w:pPr>
              <w:spacing w:after="0"/>
              <w:rPr>
                <w:sz w:val="21"/>
                <w:szCs w:val="21"/>
                <w:color w:val="auto"/>
              </w:rPr>
            </w:pPr>
          </w:p>
        </w:tc>
      </w:tr>
      <w:tr>
        <w:trPr>
          <w:trHeight w:val="241"/>
        </w:trPr>
        <w:tc>
          <w:tcPr>
            <w:tcW w:w="530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Statement</w:t>
            </w:r>
          </w:p>
        </w:tc>
        <w:tc>
          <w:tcPr>
            <w:tcW w:w="16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640" w:type="dxa"/>
            <w:vAlign w:val="bottom"/>
            <w:tcBorders>
              <w:bottom w:val="single" w:sz="8" w:color="auto"/>
              <w:right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r>
      <w:tr>
        <w:trPr>
          <w:trHeight w:val="229"/>
        </w:trPr>
        <w:tc>
          <w:tcPr>
            <w:tcW w:w="530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Annual 10-K with financial statement (CPA Audited) + CS</w:t>
            </w:r>
          </w:p>
        </w:tc>
        <w:tc>
          <w:tcPr>
            <w:tcW w:w="396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Within 90 days of FYE</w:t>
            </w:r>
          </w:p>
        </w:tc>
        <w:tc>
          <w:tcPr>
            <w:tcW w:w="3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Yes</w:t>
            </w:r>
          </w:p>
        </w:tc>
        <w:tc>
          <w:tcPr>
            <w:tcW w:w="76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No</w:t>
            </w:r>
          </w:p>
        </w:tc>
      </w:tr>
      <w:tr>
        <w:trPr>
          <w:trHeight w:val="228"/>
        </w:trPr>
        <w:tc>
          <w:tcPr>
            <w:tcW w:w="530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Annual Projections</w:t>
            </w:r>
          </w:p>
        </w:tc>
        <w:tc>
          <w:tcPr>
            <w:tcW w:w="396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FYE within 30 days; and more frequently as updated</w:t>
            </w:r>
          </w:p>
        </w:tc>
        <w:tc>
          <w:tcPr>
            <w:tcW w:w="340" w:type="dxa"/>
            <w:vAlign w:val="bottom"/>
          </w:tcPr>
          <w:p>
            <w:pPr>
              <w:spacing w:after="0"/>
              <w:rPr>
                <w:sz w:val="19"/>
                <w:szCs w:val="19"/>
                <w:color w:val="auto"/>
              </w:rPr>
            </w:pPr>
          </w:p>
        </w:tc>
        <w:tc>
          <w:tcPr>
            <w:tcW w:w="5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Yes</w:t>
            </w:r>
          </w:p>
        </w:tc>
        <w:tc>
          <w:tcPr>
            <w:tcW w:w="7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No</w:t>
            </w:r>
          </w:p>
        </w:tc>
      </w:tr>
      <w:tr>
        <w:trPr>
          <w:trHeight w:val="184"/>
        </w:trPr>
        <w:tc>
          <w:tcPr>
            <w:tcW w:w="120" w:type="dxa"/>
            <w:vAlign w:val="bottom"/>
            <w:tcBorders>
              <w:left w:val="single" w:sz="8" w:color="auto"/>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3540" w:type="dxa"/>
            <w:vAlign w:val="bottom"/>
            <w:tcBorders>
              <w:bottom w:val="single" w:sz="8" w:color="auto"/>
              <w:right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640" w:type="dxa"/>
            <w:vAlign w:val="bottom"/>
            <w:tcBorders>
              <w:bottom w:val="single" w:sz="8" w:color="auto"/>
              <w:right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right w:val="single" w:sz="8" w:color="auto"/>
            </w:tcBorders>
          </w:tcPr>
          <w:p>
            <w:pPr>
              <w:spacing w:after="0"/>
              <w:rPr>
                <w:sz w:val="16"/>
                <w:szCs w:val="16"/>
                <w:color w:val="auto"/>
              </w:rPr>
            </w:pPr>
          </w:p>
        </w:tc>
      </w:tr>
      <w:tr>
        <w:trPr>
          <w:trHeight w:val="223"/>
        </w:trPr>
        <w:tc>
          <w:tcPr>
            <w:tcW w:w="530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8-K and other filings with SEC</w:t>
            </w:r>
          </w:p>
        </w:tc>
        <w:tc>
          <w:tcPr>
            <w:tcW w:w="396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Within 5 days after filing with SEC</w:t>
            </w:r>
          </w:p>
        </w:tc>
        <w:tc>
          <w:tcPr>
            <w:tcW w:w="3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Yes</w:t>
            </w:r>
          </w:p>
        </w:tc>
        <w:tc>
          <w:tcPr>
            <w:tcW w:w="76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No</w:t>
            </w:r>
          </w:p>
        </w:tc>
      </w:tr>
      <w:tr>
        <w:trPr>
          <w:trHeight w:val="178"/>
        </w:trPr>
        <w:tc>
          <w:tcPr>
            <w:tcW w:w="5300" w:type="dxa"/>
            <w:vAlign w:val="bottom"/>
            <w:tcBorders>
              <w:left w:val="single" w:sz="8" w:color="auto"/>
              <w:right w:val="single" w:sz="8" w:color="auto"/>
            </w:tcBorders>
            <w:gridSpan w:val="3"/>
          </w:tcPr>
          <w:p>
            <w:pPr>
              <w:ind w:left="120"/>
              <w:spacing w:after="0" w:line="177" w:lineRule="exact"/>
              <w:rPr>
                <w:sz w:val="20"/>
                <w:szCs w:val="20"/>
                <w:color w:val="auto"/>
              </w:rPr>
            </w:pPr>
            <w:r>
              <w:rPr>
                <w:rFonts w:ascii="Times New Roman" w:cs="Times New Roman" w:eastAsia="Times New Roman" w:hAnsi="Times New Roman"/>
                <w:sz w:val="18"/>
                <w:szCs w:val="18"/>
                <w:color w:val="auto"/>
              </w:rPr>
              <w:t>Monthly Trial Enrollment Reports</w:t>
            </w:r>
          </w:p>
        </w:tc>
        <w:tc>
          <w:tcPr>
            <w:tcW w:w="3960" w:type="dxa"/>
            <w:vAlign w:val="bottom"/>
            <w:tcBorders>
              <w:right w:val="single" w:sz="8" w:color="auto"/>
            </w:tcBorders>
            <w:gridSpan w:val="3"/>
          </w:tcPr>
          <w:p>
            <w:pPr>
              <w:ind w:left="80"/>
              <w:spacing w:after="0" w:line="177" w:lineRule="exact"/>
              <w:rPr>
                <w:sz w:val="20"/>
                <w:szCs w:val="20"/>
                <w:color w:val="auto"/>
              </w:rPr>
            </w:pPr>
            <w:r>
              <w:rPr>
                <w:rFonts w:ascii="Times New Roman" w:cs="Times New Roman" w:eastAsia="Times New Roman" w:hAnsi="Times New Roman"/>
                <w:sz w:val="18"/>
                <w:szCs w:val="18"/>
                <w:color w:val="auto"/>
              </w:rPr>
              <w:t>Within 15 days after each month (but not required</w:t>
            </w:r>
          </w:p>
        </w:tc>
        <w:tc>
          <w:tcPr>
            <w:tcW w:w="880" w:type="dxa"/>
            <w:vAlign w:val="bottom"/>
            <w:gridSpan w:val="2"/>
          </w:tcPr>
          <w:p>
            <w:pPr>
              <w:ind w:left="280"/>
              <w:spacing w:after="0" w:line="177" w:lineRule="exact"/>
              <w:rPr>
                <w:sz w:val="20"/>
                <w:szCs w:val="20"/>
                <w:color w:val="auto"/>
              </w:rPr>
            </w:pPr>
            <w:r>
              <w:rPr>
                <w:rFonts w:ascii="Times New Roman" w:cs="Times New Roman" w:eastAsia="Times New Roman" w:hAnsi="Times New Roman"/>
                <w:sz w:val="18"/>
                <w:szCs w:val="18"/>
                <w:color w:val="auto"/>
              </w:rPr>
              <w:t>Yes</w:t>
            </w:r>
          </w:p>
        </w:tc>
        <w:tc>
          <w:tcPr>
            <w:tcW w:w="760" w:type="dxa"/>
            <w:vAlign w:val="bottom"/>
            <w:tcBorders>
              <w:right w:val="single" w:sz="8" w:color="auto"/>
            </w:tcBorders>
            <w:gridSpan w:val="2"/>
          </w:tcPr>
          <w:p>
            <w:pPr>
              <w:ind w:left="40"/>
              <w:spacing w:after="0" w:line="177" w:lineRule="exact"/>
              <w:rPr>
                <w:sz w:val="20"/>
                <w:szCs w:val="20"/>
                <w:color w:val="auto"/>
              </w:rPr>
            </w:pPr>
            <w:r>
              <w:rPr>
                <w:rFonts w:ascii="Times New Roman" w:cs="Times New Roman" w:eastAsia="Times New Roman" w:hAnsi="Times New Roman"/>
                <w:sz w:val="18"/>
                <w:szCs w:val="18"/>
                <w:color w:val="auto"/>
              </w:rPr>
              <w:t>No</w:t>
            </w:r>
          </w:p>
        </w:tc>
      </w:tr>
      <w:tr>
        <w:trPr>
          <w:trHeight w:val="189"/>
        </w:trPr>
        <w:tc>
          <w:tcPr>
            <w:tcW w:w="120" w:type="dxa"/>
            <w:vAlign w:val="bottom"/>
            <w:tcBorders>
              <w:left w:val="single" w:sz="8" w:color="auto"/>
            </w:tcBorders>
          </w:tcPr>
          <w:p>
            <w:pPr>
              <w:spacing w:after="0"/>
              <w:rPr>
                <w:sz w:val="16"/>
                <w:szCs w:val="16"/>
                <w:color w:val="auto"/>
              </w:rPr>
            </w:pPr>
          </w:p>
        </w:tc>
        <w:tc>
          <w:tcPr>
            <w:tcW w:w="1640" w:type="dxa"/>
            <w:vAlign w:val="bottom"/>
          </w:tcPr>
          <w:p>
            <w:pPr>
              <w:spacing w:after="0"/>
              <w:rPr>
                <w:sz w:val="16"/>
                <w:szCs w:val="16"/>
                <w:color w:val="auto"/>
              </w:rPr>
            </w:pPr>
          </w:p>
        </w:tc>
        <w:tc>
          <w:tcPr>
            <w:tcW w:w="3540" w:type="dxa"/>
            <w:vAlign w:val="bottom"/>
            <w:tcBorders>
              <w:right w:val="single" w:sz="8" w:color="auto"/>
            </w:tcBorders>
          </w:tcPr>
          <w:p>
            <w:pPr>
              <w:spacing w:after="0"/>
              <w:rPr>
                <w:sz w:val="16"/>
                <w:szCs w:val="16"/>
                <w:color w:val="auto"/>
              </w:rPr>
            </w:pPr>
          </w:p>
        </w:tc>
        <w:tc>
          <w:tcPr>
            <w:tcW w:w="3960" w:type="dxa"/>
            <w:vAlign w:val="bottom"/>
            <w:tcBorders>
              <w:right w:val="single" w:sz="8" w:color="auto"/>
            </w:tcBorders>
            <w:gridSpan w:val="3"/>
          </w:tcPr>
          <w:p>
            <w:pPr>
              <w:ind w:left="80"/>
              <w:spacing w:after="0" w:line="189" w:lineRule="exact"/>
              <w:rPr>
                <w:sz w:val="20"/>
                <w:szCs w:val="20"/>
                <w:color w:val="auto"/>
              </w:rPr>
            </w:pPr>
            <w:r>
              <w:rPr>
                <w:rFonts w:ascii="Times New Roman" w:cs="Times New Roman" w:eastAsia="Times New Roman" w:hAnsi="Times New Roman"/>
                <w:sz w:val="18"/>
                <w:szCs w:val="18"/>
                <w:color w:val="auto"/>
              </w:rPr>
              <w:t>after 12/31/22 if no Supplemental Term Loan under</w:t>
            </w: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r>
      <w:tr>
        <w:trPr>
          <w:trHeight w:val="234"/>
        </w:trPr>
        <w:tc>
          <w:tcPr>
            <w:tcW w:w="120" w:type="dxa"/>
            <w:vAlign w:val="bottom"/>
            <w:tcBorders>
              <w:left w:val="single" w:sz="8" w:color="auto"/>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3540" w:type="dxa"/>
            <w:vAlign w:val="bottom"/>
            <w:tcBorders>
              <w:bottom w:val="single" w:sz="8" w:color="auto"/>
              <w:right w:val="single" w:sz="8" w:color="auto"/>
            </w:tcBorders>
          </w:tcPr>
          <w:p>
            <w:pPr>
              <w:spacing w:after="0"/>
              <w:rPr>
                <w:sz w:val="20"/>
                <w:szCs w:val="20"/>
                <w:color w:val="auto"/>
              </w:rPr>
            </w:pPr>
          </w:p>
        </w:tc>
        <w:tc>
          <w:tcPr>
            <w:tcW w:w="396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the Supplemental Second Tranche is made)</w:t>
            </w:r>
          </w:p>
        </w:tc>
        <w:tc>
          <w:tcPr>
            <w:tcW w:w="3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r>
    </w:tbl>
    <w:p>
      <w:pPr>
        <w:spacing w:after="0" w:line="200" w:lineRule="exact"/>
        <w:rPr>
          <w:sz w:val="20"/>
          <w:szCs w:val="20"/>
          <w:color w:val="auto"/>
        </w:rPr>
      </w:pPr>
    </w:p>
    <w:p>
      <w:pPr>
        <w:spacing w:after="0" w:line="222" w:lineRule="exact"/>
        <w:rPr>
          <w:sz w:val="20"/>
          <w:szCs w:val="20"/>
          <w:color w:val="auto"/>
        </w:rPr>
      </w:pPr>
    </w:p>
    <w:tbl>
      <w:tblPr>
        <w:tblLayout w:type="fixed"/>
        <w:tblInd w:w="10" w:type="dxa"/>
        <w:tblCellMar>
          <w:top w:w="0" w:type="dxa"/>
          <w:left w:w="0" w:type="dxa"/>
          <w:bottom w:w="0" w:type="dxa"/>
          <w:right w:w="0" w:type="dxa"/>
        </w:tblCellMar>
      </w:tblPr>
      <w:tr>
        <w:trPr>
          <w:trHeight w:val="206"/>
        </w:trPr>
        <w:tc>
          <w:tcPr>
            <w:tcW w:w="5640" w:type="dxa"/>
            <w:vAlign w:val="bottom"/>
            <w:tcBorders>
              <w:top w:val="single" w:sz="8" w:color="auto"/>
              <w:left w:val="single" w:sz="8" w:color="auto"/>
              <w:right w:val="single" w:sz="8" w:color="auto"/>
            </w:tcBorders>
            <w:gridSpan w:val="5"/>
          </w:tcPr>
          <w:p>
            <w:pPr>
              <w:ind w:left="120"/>
              <w:spacing w:after="0" w:line="206" w:lineRule="exact"/>
              <w:rPr>
                <w:sz w:val="20"/>
                <w:szCs w:val="20"/>
                <w:color w:val="auto"/>
              </w:rPr>
            </w:pPr>
            <w:r>
              <w:rPr>
                <w:rFonts w:ascii="Times New Roman" w:cs="Times New Roman" w:eastAsia="Times New Roman" w:hAnsi="Times New Roman"/>
                <w:sz w:val="18"/>
                <w:szCs w:val="18"/>
                <w:b w:val="1"/>
                <w:bCs w:val="1"/>
                <w:color w:val="auto"/>
              </w:rPr>
              <w:t>Liquidity Requirement</w:t>
            </w:r>
          </w:p>
        </w:tc>
        <w:tc>
          <w:tcPr>
            <w:tcW w:w="2140" w:type="dxa"/>
            <w:vAlign w:val="bottom"/>
            <w:tcBorders>
              <w:top w:val="single" w:sz="8" w:color="auto"/>
              <w:right w:val="single" w:sz="8" w:color="auto"/>
            </w:tcBorders>
            <w:gridSpan w:val="4"/>
          </w:tcPr>
          <w:p>
            <w:pPr>
              <w:ind w:left="80"/>
              <w:spacing w:after="0" w:line="206" w:lineRule="exact"/>
              <w:rPr>
                <w:sz w:val="20"/>
                <w:szCs w:val="20"/>
                <w:color w:val="auto"/>
              </w:rPr>
            </w:pPr>
            <w:r>
              <w:rPr>
                <w:rFonts w:ascii="Times New Roman" w:cs="Times New Roman" w:eastAsia="Times New Roman" w:hAnsi="Times New Roman"/>
                <w:sz w:val="18"/>
                <w:szCs w:val="18"/>
                <w:b w:val="1"/>
                <w:bCs w:val="1"/>
                <w:color w:val="auto"/>
              </w:rPr>
              <w:t>Required</w:t>
            </w:r>
          </w:p>
        </w:tc>
        <w:tc>
          <w:tcPr>
            <w:tcW w:w="1460" w:type="dxa"/>
            <w:vAlign w:val="bottom"/>
            <w:tcBorders>
              <w:top w:val="single" w:sz="8" w:color="auto"/>
              <w:right w:val="single" w:sz="8" w:color="auto"/>
            </w:tcBorders>
            <w:gridSpan w:val="3"/>
          </w:tcPr>
          <w:p>
            <w:pPr>
              <w:ind w:left="100"/>
              <w:spacing w:after="0" w:line="206" w:lineRule="exact"/>
              <w:rPr>
                <w:sz w:val="20"/>
                <w:szCs w:val="20"/>
                <w:color w:val="auto"/>
              </w:rPr>
            </w:pPr>
            <w:r>
              <w:rPr>
                <w:rFonts w:ascii="Times New Roman" w:cs="Times New Roman" w:eastAsia="Times New Roman" w:hAnsi="Times New Roman"/>
                <w:sz w:val="18"/>
                <w:szCs w:val="18"/>
                <w:b w:val="1"/>
                <w:bCs w:val="1"/>
                <w:color w:val="auto"/>
              </w:rPr>
              <w:t>Actual</w:t>
            </w:r>
          </w:p>
        </w:tc>
        <w:tc>
          <w:tcPr>
            <w:tcW w:w="640" w:type="dxa"/>
            <w:vAlign w:val="bottom"/>
            <w:tcBorders>
              <w:top w:val="single" w:sz="8" w:color="auto"/>
            </w:tcBorders>
          </w:tcPr>
          <w:p>
            <w:pPr>
              <w:spacing w:after="0"/>
              <w:rPr>
                <w:sz w:val="17"/>
                <w:szCs w:val="17"/>
                <w:color w:val="auto"/>
              </w:rPr>
            </w:pPr>
          </w:p>
        </w:tc>
        <w:tc>
          <w:tcPr>
            <w:tcW w:w="1360" w:type="dxa"/>
            <w:vAlign w:val="bottom"/>
            <w:tcBorders>
              <w:top w:val="single" w:sz="8" w:color="auto"/>
              <w:right w:val="single" w:sz="8" w:color="auto"/>
            </w:tcBorders>
            <w:gridSpan w:val="2"/>
          </w:tcPr>
          <w:p>
            <w:pPr>
              <w:jc w:val="center"/>
              <w:ind w:right="550"/>
              <w:spacing w:after="0" w:line="206" w:lineRule="exact"/>
              <w:rPr>
                <w:sz w:val="20"/>
                <w:szCs w:val="20"/>
                <w:color w:val="auto"/>
              </w:rPr>
            </w:pPr>
            <w:r>
              <w:rPr>
                <w:rFonts w:ascii="Times New Roman" w:cs="Times New Roman" w:eastAsia="Times New Roman" w:hAnsi="Times New Roman"/>
                <w:sz w:val="18"/>
                <w:szCs w:val="18"/>
                <w:b w:val="1"/>
                <w:bCs w:val="1"/>
                <w:color w:val="auto"/>
                <w:w w:val="99"/>
              </w:rPr>
              <w:t>Complies</w:t>
            </w:r>
          </w:p>
        </w:tc>
        <w:tc>
          <w:tcPr>
            <w:tcW w:w="0" w:type="dxa"/>
            <w:vAlign w:val="bottom"/>
          </w:tcPr>
          <w:p>
            <w:pPr>
              <w:spacing w:after="0"/>
              <w:rPr>
                <w:sz w:val="1"/>
                <w:szCs w:val="1"/>
                <w:color w:val="auto"/>
              </w:rPr>
            </w:pPr>
          </w:p>
        </w:tc>
      </w:tr>
      <w:tr>
        <w:trPr>
          <w:trHeight w:val="31"/>
        </w:trPr>
        <w:tc>
          <w:tcPr>
            <w:tcW w:w="120" w:type="dxa"/>
            <w:vAlign w:val="bottom"/>
            <w:tcBorders>
              <w:left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120" w:type="dxa"/>
            <w:vAlign w:val="bottom"/>
            <w:tcBorders>
              <w:left w:val="single" w:sz="8" w:color="auto"/>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74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640" w:type="dxa"/>
            <w:vAlign w:val="bottom"/>
            <w:tcBorders>
              <w:left w:val="single" w:sz="8" w:color="auto"/>
              <w:bottom w:val="single" w:sz="8" w:color="auto"/>
              <w:right w:val="single" w:sz="8" w:color="auto"/>
            </w:tcBorders>
            <w:gridSpan w:val="5"/>
          </w:tcPr>
          <w:p>
            <w:pPr>
              <w:ind w:left="120"/>
              <w:spacing w:after="0"/>
              <w:rPr>
                <w:sz w:val="20"/>
                <w:szCs w:val="20"/>
                <w:color w:val="auto"/>
              </w:rPr>
            </w:pPr>
            <w:r>
              <w:rPr>
                <w:rFonts w:ascii="Times New Roman" w:cs="Times New Roman" w:eastAsia="Times New Roman" w:hAnsi="Times New Roman"/>
                <w:sz w:val="18"/>
                <w:szCs w:val="18"/>
                <w:color w:val="auto"/>
              </w:rPr>
              <w:t>Maintain at all times (as set forth in Section 6.12):</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5640" w:type="dxa"/>
            <w:vAlign w:val="bottom"/>
            <w:tcBorders>
              <w:left w:val="single" w:sz="8" w:color="auto"/>
              <w:right w:val="single" w:sz="8" w:color="auto"/>
            </w:tcBorders>
            <w:gridSpan w:val="5"/>
          </w:tcPr>
          <w:p>
            <w:pPr>
              <w:ind w:left="120"/>
              <w:spacing w:after="0" w:line="187" w:lineRule="exact"/>
              <w:rPr>
                <w:sz w:val="20"/>
                <w:szCs w:val="20"/>
                <w:color w:val="auto"/>
              </w:rPr>
            </w:pPr>
            <w:r>
              <w:rPr>
                <w:rFonts w:ascii="Times New Roman" w:cs="Times New Roman" w:eastAsia="Times New Roman" w:hAnsi="Times New Roman"/>
                <w:sz w:val="18"/>
                <w:szCs w:val="18"/>
                <w:color w:val="auto"/>
              </w:rPr>
              <w:t>Liquidity</w:t>
            </w:r>
          </w:p>
        </w:tc>
        <w:tc>
          <w:tcPr>
            <w:tcW w:w="2140" w:type="dxa"/>
            <w:vAlign w:val="bottom"/>
            <w:tcBorders>
              <w:right w:val="single" w:sz="8" w:color="auto"/>
            </w:tcBorders>
            <w:gridSpan w:val="4"/>
          </w:tcPr>
          <w:p>
            <w:pPr>
              <w:ind w:left="80"/>
              <w:spacing w:after="0" w:line="187" w:lineRule="exact"/>
              <w:rPr>
                <w:sz w:val="20"/>
                <w:szCs w:val="20"/>
                <w:color w:val="auto"/>
              </w:rPr>
            </w:pPr>
            <w:r>
              <w:rPr>
                <w:rFonts w:ascii="Times New Roman" w:cs="Times New Roman" w:eastAsia="Times New Roman" w:hAnsi="Times New Roman"/>
                <w:sz w:val="18"/>
                <w:szCs w:val="18"/>
                <w:color w:val="auto"/>
              </w:rPr>
              <w:t>&gt;$50,000,000.00</w:t>
            </w:r>
          </w:p>
        </w:tc>
        <w:tc>
          <w:tcPr>
            <w:tcW w:w="1460" w:type="dxa"/>
            <w:vAlign w:val="bottom"/>
            <w:tcBorders>
              <w:right w:val="single" w:sz="8" w:color="auto"/>
            </w:tcBorders>
            <w:gridSpan w:val="3"/>
          </w:tcPr>
          <w:p>
            <w:pPr>
              <w:ind w:left="100"/>
              <w:spacing w:after="0" w:line="187" w:lineRule="exact"/>
              <w:rPr>
                <w:sz w:val="20"/>
                <w:szCs w:val="20"/>
                <w:color w:val="auto"/>
              </w:rPr>
            </w:pPr>
            <w:r>
              <w:rPr>
                <w:rFonts w:ascii="Times New Roman" w:cs="Times New Roman" w:eastAsia="Times New Roman" w:hAnsi="Times New Roman"/>
                <w:sz w:val="18"/>
                <w:szCs w:val="18"/>
                <w:color w:val="auto"/>
              </w:rPr>
              <w:t>$_________</w:t>
            </w:r>
          </w:p>
        </w:tc>
        <w:tc>
          <w:tcPr>
            <w:tcW w:w="640" w:type="dxa"/>
            <w:vAlign w:val="bottom"/>
          </w:tcPr>
          <w:p>
            <w:pPr>
              <w:spacing w:after="0"/>
              <w:rPr>
                <w:sz w:val="16"/>
                <w:szCs w:val="16"/>
                <w:color w:val="auto"/>
              </w:rPr>
            </w:pPr>
          </w:p>
        </w:tc>
        <w:tc>
          <w:tcPr>
            <w:tcW w:w="1360" w:type="dxa"/>
            <w:vAlign w:val="bottom"/>
            <w:tcBorders>
              <w:right w:val="single" w:sz="8" w:color="auto"/>
            </w:tcBorders>
            <w:gridSpan w:val="2"/>
          </w:tcPr>
          <w:p>
            <w:pPr>
              <w:jc w:val="center"/>
              <w:ind w:right="570"/>
              <w:spacing w:after="0" w:line="187" w:lineRule="exact"/>
              <w:rPr>
                <w:sz w:val="20"/>
                <w:szCs w:val="20"/>
                <w:color w:val="auto"/>
              </w:rPr>
            </w:pPr>
            <w:r>
              <w:rPr>
                <w:rFonts w:ascii="Times New Roman" w:cs="Times New Roman" w:eastAsia="Times New Roman" w:hAnsi="Times New Roman"/>
                <w:sz w:val="18"/>
                <w:szCs w:val="18"/>
                <w:color w:val="auto"/>
              </w:rPr>
              <w:t>Yes No</w:t>
            </w:r>
          </w:p>
        </w:tc>
        <w:tc>
          <w:tcPr>
            <w:tcW w:w="0" w:type="dxa"/>
            <w:vAlign w:val="bottom"/>
          </w:tcPr>
          <w:p>
            <w:pPr>
              <w:spacing w:after="0"/>
              <w:rPr>
                <w:sz w:val="1"/>
                <w:szCs w:val="1"/>
                <w:color w:val="auto"/>
              </w:rPr>
            </w:pPr>
          </w:p>
        </w:tc>
      </w:tr>
      <w:tr>
        <w:trPr>
          <w:trHeight w:val="34"/>
        </w:trPr>
        <w:tc>
          <w:tcPr>
            <w:tcW w:w="120" w:type="dxa"/>
            <w:vAlign w:val="bottom"/>
            <w:tcBorders>
              <w:left w:val="single" w:sz="8" w:color="auto"/>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88"/>
        </w:trPr>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Other Matters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7980" w:type="dxa"/>
            <w:vAlign w:val="bottom"/>
            <w:gridSpan w:val="9"/>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Have there been any amendments of or other changes to the Operating Documents of Borrower or any of its</w:t>
            </w:r>
          </w:p>
        </w:tc>
        <w:tc>
          <w:tcPr>
            <w:tcW w:w="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Yes</w:t>
            </w:r>
          </w:p>
        </w:tc>
        <w:tc>
          <w:tcPr>
            <w:tcW w:w="720" w:type="dxa"/>
            <w:vAlign w:val="bottom"/>
          </w:tcPr>
          <w:p>
            <w:pPr>
              <w:spacing w:after="0"/>
              <w:rPr>
                <w:sz w:val="24"/>
                <w:szCs w:val="24"/>
                <w:color w:val="auto"/>
              </w:rPr>
            </w:pP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No</w:t>
            </w: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2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9"/>
              </w:rPr>
              <w:t>Subsidiaries? If yes, provide copies of any such amendments or changes with this Compliance Statement.</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89"/>
        </w:trPr>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Have there been any material amendments of or other material changes to the capitalization table of Borrower or any of</w:t>
            </w: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80" w:type="dxa"/>
            <w:vAlign w:val="bottom"/>
            <w:gridSpan w:val="10"/>
          </w:tcPr>
          <w:p>
            <w:pPr>
              <w:spacing w:after="0" w:line="189" w:lineRule="exact"/>
              <w:rPr>
                <w:sz w:val="20"/>
                <w:szCs w:val="20"/>
                <w:color w:val="auto"/>
              </w:rPr>
            </w:pPr>
            <w:r>
              <w:rPr>
                <w:rFonts w:ascii="Times New Roman" w:cs="Times New Roman" w:eastAsia="Times New Roman" w:hAnsi="Times New Roman"/>
                <w:sz w:val="18"/>
                <w:szCs w:val="18"/>
                <w:color w:val="auto"/>
              </w:rPr>
              <w:t>its Subsidiaries (excluding, for the avoidance of doubt, changes relating to stock options and issuances)? If yes, provide</w:t>
            </w:r>
          </w:p>
        </w:tc>
        <w:tc>
          <w:tcPr>
            <w:tcW w:w="6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Yes</w:t>
            </w:r>
          </w:p>
        </w:tc>
        <w:tc>
          <w:tcPr>
            <w:tcW w:w="720" w:type="dxa"/>
            <w:vAlign w:val="bottom"/>
          </w:tcPr>
          <w:p>
            <w:pPr>
              <w:spacing w:after="0"/>
              <w:rPr>
                <w:sz w:val="16"/>
                <w:szCs w:val="16"/>
                <w:color w:val="auto"/>
              </w:rPr>
            </w:pPr>
          </w:p>
        </w:tc>
        <w:tc>
          <w:tcPr>
            <w:tcW w:w="64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No</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8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copies of any such amendments or</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changes with this Compliance Statement.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are the exceptions with respect to the statements above: (If no exceptions exist, state “No exceptions to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Javier Szwarcberg, certify that:</w:t>
      </w:r>
    </w:p>
    <w:p>
      <w:pPr>
        <w:spacing w:after="0" w:line="212" w:lineRule="exact"/>
        <w:rPr>
          <w:sz w:val="20"/>
          <w:szCs w:val="20"/>
          <w:color w:val="auto"/>
        </w:rPr>
      </w:pPr>
    </w:p>
    <w:p>
      <w:pPr>
        <w:ind w:left="520" w:hanging="512"/>
        <w:spacing w:after="0"/>
        <w:tabs>
          <w:tab w:leader="none" w:pos="5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Spruce Biosciences, Inc.;</w:t>
      </w:r>
    </w:p>
    <w:p>
      <w:pPr>
        <w:spacing w:after="0" w:line="211" w:lineRule="exact"/>
        <w:rPr>
          <w:rFonts w:ascii="Times New Roman" w:cs="Times New Roman" w:eastAsia="Times New Roman" w:hAnsi="Times New Roman"/>
          <w:sz w:val="18"/>
          <w:szCs w:val="18"/>
          <w:color w:val="auto"/>
        </w:rPr>
      </w:pPr>
    </w:p>
    <w:p>
      <w:pPr>
        <w:jc w:val="both"/>
        <w:ind w:left="520" w:right="260" w:hanging="512"/>
        <w:spacing w:after="0" w:line="258" w:lineRule="auto"/>
        <w:tabs>
          <w:tab w:leader="none" w:pos="5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520" w:right="260" w:hanging="512"/>
        <w:spacing w:after="0" w:line="250" w:lineRule="auto"/>
        <w:tabs>
          <w:tab w:leader="none" w:pos="5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0" w:lineRule="exact"/>
        <w:rPr>
          <w:rFonts w:ascii="Times New Roman" w:cs="Times New Roman" w:eastAsia="Times New Roman" w:hAnsi="Times New Roman"/>
          <w:sz w:val="18"/>
          <w:szCs w:val="18"/>
          <w:color w:val="auto"/>
        </w:rPr>
      </w:pPr>
    </w:p>
    <w:p>
      <w:pPr>
        <w:ind w:left="1020" w:hanging="503"/>
        <w:spacing w:after="0" w:line="250" w:lineRule="auto"/>
        <w:tabs>
          <w:tab w:leader="none" w:pos="102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0" w:lineRule="exact"/>
        <w:rPr>
          <w:rFonts w:ascii="Times New Roman" w:cs="Times New Roman" w:eastAsia="Times New Roman" w:hAnsi="Times New Roman"/>
          <w:sz w:val="18"/>
          <w:szCs w:val="18"/>
          <w:color w:val="auto"/>
        </w:rPr>
      </w:pPr>
    </w:p>
    <w:p>
      <w:pPr>
        <w:ind w:left="1020" w:right="320" w:hanging="503"/>
        <w:spacing w:after="0" w:line="250" w:lineRule="auto"/>
        <w:tabs>
          <w:tab w:leader="none" w:pos="102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0" w:lineRule="exact"/>
        <w:rPr>
          <w:rFonts w:ascii="Times New Roman" w:cs="Times New Roman" w:eastAsia="Times New Roman" w:hAnsi="Times New Roman"/>
          <w:sz w:val="18"/>
          <w:szCs w:val="18"/>
          <w:color w:val="auto"/>
        </w:rPr>
      </w:pPr>
    </w:p>
    <w:p>
      <w:pPr>
        <w:jc w:val="both"/>
        <w:ind w:left="1020" w:right="480" w:hanging="503"/>
        <w:spacing w:after="0" w:line="266" w:lineRule="auto"/>
        <w:tabs>
          <w:tab w:leader="none" w:pos="102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ind w:left="1020" w:right="40" w:hanging="503"/>
        <w:spacing w:after="0" w:line="258" w:lineRule="auto"/>
        <w:tabs>
          <w:tab w:leader="none" w:pos="102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9" w:lineRule="exact"/>
        <w:rPr>
          <w:rFonts w:ascii="Times New Roman" w:cs="Times New Roman" w:eastAsia="Times New Roman" w:hAnsi="Times New Roman"/>
          <w:sz w:val="18"/>
          <w:szCs w:val="18"/>
          <w:color w:val="auto"/>
        </w:rPr>
      </w:pPr>
    </w:p>
    <w:p>
      <w:pPr>
        <w:ind w:left="520" w:right="240" w:hanging="512"/>
        <w:spacing w:after="0" w:line="266" w:lineRule="auto"/>
        <w:tabs>
          <w:tab w:leader="none" w:pos="5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020" w:right="740" w:hanging="503"/>
        <w:spacing w:after="0" w:line="266" w:lineRule="auto"/>
        <w:tabs>
          <w:tab w:leader="none" w:pos="102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ind w:left="20"/>
        <w:spacing w:after="0"/>
        <w:tabs>
          <w:tab w:leader="none" w:pos="5680" w:val="left"/>
          <w:tab w:leader="none" w:pos="7380" w:val="left"/>
        </w:tabs>
        <w:rPr>
          <w:sz w:val="20"/>
          <w:szCs w:val="20"/>
          <w:color w:val="auto"/>
        </w:rPr>
      </w:pPr>
      <w:r>
        <w:rPr>
          <w:rFonts w:ascii="Times New Roman" w:cs="Times New Roman" w:eastAsia="Times New Roman" w:hAnsi="Times New Roman"/>
          <w:sz w:val="18"/>
          <w:szCs w:val="18"/>
          <w:color w:val="auto"/>
        </w:rPr>
        <w:t>Date: May 11,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Javier Szwarcberg, M.D., MPH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18415</wp:posOffset>
            </wp:positionV>
            <wp:extent cx="330898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7"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8"/>
          <w:szCs w:val="18"/>
          <w:b w:val="1"/>
          <w:bCs w:val="1"/>
          <w:color w:val="auto"/>
        </w:rPr>
        <w:t>Javier Szwarcberg, M.D., MPH</w:t>
      </w:r>
    </w:p>
    <w:p>
      <w:pPr>
        <w:ind w:left="7740"/>
        <w:spacing w:after="0" w:line="219" w:lineRule="auto"/>
        <w:rPr>
          <w:sz w:val="20"/>
          <w:szCs w:val="20"/>
          <w:color w:val="auto"/>
        </w:rPr>
      </w:pPr>
      <w:r>
        <w:rPr>
          <w:rFonts w:ascii="Times New Roman" w:cs="Times New Roman" w:eastAsia="Times New Roman" w:hAnsi="Times New Roman"/>
          <w:sz w:val="18"/>
          <w:szCs w:val="18"/>
          <w:b w:val="1"/>
          <w:bCs w:val="1"/>
          <w:color w:val="auto"/>
        </w:rPr>
        <w:t>Chief Executive Officer</w:t>
      </w:r>
    </w:p>
    <w:p>
      <w:pPr>
        <w:ind w:left="75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326390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Samir Gharib, certify that:</w:t>
      </w:r>
    </w:p>
    <w:p>
      <w:pPr>
        <w:spacing w:after="0" w:line="212" w:lineRule="exact"/>
        <w:rPr>
          <w:sz w:val="20"/>
          <w:szCs w:val="20"/>
          <w:color w:val="auto"/>
        </w:rPr>
      </w:pPr>
    </w:p>
    <w:p>
      <w:pPr>
        <w:ind w:left="520" w:hanging="512"/>
        <w:spacing w:after="0"/>
        <w:tabs>
          <w:tab w:leader="none" w:pos="5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Spruce Biosciences, Inc.;</w:t>
      </w:r>
    </w:p>
    <w:p>
      <w:pPr>
        <w:spacing w:after="0" w:line="211" w:lineRule="exact"/>
        <w:rPr>
          <w:rFonts w:ascii="Times New Roman" w:cs="Times New Roman" w:eastAsia="Times New Roman" w:hAnsi="Times New Roman"/>
          <w:sz w:val="18"/>
          <w:szCs w:val="18"/>
          <w:color w:val="auto"/>
        </w:rPr>
      </w:pPr>
    </w:p>
    <w:p>
      <w:pPr>
        <w:jc w:val="both"/>
        <w:ind w:left="520" w:right="260" w:hanging="512"/>
        <w:spacing w:after="0" w:line="258" w:lineRule="auto"/>
        <w:tabs>
          <w:tab w:leader="none" w:pos="5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520" w:right="260" w:hanging="512"/>
        <w:spacing w:after="0" w:line="250" w:lineRule="auto"/>
        <w:tabs>
          <w:tab w:leader="none" w:pos="5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0" w:lineRule="exact"/>
        <w:rPr>
          <w:rFonts w:ascii="Times New Roman" w:cs="Times New Roman" w:eastAsia="Times New Roman" w:hAnsi="Times New Roman"/>
          <w:sz w:val="18"/>
          <w:szCs w:val="18"/>
          <w:color w:val="auto"/>
        </w:rPr>
      </w:pPr>
    </w:p>
    <w:p>
      <w:pPr>
        <w:ind w:left="1020" w:hanging="503"/>
        <w:spacing w:after="0" w:line="250" w:lineRule="auto"/>
        <w:tabs>
          <w:tab w:leader="none" w:pos="102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2" w:lineRule="exact"/>
        <w:rPr>
          <w:rFonts w:ascii="Times New Roman" w:cs="Times New Roman" w:eastAsia="Times New Roman" w:hAnsi="Times New Roman"/>
          <w:sz w:val="18"/>
          <w:szCs w:val="18"/>
          <w:color w:val="auto"/>
        </w:rPr>
      </w:pPr>
    </w:p>
    <w:p>
      <w:pPr>
        <w:ind w:left="1020" w:right="320" w:hanging="503"/>
        <w:spacing w:after="0" w:line="250" w:lineRule="auto"/>
        <w:tabs>
          <w:tab w:leader="none" w:pos="102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0" w:lineRule="exact"/>
        <w:rPr>
          <w:rFonts w:ascii="Times New Roman" w:cs="Times New Roman" w:eastAsia="Times New Roman" w:hAnsi="Times New Roman"/>
          <w:sz w:val="18"/>
          <w:szCs w:val="18"/>
          <w:color w:val="auto"/>
        </w:rPr>
      </w:pPr>
    </w:p>
    <w:p>
      <w:pPr>
        <w:jc w:val="both"/>
        <w:ind w:left="1020" w:right="480" w:hanging="503"/>
        <w:spacing w:after="0" w:line="266" w:lineRule="auto"/>
        <w:tabs>
          <w:tab w:leader="none" w:pos="102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ind w:left="1020" w:right="40" w:hanging="503"/>
        <w:spacing w:after="0" w:line="258" w:lineRule="auto"/>
        <w:tabs>
          <w:tab w:leader="none" w:pos="102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9" w:lineRule="exact"/>
        <w:rPr>
          <w:rFonts w:ascii="Times New Roman" w:cs="Times New Roman" w:eastAsia="Times New Roman" w:hAnsi="Times New Roman"/>
          <w:sz w:val="18"/>
          <w:szCs w:val="18"/>
          <w:color w:val="auto"/>
        </w:rPr>
      </w:pPr>
    </w:p>
    <w:p>
      <w:pPr>
        <w:ind w:left="520" w:right="240" w:hanging="512"/>
        <w:spacing w:after="0" w:line="266" w:lineRule="auto"/>
        <w:tabs>
          <w:tab w:leader="none" w:pos="5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020" w:right="740" w:hanging="503"/>
        <w:spacing w:after="0" w:line="266" w:lineRule="auto"/>
        <w:tabs>
          <w:tab w:leader="none" w:pos="102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ind w:left="20"/>
        <w:spacing w:after="0"/>
        <w:tabs>
          <w:tab w:leader="none" w:pos="5680" w:val="left"/>
          <w:tab w:leader="none" w:pos="8020" w:val="left"/>
        </w:tabs>
        <w:rPr>
          <w:sz w:val="20"/>
          <w:szCs w:val="20"/>
          <w:color w:val="auto"/>
        </w:rPr>
      </w:pPr>
      <w:r>
        <w:rPr>
          <w:rFonts w:ascii="Times New Roman" w:cs="Times New Roman" w:eastAsia="Times New Roman" w:hAnsi="Times New Roman"/>
          <w:sz w:val="18"/>
          <w:szCs w:val="18"/>
          <w:color w:val="auto"/>
        </w:rPr>
        <w:t>Date: May 11,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Samir Gharib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18415</wp:posOffset>
            </wp:positionV>
            <wp:extent cx="330898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2">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Samir Gharib</w:t>
      </w:r>
    </w:p>
    <w:p>
      <w:pPr>
        <w:jc w:val="center"/>
        <w:ind w:left="6000"/>
        <w:spacing w:after="0" w:line="219" w:lineRule="auto"/>
        <w:rPr>
          <w:sz w:val="20"/>
          <w:szCs w:val="20"/>
          <w:color w:val="auto"/>
        </w:rPr>
      </w:pPr>
      <w:r>
        <w:rPr>
          <w:rFonts w:ascii="Times New Roman" w:cs="Times New Roman" w:eastAsia="Times New Roman" w:hAnsi="Times New Roman"/>
          <w:sz w:val="18"/>
          <w:szCs w:val="18"/>
          <w:b w:val="1"/>
          <w:bCs w:val="1"/>
          <w:color w:val="auto"/>
        </w:rPr>
        <w:t>President and Chief Financial Officer</w:t>
      </w: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326390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5"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of Spruce Biosciences, Inc. (the “Company”) on Form 10-Q for the period ended March 31, 2022 as filed with the Securities and Exchange Commission on the date hereof (the “Report”), I certify, pursuant to 18 U.S.C. § 1350, as adopted pursuant to § 906 of the Sarbanes-Oxley Act of 2002, that:</w:t>
      </w:r>
    </w:p>
    <w:p>
      <w:pPr>
        <w:spacing w:after="0" w:line="190" w:lineRule="exact"/>
        <w:rPr>
          <w:sz w:val="20"/>
          <w:szCs w:val="20"/>
          <w:color w:val="auto"/>
        </w:rPr>
      </w:pPr>
    </w:p>
    <w:p>
      <w:pPr>
        <w:ind w:left="1020" w:hanging="503"/>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211" w:lineRule="exact"/>
        <w:rPr>
          <w:rFonts w:ascii="Times New Roman" w:cs="Times New Roman" w:eastAsia="Times New Roman" w:hAnsi="Times New Roman"/>
          <w:sz w:val="18"/>
          <w:szCs w:val="18"/>
          <w:color w:val="auto"/>
        </w:rPr>
      </w:pPr>
    </w:p>
    <w:p>
      <w:pPr>
        <w:ind w:left="1020" w:right="560" w:hanging="503"/>
        <w:spacing w:after="0" w:line="266" w:lineRule="auto"/>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7" w:lineRule="exact"/>
        <w:rPr>
          <w:sz w:val="20"/>
          <w:szCs w:val="20"/>
          <w:color w:val="auto"/>
        </w:rPr>
      </w:pPr>
    </w:p>
    <w:p>
      <w:pPr>
        <w:ind w:left="20"/>
        <w:spacing w:after="0"/>
        <w:tabs>
          <w:tab w:leader="none" w:pos="5680" w:val="left"/>
          <w:tab w:leader="none" w:pos="7380" w:val="left"/>
        </w:tabs>
        <w:rPr>
          <w:sz w:val="20"/>
          <w:szCs w:val="20"/>
          <w:color w:val="auto"/>
        </w:rPr>
      </w:pPr>
      <w:r>
        <w:rPr>
          <w:rFonts w:ascii="Times New Roman" w:cs="Times New Roman" w:eastAsia="Times New Roman" w:hAnsi="Times New Roman"/>
          <w:sz w:val="18"/>
          <w:szCs w:val="18"/>
          <w:color w:val="auto"/>
        </w:rPr>
        <w:t>Date: May 11,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Javier Szwarcberg, M.D., MPH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18415</wp:posOffset>
            </wp:positionV>
            <wp:extent cx="330898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4">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Javier Szwarcberg, M.D., MPH</w:t>
      </w:r>
    </w:p>
    <w:p>
      <w:pPr>
        <w:jc w:val="center"/>
        <w:ind w:left="6000"/>
        <w:spacing w:after="0" w:line="219" w:lineRule="auto"/>
        <w:rPr>
          <w:sz w:val="20"/>
          <w:szCs w:val="20"/>
          <w:color w:val="auto"/>
        </w:rPr>
      </w:pPr>
      <w:r>
        <w:rPr>
          <w:rFonts w:ascii="Times New Roman" w:cs="Times New Roman" w:eastAsia="Times New Roman" w:hAnsi="Times New Roman"/>
          <w:sz w:val="18"/>
          <w:szCs w:val="18"/>
          <w:b w:val="1"/>
          <w:bCs w:val="1"/>
          <w:color w:val="auto"/>
        </w:rPr>
        <w:t>Chief Executive Officer</w:t>
      </w: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5"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of Spruce Biosciences, Inc. (the “Company”) on Form 10-Q for the period ended March 31, 2022 as filed with the Securities and Exchange Commission on the date hereof (the “Report”), I certify, pursuant to 18 U.S.C. § 1350, as adopted pursuant to § 906 of the Sarbanes-Oxley Act of 2002, that:</w:t>
      </w:r>
    </w:p>
    <w:p>
      <w:pPr>
        <w:spacing w:after="0" w:line="190" w:lineRule="exact"/>
        <w:rPr>
          <w:sz w:val="20"/>
          <w:szCs w:val="20"/>
          <w:color w:val="auto"/>
        </w:rPr>
      </w:pPr>
    </w:p>
    <w:p>
      <w:pPr>
        <w:ind w:left="1020" w:hanging="503"/>
        <w:spacing w:after="0"/>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211" w:lineRule="exact"/>
        <w:rPr>
          <w:rFonts w:ascii="Times New Roman" w:cs="Times New Roman" w:eastAsia="Times New Roman" w:hAnsi="Times New Roman"/>
          <w:sz w:val="18"/>
          <w:szCs w:val="18"/>
          <w:color w:val="auto"/>
        </w:rPr>
      </w:pPr>
    </w:p>
    <w:p>
      <w:pPr>
        <w:ind w:left="1020" w:right="560" w:hanging="503"/>
        <w:spacing w:after="0" w:line="266" w:lineRule="auto"/>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7" w:lineRule="exact"/>
        <w:rPr>
          <w:sz w:val="20"/>
          <w:szCs w:val="20"/>
          <w:color w:val="auto"/>
        </w:rPr>
      </w:pPr>
    </w:p>
    <w:p>
      <w:pPr>
        <w:ind w:left="20"/>
        <w:spacing w:after="0"/>
        <w:tabs>
          <w:tab w:leader="none" w:pos="5680" w:val="left"/>
          <w:tab w:leader="none" w:pos="8020" w:val="left"/>
        </w:tabs>
        <w:rPr>
          <w:sz w:val="20"/>
          <w:szCs w:val="20"/>
          <w:color w:val="auto"/>
        </w:rPr>
      </w:pPr>
      <w:r>
        <w:rPr>
          <w:rFonts w:ascii="Times New Roman" w:cs="Times New Roman" w:eastAsia="Times New Roman" w:hAnsi="Times New Roman"/>
          <w:sz w:val="18"/>
          <w:szCs w:val="18"/>
          <w:color w:val="auto"/>
        </w:rPr>
        <w:t>Date: May 11,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Samir Gharib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18415</wp:posOffset>
            </wp:positionV>
            <wp:extent cx="330898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6">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jc w:val="center"/>
        <w:ind w:left="5960"/>
        <w:spacing w:after="0"/>
        <w:rPr>
          <w:sz w:val="20"/>
          <w:szCs w:val="20"/>
          <w:color w:val="auto"/>
        </w:rPr>
      </w:pPr>
      <w:r>
        <w:rPr>
          <w:rFonts w:ascii="Times New Roman" w:cs="Times New Roman" w:eastAsia="Times New Roman" w:hAnsi="Times New Roman"/>
          <w:sz w:val="18"/>
          <w:szCs w:val="18"/>
          <w:b w:val="1"/>
          <w:bCs w:val="1"/>
          <w:color w:val="auto"/>
        </w:rPr>
        <w:t>Samir Gharib</w:t>
      </w:r>
    </w:p>
    <w:p>
      <w:pPr>
        <w:jc w:val="center"/>
        <w:ind w:left="6000"/>
        <w:spacing w:after="0" w:line="219" w:lineRule="auto"/>
        <w:rPr>
          <w:sz w:val="20"/>
          <w:szCs w:val="20"/>
          <w:color w:val="auto"/>
        </w:rPr>
      </w:pPr>
      <w:r>
        <w:rPr>
          <w:rFonts w:ascii="Times New Roman" w:cs="Times New Roman" w:eastAsia="Times New Roman" w:hAnsi="Times New Roman"/>
          <w:sz w:val="18"/>
          <w:szCs w:val="18"/>
          <w:b w:val="1"/>
          <w:bCs w:val="1"/>
          <w:color w:val="auto"/>
        </w:rPr>
        <w:t>President and Chief Financial Officer</w:t>
      </w: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98" w:name="page99"/>
    <w:bookmarkEnd w:id="9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1."/>
      <w:numFmt w:val="decimal"/>
      <w:start w:val="1"/>
    </w:lvl>
  </w:abstractNum>
  <w:abstractNum w:abstractNumId="5">
    <w:nsid w:val="440BADFC"/>
    <w:multiLevelType w:val="hybridMultilevel"/>
    <w:lvl w:ilvl="0">
      <w:lvlJc w:val="left"/>
      <w:lvlText w:val="%1."/>
      <w:numFmt w:val="decimal"/>
      <w:start w:val="2"/>
    </w:lvl>
  </w:abstractNum>
  <w:abstractNum w:abstractNumId="6">
    <w:nsid w:val="5072367"/>
    <w:multiLevelType w:val="hybridMultilevel"/>
    <w:lvl w:ilvl="0">
      <w:lvlJc w:val="left"/>
      <w:lvlText w:val="%1."/>
      <w:numFmt w:val="decimal"/>
      <w:start w:val="5"/>
    </w:lvl>
  </w:abstractNum>
  <w:abstractNum w:abstractNumId="7">
    <w:nsid w:val="3804823E"/>
    <w:multiLevelType w:val="hybridMultilevel"/>
    <w:lvl w:ilvl="0">
      <w:lvlJc w:val="left"/>
      <w:lvlText w:val="%1."/>
      <w:numFmt w:val="decimal"/>
      <w:start w:val="9"/>
    </w:lvl>
  </w:abstractNum>
  <w:abstractNum w:abstractNumId="8">
    <w:nsid w:val="77465F01"/>
    <w:multiLevelType w:val="hybridMultilevel"/>
    <w:lvl w:ilvl="0">
      <w:lvlJc w:val="left"/>
      <w:lvlText w:val="%1."/>
      <w:numFmt w:val="decimal"/>
      <w:start w:val="10"/>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
      <w:numFmt w:val="bullet"/>
      <w:start w:val="1"/>
    </w:lvl>
    <w:lvl w:ilvl="1">
      <w:lvlJc w:val="left"/>
      <w:lvlText w:val="o"/>
      <w:numFmt w:val="bullet"/>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1."/>
      <w:numFmt w:val="decimal"/>
      <w:start w:val="19"/>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
      <w:numFmt w:val="bullet"/>
      <w:start w:val="1"/>
    </w:lvl>
  </w:abstractNum>
  <w:abstractNum w:abstractNumId="22">
    <w:nsid w:val="725A06FB"/>
    <w:multiLevelType w:val="hybridMultilevel"/>
    <w:lvl w:ilvl="0">
      <w:lvlJc w:val="left"/>
      <w:lvlText w:val="▪"/>
      <w:numFmt w:val="bullet"/>
      <w:start w:val="1"/>
    </w:lvl>
  </w:abstractNum>
  <w:abstractNum w:abstractNumId="23">
    <w:nsid w:val="2CD89A32"/>
    <w:multiLevelType w:val="hybridMultilevel"/>
    <w:lvl w:ilvl="0">
      <w:lvlJc w:val="left"/>
      <w:lvlText w:val="▪"/>
      <w:numFmt w:val="bullet"/>
      <w:start w:val="1"/>
    </w:lvl>
  </w:abstractNum>
  <w:abstractNum w:abstractNumId="24">
    <w:nsid w:val="57E4CCAF"/>
    <w:multiLevelType w:val="hybridMultilevel"/>
    <w:lvl w:ilvl="0">
      <w:lvlJc w:val="left"/>
      <w:lvlText w:val="▪"/>
      <w:numFmt w:val="bullet"/>
      <w:start w:val="1"/>
    </w:lvl>
  </w:abstractNum>
  <w:abstractNum w:abstractNumId="25">
    <w:nsid w:val="7A6D8D3C"/>
    <w:multiLevelType w:val="hybridMultilevel"/>
    <w:lvl w:ilvl="0">
      <w:lvlJc w:val="left"/>
      <w:lvlText w:val="▪"/>
      <w:numFmt w:val="bullet"/>
      <w:start w:val="1"/>
    </w:lvl>
  </w:abstractNum>
  <w:abstractNum w:abstractNumId="26">
    <w:nsid w:val="4B588F54"/>
    <w:multiLevelType w:val="hybridMultilevel"/>
    <w:lvl w:ilvl="0">
      <w:lvlJc w:val="left"/>
      <w:lvlText w:val="▪"/>
      <w:numFmt w:val="bullet"/>
      <w:start w:val="1"/>
    </w:lvl>
  </w:abstractNum>
  <w:abstractNum w:abstractNumId="27">
    <w:nsid w:val="542289EC"/>
    <w:multiLevelType w:val="hybridMultilevel"/>
    <w:lvl w:ilvl="0">
      <w:lvlJc w:val="left"/>
      <w:lvlText w:val="▪"/>
      <w:numFmt w:val="bullet"/>
      <w:start w:val="1"/>
    </w:lvl>
  </w:abstractNum>
  <w:abstractNum w:abstractNumId="28">
    <w:nsid w:val="6DE91B18"/>
    <w:multiLevelType w:val="hybridMultilevel"/>
    <w:lvl w:ilvl="0">
      <w:lvlJc w:val="left"/>
      <w:lvlText w:val="▪"/>
      <w:numFmt w:val="bullet"/>
      <w:start w:val="1"/>
    </w:lvl>
  </w:abstractNum>
  <w:abstractNum w:abstractNumId="29">
    <w:nsid w:val="38437FDB"/>
    <w:multiLevelType w:val="hybridMultilevel"/>
    <w:lvl w:ilvl="0">
      <w:lvlJc w:val="left"/>
      <w:lvlText w:val="▪"/>
      <w:numFmt w:val="bullet"/>
      <w:start w:val="1"/>
    </w:lvl>
  </w:abstractNum>
  <w:abstractNum w:abstractNumId="30">
    <w:nsid w:val="7644A45C"/>
    <w:multiLevelType w:val="hybridMultilevel"/>
    <w:lvl w:ilvl="0">
      <w:lvlJc w:val="left"/>
      <w:lvlText w:val="▪"/>
      <w:numFmt w:val="bullet"/>
      <w:start w:val="1"/>
    </w:lvl>
  </w:abstractNum>
  <w:abstractNum w:abstractNumId="31">
    <w:nsid w:val="32FFF902"/>
    <w:multiLevelType w:val="hybridMultilevel"/>
    <w:lvl w:ilvl="0">
      <w:lvlJc w:val="left"/>
      <w:lvlText w:val="▪"/>
      <w:numFmt w:val="bullet"/>
      <w:start w:val="1"/>
    </w:lvl>
  </w:abstractNum>
  <w:abstractNum w:abstractNumId="32">
    <w:nsid w:val="684A481A"/>
    <w:multiLevelType w:val="hybridMultilevel"/>
    <w:lvl w:ilvl="0">
      <w:lvlJc w:val="left"/>
      <w:lvlText w:val="▪"/>
      <w:numFmt w:val="bullet"/>
      <w:start w:val="1"/>
    </w:lvl>
  </w:abstractNum>
  <w:abstractNum w:abstractNumId="33">
    <w:nsid w:val="579478FE"/>
    <w:multiLevelType w:val="hybridMultilevel"/>
    <w:lvl w:ilvl="0">
      <w:lvlJc w:val="left"/>
      <w:lvlText w:val="▪"/>
      <w:numFmt w:val="bullet"/>
      <w:start w:val="1"/>
    </w:lvl>
  </w:abstractNum>
  <w:abstractNum w:abstractNumId="34">
    <w:nsid w:val="749ABB43"/>
    <w:multiLevelType w:val="hybridMultilevel"/>
    <w:lvl w:ilvl="0">
      <w:lvlJc w:val="left"/>
      <w:lvlText w:val="▪"/>
      <w:numFmt w:val="bullet"/>
      <w:start w:val="1"/>
    </w:lvl>
  </w:abstractNum>
  <w:abstractNum w:abstractNumId="35">
    <w:nsid w:val="3DC240FB"/>
    <w:multiLevelType w:val="hybridMultilevel"/>
    <w:lvl w:ilvl="0">
      <w:lvlJc w:val="left"/>
      <w:lvlText w:val="▪"/>
      <w:numFmt w:val="bullet"/>
      <w:start w:val="1"/>
    </w:lvl>
  </w:abstractNum>
  <w:abstractNum w:abstractNumId="36">
    <w:nsid w:val="1BA026FA"/>
    <w:multiLevelType w:val="hybridMultilevel"/>
    <w:lvl w:ilvl="0">
      <w:lvlJc w:val="left"/>
      <w:lvlText w:val="▪"/>
      <w:numFmt w:val="bullet"/>
      <w:start w:val="1"/>
    </w:lvl>
  </w:abstractNum>
  <w:abstractNum w:abstractNumId="37">
    <w:nsid w:val="79A1DEAA"/>
    <w:multiLevelType w:val="hybridMultilevel"/>
    <w:lvl w:ilvl="0">
      <w:lvlJc w:val="left"/>
      <w:lvlText w:val="▪"/>
      <w:numFmt w:val="bullet"/>
      <w:start w:val="1"/>
    </w:lvl>
  </w:abstractNum>
  <w:abstractNum w:abstractNumId="38">
    <w:nsid w:val="75C6C33A"/>
    <w:multiLevelType w:val="hybridMultilevel"/>
    <w:lvl w:ilvl="0">
      <w:lvlJc w:val="left"/>
      <w:lvlText w:val="▪"/>
      <w:numFmt w:val="bullet"/>
      <w:start w:val="1"/>
    </w:lvl>
  </w:abstractNum>
  <w:abstractNum w:abstractNumId="39">
    <w:nsid w:val="12E685FB"/>
    <w:multiLevelType w:val="hybridMultilevel"/>
    <w:lvl w:ilvl="0">
      <w:lvlJc w:val="left"/>
      <w:lvlText w:val="▪"/>
      <w:numFmt w:val="bullet"/>
      <w:start w:val="1"/>
    </w:lvl>
  </w:abstractNum>
  <w:abstractNum w:abstractNumId="40">
    <w:nsid w:val="70C6A529"/>
    <w:multiLevelType w:val="hybridMultilevel"/>
    <w:lvl w:ilvl="0">
      <w:lvlJc w:val="left"/>
      <w:lvlText w:val="▪"/>
      <w:numFmt w:val="bullet"/>
      <w:start w:val="1"/>
    </w:lvl>
  </w:abstractNum>
  <w:abstractNum w:abstractNumId="41">
    <w:nsid w:val="520EEDD1"/>
    <w:multiLevelType w:val="hybridMultilevel"/>
    <w:lvl w:ilvl="0">
      <w:lvlJc w:val="left"/>
      <w:lvlText w:val="▪"/>
      <w:numFmt w:val="bullet"/>
      <w:start w:val="1"/>
    </w:lvl>
  </w:abstractNum>
  <w:abstractNum w:abstractNumId="42">
    <w:nsid w:val="374A3FE6"/>
    <w:multiLevelType w:val="hybridMultilevel"/>
    <w:lvl w:ilvl="0">
      <w:lvlJc w:val="left"/>
      <w:lvlText w:val="▪"/>
      <w:numFmt w:val="bullet"/>
      <w:start w:val="1"/>
    </w:lvl>
  </w:abstractNum>
  <w:abstractNum w:abstractNumId="43">
    <w:nsid w:val="4F4EF005"/>
    <w:multiLevelType w:val="hybridMultilevel"/>
    <w:lvl w:ilvl="0">
      <w:lvlJc w:val="left"/>
      <w:lvlText w:val="*"/>
      <w:numFmt w:val="bullet"/>
      <w:start w:val="1"/>
    </w:lvl>
    <w:lvl w:ilvl="1">
      <w:lvlJc w:val="left"/>
      <w:lvlText w:val="%2"/>
      <w:numFmt w:val="decimal"/>
      <w:start w:val="104"/>
    </w:lvl>
  </w:abstractNum>
  <w:abstractNum w:abstractNumId="44">
    <w:nsid w:val="23F9C13C"/>
    <w:multiLevelType w:val="hybridMultilevel"/>
    <w:lvl w:ilvl="0">
      <w:lvlJc w:val="left"/>
      <w:lvlText w:val="¥"/>
      <w:numFmt w:val="bullet"/>
      <w:start w:val="1"/>
    </w:lvl>
  </w:abstractNum>
  <w:abstractNum w:abstractNumId="45">
    <w:nsid w:val="649BB77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6">
    <w:nsid w:val="275AC794"/>
    <w:multiLevelType w:val="hybridMultilevel"/>
    <w:lvl w:ilvl="0">
      <w:lvlJc w:val="left"/>
      <w:lvlText w:val="%1."/>
      <w:numFmt w:val="decimal"/>
      <w:start w:val="1"/>
    </w:lvl>
  </w:abstractNum>
  <w:abstractNum w:abstractNumId="47">
    <w:nsid w:val="39386575"/>
    <w:multiLevelType w:val="hybridMultilevel"/>
    <w:lvl w:ilvl="0">
      <w:lvlJc w:val="left"/>
      <w:lvlText w:val="%1."/>
      <w:numFmt w:val="upperLetter"/>
      <w:start w:val="1"/>
    </w:lvl>
  </w:abstractNum>
  <w:abstractNum w:abstractNumId="48">
    <w:nsid w:val="1CF10FD8"/>
    <w:multiLevelType w:val="hybridMultilevel"/>
    <w:lvl w:ilvl="0">
      <w:lvlJc w:val="left"/>
      <w:lvlText w:val="%1."/>
      <w:numFmt w:val="decimal"/>
      <w:start w:val="1"/>
    </w:lvl>
  </w:abstractNum>
  <w:abstractNum w:abstractNumId="49">
    <w:nsid w:val="180115BE"/>
    <w:multiLevelType w:val="hybridMultilevel"/>
    <w:lvl w:ilvl="0">
      <w:lvlJc w:val="left"/>
      <w:lvlText w:val="\ldblquote"/>
      <w:numFmt w:val="bullet"/>
      <w:start w:val="1"/>
    </w:lvl>
  </w:abstractNum>
  <w:abstractNum w:abstractNumId="50">
    <w:nsid w:val="235BA861"/>
    <w:multiLevelType w:val="hybridMultilevel"/>
    <w:lvl w:ilvl="0">
      <w:lvlJc w:val="left"/>
      <w:lvlText w:val="(%1)"/>
      <w:numFmt w:val="lowerRoman"/>
      <w:start w:val="3"/>
    </w:lvl>
    <w:lvl w:ilvl="1">
      <w:lvlJc w:val="left"/>
      <w:lvlText w:val="\ldblquote"/>
      <w:numFmt w:val="bullet"/>
      <w:start w:val="1"/>
    </w:lvl>
  </w:abstractNum>
  <w:abstractNum w:abstractNumId="51">
    <w:nsid w:val="47398C89"/>
    <w:multiLevelType w:val="hybridMultilevel"/>
    <w:lvl w:ilvl="0">
      <w:lvlJc w:val="left"/>
      <w:lvlText w:val="\ldblquote"/>
      <w:numFmt w:val="bullet"/>
      <w:start w:val="1"/>
    </w:lvl>
  </w:abstractNum>
  <w:abstractNum w:abstractNumId="52">
    <w:nsid w:val="354FE9F9"/>
    <w:multiLevelType w:val="hybridMultilevel"/>
    <w:lvl w:ilvl="0">
      <w:lvlJc w:val="left"/>
      <w:lvlText w:val="\ldblquote"/>
      <w:numFmt w:val="bullet"/>
      <w:start w:val="1"/>
    </w:lvl>
  </w:abstractNum>
  <w:abstractNum w:abstractNumId="53">
    <w:nsid w:val="15B5AF5C"/>
    <w:multiLevelType w:val="hybridMultilevel"/>
    <w:lvl w:ilvl="0">
      <w:lvlJc w:val="left"/>
      <w:lvlText w:val="\ldblquote"/>
      <w:numFmt w:val="bullet"/>
      <w:start w:val="1"/>
    </w:lvl>
  </w:abstractNum>
  <w:abstractNum w:abstractNumId="54">
    <w:nsid w:val="741226BB"/>
    <w:multiLevelType w:val="hybridMultilevel"/>
    <w:lvl w:ilvl="0">
      <w:lvlJc w:val="left"/>
      <w:lvlText w:val="\ldblquote"/>
      <w:numFmt w:val="bullet"/>
      <w:start w:val="1"/>
    </w:lvl>
  </w:abstractNum>
  <w:abstractNum w:abstractNumId="55">
    <w:nsid w:val="D34B6A8"/>
    <w:multiLevelType w:val="hybridMultilevel"/>
    <w:lvl w:ilvl="0">
      <w:lvlJc w:val="left"/>
      <w:lvlText w:val="\ldblquote"/>
      <w:numFmt w:val="bullet"/>
      <w:start w:val="1"/>
    </w:lvl>
  </w:abstractNum>
  <w:abstractNum w:abstractNumId="56">
    <w:nsid w:val="10233C99"/>
    <w:multiLevelType w:val="hybridMultilevel"/>
    <w:lvl w:ilvl="0">
      <w:lvlJc w:val="left"/>
      <w:lvlText w:val="\ldblquote"/>
      <w:numFmt w:val="bullet"/>
      <w:start w:val="1"/>
    </w:lvl>
  </w:abstractNum>
  <w:abstractNum w:abstractNumId="57">
    <w:nsid w:val="3F6AB60F"/>
    <w:multiLevelType w:val="hybridMultilevel"/>
    <w:lvl w:ilvl="0">
      <w:lvlJc w:val="left"/>
      <w:lvlText w:val="%1."/>
      <w:numFmt w:val="decimal"/>
      <w:start w:val="4"/>
    </w:lvl>
  </w:abstractNum>
  <w:abstractNum w:abstractNumId="58">
    <w:nsid w:val="61574095"/>
    <w:multiLevelType w:val="hybridMultilevel"/>
    <w:lvl w:ilvl="0">
      <w:lvlJc w:val="left"/>
      <w:lvlText w:val="%1."/>
      <w:numFmt w:val="decimal"/>
      <w:start w:val="5"/>
    </w:lvl>
  </w:abstractNum>
  <w:abstractNum w:abstractNumId="59">
    <w:nsid w:val="7E0C57B1"/>
    <w:multiLevelType w:val="hybridMultilevel"/>
    <w:lvl w:ilvl="0">
      <w:lvlJc w:val="left"/>
      <w:lvlText w:val="%1."/>
      <w:numFmt w:val="decimal"/>
      <w:start w:val="6"/>
    </w:lvl>
  </w:abstractNum>
  <w:abstractNum w:abstractNumId="60">
    <w:nsid w:val="77AE35EB"/>
    <w:multiLevelType w:val="hybridMultilevel"/>
    <w:lvl w:ilvl="0">
      <w:lvlJc w:val="left"/>
      <w:lvlText w:val="%1."/>
      <w:numFmt w:val="decimal"/>
      <w:start w:val="7"/>
    </w:lvl>
  </w:abstractNum>
  <w:abstractNum w:abstractNumId="61">
    <w:nsid w:val="579BE4F1"/>
    <w:multiLevelType w:val="hybridMultilevel"/>
    <w:lvl w:ilvl="0">
      <w:lvlJc w:val="left"/>
      <w:lvlText w:val="%1."/>
      <w:numFmt w:val="decimal"/>
      <w:start w:val="1"/>
    </w:lvl>
    <w:lvl w:ilvl="1">
      <w:lvlJc w:val="left"/>
      <w:lvlText w:val="(%2)"/>
      <w:numFmt w:val="lowerLetter"/>
      <w:start w:val="1"/>
    </w:lvl>
  </w:abstractNum>
  <w:abstractNum w:abstractNumId="62">
    <w:nsid w:val="310C50B3"/>
    <w:multiLevelType w:val="hybridMultilevel"/>
    <w:lvl w:ilvl="0">
      <w:lvlJc w:val="left"/>
      <w:lvlText w:val="%1."/>
      <w:numFmt w:val="decimal"/>
      <w:start w:val="1"/>
    </w:lvl>
    <w:lvl w:ilvl="1">
      <w:lvlJc w:val="left"/>
      <w:lvlText w:val="(%2)"/>
      <w:numFmt w:val="lowerLetter"/>
      <w:start w:val="1"/>
    </w:lvl>
  </w:abstractNum>
  <w:abstractNum w:abstractNumId="63">
    <w:nsid w:val="5FF87E05"/>
    <w:multiLevelType w:val="hybridMultilevel"/>
    <w:lvl w:ilvl="0">
      <w:lvlJc w:val="left"/>
      <w:lvlText w:val="(%1)"/>
      <w:numFmt w:val="decimal"/>
      <w:start w:val="1"/>
    </w:lvl>
  </w:abstractNum>
  <w:abstractNum w:abstractNumId="64">
    <w:nsid w:val="2F305DE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50" Type="http://schemas.openxmlformats.org/officeDocument/2006/relationships/image" Target="media/image333.png"/><Relationship Id="rId351" Type="http://schemas.openxmlformats.org/officeDocument/2006/relationships/image" Target="media/image334.png"/><Relationship Id="rId352" Type="http://schemas.openxmlformats.org/officeDocument/2006/relationships/image" Target="media/image335.png"/><Relationship Id="rId353" Type="http://schemas.openxmlformats.org/officeDocument/2006/relationships/image" Target="media/image336.png"/><Relationship Id="rId354" Type="http://schemas.openxmlformats.org/officeDocument/2006/relationships/image" Target="media/image337.png"/><Relationship Id="rId355" Type="http://schemas.openxmlformats.org/officeDocument/2006/relationships/image" Target="media/image338.png"/><Relationship Id="rId356" Type="http://schemas.openxmlformats.org/officeDocument/2006/relationships/image" Target="media/image339.png"/><Relationship Id="rId357" Type="http://schemas.openxmlformats.org/officeDocument/2006/relationships/image" Target="media/image340.png"/><Relationship Id="rId358" Type="http://schemas.openxmlformats.org/officeDocument/2006/relationships/image" Target="media/image341.png"/><Relationship Id="rId359" Type="http://schemas.openxmlformats.org/officeDocument/2006/relationships/image" Target="media/image342.png"/><Relationship Id="rId360" Type="http://schemas.openxmlformats.org/officeDocument/2006/relationships/image" Target="media/image343.png"/><Relationship Id="rId361" Type="http://schemas.openxmlformats.org/officeDocument/2006/relationships/image" Target="media/image344.png"/><Relationship Id="rId362" Type="http://schemas.openxmlformats.org/officeDocument/2006/relationships/image" Target="media/image345.png"/><Relationship Id="rId363" Type="http://schemas.openxmlformats.org/officeDocument/2006/relationships/image" Target="media/image346.png"/><Relationship Id="rId364" Type="http://schemas.openxmlformats.org/officeDocument/2006/relationships/image" Target="media/image347.png"/><Relationship Id="rId365" Type="http://schemas.openxmlformats.org/officeDocument/2006/relationships/image" Target="media/image348.png"/><Relationship Id="rId366" Type="http://schemas.openxmlformats.org/officeDocument/2006/relationships/image" Target="media/image349.png"/><Relationship Id="rId367" Type="http://schemas.openxmlformats.org/officeDocument/2006/relationships/image" Target="media/image350.png"/><Relationship Id="rId368" Type="http://schemas.openxmlformats.org/officeDocument/2006/relationships/image" Target="media/image351.png"/><Relationship Id="rId369" Type="http://schemas.openxmlformats.org/officeDocument/2006/relationships/image" Target="media/image352.png"/><Relationship Id="rId370" Type="http://schemas.openxmlformats.org/officeDocument/2006/relationships/image" Target="media/image353.png"/><Relationship Id="rId371" Type="http://schemas.openxmlformats.org/officeDocument/2006/relationships/image" Target="media/image354.png"/><Relationship Id="rId372" Type="http://schemas.openxmlformats.org/officeDocument/2006/relationships/image" Target="media/image355.png"/><Relationship Id="rId373" Type="http://schemas.openxmlformats.org/officeDocument/2006/relationships/image" Target="media/image356.png"/><Relationship Id="rId374" Type="http://schemas.openxmlformats.org/officeDocument/2006/relationships/image" Target="media/image357.png"/><Relationship Id="rId375" Type="http://schemas.openxmlformats.org/officeDocument/2006/relationships/image" Target="media/image358.png"/><Relationship Id="rId376" Type="http://schemas.openxmlformats.org/officeDocument/2006/relationships/image" Target="media/image359.png"/><Relationship Id="rId377" Type="http://schemas.openxmlformats.org/officeDocument/2006/relationships/image" Target="media/image360.png"/><Relationship Id="rId340" Type="http://schemas.openxmlformats.org/officeDocument/2006/relationships/hyperlink" Target="https://www.sec.gov/Archives/edgar/data/1683553/000119312520269344/d12372dex31.htm" TargetMode="External"/><Relationship Id="rId341" Type="http://schemas.openxmlformats.org/officeDocument/2006/relationships/hyperlink" Target="https://www.sec.gov/Archives/edgar/data/1683553/000119312520269344/d12372dex32.htm" TargetMode="External"/><Relationship Id="rId342" Type="http://schemas.openxmlformats.org/officeDocument/2006/relationships/hyperlink" Target="https://www.sec.gov/Archives/edgar/data/1683553/000119312520263195/d902020dex41.htm" TargetMode="External"/><Relationship Id="rId343" Type="http://schemas.openxmlformats.org/officeDocument/2006/relationships/hyperlink" Target="https://www.sec.gov/Archives/edgar/data/1683553/000119312520249221/d902020dex42.htm" TargetMode="External"/><Relationship Id="rId344" Type="http://schemas.openxmlformats.org/officeDocument/2006/relationships/hyperlink" Target="https://www.sec.gov/Archives/edgar/data/0001683553/000156459022000432/sprb-ex101_7.htm" TargetMode="External"/><Relationship Id="rId345" Type="http://schemas.openxmlformats.org/officeDocument/2006/relationships/hyperlink" Target="https://www.sec.gov/Archives/edgar/data/1683553/000095017022005528/sprb-ex10_1.htm" TargetMode="External"/><Relationship Id="rId346" Type="http://schemas.openxmlformats.org/officeDocument/2006/relationships/hyperlink" Target="https://www.sec.gov/Archives/edgar/data/0001683553/000156459022000432/sprb-ex102_6.htm" TargetMode="External"/><Relationship Id="rId347" Type="http://schemas.openxmlformats.org/officeDocument/2006/relationships/hyperlink" Target="https://www.sec.gov/Archives/edgar/data/1683553/000095017022003582/sprb-ex10_23.htm" TargetMode="External"/><Relationship Id="rId348" Type="http://schemas.openxmlformats.org/officeDocument/2006/relationships/hyperlink" Target="https://www.sec.gov/Archives/edgar/data/1683553/000095017022003582/sprb-ex10_24.htm" TargetMode="External"/><Relationship Id="rId349" Type="http://schemas.openxmlformats.org/officeDocument/2006/relationships/hyperlink" Target="https://www.sec.gov/Archives/edgar/data/1683553/000095017022003582/sprb-ex10_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2022-05-11T15:22:55Z</dcterms:created>
  <dcterms:modified xsi:type="dcterms:W3CDTF">2022-05-11T15:22:55Z</dcterms:modified>
</cp:coreProperties>
</file>