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163830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ind w:left="480" w:hanging="459"/>
        <w:spacing w:after="0" w:line="199" w:lineRule="auto"/>
        <w:tabs>
          <w:tab w:leader="none" w:pos="480" w:val="left"/>
        </w:tabs>
        <w:numPr>
          <w:ilvl w:val="0"/>
          <w:numId w:val="1"/>
        </w:numPr>
        <w:rPr>
          <w:rFonts w:ascii="MS PGothic" w:cs="MS PGothic" w:eastAsia="MS PGothic" w:hAnsi="MS PGothic"/>
          <w:sz w:val="34"/>
          <w:szCs w:val="34"/>
          <w:color w:val="auto"/>
          <w:highlight w:val="black"/>
          <w:vertAlign w:val="superscript"/>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 to ____________</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Spruce Biosciences, Inc.</w:t>
      </w:r>
    </w:p>
    <w:p>
      <w:pPr>
        <w:sectPr>
          <w:pgSz w:w="11900" w:h="16838" w:orient="portrait"/>
          <w:cols w:equalWidth="0" w:num="1">
            <w:col w:w="11240"/>
          </w:cols>
          <w:pgMar w:left="320" w:top="225" w:right="339" w:bottom="1440" w:gutter="0" w:footer="0" w:header="0"/>
        </w:sectPr>
      </w:pPr>
    </w:p>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7"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81-2154263</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 w:lineRule="exact"/>
        <w:rPr>
          <w:sz w:val="24"/>
          <w:szCs w:val="24"/>
          <w:color w:val="auto"/>
        </w:rPr>
      </w:pPr>
    </w:p>
    <w:p>
      <w:pPr>
        <w:sectPr>
          <w:pgSz w:w="11900" w:h="16838" w:orient="portrait"/>
          <w:cols w:equalWidth="0" w:num="2">
            <w:col w:w="7620" w:space="320"/>
            <w:col w:w="3300"/>
          </w:cols>
          <w:pgMar w:left="320" w:top="225" w:right="3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8"/>
          <w:szCs w:val="18"/>
          <w:b w:val="1"/>
          <w:bCs w:val="1"/>
          <w:color w:val="auto"/>
        </w:rPr>
        <w:t>2001 Junipero Serra Boulevard, Suite 640</w:t>
      </w:r>
    </w:p>
    <w:p>
      <w:pPr>
        <w:ind w:left="200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Daly City, California</w:t>
      </w:r>
      <w:r>
        <w:rPr>
          <w:sz w:val="20"/>
          <w:szCs w:val="20"/>
          <w:color w:val="auto"/>
        </w:rPr>
        <w:tab/>
      </w:r>
      <w:r>
        <w:rPr>
          <w:rFonts w:ascii="Times New Roman" w:cs="Times New Roman" w:eastAsia="Times New Roman" w:hAnsi="Times New Roman"/>
          <w:sz w:val="18"/>
          <w:szCs w:val="18"/>
          <w:b w:val="1"/>
          <w:bCs w:val="1"/>
          <w:color w:val="auto"/>
        </w:rPr>
        <w:t>94014</w:t>
      </w:r>
    </w:p>
    <w:p>
      <w:pPr>
        <w:spacing w:after="0" w:line="17"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655-4168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96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00" w:type="dxa"/>
            <w:vAlign w:val="bottom"/>
          </w:tcPr>
          <w:p>
            <w:pPr>
              <w:spacing w:after="0"/>
              <w:rPr>
                <w:sz w:val="24"/>
                <w:szCs w:val="24"/>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960" w:type="dxa"/>
            <w:vAlign w:val="bottom"/>
            <w:gridSpan w:val="3"/>
            <w:vMerge w:val="continue"/>
          </w:tcPr>
          <w:p>
            <w:pPr>
              <w:spacing w:after="0"/>
              <w:rPr>
                <w:sz w:val="20"/>
                <w:szCs w:val="20"/>
                <w:color w:val="auto"/>
              </w:rPr>
            </w:pPr>
          </w:p>
        </w:tc>
        <w:tc>
          <w:tcPr>
            <w:tcW w:w="18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0"/>
                <w:szCs w:val="20"/>
                <w:color w:val="auto"/>
              </w:rPr>
            </w:pPr>
          </w:p>
        </w:tc>
        <w:tc>
          <w:tcPr>
            <w:tcW w:w="4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SPRB</w:t>
            </w:r>
          </w:p>
        </w:tc>
        <w:tc>
          <w:tcPr>
            <w:tcW w:w="10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368" w:lineRule="exact"/>
        <w:rPr>
          <w:sz w:val="24"/>
          <w:szCs w:val="24"/>
          <w:color w:val="auto"/>
        </w:rPr>
      </w:pPr>
    </w:p>
    <w:p>
      <w:pPr>
        <w:ind w:right="60" w:firstLine="509"/>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40" w:firstLine="509"/>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1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13"/>
        </w:trPr>
        <w:tc>
          <w:tcPr>
            <w:tcW w:w="2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1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8" w:lineRule="exact"/>
        <w:rPr>
          <w:sz w:val="24"/>
          <w:szCs w:val="24"/>
          <w:color w:val="auto"/>
        </w:rPr>
      </w:pPr>
    </w:p>
    <w:p>
      <w:pPr>
        <w:ind w:firstLine="509"/>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160"/>
        <w:spacing w:after="0" w:line="25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4, 2022, the registrant had 23,560,250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4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05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SUMMARY OF RISKS ASSOCIATED WITH OUR BUSINESS</w:t>
            </w:r>
          </w:p>
        </w:tc>
        <w:tc>
          <w:tcPr>
            <w:tcW w:w="6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8"/>
        </w:trPr>
        <w:tc>
          <w:tcPr>
            <w:tcW w:w="116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100" w:type="dxa"/>
            <w:vAlign w:val="bottom"/>
            <w:gridSpan w:val="10"/>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0000FF"/>
              </w:rPr>
              <w:t>Statements</w:t>
            </w: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26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6"/>
              </w:rPr>
              <w:t>Unaudited Condensed Financial</w:t>
            </w:r>
          </w:p>
        </w:tc>
        <w:tc>
          <w:tcPr>
            <w:tcW w:w="60" w:type="dxa"/>
            <w:vAlign w:val="bottom"/>
            <w:vMerge w:val="continue"/>
          </w:tcPr>
          <w:p>
            <w:pPr>
              <w:spacing w:after="0"/>
              <w:rPr>
                <w:sz w:val="15"/>
                <w:szCs w:val="15"/>
                <w:color w:val="auto"/>
              </w:rPr>
            </w:pPr>
          </w:p>
        </w:tc>
        <w:tc>
          <w:tcPr>
            <w:tcW w:w="7100" w:type="dxa"/>
            <w:vAlign w:val="bottom"/>
            <w:gridSpan w:val="10"/>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gridSpan w:val="2"/>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940" w:type="dxa"/>
            <w:vAlign w:val="bottom"/>
            <w:vMerge w:val="restart"/>
          </w:tcPr>
          <w:p>
            <w:pPr>
              <w:spacing w:after="0" w:line="20" w:lineRule="exact"/>
              <w:rPr>
                <w:sz w:val="1"/>
                <w:szCs w:val="1"/>
                <w:color w:val="auto"/>
              </w:rPr>
            </w:pPr>
          </w:p>
        </w:tc>
        <w:tc>
          <w:tcPr>
            <w:tcW w:w="2960" w:type="dxa"/>
            <w:vAlign w:val="bottom"/>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314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Condensed Balance Sheets</w:t>
            </w:r>
          </w:p>
        </w:tc>
        <w:tc>
          <w:tcPr>
            <w:tcW w:w="26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29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7460" w:type="dxa"/>
            <w:vAlign w:val="bottom"/>
            <w:gridSpan w:val="12"/>
            <w:vMerge w:val="restart"/>
          </w:tcPr>
          <w:p>
            <w:pPr>
              <w:spacing w:after="0" w:line="202" w:lineRule="exact"/>
              <w:rPr>
                <w:sz w:val="20"/>
                <w:szCs w:val="20"/>
                <w:color w:val="auto"/>
              </w:rPr>
            </w:pPr>
            <w:r>
              <w:rPr>
                <w:rFonts w:ascii="Times New Roman" w:cs="Times New Roman" w:eastAsia="Times New Roman" w:hAnsi="Times New Roman"/>
                <w:sz w:val="18"/>
                <w:szCs w:val="18"/>
                <w:color w:val="0000FF"/>
              </w:rPr>
              <w:t>Operations and Comprehensive Loss</w:t>
            </w: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96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Condensed Statements of</w:t>
            </w:r>
          </w:p>
        </w:tc>
        <w:tc>
          <w:tcPr>
            <w:tcW w:w="7460" w:type="dxa"/>
            <w:vAlign w:val="bottom"/>
            <w:gridSpan w:val="1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40" w:type="dxa"/>
            <w:vAlign w:val="bottom"/>
            <w:vMerge w:val="restart"/>
          </w:tcPr>
          <w:p>
            <w:pPr>
              <w:spacing w:after="0" w:line="20" w:lineRule="exact"/>
              <w:rPr>
                <w:sz w:val="1"/>
                <w:szCs w:val="1"/>
                <w:color w:val="auto"/>
              </w:rPr>
            </w:pPr>
          </w:p>
        </w:tc>
        <w:tc>
          <w:tcPr>
            <w:tcW w:w="2960" w:type="dxa"/>
            <w:vAlign w:val="bottom"/>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452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Condensed Statements of Stockholders’ Equity</w:t>
            </w:r>
          </w:p>
        </w:tc>
        <w:tc>
          <w:tcPr>
            <w:tcW w:w="1940" w:type="dxa"/>
            <w:vAlign w:val="bottom"/>
            <w:vMerge w:val="continue"/>
          </w:tcPr>
          <w:p>
            <w:pPr>
              <w:spacing w:after="0"/>
              <w:rPr>
                <w:sz w:val="15"/>
                <w:szCs w:val="15"/>
                <w:color w:val="auto"/>
              </w:rPr>
            </w:pPr>
          </w:p>
        </w:tc>
        <w:tc>
          <w:tcPr>
            <w:tcW w:w="29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60" w:type="dxa"/>
            <w:vAlign w:val="bottom"/>
            <w:gridSpan w:val="2"/>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00" w:type="dxa"/>
            <w:vAlign w:val="bottom"/>
            <w:gridSpan w:val="2"/>
            <w:vMerge w:val="restart"/>
          </w:tcPr>
          <w:p>
            <w:pPr>
              <w:spacing w:after="0" w:line="20" w:lineRule="exact"/>
              <w:rPr>
                <w:sz w:val="1"/>
                <w:szCs w:val="1"/>
                <w:color w:val="auto"/>
              </w:rPr>
            </w:pPr>
          </w:p>
        </w:tc>
        <w:tc>
          <w:tcPr>
            <w:tcW w:w="2960" w:type="dxa"/>
            <w:vAlign w:val="bottom"/>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340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Condensed Statements of Cash Flows</w:t>
            </w:r>
          </w:p>
        </w:tc>
        <w:tc>
          <w:tcPr>
            <w:tcW w:w="66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29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700" w:type="dxa"/>
            <w:vAlign w:val="bottom"/>
            <w:gridSpan w:val="9"/>
            <w:vMerge w:val="restart"/>
          </w:tcPr>
          <w:p>
            <w:pPr>
              <w:spacing w:after="0" w:line="202" w:lineRule="exact"/>
              <w:rPr>
                <w:sz w:val="20"/>
                <w:szCs w:val="20"/>
                <w:color w:val="auto"/>
              </w:rPr>
            </w:pPr>
            <w:r>
              <w:rPr>
                <w:rFonts w:ascii="Times New Roman" w:cs="Times New Roman" w:eastAsia="Times New Roman" w:hAnsi="Times New Roman"/>
                <w:sz w:val="18"/>
                <w:szCs w:val="18"/>
                <w:color w:val="0000FF"/>
              </w:rPr>
              <w:t>Financial Statements</w:t>
            </w: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72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Notes to the Unaudited Condensed</w:t>
            </w:r>
          </w:p>
        </w:tc>
        <w:tc>
          <w:tcPr>
            <w:tcW w:w="6700" w:type="dxa"/>
            <w:vAlign w:val="bottom"/>
            <w:gridSpan w:val="9"/>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942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960" w:type="dxa"/>
            <w:vAlign w:val="bottom"/>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line="20" w:lineRule="exact"/>
              <w:rPr>
                <w:sz w:val="1"/>
                <w:szCs w:val="1"/>
                <w:color w:val="auto"/>
              </w:rPr>
            </w:pPr>
          </w:p>
        </w:tc>
      </w:tr>
      <w:tr>
        <w:trPr>
          <w:trHeight w:val="182"/>
        </w:trPr>
        <w:tc>
          <w:tcPr>
            <w:tcW w:w="1160" w:type="dxa"/>
            <w:vAlign w:val="bottom"/>
            <w:vMerge w:val="continue"/>
          </w:tcPr>
          <w:p>
            <w:pPr>
              <w:spacing w:after="0"/>
              <w:rPr>
                <w:sz w:val="15"/>
                <w:szCs w:val="15"/>
                <w:color w:val="auto"/>
              </w:rPr>
            </w:pPr>
          </w:p>
        </w:tc>
        <w:tc>
          <w:tcPr>
            <w:tcW w:w="646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9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60" w:type="dxa"/>
            <w:vAlign w:val="bottom"/>
            <w:gridSpan w:val="3"/>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436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5060" w:type="dxa"/>
            <w:vAlign w:val="bottom"/>
            <w:gridSpan w:val="3"/>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vMerge w:val="continue"/>
          </w:tcPr>
          <w:p>
            <w:pPr>
              <w:spacing w:after="0"/>
              <w:rPr>
                <w:sz w:val="24"/>
                <w:szCs w:val="24"/>
                <w:color w:val="auto"/>
              </w:rPr>
            </w:pPr>
          </w:p>
        </w:tc>
        <w:tc>
          <w:tcPr>
            <w:tcW w:w="9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gridSpan w:val="3"/>
            <w:vMerge w:val="restart"/>
          </w:tcPr>
          <w:p>
            <w:pPr>
              <w:spacing w:after="0" w:line="20" w:lineRule="exact"/>
              <w:rPr>
                <w:sz w:val="1"/>
                <w:szCs w:val="1"/>
                <w:color w:val="auto"/>
              </w:rPr>
            </w:pPr>
          </w:p>
        </w:tc>
        <w:tc>
          <w:tcPr>
            <w:tcW w:w="2020" w:type="dxa"/>
            <w:vAlign w:val="bottom"/>
            <w:gridSpan w:val="6"/>
            <w:vMerge w:val="restart"/>
          </w:tcPr>
          <w:p>
            <w:pPr>
              <w:spacing w:after="0" w:line="20" w:lineRule="exact"/>
              <w:rPr>
                <w:sz w:val="1"/>
                <w:szCs w:val="1"/>
                <w:color w:val="auto"/>
              </w:rPr>
            </w:pPr>
          </w:p>
        </w:tc>
        <w:tc>
          <w:tcPr>
            <w:tcW w:w="5080" w:type="dxa"/>
            <w:vAlign w:val="bottom"/>
            <w:gridSpan w:val="4"/>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88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440" w:type="dxa"/>
            <w:vAlign w:val="bottom"/>
            <w:gridSpan w:val="3"/>
            <w:vMerge w:val="continue"/>
          </w:tcPr>
          <w:p>
            <w:pPr>
              <w:spacing w:after="0"/>
              <w:rPr>
                <w:sz w:val="15"/>
                <w:szCs w:val="15"/>
                <w:color w:val="auto"/>
              </w:rPr>
            </w:pPr>
          </w:p>
        </w:tc>
        <w:tc>
          <w:tcPr>
            <w:tcW w:w="2020" w:type="dxa"/>
            <w:vAlign w:val="bottom"/>
            <w:gridSpan w:val="6"/>
            <w:vMerge w:val="continue"/>
          </w:tcPr>
          <w:p>
            <w:pPr>
              <w:spacing w:after="0"/>
              <w:rPr>
                <w:sz w:val="15"/>
                <w:szCs w:val="15"/>
                <w:color w:val="auto"/>
              </w:rPr>
            </w:pPr>
          </w:p>
        </w:tc>
        <w:tc>
          <w:tcPr>
            <w:tcW w:w="5080" w:type="dxa"/>
            <w:vAlign w:val="bottom"/>
            <w:gridSpan w:val="4"/>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5"/>
            <w:vMerge w:val="restart"/>
          </w:tcPr>
          <w:p>
            <w:pPr>
              <w:spacing w:after="0" w:line="20" w:lineRule="exact"/>
              <w:rPr>
                <w:sz w:val="1"/>
                <w:szCs w:val="1"/>
                <w:color w:val="auto"/>
              </w:rPr>
            </w:pPr>
          </w:p>
        </w:tc>
        <w:tc>
          <w:tcPr>
            <w:tcW w:w="2020" w:type="dxa"/>
            <w:vAlign w:val="bottom"/>
            <w:gridSpan w:val="6"/>
            <w:vMerge w:val="restart"/>
          </w:tcPr>
          <w:p>
            <w:pPr>
              <w:spacing w:after="0" w:line="20" w:lineRule="exact"/>
              <w:rPr>
                <w:sz w:val="1"/>
                <w:szCs w:val="1"/>
                <w:color w:val="auto"/>
              </w:rPr>
            </w:pPr>
          </w:p>
        </w:tc>
        <w:tc>
          <w:tcPr>
            <w:tcW w:w="5080" w:type="dxa"/>
            <w:vAlign w:val="bottom"/>
            <w:gridSpan w:val="4"/>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32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gridSpan w:val="5"/>
            <w:vMerge w:val="continue"/>
          </w:tcPr>
          <w:p>
            <w:pPr>
              <w:spacing w:after="0"/>
              <w:rPr>
                <w:sz w:val="15"/>
                <w:szCs w:val="15"/>
                <w:color w:val="auto"/>
              </w:rPr>
            </w:pPr>
          </w:p>
        </w:tc>
        <w:tc>
          <w:tcPr>
            <w:tcW w:w="2020" w:type="dxa"/>
            <w:vAlign w:val="bottom"/>
            <w:gridSpan w:val="6"/>
            <w:vMerge w:val="continue"/>
          </w:tcPr>
          <w:p>
            <w:pPr>
              <w:spacing w:after="0"/>
              <w:rPr>
                <w:sz w:val="15"/>
                <w:szCs w:val="15"/>
                <w:color w:val="auto"/>
              </w:rPr>
            </w:pPr>
          </w:p>
        </w:tc>
        <w:tc>
          <w:tcPr>
            <w:tcW w:w="5080" w:type="dxa"/>
            <w:vAlign w:val="bottom"/>
            <w:gridSpan w:val="4"/>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500" w:type="dxa"/>
            <w:vAlign w:val="bottom"/>
            <w:gridSpan w:val="17"/>
            <w:vMerge w:val="restart"/>
          </w:tcPr>
          <w:p>
            <w:pPr>
              <w:ind w:left="40"/>
              <w:spacing w:after="0" w:line="20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9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4"/>
              </w:rPr>
              <w:t>Unregistered</w:t>
            </w:r>
          </w:p>
        </w:tc>
        <w:tc>
          <w:tcPr>
            <w:tcW w:w="8500" w:type="dxa"/>
            <w:vAlign w:val="bottom"/>
            <w:gridSpan w:val="17"/>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5080" w:type="dxa"/>
            <w:vAlign w:val="bottom"/>
            <w:gridSpan w:val="4"/>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434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080" w:type="dxa"/>
            <w:vAlign w:val="bottom"/>
            <w:gridSpan w:val="4"/>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7100" w:type="dxa"/>
            <w:vAlign w:val="bottom"/>
            <w:gridSpan w:val="10"/>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32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7100" w:type="dxa"/>
            <w:vAlign w:val="bottom"/>
            <w:gridSpan w:val="10"/>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660" w:type="dxa"/>
            <w:vAlign w:val="bottom"/>
            <w:gridSpan w:val="14"/>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76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660" w:type="dxa"/>
            <w:vAlign w:val="bottom"/>
            <w:gridSpan w:val="14"/>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120" w:type="dxa"/>
            <w:vAlign w:val="bottom"/>
            <w:gridSpan w:val="16"/>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30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8120" w:type="dxa"/>
            <w:vAlign w:val="bottom"/>
            <w:gridSpan w:val="16"/>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660" w:type="dxa"/>
            <w:vAlign w:val="bottom"/>
            <w:gridSpan w:val="18"/>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6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0000FF"/>
                <w:w w:val="76"/>
              </w:rPr>
              <w:t>Signatures</w:t>
            </w:r>
          </w:p>
        </w:tc>
        <w:tc>
          <w:tcPr>
            <w:tcW w:w="140" w:type="dxa"/>
            <w:vAlign w:val="bottom"/>
            <w:vMerge w:val="continue"/>
          </w:tcPr>
          <w:p>
            <w:pPr>
              <w:spacing w:after="0"/>
              <w:rPr>
                <w:sz w:val="15"/>
                <w:szCs w:val="15"/>
                <w:color w:val="auto"/>
              </w:rPr>
            </w:pPr>
          </w:p>
        </w:tc>
        <w:tc>
          <w:tcPr>
            <w:tcW w:w="8660" w:type="dxa"/>
            <w:vAlign w:val="bottom"/>
            <w:gridSpan w:val="18"/>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1"/>
        </w:trPr>
        <w:tc>
          <w:tcPr>
            <w:tcW w:w="116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RISKS ASSOCIATED WITH OUR BUSINESS</w:t>
      </w:r>
    </w:p>
    <w:p>
      <w:pPr>
        <w:spacing w:after="0" w:line="10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face risks and uncertainties associated with our business, many of which are beyond our control. Some of the material risks associated with our business include the following:</w:t>
      </w:r>
    </w:p>
    <w:p>
      <w:pPr>
        <w:spacing w:after="0" w:line="68" w:lineRule="exact"/>
        <w:rPr>
          <w:sz w:val="20"/>
          <w:szCs w:val="20"/>
          <w:color w:val="auto"/>
        </w:rPr>
      </w:pPr>
    </w:p>
    <w:p>
      <w:pPr>
        <w:ind w:left="1020" w:right="38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significant net losses since our inception, and anticipate that we will continue to incur significant net losses for the foreseeable future. We expect these losses to increase as we continue our clinical development of, and seek regulatory approvals for, tildacerfont and any future product candidates.</w:t>
      </w:r>
    </w:p>
    <w:p>
      <w:pPr>
        <w:spacing w:after="0" w:line="82"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financing to develop tildacerfont and any future product candidates and implement our operating plans. If we fail to obtain additional financing, we may be forced to delay, reduce or eliminate our product development programs or commercialization efforts.</w:t>
      </w:r>
    </w:p>
    <w:p>
      <w:pPr>
        <w:spacing w:after="0" w:line="68"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spacing w:after="0" w:line="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enrolling patients in our clinical trials, our clinical development activities could be delayed or otherwise adversely affected.</w:t>
      </w:r>
    </w:p>
    <w:p>
      <w:pPr>
        <w:spacing w:after="0" w:line="40"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fail to adequately demonstrate the safety and efficacy of tildacerfont, which could prevent or delay regulatory approval and commercialization.</w:t>
      </w:r>
    </w:p>
    <w:p>
      <w:pPr>
        <w:spacing w:after="0" w:line="67"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54" w:lineRule="exact"/>
        <w:rPr>
          <w:rFonts w:ascii="Times New Roman" w:cs="Times New Roman" w:eastAsia="Times New Roman" w:hAnsi="Times New Roman"/>
          <w:sz w:val="18"/>
          <w:szCs w:val="18"/>
          <w:color w:val="auto"/>
        </w:rPr>
      </w:pPr>
    </w:p>
    <w:p>
      <w:pPr>
        <w:ind w:left="1020" w:right="20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Food and Drug Administration, or FDA, and comparable foreign regulatory authorities may require us to initiate one or more additional clinical trials for tildacerfont in adult patients with classic congenital adrenal hyperplasia, or CAH, including a Phase 3 clinical trial or trials. The estimated timing or scope of any such future clinical trials is not currently ascertainable. Even if regulatory approvals are obtained, we may never be able to successfully commercialize tildacerfont.</w:t>
      </w:r>
    </w:p>
    <w:p>
      <w:pPr>
        <w:spacing w:after="0" w:line="82" w:lineRule="exact"/>
        <w:rPr>
          <w:rFonts w:ascii="Times New Roman" w:cs="Times New Roman" w:eastAsia="Times New Roman" w:hAnsi="Times New Roman"/>
          <w:sz w:val="18"/>
          <w:szCs w:val="18"/>
          <w:color w:val="auto"/>
        </w:rPr>
      </w:pPr>
    </w:p>
    <w:p>
      <w:pPr>
        <w:ind w:left="1020" w:right="28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U.S. and global economic conditions could adversely affect our business, financial condition or results of operations.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has been and could continue to be adversely affected by the evolving and ongoing COVID-19 global pandemic in regions where we or third parties on which we rely have significant manufacturing facilities, concentrations of clinical trial sites or other business operations. The COVID-19 pandemic could adversely affect our operations, as well as the business or operations of our manufacturers, clinical research organizations, or CROs, or other third parties with whom we conduct business.</w:t>
      </w:r>
    </w:p>
    <w:p>
      <w:pPr>
        <w:spacing w:after="0" w:line="69" w:lineRule="exact"/>
        <w:rPr>
          <w:rFonts w:ascii="Times New Roman" w:cs="Times New Roman" w:eastAsia="Times New Roman" w:hAnsi="Times New Roman"/>
          <w:sz w:val="18"/>
          <w:szCs w:val="18"/>
          <w:color w:val="auto"/>
        </w:rPr>
      </w:pPr>
    </w:p>
    <w:p>
      <w:pPr>
        <w:ind w:left="1020" w:right="220" w:hanging="503"/>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spacing w:after="0" w:line="61"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tildacerfont and any future product candidates are smaller than we believe they are, our future revenue may be adversely affected, and our business may suffer.</w:t>
      </w:r>
    </w:p>
    <w:p>
      <w:pPr>
        <w:spacing w:after="0" w:line="67"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spacing w:after="0" w:line="82" w:lineRule="exact"/>
        <w:rPr>
          <w:rFonts w:ascii="Times New Roman" w:cs="Times New Roman" w:eastAsia="Times New Roman" w:hAnsi="Times New Roman"/>
          <w:sz w:val="18"/>
          <w:szCs w:val="18"/>
          <w:color w:val="auto"/>
        </w:rPr>
      </w:pPr>
    </w:p>
    <w:p>
      <w:pPr>
        <w:jc w:val="both"/>
        <w:ind w:left="1020" w:right="10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spacing w:after="0" w:line="68"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and retaining highly qualified personnel, we may not be able to successfully implement our business strategy.</w:t>
      </w:r>
    </w:p>
    <w:p>
      <w:pPr>
        <w:spacing w:after="0" w:line="40" w:lineRule="exact"/>
        <w:rPr>
          <w:rFonts w:ascii="Times New Roman" w:cs="Times New Roman" w:eastAsia="Times New Roman" w:hAnsi="Times New Roman"/>
          <w:sz w:val="18"/>
          <w:szCs w:val="18"/>
          <w:color w:val="auto"/>
        </w:rPr>
      </w:pPr>
    </w:p>
    <w:p>
      <w:pPr>
        <w:ind w:left="1020" w:right="5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If these third parties do not successfully carry out their contractual duties or meet expected deadlines, we may not be able to obtain regulatory approval for or commercialize tildacerfont.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left="102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and any future product candidates, and other proprietary technologies if approved, may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ind w:left="4400"/>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42,748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46,221</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95,298</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126,486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Term loan, current portion</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8,604</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net of current portion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1"/>
        </w:trPr>
        <w:tc>
          <w:tcPr>
            <w:tcW w:w="772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72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and no shares issued or outstanding as of September 30, 2022 and</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2021</w:t>
            </w:r>
          </w:p>
        </w:tc>
        <w:tc>
          <w:tcPr>
            <w:tcW w:w="24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7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$0.0001 par value, 200,000,000 shares authorized as</w:t>
            </w: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720" w:type="dxa"/>
            <w:vAlign w:val="bottom"/>
            <w:shd w:val="clear" w:color="auto" w:fill="CFF0FC"/>
          </w:tcPr>
          <w:p>
            <w:pPr>
              <w:ind w:left="340"/>
              <w:spacing w:after="0" w:line="189" w:lineRule="exact"/>
              <w:rPr>
                <w:sz w:val="20"/>
                <w:szCs w:val="20"/>
                <w:color w:val="auto"/>
              </w:rPr>
            </w:pPr>
            <w:r>
              <w:rPr>
                <w:rFonts w:ascii="Times New Roman" w:cs="Times New Roman" w:eastAsia="Times New Roman" w:hAnsi="Times New Roman"/>
                <w:sz w:val="18"/>
                <w:szCs w:val="18"/>
                <w:color w:val="auto"/>
              </w:rPr>
              <w:t>of September 30, 2022 and December 31, 2021; 23,560,250 and</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20" w:type="dxa"/>
            <w:vAlign w:val="bottom"/>
            <w:shd w:val="clear" w:color="auto" w:fill="CFF0FC"/>
          </w:tcPr>
          <w:p>
            <w:pPr>
              <w:ind w:left="340"/>
              <w:spacing w:after="0" w:line="189" w:lineRule="exact"/>
              <w:rPr>
                <w:sz w:val="20"/>
                <w:szCs w:val="20"/>
                <w:color w:val="auto"/>
              </w:rPr>
            </w:pPr>
            <w:r>
              <w:rPr>
                <w:rFonts w:ascii="Times New Roman" w:cs="Times New Roman" w:eastAsia="Times New Roman" w:hAnsi="Times New Roman"/>
                <w:sz w:val="18"/>
                <w:szCs w:val="18"/>
                <w:color w:val="auto"/>
              </w:rPr>
              <w:t>23,491,881 shares issued and outstanding as of September 30, 2022</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December 31, 2021, respectively</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214,685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(873 )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(184 )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(138,169 )</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(103,133 )</w:t>
            </w:r>
          </w:p>
        </w:tc>
      </w:tr>
      <w:tr>
        <w:trPr>
          <w:trHeight w:val="20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78,475</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95,298</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126,486</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-4139565</wp:posOffset>
            </wp:positionV>
            <wp:extent cx="6858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-4139565</wp:posOffset>
            </wp:positionV>
            <wp:extent cx="6858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-3299460</wp:posOffset>
            </wp:positionV>
            <wp:extent cx="123444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3444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-1885315</wp:posOffset>
            </wp:positionV>
            <wp:extent cx="6858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80" w:type="dxa"/>
            <w:vAlign w:val="bottom"/>
            <w:gridSpan w:val="5"/>
          </w:tcPr>
          <w:p>
            <w:pPr>
              <w:jc w:val="right"/>
              <w:ind w:right="9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2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8,607</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26,359</w:t>
            </w:r>
          </w:p>
        </w:tc>
        <w:tc>
          <w:tcPr>
            <w:tcW w:w="240" w:type="dxa"/>
            <w:vAlign w:val="bottom"/>
          </w:tcPr>
          <w:p>
            <w:pPr>
              <w:spacing w:after="0"/>
              <w:rPr>
                <w:sz w:val="18"/>
                <w:szCs w:val="18"/>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2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35,173</w:t>
            </w: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(35,173</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(110 )</w:t>
            </w:r>
          </w:p>
        </w:tc>
        <w:tc>
          <w:tcPr>
            <w:tcW w:w="40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(88 )</w:t>
            </w:r>
          </w:p>
        </w:tc>
        <w:tc>
          <w:tcPr>
            <w:tcW w:w="28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(291 )</w:t>
            </w:r>
          </w:p>
        </w:tc>
        <w:tc>
          <w:tcPr>
            <w:tcW w:w="5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(11,401 )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(11,447 )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(35,036 )</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(33,108 )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Unrealized (loss) gain on available for sale securities</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(689</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(11,429 )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(11,434 )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(35,725 )</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(33,124 )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(0.48</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(0.49</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51"/>
        </w:trPr>
        <w:tc>
          <w:tcPr>
            <w:tcW w:w="5080" w:type="dxa"/>
            <w:vAlign w:val="bottom"/>
          </w:tcPr>
          <w:p>
            <w:pPr>
              <w:ind w:left="20"/>
              <w:spacing w:after="0" w:line="151" w:lineRule="exact"/>
              <w:rPr>
                <w:sz w:val="20"/>
                <w:szCs w:val="20"/>
                <w:color w:val="auto"/>
              </w:rPr>
            </w:pPr>
            <w:r>
              <w:rPr>
                <w:rFonts w:ascii="Times New Roman" w:cs="Times New Roman" w:eastAsia="Times New Roman" w:hAnsi="Times New Roman"/>
                <w:sz w:val="17"/>
                <w:szCs w:val="17"/>
                <w:color w:val="auto"/>
              </w:rPr>
              <w:t>Weighted-average shares of common stock outstanding,</w:t>
            </w: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23,560,250</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23,367,140</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23,515,651</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23,330,399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08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-1464945</wp:posOffset>
            </wp:positionV>
            <wp:extent cx="7747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-1464945</wp:posOffset>
            </wp:positionV>
            <wp:extent cx="6858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-1464945</wp:posOffset>
            </wp:positionV>
            <wp:extent cx="6858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-899795</wp:posOffset>
            </wp:positionV>
            <wp:extent cx="7747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-899795</wp:posOffset>
            </wp:positionV>
            <wp:extent cx="685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-899795</wp:posOffset>
            </wp:positionV>
            <wp:extent cx="685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-591185</wp:posOffset>
            </wp:positionV>
            <wp:extent cx="7747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-591185</wp:posOffset>
            </wp:positionV>
            <wp:extent cx="6858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-591185</wp:posOffset>
            </wp:positionV>
            <wp:extent cx="6858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-282575</wp:posOffset>
            </wp:positionV>
            <wp:extent cx="3077210" cy="283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77210" cy="28321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00" w:type="dxa"/>
            <w:vAlign w:val="bottom"/>
          </w:tcPr>
          <w:p>
            <w:pPr>
              <w:spacing w:after="0"/>
              <w:rPr>
                <w:sz w:val="16"/>
                <w:szCs w:val="16"/>
                <w:color w:val="auto"/>
              </w:rPr>
            </w:pPr>
          </w:p>
        </w:tc>
        <w:tc>
          <w:tcPr>
            <w:tcW w:w="1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560" w:type="dxa"/>
            <w:vAlign w:val="bottom"/>
            <w:gridSpan w:val="3"/>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1680" w:type="dxa"/>
            <w:vAlign w:val="bottom"/>
            <w:tcBorders>
              <w:bottom w:val="single" w:sz="8" w:color="auto"/>
            </w:tcBorders>
            <w:gridSpan w:val="3"/>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1420" w:type="dxa"/>
            <w:vAlign w:val="bottom"/>
            <w:gridSpan w:val="2"/>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8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2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4"/>
                <w:szCs w:val="14"/>
                <w:color w:val="auto"/>
              </w:rPr>
            </w:pPr>
          </w:p>
        </w:tc>
        <w:tc>
          <w:tcPr>
            <w:tcW w:w="1420" w:type="dxa"/>
            <w:vAlign w:val="bottom"/>
            <w:gridSpan w:val="2"/>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4"/>
                <w:szCs w:val="14"/>
                <w:color w:val="auto"/>
              </w:rPr>
            </w:pPr>
          </w:p>
        </w:tc>
        <w:tc>
          <w:tcPr>
            <w:tcW w:w="1000" w:type="dxa"/>
            <w:vAlign w:val="bottom"/>
            <w:gridSpan w:val="2"/>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23,560,250</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216,731</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(126,768</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60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Unrealized loss on available for sale</w:t>
            </w:r>
          </w:p>
        </w:tc>
        <w:tc>
          <w:tcPr>
            <w:tcW w:w="1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securities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(28 )</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16"/>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(11,401 )</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(11,401 )</w:t>
            </w:r>
          </w:p>
        </w:tc>
        <w:tc>
          <w:tcPr>
            <w:tcW w:w="0" w:type="dxa"/>
            <w:vAlign w:val="bottom"/>
          </w:tcPr>
          <w:p>
            <w:pPr>
              <w:spacing w:after="0"/>
              <w:rPr>
                <w:sz w:val="1"/>
                <w:szCs w:val="1"/>
                <w:color w:val="auto"/>
              </w:rPr>
            </w:pPr>
          </w:p>
        </w:tc>
      </w:tr>
      <w:tr>
        <w:trPr>
          <w:trHeight w:val="250"/>
        </w:trPr>
        <w:tc>
          <w:tcPr>
            <w:tcW w:w="3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23,560,250</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217,514</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(138,169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78,475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3600" w:type="dxa"/>
            <w:vAlign w:val="bottom"/>
          </w:tcPr>
          <w:p>
            <w:pPr>
              <w:spacing w:after="0"/>
              <w:rPr>
                <w:sz w:val="24"/>
                <w:szCs w:val="24"/>
                <w:color w:val="auto"/>
              </w:rPr>
            </w:pPr>
          </w:p>
        </w:tc>
        <w:tc>
          <w:tcPr>
            <w:tcW w:w="1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560" w:type="dxa"/>
            <w:vAlign w:val="bottom"/>
            <w:gridSpan w:val="3"/>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1680" w:type="dxa"/>
            <w:vAlign w:val="bottom"/>
            <w:tcBorders>
              <w:bottom w:val="single" w:sz="8" w:color="auto"/>
            </w:tcBorders>
            <w:gridSpan w:val="3"/>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1420" w:type="dxa"/>
            <w:vAlign w:val="bottom"/>
            <w:gridSpan w:val="2"/>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8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2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4"/>
                <w:szCs w:val="14"/>
                <w:color w:val="auto"/>
              </w:rPr>
            </w:pPr>
          </w:p>
        </w:tc>
        <w:tc>
          <w:tcPr>
            <w:tcW w:w="1420" w:type="dxa"/>
            <w:vAlign w:val="bottom"/>
            <w:gridSpan w:val="2"/>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4"/>
                <w:szCs w:val="14"/>
                <w:color w:val="auto"/>
              </w:rPr>
            </w:pPr>
          </w:p>
        </w:tc>
        <w:tc>
          <w:tcPr>
            <w:tcW w:w="1000" w:type="dxa"/>
            <w:vAlign w:val="bottom"/>
            <w:gridSpan w:val="2"/>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23,491,881</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214,685</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(103,133</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60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1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6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25,545</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60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vesting of restricted stock units,</w:t>
            </w: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of tax withholdings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(40 )</w:t>
            </w:r>
          </w:p>
        </w:tc>
        <w:tc>
          <w:tcPr>
            <w:tcW w:w="140" w:type="dxa"/>
            <w:vAlign w:val="bottom"/>
          </w:tcPr>
          <w:p>
            <w:pPr>
              <w:spacing w:after="0"/>
              <w:rPr>
                <w:sz w:val="20"/>
                <w:szCs w:val="20"/>
                <w:color w:val="auto"/>
              </w:rPr>
            </w:pPr>
          </w:p>
        </w:tc>
        <w:tc>
          <w:tcPr>
            <w:tcW w:w="14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60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Unrealized loss on available for sale</w:t>
            </w: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(689 )</w:t>
            </w:r>
          </w:p>
        </w:tc>
        <w:tc>
          <w:tcPr>
            <w:tcW w:w="180" w:type="dxa"/>
            <w:vAlign w:val="bottom"/>
          </w:tcPr>
          <w:p>
            <w:pPr>
              <w:spacing w:after="0"/>
              <w:rPr>
                <w:sz w:val="20"/>
                <w:szCs w:val="20"/>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(689 )</w:t>
            </w: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(35,036 )</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(35,036 )</w:t>
            </w:r>
          </w:p>
        </w:tc>
        <w:tc>
          <w:tcPr>
            <w:tcW w:w="0" w:type="dxa"/>
            <w:vAlign w:val="bottom"/>
          </w:tcPr>
          <w:p>
            <w:pPr>
              <w:spacing w:after="0"/>
              <w:rPr>
                <w:sz w:val="1"/>
                <w:szCs w:val="1"/>
                <w:color w:val="auto"/>
              </w:rPr>
            </w:pPr>
          </w:p>
        </w:tc>
      </w:tr>
      <w:tr>
        <w:trPr>
          <w:trHeight w:val="20"/>
        </w:trPr>
        <w:tc>
          <w:tcPr>
            <w:tcW w:w="36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23,560,250</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217,514</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(873 )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(138,169 )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-2125345</wp:posOffset>
            </wp:positionV>
            <wp:extent cx="4046220" cy="514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46220" cy="51435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-170815</wp:posOffset>
            </wp:positionV>
            <wp:extent cx="7747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-170815</wp:posOffset>
            </wp:positionV>
            <wp:extent cx="7747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-170815</wp:posOffset>
            </wp:positionV>
            <wp:extent cx="6858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-170815</wp:posOffset>
            </wp:positionV>
            <wp:extent cx="685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-170815</wp:posOffset>
            </wp:positionV>
            <wp:extent cx="685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2220" w:type="dxa"/>
            <w:vAlign w:val="bottom"/>
            <w:gridSpan w:val="4"/>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6"/>
                <w:szCs w:val="16"/>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720" w:type="dxa"/>
            <w:vAlign w:val="bottom"/>
          </w:tcPr>
          <w:p>
            <w:pPr>
              <w:spacing w:after="0"/>
              <w:rPr>
                <w:sz w:val="15"/>
                <w:szCs w:val="15"/>
                <w:color w:val="auto"/>
              </w:rPr>
            </w:pPr>
          </w:p>
        </w:tc>
        <w:tc>
          <w:tcPr>
            <w:tcW w:w="2220" w:type="dxa"/>
            <w:vAlign w:val="bottom"/>
            <w:tcBorders>
              <w:bottom w:val="single" w:sz="8" w:color="auto"/>
            </w:tcBorders>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4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4"/>
                <w:szCs w:val="14"/>
                <w:color w:val="auto"/>
              </w:rPr>
            </w:pPr>
          </w:p>
        </w:tc>
        <w:tc>
          <w:tcPr>
            <w:tcW w:w="960" w:type="dxa"/>
            <w:vAlign w:val="bottom"/>
            <w:gridSpan w:val="2"/>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23,370,070</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212,634</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(82,502</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on available for sale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(11,447 )</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(11,447 )</w:t>
            </w: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23,379,887</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213,682</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(93,949 )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720" w:type="dxa"/>
            <w:vAlign w:val="bottom"/>
          </w:tcPr>
          <w:p>
            <w:pPr>
              <w:spacing w:after="0"/>
              <w:rPr>
                <w:sz w:val="24"/>
                <w:szCs w:val="24"/>
                <w:color w:val="auto"/>
              </w:rPr>
            </w:pPr>
          </w:p>
        </w:tc>
        <w:tc>
          <w:tcPr>
            <w:tcW w:w="2220" w:type="dxa"/>
            <w:vAlign w:val="bottom"/>
            <w:gridSpan w:val="4"/>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24"/>
                <w:szCs w:val="24"/>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720" w:type="dxa"/>
            <w:vAlign w:val="bottom"/>
          </w:tcPr>
          <w:p>
            <w:pPr>
              <w:spacing w:after="0"/>
              <w:rPr>
                <w:sz w:val="15"/>
                <w:szCs w:val="15"/>
                <w:color w:val="auto"/>
              </w:rPr>
            </w:pPr>
          </w:p>
        </w:tc>
        <w:tc>
          <w:tcPr>
            <w:tcW w:w="2220" w:type="dxa"/>
            <w:vAlign w:val="bottom"/>
            <w:tcBorders>
              <w:bottom w:val="single" w:sz="8" w:color="auto"/>
            </w:tcBorders>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4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4"/>
                <w:szCs w:val="14"/>
                <w:color w:val="auto"/>
              </w:rPr>
            </w:pPr>
          </w:p>
        </w:tc>
        <w:tc>
          <w:tcPr>
            <w:tcW w:w="960" w:type="dxa"/>
            <w:vAlign w:val="bottom"/>
            <w:gridSpan w:val="2"/>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23,260,399</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210,266</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(60,841</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109,361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7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on available for sale securities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(16 )</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6"/>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(33,108 )</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(33,108 )</w:t>
            </w:r>
          </w:p>
        </w:tc>
        <w:tc>
          <w:tcPr>
            <w:tcW w:w="0" w:type="dxa"/>
            <w:vAlign w:val="bottom"/>
          </w:tcPr>
          <w:p>
            <w:pPr>
              <w:spacing w:after="0"/>
              <w:rPr>
                <w:sz w:val="1"/>
                <w:szCs w:val="1"/>
                <w:color w:val="auto"/>
              </w:rPr>
            </w:pPr>
          </w:p>
        </w:tc>
      </w:tr>
      <w:tr>
        <w:trPr>
          <w:trHeight w:val="249"/>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23,379,887</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213,682</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(93,949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119,720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-1859280</wp:posOffset>
            </wp:positionV>
            <wp:extent cx="76835" cy="5054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50546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-1859280</wp:posOffset>
            </wp:positionV>
            <wp:extent cx="68580" cy="7454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7454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-1859280</wp:posOffset>
            </wp:positionV>
            <wp:extent cx="68580" cy="7454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7454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-1859280</wp:posOffset>
            </wp:positionV>
            <wp:extent cx="68580" cy="7454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7454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-1859280</wp:posOffset>
            </wp:positionV>
            <wp:extent cx="68580" cy="7454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7454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7454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7454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-25400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-7620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-25400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-25400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-25400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0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9"/>
              </w:rPr>
              <w:t>(35,036 )</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(33,108 )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premium on investments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96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(229 )</w:t>
            </w: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09"/>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(29,945</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96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9"/>
              </w:rPr>
              <w:t>(33,869 )</w:t>
            </w: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(73,098 )</w:t>
            </w: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(73,185 )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96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(277 )</w:t>
            </w:r>
          </w:p>
        </w:tc>
        <w:tc>
          <w:tcPr>
            <w:tcW w:w="96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related to employee stock purchase plan</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withholding payments on restricted stock units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(40 )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term loan, net of issuance costs of $10</w:t>
            </w:r>
          </w:p>
        </w:tc>
        <w:tc>
          <w:tcPr>
            <w:tcW w:w="960" w:type="dxa"/>
            <w:vAlign w:val="bottom"/>
          </w:tcPr>
          <w:p>
            <w:pPr>
              <w:spacing w:after="0"/>
              <w:rPr>
                <w:sz w:val="18"/>
                <w:szCs w:val="18"/>
                <w:color w:val="auto"/>
              </w:rPr>
            </w:pPr>
          </w:p>
        </w:tc>
        <w:tc>
          <w:tcPr>
            <w:tcW w:w="8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 of term loan</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(4,770 )</w:t>
            </w: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6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(277 )</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(21,099</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(98,787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42,964</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157,366</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60" w:type="dxa"/>
            <w:vAlign w:val="bottom"/>
            <w:tcBorders>
              <w:bottom w:val="single" w:sz="8" w:color="auto"/>
            </w:tcBorders>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21,865</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58,579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21,649</w:t>
            </w:r>
          </w:p>
        </w:tc>
        <w:tc>
          <w:tcPr>
            <w:tcW w:w="280" w:type="dxa"/>
            <w:vAlign w:val="bottom"/>
          </w:tcPr>
          <w:p>
            <w:pPr>
              <w:spacing w:after="0"/>
              <w:rPr>
                <w:sz w:val="18"/>
                <w:szCs w:val="18"/>
                <w:color w:val="auto"/>
              </w:rPr>
            </w:pP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58,363</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96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21,865</w:t>
            </w:r>
          </w:p>
        </w:tc>
        <w:tc>
          <w:tcPr>
            <w:tcW w:w="280" w:type="dxa"/>
            <w:vAlign w:val="bottom"/>
          </w:tcPr>
          <w:p>
            <w:pPr>
              <w:spacing w:after="0"/>
              <w:rPr>
                <w:sz w:val="18"/>
                <w:szCs w:val="18"/>
                <w:color w:val="auto"/>
              </w:rPr>
            </w:pP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58,579</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data:</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96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offering costs included in accrued expenses</w:t>
            </w:r>
          </w:p>
        </w:tc>
        <w:tc>
          <w:tcPr>
            <w:tcW w:w="96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Pr>
          <w:p>
            <w:pPr>
              <w:spacing w:after="0"/>
              <w:rPr>
                <w:sz w:val="20"/>
                <w:szCs w:val="20"/>
                <w:color w:val="auto"/>
              </w:rPr>
            </w:pP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-3825875</wp:posOffset>
            </wp:positionV>
            <wp:extent cx="6858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-3825875</wp:posOffset>
            </wp:positionV>
            <wp:extent cx="6858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-3268345</wp:posOffset>
            </wp:positionV>
            <wp:extent cx="6858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-3268345</wp:posOffset>
            </wp:positionV>
            <wp:extent cx="6858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-2153920</wp:posOffset>
            </wp:positionV>
            <wp:extent cx="6858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-2153920</wp:posOffset>
            </wp:positionV>
            <wp:extent cx="6858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-1579880</wp:posOffset>
            </wp:positionV>
            <wp:extent cx="124333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4333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-1005205</wp:posOffset>
            </wp:positionV>
            <wp:extent cx="6858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-1005205</wp:posOffset>
            </wp:positionV>
            <wp:extent cx="6858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p>
      <w:pPr>
        <w:ind w:right="8160" w:firstLine="8"/>
        <w:spacing w:after="0" w:line="362"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Description of Business</w:t>
      </w:r>
    </w:p>
    <w:p>
      <w:pPr>
        <w:spacing w:after="0" w:line="1"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Spruce Biosciences, Inc. (the Company) is a late-stage biopharmaceutical company focused on developing and commercializing novel therapies for rare endocrine disorders with significant unmet medical need. The Company is initially developing its wholly-owned product candidate, tildacerfont, as the potential first non-steroidal therapy for patients suffering from classic congenital adrenal hyperplasia (CAH). The Company is also developing tildacerfont for females suffering from polycystic ovary syndrome (PCOS) with adrenal dysfunction. The Company is located in Daly City, California and was incorporated in the state of Delaware in April 2016.</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2022, the Company had cash, cash equivalents, and short-term investments of $90.4 million, which management believes is sufficient to fund its planned operations and debt obligations for a period of at least twelve months following the issuance of the accompanying condensed financial statements.</w:t>
      </w:r>
    </w:p>
    <w:p>
      <w:pPr>
        <w:spacing w:after="0" w:line="61"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The Company has incurred significant losses and negative cash flows from operations. During the nine months ended September 30, 2022, the Company incurred a net loss of $35.0 million and used $29.9 million of cash in operations. As of September 30, 2022, the Company had an accumulated deficit of $138.2 million and does not expect positive cash flows from operations in the foreseeable future. The Company has funded its operations primarily through the issuance and sale of equity securities and debt.</w:t>
      </w:r>
    </w:p>
    <w:p>
      <w:pPr>
        <w:spacing w:after="0" w:line="6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Company anticipates that it will need to raise substantial additional financing in the future to fund its operations. In order to meet these additional cash requirements, the Company may seek to sell additional equity or issue debt, convertible debt or other securities that may result in dilution to its stockholders. If the Company raises additional funds through the issuance of debt or convertible debt securities, these securities could have rights senior to those of its shares of common stock and could contain covenants that restrict its operations. There can be no assurance that the Company will be able to obtain additional equity or debt financing on terms acceptable to it, if at all. Additional debt financing, if available, would result in increased fixed payment obligations and may involve agreements that include covenants limiting or restricting the Company’s ability to take specific actions such as incurring debt, making capital expenditures or declaring dividends. The Company’s failure to obtain sufficient funds on acceptable terms when needed could have a material adverse effect on its business, results of operations, and financial condition.</w:t>
      </w:r>
    </w:p>
    <w:p>
      <w:pPr>
        <w:spacing w:after="0" w:line="196" w:lineRule="exact"/>
        <w:rPr>
          <w:sz w:val="20"/>
          <w:szCs w:val="20"/>
          <w:color w:val="auto"/>
        </w:rPr>
      </w:pPr>
    </w:p>
    <w:p>
      <w:pPr>
        <w:ind w:right="7660" w:firstLine="8"/>
        <w:spacing w:after="0" w:line="362"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accounting principles generally accepted in the United States of America (U.S. GAAP) and applicable rules and regulations of the U.S. Securities and Exchange Commission (SEC) for interim reporting. As permitted under those rules and regulations, certain notes or other financial information normally included in financial statements prepared in accordance with U.S. GAAP have been condensed or omitted. The condensed balance sheet as of September 30, 2022, the condensed statements of operations and comprehensive loss for the three and nine months ended September 30, 2022 and 2021, the condensed statement of stockholders’ equity for the three and nine months ended September 30, 2022 and 2021, and the condensed statements of cash flows for the nine months ended September 30, 2022 and 2021 are unaudited. The interim condensed financial statements have been prepared on the same basis as the annual financial statements and, in the opinion of management, reflect all adjustments, which include only normal, recurring adjustments that are necessary to present fairly the Company’s results for the interim periods presented. The condensed balance sheet as of December 31, 2021, is derived from the Company’s audited financial statements. The results of operations for the three and nine months ended September 30, 2022, are not necessarily indicative of the results to be expected for the year ending December 31, 2022, or for any other future annual or interim period.</w:t>
      </w:r>
    </w:p>
    <w:p>
      <w:pPr>
        <w:spacing w:after="0" w:line="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These interim condensed financial statements should be read in conjunction with the Company’s Annual Report on Form 10-K for the year ended December 31, 2021 filed with the SEC on March 14, 2022 (Annual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and expenses as well as related disclosure of contingent assets and liabilities. Significant estimates and assumptions reflected in these financial statements include, but are not limited to, accrued research and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development expenses, stock-based compensation and uncertain tax positions. The Company bases its estimates on its historical experience and on assumptions that it believes are reasonable; however, actual results could significantly differ from those estimates.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Any product candidates developed by the Company will require approvals from the U.S. Food and Drug Administration (FDA)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financial statements.</w:t>
      </w:r>
    </w:p>
    <w:p>
      <w:pPr>
        <w:spacing w:after="0" w:line="69"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late-stage biopharmaceutical companies including, but not limited to, dependency on the clinical success of the Company’s product candidate, tildacerfont, ability to obtain regulatory approval of tildacerfont, the need for substantial additional financing to achieve its goals, uncertainty of broad adoption of its approved products, if any, by physicians and consumers, significant competition, untested manufacturing capabilities, and dependence on key individuals and sole source suppliers.</w:t>
      </w:r>
    </w:p>
    <w:p>
      <w:pPr>
        <w:spacing w:after="0" w:line="69" w:lineRule="exact"/>
        <w:rPr>
          <w:sz w:val="20"/>
          <w:szCs w:val="20"/>
          <w:color w:val="auto"/>
        </w:rPr>
      </w:pPr>
    </w:p>
    <w:p>
      <w:pPr>
        <w:ind w:right="160" w:firstLine="509"/>
        <w:spacing w:after="0" w:line="251" w:lineRule="auto"/>
        <w:rPr>
          <w:sz w:val="20"/>
          <w:szCs w:val="20"/>
          <w:color w:val="auto"/>
        </w:rPr>
      </w:pPr>
      <w:r>
        <w:rPr>
          <w:rFonts w:ascii="Times New Roman" w:cs="Times New Roman" w:eastAsia="Times New Roman" w:hAnsi="Times New Roman"/>
          <w:sz w:val="18"/>
          <w:szCs w:val="18"/>
          <w:color w:val="auto"/>
        </w:rPr>
        <w:t>The Company’s business has been and could continue to be adversely affected by the evolving COVID-19 pandemic. For example, the COVID-19 pandemic has resulted in and could result in delays to the Company’s clinical trials for numerous reasons including additional delays or difficulties in enrolling patients, diversion of healthcare resources away from the conduct of clinical trials, interruption or delays in the operations of the FDA or other regulatory authorities, and delays in clinical sites receiving the supplies and materials to conduct our clinical trials. At this time, the extent to which the COVID-19 pandemic impacts the Company’s business will depend on future developments, which are highly uncertain. While vaccines have become</w:t>
      </w:r>
    </w:p>
    <w:p>
      <w:pPr>
        <w:spacing w:after="0" w:line="2"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color w:val="auto"/>
        </w:rPr>
        <w:t>widely available in certain countries, and businesses and economies have reopened, the status of global economic recovery remains uncertain and unpredictable and will continue to be impacted by developments in the pandemic including any subsequent waves of outbreak or new variant strains of the COVID-19 virus which may require re-closures or other preventative measures. The Company will continue to evaluate the impact that these events could have on its future operations, financial position, results of operations and cash flows.</w:t>
      </w:r>
    </w:p>
    <w:p>
      <w:pPr>
        <w:spacing w:after="0" w:line="71"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In addition to the ongoing COVID-19 pandemic, global economic and business activities continue to face widespread macroeconomic uncertainties, including labor shortages, inflation and monetary supply shifts, recession risks and potential disruptions from the Russia-Ukraine conflict. The Company continues to actively monitor the impact of these macroeconomic factors on its financial condition, liquidity, operations, and workforce. The extent of the impact of these factors on the Company’s operational and financial performance, including its ability to execute its business strategies and initiatives in the expected time frame, will depend on future developments, which are uncertain and cannot be predicted; however, any continued or renewed disruption resulting from these factors could negatively impact the Company’s business.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 of credit risk, consist primarily of cash, cash equivalents and investments. The Company maintains deposits in federally insured financial institutions in excess of federally insured limits. The Company is exposed to credit risk in the event of default by the financial institutions holding its cash and cash equivalents to the extent recorded in the balance sheet. The Company has not experienced any losses in such accounts and management believes that the Company is not exposed to significant credit risk due to the financial position of the depository institutions in which those deposits are held.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0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to the accounting policies during the nine months ended September 30, 2022, as compared to the significant accounting policies described in the Annual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cash in a collateral account related to a letter of credit issued on behalf of the Company for the security deposit on the non-</w:t>
      </w:r>
    </w:p>
    <w:p>
      <w:pPr>
        <w:spacing w:after="0" w:line="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cancelable operating lease for an office facility. The collateralized cash in connection with the letter of credit was classified as restricted cash on the balance sheets as of September 30, 2022 and December 31, 2021 based on the terms of the lease agreement, which expires in 2025 unless extended.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08" w:lineRule="exact"/>
        <w:rPr>
          <w:sz w:val="20"/>
          <w:szCs w:val="20"/>
          <w:color w:val="auto"/>
        </w:rPr>
      </w:pPr>
    </w:p>
    <w:p>
      <w:pPr>
        <w:jc w:val="both"/>
        <w:ind w:right="300" w:firstLine="509"/>
        <w:spacing w:after="0" w:line="250"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2"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ASU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Credit Losses on Financial Instruments </w:t>
      </w:r>
      <w:r>
        <w:rPr>
          <w:rFonts w:ascii="Times New Roman" w:cs="Times New Roman" w:eastAsia="Times New Roman" w:hAnsi="Times New Roman"/>
          <w:sz w:val="18"/>
          <w:szCs w:val="18"/>
          <w:color w:val="auto"/>
        </w:rPr>
        <w:t>(ASU 2016-13). ASU 2016-13 requires companies to measure credit losses utilizing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methodology that reflects expected credit losses and requires a consideration of a broader range of reasonable and supportable information to inform credit loss estimates. ASU 2016-13 is effective for non-EGC’s electing to use the extended transition period for complying with new or revised accounting standards for fiscal years beginning after December 15, 2019, and for EGC’s for fiscal years beginning after December 15, 2022, with early adoption permitted. The Company expects to adopt this ASU on January 1, 2023. The Company is currently assessing the impact of adopting this standard, but based on a preliminary assessment, does not expect the adoption of this guidance to have a material impact on its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08"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6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financial assets and liabilities using the fair value hierarchy that describes three levels of inputs that may be used to measure fair value, as follows:</w:t>
      </w:r>
    </w:p>
    <w:p>
      <w:pPr>
        <w:spacing w:after="0" w:line="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104" w:lineRule="exact"/>
        <w:rPr>
          <w:sz w:val="20"/>
          <w:szCs w:val="20"/>
          <w:color w:val="auto"/>
        </w:rPr>
      </w:pPr>
    </w:p>
    <w:p>
      <w:pPr>
        <w:jc w:val="both"/>
        <w:ind w:left="520" w:right="240"/>
        <w:spacing w:after="0" w:line="258"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17" w:lineRule="exact"/>
        <w:rPr>
          <w:sz w:val="20"/>
          <w:szCs w:val="20"/>
          <w:color w:val="auto"/>
        </w:rPr>
      </w:pPr>
    </w:p>
    <w:p>
      <w:pPr>
        <w:ind w:right="160" w:firstLine="509"/>
        <w:spacing w:after="0" w:line="242"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 classifies money market funds, corporate bonds and U.S. treasury securities as Level 1 investments as the Company uses quoted prices in active markets for identical assets to determine the fair value. The Company classifies commercial paper as Level 2 investments as the Company uses quoted prices for similar assets sourced from certain third-party pricing services. The third-party pricing services generally utilize industry standard valuation models for which all significant inputs are observable, either directly or indirectly, to estimate the price or fair value of the securities. The primary input generally includes reported trades of or quotes on the same or similar securities. The Company does not make additional judgments or assumptions made to the pricing data sourced from the third-party pricing services.</w:t>
      </w:r>
    </w:p>
    <w:p>
      <w:pPr>
        <w:spacing w:after="0" w:line="92" w:lineRule="exact"/>
        <w:rPr>
          <w:sz w:val="20"/>
          <w:szCs w:val="20"/>
          <w:color w:val="auto"/>
        </w:rPr>
      </w:pPr>
    </w:p>
    <w:p>
      <w:pPr>
        <w:ind w:right="720" w:firstLine="509"/>
        <w:spacing w:after="0" w:line="266" w:lineRule="auto"/>
        <w:rPr>
          <w:sz w:val="20"/>
          <w:szCs w:val="20"/>
          <w:color w:val="auto"/>
        </w:rPr>
      </w:pPr>
      <w:r>
        <w:rPr>
          <w:rFonts w:ascii="Times New Roman" w:cs="Times New Roman" w:eastAsia="Times New Roman" w:hAnsi="Times New Roman"/>
          <w:sz w:val="18"/>
          <w:szCs w:val="18"/>
          <w:color w:val="auto"/>
        </w:rPr>
        <w:t>The carrying value of cash and cash equivalents, prepaid expenses, accounts payable, and accrued expenses, are generally considered to be representative of their respective fair values because of the short-term nature of those instruments.</w:t>
      </w:r>
    </w:p>
    <w:p>
      <w:pPr>
        <w:spacing w:after="0" w:line="5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measured at fair value on a recurring basis by level within the fair value hierarchy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Hierarchy</w:t>
            </w:r>
          </w:p>
        </w:tc>
        <w:tc>
          <w:tcPr>
            <w:tcW w:w="120" w:type="dxa"/>
            <w:vAlign w:val="bottom"/>
          </w:tcPr>
          <w:p>
            <w:pPr>
              <w:spacing w:after="0"/>
              <w:rPr>
                <w:sz w:val="13"/>
                <w:szCs w:val="13"/>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3"/>
                <w:szCs w:val="13"/>
                <w:color w:val="auto"/>
              </w:rPr>
            </w:pPr>
          </w:p>
        </w:tc>
        <w:tc>
          <w:tcPr>
            <w:tcW w:w="11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3"/>
                <w:szCs w:val="13"/>
                <w:color w:val="auto"/>
              </w:rPr>
            </w:pPr>
          </w:p>
        </w:tc>
        <w:tc>
          <w:tcPr>
            <w:tcW w:w="134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3"/>
                <w:szCs w:val="13"/>
                <w:color w:val="auto"/>
              </w:rPr>
            </w:pPr>
          </w:p>
        </w:tc>
        <w:tc>
          <w:tcPr>
            <w:tcW w:w="8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20" w:type="dxa"/>
            <w:vAlign w:val="bottom"/>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7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13,482</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17,751</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17,752</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91"/>
              </w:rPr>
              <w:t>(152 )</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55,011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1"/>
              </w:rPr>
              <w:t>(722 )</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54,289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91"/>
              </w:rPr>
              <w:t>(874 )</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87,376</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0"/>
              </w:rPr>
              <w:t>(874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86,503</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8</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-1088390</wp:posOffset>
            </wp:positionV>
            <wp:extent cx="6858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-1088390</wp:posOffset>
            </wp:positionV>
            <wp:extent cx="6858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-1088390</wp:posOffset>
            </wp:positionV>
            <wp:extent cx="6032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-1088390</wp:posOffset>
            </wp:positionV>
            <wp:extent cx="60325"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-805180</wp:posOffset>
            </wp:positionV>
            <wp:extent cx="6858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-805180</wp:posOffset>
            </wp:positionV>
            <wp:extent cx="6858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-805180</wp:posOffset>
            </wp:positionV>
            <wp:extent cx="60325"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-805180</wp:posOffset>
            </wp:positionV>
            <wp:extent cx="60325"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-513715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-496570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-513715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-496570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-513715</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-496570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-513715</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-496570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60" w:type="dxa"/>
            <w:vAlign w:val="bottom"/>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76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Hierarchy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93"/>
              <w:spacing w:after="0" w:line="160"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4"/>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3"/>
                <w:szCs w:val="13"/>
                <w:color w:val="auto"/>
              </w:rPr>
            </w:pPr>
          </w:p>
        </w:tc>
        <w:tc>
          <w:tcPr>
            <w:tcW w:w="9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1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33,973</w:t>
            </w: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1"/>
              </w:rPr>
              <w:t>(114 )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32,607</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116,931</w:t>
            </w:r>
          </w:p>
        </w:tc>
        <w:tc>
          <w:tcPr>
            <w:tcW w:w="52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1"/>
              </w:rPr>
              <w:t>(184 )</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-1310640</wp:posOffset>
            </wp:positionV>
            <wp:extent cx="6858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-1310640</wp:posOffset>
            </wp:positionV>
            <wp:extent cx="5969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-1310640</wp:posOffset>
            </wp:positionV>
            <wp:extent cx="60325"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-1310640</wp:posOffset>
            </wp:positionV>
            <wp:extent cx="60325"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-744855</wp:posOffset>
            </wp:positionV>
            <wp:extent cx="6858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-744855</wp:posOffset>
            </wp:positionV>
            <wp:extent cx="5969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-744855</wp:posOffset>
            </wp:positionV>
            <wp:extent cx="60325"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-744855</wp:posOffset>
            </wp:positionV>
            <wp:extent cx="60325"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-170815</wp:posOffset>
            </wp:positionV>
            <wp:extent cx="6858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5969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7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$0.1 million of accrued interest on investments was recorded to other assets on the condensed balance sheets.</w:t>
      </w:r>
    </w:p>
    <w:p>
      <w:pPr>
        <w:spacing w:after="0" w:line="54"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There have been no realized gains or losses on available for sale securities for the periods presented. No available for sale securities held as of September 30, 2022 have been in a continuous unrealized loss position for more than 12 months and unrealized gains and losses are included in accumulated other comprehensive loss within stockholders' equity on the condensed balance sheets. As of September 30, 2022, unrealized losses on available for sale securities are not attributed to credit risk and are considered temporary. The Company believes that it is more-likely-than-not that investments in an unrealized loss position will be held until maturity or the cost basis of the investment will be recovered. The Company believes it has no other-than-temporary impairments on its securities as it does not intend to sell these securities and does not believe it is more likely than not that it will be required to sell these securities before the recovery of their amortized cost basis. To date, the Company has not recorded any impairment charges on securities related to other-than-temporary declines in fair value. The Company’s short-term investments are securities with contractual maturities of less than one year. As of September 30, 2022, the weighted-average remaining contractual maturities of investments was approximately six months.</w:t>
      </w:r>
    </w:p>
    <w:p>
      <w:pPr>
        <w:spacing w:after="0" w:line="7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estimated fair value of the term loan was $4.9 million and $5.0 million as of September 30, 2022, and December 31, 2021, respectively, and was based on market observable interest rates, a Level 2 input.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Balance Sheet Components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1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r>
      <w:tr>
        <w:trPr>
          <w:trHeight w:val="187"/>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1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8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80" w:type="dxa"/>
            <w:vAlign w:val="bottom"/>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general and administrative expenses</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8"/>
                <w:szCs w:val="18"/>
                <w:color w:val="auto"/>
              </w:rPr>
            </w:pPr>
          </w:p>
        </w:tc>
      </w:tr>
      <w:tr>
        <w:trPr>
          <w:trHeight w:val="250"/>
        </w:trPr>
        <w:tc>
          <w:tcPr>
            <w:tcW w:w="6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8,604</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-24765</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research and development expenses were primarily related to clinical trials and manufacturing of clinical drug supply.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08"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Company leases space under a non-cancelable operating lease, which requires the Company to pay base rent, real estate taxes, insurance, general repairs, and maintenance. The Company does not have financing leases.</w:t>
      </w:r>
    </w:p>
    <w:p>
      <w:pPr>
        <w:spacing w:after="0" w:line="40"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In February 2020, the Company entered into a non-cancelable operating lease for office space with a commencement date of September 2020 and a termination date of November 2025. The monthly payments escalate over the 63-month term with total gross commitments of $2.3 million. The lease includes an option to renew the lease term for an additional period of 60 months. The renewal option is not included in the lease term as the Company is not reasonably certain to exercise the option. Lease incentives, which relate to rent abatement, were considered in the calculation of the lease liability and right-of-use asset. Lease expense for the three and nine months ended September 30, 2022 was $0.1 million and $0.4 million, respectively. Lease expense for the three and nine months ended September 30, 2021 was $0.1 million and $0.3 million, respectively.</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As of September 30, 2022, the weighted-average remaining lease term for operating leases was 3.2 years, the weighted-average discount rate was 7.0% and the total operating lease liability was $1.4 million. Cash paid for amounts included in the measurement of lease liabilities was $0.3 million for the nine months ended September 30, 2022 and 2021.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Term Loan</w:t>
      </w:r>
    </w:p>
    <w:p>
      <w:pPr>
        <w:spacing w:after="0" w:line="10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September 2019, the Company entered into a Loan and Security Agreement, as subsequently amended (the Loan Agreement) with Silicon Valley Bank (SVB) providing for a term loan (the Term Loan) for an aggregate principal amount of $4.5 million.</w:t>
      </w:r>
    </w:p>
    <w:p>
      <w:pPr>
        <w:spacing w:after="0" w:line="68" w:lineRule="exact"/>
        <w:rPr>
          <w:sz w:val="20"/>
          <w:szCs w:val="20"/>
          <w:color w:val="auto"/>
        </w:rPr>
      </w:pPr>
    </w:p>
    <w:p>
      <w:pPr>
        <w:ind w:right="180" w:firstLine="509"/>
        <w:spacing w:after="0" w:line="245" w:lineRule="auto"/>
        <w:rPr>
          <w:sz w:val="20"/>
          <w:szCs w:val="20"/>
          <w:color w:val="auto"/>
        </w:rPr>
      </w:pPr>
      <w:r>
        <w:rPr>
          <w:rFonts w:ascii="Times New Roman" w:cs="Times New Roman" w:eastAsia="Times New Roman" w:hAnsi="Times New Roman"/>
          <w:sz w:val="18"/>
          <w:szCs w:val="18"/>
          <w:color w:val="auto"/>
        </w:rPr>
        <w:t>In September 2019 and in connection with the Loan Agreement, the Company issued a warrant to purchase up to an aggregate of 49,609 shares of common stock at $1.44 per share. The Company determined the initial fair value of the warrant to be $0.1 million using the Black-Scholes option-pricing model. The fair value of the warrant was recorded to equity and as a debt discount, which was being amortized to interest expense using the effective interest method over the term of the Term Loan. In November 2020, the warrant was net-exercised for 46,358 shares of common stock.</w:t>
      </w:r>
    </w:p>
    <w:p>
      <w:pPr>
        <w:spacing w:after="0" w:line="8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March 2021, the Company entered into a First Amendment to Loan and Security Agreement (the First Amendment), which increased the aggregate principal amount of the Term Loan to $30.0 million, of which $20.0 million was immediately available under the first tranche (First Tranche) and $10.0 million is available under the second tranche through December 31, 2022 (Second Tranche), subject to the completion of certain clinical or financial milestones. Pursuant to the First Amendment, the Term Loan will mature on January 1, 2026.</w:t>
      </w:r>
    </w:p>
    <w:p>
      <w:pPr>
        <w:spacing w:after="0" w:line="69"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In May 2022, the Company entered into a Second Amendment to Loan and Security Agreement (the Second Amendment), which amended the milestones for the Second Tranche, added a liquidity covenant for the Second Tranche and amended the interest and prepayment terms.</w:t>
      </w:r>
    </w:p>
    <w:p>
      <w:pPr>
        <w:spacing w:after="0" w:line="68"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The Loan Agreement provides for monthly cash interest-only payments following the funding date of each respective tranche and continuing thereafter through December 31, 2022, to the extent that the Company does not borrow any part of the Second Tranche, or June 30, 2023 if the Company has borrowed some or all of the Second Tranche. The Term Loan is subject to a floating per annum interest rate equal to the greater of (a) 0.50% above the Prime Rate (as defined in the Loan Agreement) or (b) 3.75%. Following the interest-only period, the outstanding Term Loan balance will be payable in (i) 37 consecutive monthly payments (or 31 if the Company borrows under the Second Tranche) after the end of the interest-only period and continuing on the same day of each month thereafter, in amounts that would fully amortize such Term Loan balance, as of the first business day of the first month following the amended interest-only period, over the repayment period, plus (ii) monthly payments of accrued but unpaid interest.</w:t>
      </w:r>
    </w:p>
    <w:p>
      <w:pPr>
        <w:spacing w:after="0" w:line="73"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The final payment is due on the maturity date and includes all outstanding principal plus accrued unpaid interest and an end of term payment totaling (x) 6.0% of the original funded principal amount of the First Tranche, and (y) 4.0% of the original funded principal amount under the Second Tranche if the Company does borrow under the Second Tranche (the Supplemental Final Payment). The Company may prepay amounts outstanding under the Term Loan at any time provided certain notification conditions are met, in which case, all outstanding principal plus accrued and unpaid interest, the Supplemental Final Payment, a prepayment fee of 1% or 2% of the principal amount of the First and Second Tranches, and any bank expenses become due and payable.</w:t>
      </w:r>
    </w:p>
    <w:p>
      <w:pPr>
        <w:spacing w:after="0" w:line="87"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The Company is subject to customary affirmative and restrictive covenants under the Loan Agreement. The Company’s obligations under the Loan Agreement are secured by a first priority security interest in substantially all of its current and future assets, other than intellectual property. The Company also agreed not to encumber its intellectual property assets, except as permitted by the Loan Agreement. Further, in the event that the Second Tranche becomes available and the Company obtains an advance thereunder, the Company will be required to comply with a liquidity covenant of at least $50.0 million at all times. If the Company does not comply with the foregoing liquidity covenant, a springing cash pledge will occur, pursuant to which the Company must maintain a cash secured blocked account with SVB with a cash balance in an amount equal to the outstanding SVB obligations at such time (excluding Bank Services (as defined in the Loan Agreement)). The foregoing cash collateral requirement will terminate upon a certain additional equity raise, which must occur on or before September 30, 2024.</w:t>
      </w:r>
    </w:p>
    <w:p>
      <w:pPr>
        <w:spacing w:after="0" w:line="78"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The Loan Agreement also contains customary indemnification obligations and customary events of default, including, among other things, the Company’s failure to fulfill certain obligations under the Loan Agreement and the occurrence of a material adverse change in its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the Company under the Loan Agreement, the lender would be entitled to exercise their remedies thereunder, including the right to accelerate the debt, upon which the Company may be required to repay all amounts then outstanding under the Loan Agreement. As of September 30, 2022, management believes that the Company was in compliance with all financial covenants under the Loan Agreement and there had been no material adverse change.</w:t>
      </w:r>
    </w:p>
    <w:p>
      <w:pPr>
        <w:spacing w:after="0" w:line="7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2022, the carrying value of the Term Loan was $4.9 million, consisting of the outstanding principal under the First Tranche of $5.0 million, less unamortized debt discount and issuance costs of $0.1 million which are being amortized using</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the effective interest method over the life of the Term Loan. As of September 30, 2022, future payments of principal and interest are as follows (in thousands):</w:t>
      </w:r>
    </w:p>
    <w:p>
      <w:pPr>
        <w:spacing w:after="0" w:line="4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7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r>
      <w:tr>
        <w:trPr>
          <w:trHeight w:val="209"/>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(remaining 3 months)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FF0FC"/>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80" w:type="dxa"/>
            <w:vAlign w:val="bottom"/>
          </w:tcPr>
          <w:p>
            <w:pPr>
              <w:spacing w:after="0"/>
              <w:rPr>
                <w:sz w:val="18"/>
                <w:szCs w:val="18"/>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80" w:type="dxa"/>
            <w:vAlign w:val="bottom"/>
            <w:shd w:val="clear" w:color="auto" w:fill="CFF0FC"/>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80" w:type="dxa"/>
            <w:vAlign w:val="bottom"/>
          </w:tcPr>
          <w:p>
            <w:pPr>
              <w:spacing w:after="0"/>
              <w:rPr>
                <w:sz w:val="18"/>
                <w:szCs w:val="18"/>
                <w:color w:val="auto"/>
              </w:rPr>
            </w:pPr>
          </w:p>
        </w:tc>
      </w:tr>
      <w:tr>
        <w:trPr>
          <w:trHeight w:val="216"/>
        </w:trPr>
        <w:tc>
          <w:tcPr>
            <w:tcW w:w="7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80" w:type="dxa"/>
            <w:vAlign w:val="bottom"/>
          </w:tcPr>
          <w:p>
            <w:pPr>
              <w:spacing w:after="0"/>
              <w:rPr>
                <w:sz w:val="18"/>
                <w:szCs w:val="18"/>
                <w:color w:val="auto"/>
              </w:rPr>
            </w:pPr>
          </w:p>
        </w:tc>
      </w:tr>
      <w:tr>
        <w:trPr>
          <w:trHeight w:val="20"/>
        </w:trPr>
        <w:tc>
          <w:tcPr>
            <w:tcW w:w="7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3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Less: Interest</w:t>
            </w: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(624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Loan, gross</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r>
      <w:tr>
        <w:trPr>
          <w:trHeight w:val="20"/>
        </w:trPr>
        <w:tc>
          <w:tcPr>
            <w:tcW w:w="7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3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Less: Unamortized debt issuance costs</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Less: Term Loan, current portion</w:t>
            </w: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(1,216 )</w:t>
            </w:r>
          </w:p>
        </w:tc>
      </w:tr>
      <w:tr>
        <w:trPr>
          <w:trHeight w:val="250"/>
        </w:trPr>
        <w:tc>
          <w:tcPr>
            <w:tcW w:w="73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Term Loan, net of current portion</w:t>
            </w: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-925195</wp:posOffset>
            </wp:positionV>
            <wp:extent cx="51435"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-616585</wp:posOffset>
            </wp:positionV>
            <wp:extent cx="51435"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0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business. The Company evaluates the likelihood of an unfavorable outcome in legal or regulatory proceedings to which it is a party and records a loss contingency on an undiscounted basis when it is probable that a liability has been incurred and the amount of the loss can be reasonably estimated. These judgments are subjective and based on the status of such legal proceedings, the merits of the Company’s defenses, and consultation with legal counsel. Actual outcomes of these legal proceedings may differ materially from the Company’s estimates.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121"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7"/>
          <w:szCs w:val="17"/>
          <w:color w:val="auto"/>
        </w:rPr>
        <w:t>In May 2016, the Company entered into a license agreement (the License Agreement), with Eli Lilly and Company (Lilly). Pursuant to the terms of the License Agreement, Lilly granted the Company an exclusive, worldwide, royalty bearing, sublicensable license under certain technology, patent rights, know-how and proprietary materials related to certain compounds, to research, develop, and commercialize such compounds for all pharmaceutical uses.</w:t>
      </w:r>
    </w:p>
    <w:p>
      <w:pPr>
        <w:spacing w:after="0" w:line="2"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The Company is also required to pay Lilly up to an aggregate of $23.0 million upon the achievement, during the time the License Agreement remains in effect, of certain milestones relating to the clinical development and commercial sales of products licensed under the License Agreement. Such payments are for predetermined fixed amounts, are paid only upon the first occurrence of each event and are due shortly after achieving the applicable milestone. In addition, the Company is required to pay Lilly tiered royalties on annual worldwide net sales with rates ranging from mid-single digits to sub-teens. No additional amounts were paid by the Company to Lilly during any of the periods presented, nor were due as of such dates pursuant to the License Agreement.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08" w:lineRule="exact"/>
        <w:rPr>
          <w:sz w:val="20"/>
          <w:szCs w:val="20"/>
          <w:color w:val="auto"/>
        </w:rPr>
      </w:pPr>
    </w:p>
    <w:p>
      <w:pPr>
        <w:jc w:val="both"/>
        <w:ind w:right="520" w:firstLine="509"/>
        <w:spacing w:after="0" w:line="250" w:lineRule="auto"/>
        <w:rPr>
          <w:sz w:val="20"/>
          <w:szCs w:val="20"/>
          <w:color w:val="auto"/>
        </w:rPr>
      </w:pPr>
      <w:r>
        <w:rPr>
          <w:rFonts w:ascii="Times New Roman" w:cs="Times New Roman" w:eastAsia="Times New Roman" w:hAnsi="Times New Roman"/>
          <w:sz w:val="18"/>
          <w:szCs w:val="18"/>
          <w:color w:val="auto"/>
        </w:rPr>
        <w:t>The Company’s industry is characterized by frequent claims and litigation, including claims regarding intellectual property. As a result, the Company may be subject to various legal proceedings from time to time. The results of any future litigation cannot be predicted with certainty, and regardless of the outcome, litigation can have an adverse impact on the Company because of defense and settlement costs, diversion of management resources and other factors. The Company was not subject to any material legal proceedings during the nine months ended September 30, 2022.</w:t>
      </w:r>
    </w:p>
    <w:p>
      <w:pPr>
        <w:spacing w:after="0" w:line="173" w:lineRule="exact"/>
        <w:rPr>
          <w:sz w:val="20"/>
          <w:szCs w:val="20"/>
          <w:color w:val="auto"/>
        </w:rPr>
      </w:pPr>
    </w:p>
    <w:p>
      <w:pPr>
        <w:ind w:right="9660" w:firstLine="8"/>
        <w:spacing w:after="0" w:line="370"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Structure Common Stock</w:t>
      </w: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As of September 30, 2022 and December 31, 2021, the Company was authorized to issue 200,000,000 shares of common stock $0.0001 par value per share. Holders of the Company’s common stock are entitled to dividends if and when declared by the Board of Directors of the Company (Board of Directors). The holder of each share of common stock is entitled to one vote. As of September 30, 2022, no dividends were declared.</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reserved for future issuance</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reserved for future issuance, on an as converted basis, consisted of the following:</w:t>
      </w:r>
    </w:p>
    <w:p>
      <w:pPr>
        <w:spacing w:after="0" w:line="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2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r>
      <w:tr>
        <w:trPr>
          <w:trHeight w:val="187"/>
        </w:trPr>
        <w:tc>
          <w:tcPr>
            <w:tcW w:w="6160" w:type="dxa"/>
            <w:vAlign w:val="bottom"/>
          </w:tcPr>
          <w:p>
            <w:pPr>
              <w:spacing w:after="0"/>
              <w:rPr>
                <w:sz w:val="16"/>
                <w:szCs w:val="16"/>
                <w:color w:val="auto"/>
              </w:rPr>
            </w:pPr>
          </w:p>
        </w:tc>
        <w:tc>
          <w:tcPr>
            <w:tcW w:w="12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60" w:type="dxa"/>
            <w:vAlign w:val="bottom"/>
            <w:gridSpan w:val="2"/>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1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4,380,668</w:t>
            </w:r>
          </w:p>
        </w:tc>
        <w:tc>
          <w:tcPr>
            <w:tcW w:w="20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2,215,942</w:t>
            </w:r>
          </w:p>
        </w:tc>
        <w:tc>
          <w:tcPr>
            <w:tcW w:w="80" w:type="dxa"/>
            <w:vAlign w:val="bottom"/>
            <w:shd w:val="clear" w:color="auto" w:fill="CFF0FC"/>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Restricted and performance stock units, issued and outstanding</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336,565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80" w:type="dxa"/>
            <w:vAlign w:val="bottom"/>
          </w:tcPr>
          <w:p>
            <w:pPr>
              <w:spacing w:after="0"/>
              <w:rPr>
                <w:sz w:val="18"/>
                <w:szCs w:val="18"/>
                <w:color w:val="auto"/>
              </w:rPr>
            </w:pPr>
          </w:p>
        </w:tc>
      </w:tr>
      <w:tr>
        <w:trPr>
          <w:trHeight w:val="171"/>
        </w:trPr>
        <w:tc>
          <w:tcPr>
            <w:tcW w:w="616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Shares available for future issuance under 2020 Equity</w:t>
            </w:r>
          </w:p>
        </w:tc>
        <w:tc>
          <w:tcPr>
            <w:tcW w:w="1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34"/>
        </w:trPr>
        <w:tc>
          <w:tcPr>
            <w:tcW w:w="6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Incentive Plan</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2,466,502</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2,636,506</w:t>
            </w:r>
          </w:p>
        </w:tc>
        <w:tc>
          <w:tcPr>
            <w:tcW w:w="80" w:type="dxa"/>
            <w:vAlign w:val="bottom"/>
            <w:shd w:val="clear" w:color="auto" w:fill="CFF0FC"/>
          </w:tcPr>
          <w:p>
            <w:pPr>
              <w:spacing w:after="0"/>
              <w:rPr>
                <w:sz w:val="20"/>
                <w:szCs w:val="20"/>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 available for future issuance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642,573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433,200</w:t>
            </w:r>
          </w:p>
        </w:tc>
        <w:tc>
          <w:tcPr>
            <w:tcW w:w="80" w:type="dxa"/>
            <w:vAlign w:val="bottom"/>
          </w:tcPr>
          <w:p>
            <w:pPr>
              <w:spacing w:after="0"/>
              <w:rPr>
                <w:sz w:val="18"/>
                <w:szCs w:val="18"/>
                <w:color w:val="auto"/>
              </w:rPr>
            </w:pPr>
          </w:p>
        </w:tc>
      </w:tr>
      <w:tr>
        <w:trPr>
          <w:trHeight w:val="249"/>
        </w:trPr>
        <w:tc>
          <w:tcPr>
            <w:tcW w:w="61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shares reserved</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7,826,308</w:t>
            </w:r>
          </w:p>
        </w:tc>
        <w:tc>
          <w:tcPr>
            <w:tcW w:w="2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5,745,648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-25400</wp:posOffset>
            </wp:positionV>
            <wp:extent cx="596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February 2022, the SEC declared effective a registration statement on Form S-3 (Shelf Registration) covering the sale of up to $200.0 million of</w:t>
      </w:r>
    </w:p>
    <w:p>
      <w:pPr>
        <w:spacing w:after="0" w:line="27"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the Company's securities. Also, in February 2022, the Company entered into an Open Market Sales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with Jefferies LLC (Jefferies), pursuant to which the Company may elect to issue and sell, from time to time, shares of common stock having an aggregate offering price of up to $21.0 million under the Shelf Registration through Jefferies acting as the sales agent and/or principal. As of September 30, 2022, the Company has not issued any shares of common stock pursuant to the Sales Agreement.</w:t>
      </w:r>
    </w:p>
    <w:p>
      <w:pPr>
        <w:spacing w:after="0" w:line="182" w:lineRule="exact"/>
        <w:rPr>
          <w:sz w:val="20"/>
          <w:szCs w:val="20"/>
          <w:color w:val="auto"/>
        </w:rPr>
      </w:pPr>
    </w:p>
    <w:p>
      <w:pPr>
        <w:ind w:right="8200" w:firstLine="8"/>
        <w:spacing w:after="0" w:line="362" w:lineRule="auto"/>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Expense Equity Incentive Plans</w:t>
      </w:r>
    </w:p>
    <w:p>
      <w:pPr>
        <w:spacing w:after="0" w:line="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 Company adopted the 2020 Equity Incentive Plan (the 2020 Plan) in October 2020. The 2020 Plan is a successor to and continuation of the Amended and Restated 2016 Equity Incentive Plan (the 2016 Plan) and provides for the granting of stock options, stock appreciation rights, restricted stock, restricted stock units, and other stock or cash-based awards to individuals who are then employees, officers, directors or consultants. The number of shares of common stock available for issuance under the 2020 Plan will be automatically increased on the first day of each calendar year during the ten-year term of the 2020 Plan, beginning with January 1, 2021 and ending with January 1, 2030, by an amount equal to 5% of the outstanding number of shares of the Company’s common stock on December 31st of the preceding calendar year or such lesser amount as determined by the Company’s Board of Directors. No further grants will be made under the 2016 Plan; however, shares subject to awards granted under the 2016 Plan will continue to be governed by the 2016 Plan.</w:t>
      </w:r>
    </w:p>
    <w:p>
      <w:pPr>
        <w:spacing w:after="0" w:line="7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Under the 2020 Plan and the 2016 Plan, individuals can be granted the ability to early exercise their options. There were no shares, related to the early exercise of options, subject to repurchase by the Company as of September 30, 2022. As of September 30, 2022, 2,466,502 shares remained available for issuance under the 2020 Plan and no shares remained available for issuance under the 2016 Plan.</w:t>
      </w:r>
    </w:p>
    <w:p>
      <w:pPr>
        <w:spacing w:after="0" w:line="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 summary of the Company’s stock option activity and related information is as follows (in thousands, except share and per share amounts):</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12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3"/>
                <w:szCs w:val="13"/>
                <w:color w:val="auto"/>
              </w:rPr>
            </w:pPr>
          </w:p>
        </w:tc>
        <w:tc>
          <w:tcPr>
            <w:tcW w:w="920" w:type="dxa"/>
            <w:vAlign w:val="bottom"/>
          </w:tcPr>
          <w:p>
            <w:pPr>
              <w:jc w:val="center"/>
              <w:ind w:right="97"/>
              <w:spacing w:after="0" w:line="160"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3"/>
                <w:szCs w:val="13"/>
                <w:color w:val="auto"/>
              </w:rPr>
            </w:pP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98"/>
              <w:spacing w:after="0" w:line="160"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040" w:type="dxa"/>
            <w:vAlign w:val="bottom"/>
          </w:tcPr>
          <w:p>
            <w:pPr>
              <w:spacing w:after="0"/>
              <w:rPr>
                <w:sz w:val="13"/>
                <w:szCs w:val="13"/>
                <w:color w:val="auto"/>
              </w:rPr>
            </w:pPr>
          </w:p>
        </w:tc>
        <w:tc>
          <w:tcPr>
            <w:tcW w:w="128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3"/>
                <w:szCs w:val="13"/>
                <w:color w:val="auto"/>
              </w:rPr>
            </w:pPr>
          </w:p>
        </w:tc>
        <w:tc>
          <w:tcPr>
            <w:tcW w:w="920" w:type="dxa"/>
            <w:vAlign w:val="bottom"/>
          </w:tcPr>
          <w:p>
            <w:pPr>
              <w:jc w:val="center"/>
              <w:ind w:right="77"/>
              <w:spacing w:after="0" w:line="151"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3"/>
                <w:szCs w:val="13"/>
                <w:color w:val="auto"/>
              </w:rPr>
            </w:pPr>
          </w:p>
        </w:tc>
        <w:tc>
          <w:tcPr>
            <w:tcW w:w="11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78"/>
              <w:spacing w:after="0" w:line="151"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0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6"/>
                <w:szCs w:val="16"/>
                <w:color w:val="auto"/>
              </w:rPr>
            </w:pPr>
          </w:p>
        </w:tc>
        <w:tc>
          <w:tcPr>
            <w:tcW w:w="9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2,215,942</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2,678,625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(992 )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(512,907 )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4,380,668</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as of September 30, 2022</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4,240,668</w:t>
            </w:r>
          </w:p>
        </w:tc>
        <w:tc>
          <w:tcPr>
            <w:tcW w:w="2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3.36</w:t>
            </w:r>
          </w:p>
        </w:tc>
        <w:tc>
          <w:tcPr>
            <w:tcW w:w="13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exercisable as of September 30, 2022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1,475,250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-299720</wp:posOffset>
            </wp:positionV>
            <wp:extent cx="68580"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7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Stock options vested and expected to vest differs from total stock options outstanding as it excludes performance-based stock options for which the performance criteria have not been achieved and achievement is not expected as of September 30, 2022.</w:t>
      </w:r>
    </w:p>
    <w:p>
      <w:pPr>
        <w:spacing w:after="0" w:line="4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aggregate intrinsic values of options outstanding and exercisable were calculated as the difference between the exercise price of the options and the estimated fair value of the Company’s common stock as of the respective balance sheet date. The total intrinsic value of options exercised was nominal for the nine months ended September 30, 2022. There were no options exercised during the three months ended September 30, 2022.</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nine months ended September 30, 2022, the weighted-average fair value of options granted was $2.34 per share.</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Company’s RSU activity and related information is as follows:</w:t>
      </w:r>
    </w:p>
    <w:p>
      <w:pPr>
        <w:spacing w:after="0" w:line="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Weight-Average</w:t>
            </w:r>
          </w:p>
        </w:tc>
      </w:tr>
      <w:tr>
        <w:trPr>
          <w:trHeight w:val="162"/>
        </w:trPr>
        <w:tc>
          <w:tcPr>
            <w:tcW w:w="6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Grant Date Fair</w:t>
            </w:r>
          </w:p>
        </w:tc>
      </w:tr>
      <w:tr>
        <w:trPr>
          <w:trHeight w:val="187"/>
        </w:trPr>
        <w:tc>
          <w:tcPr>
            <w:tcW w:w="6140" w:type="dxa"/>
            <w:vAlign w:val="bottom"/>
          </w:tcPr>
          <w:p>
            <w:pPr>
              <w:spacing w:after="0"/>
              <w:rPr>
                <w:sz w:val="16"/>
                <w:szCs w:val="16"/>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2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18"/>
                <w:szCs w:val="18"/>
                <w:color w:val="auto"/>
              </w:rPr>
            </w:pPr>
          </w:p>
        </w:tc>
      </w:tr>
      <w:tr>
        <w:trPr>
          <w:trHeight w:val="216"/>
        </w:trPr>
        <w:tc>
          <w:tcPr>
            <w:tcW w:w="6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(64,347 )</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(151,288 )</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8"/>
                <w:szCs w:val="18"/>
                <w:color w:val="auto"/>
              </w:rPr>
            </w:pPr>
          </w:p>
        </w:tc>
      </w:tr>
      <w:tr>
        <w:trPr>
          <w:trHeight w:val="250"/>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336,565</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-24765</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59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granted 92,200 RSUs, including 68,775 RSUs subject to time-based vesting in installments through September 30, 2023, and 23,425 RSUs subject to performance-based vesting conditions related to the satisfaction of certain clinical development milestones.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7"/>
          <w:szCs w:val="17"/>
          <w:color w:val="auto"/>
        </w:rPr>
        <w:t>The Board of Directors adopted and the Company’s stockholders approved the 2020 Employee Stock Purchase Plan (the ESPP) in October 2020. The ESPP allows eligible employees to purchase shares of the Company’s common stock at a discount through payroll deductions of up to 15% of their eligible compensation. At the end of each purchase period, employees are able to purchase shares at 85% of the lower of the fair market value of the Company’s common stock as of the offering date or the applicable purchase date. The number of shares of common stock available for issuance under the ESPP will be automatically increased on the first day of each calendar year during the first ten-years of the term of the ESPP, beginning with January 1, 2021 and ending with January 1, 2030, by an amount equal to the lesser of (i) 1% of the outstanding number of shares of the Company’s common stock on December 31st of the preceding calendar year, (ii) 441,280 shares of common stock or (iii) such lesser amount as determined by the Board of Directors.</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2022, 642,573 shares of common stock remained available for issuance under the ESPP.</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08"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recognized in the Company’s condensed statements of operations and comprehensive loss during the three and nine months ended September 30, 2022 and 2021 (in thousands):</w:t>
      </w:r>
    </w:p>
    <w:p>
      <w:pPr>
        <w:spacing w:after="0" w:line="12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060" w:type="dxa"/>
            <w:vAlign w:val="bottom"/>
            <w:gridSpan w:val="5"/>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3"/>
                <w:szCs w:val="13"/>
                <w:color w:val="auto"/>
              </w:rPr>
            </w:pPr>
          </w:p>
        </w:tc>
      </w:tr>
      <w:tr>
        <w:trPr>
          <w:trHeight w:val="187"/>
        </w:trPr>
        <w:tc>
          <w:tcPr>
            <w:tcW w:w="4660" w:type="dxa"/>
            <w:vAlign w:val="bottom"/>
          </w:tcPr>
          <w:p>
            <w:pPr>
              <w:spacing w:after="0"/>
              <w:rPr>
                <w:sz w:val="16"/>
                <w:szCs w:val="16"/>
                <w:color w:val="auto"/>
              </w:rPr>
            </w:pPr>
          </w:p>
        </w:tc>
        <w:tc>
          <w:tcPr>
            <w:tcW w:w="2060" w:type="dxa"/>
            <w:vAlign w:val="bottom"/>
            <w:tcBorders>
              <w:bottom w:val="single" w:sz="8" w:color="auto"/>
            </w:tcBorders>
            <w:gridSpan w:val="5"/>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r>
      <w:tr>
        <w:trPr>
          <w:trHeight w:val="169"/>
        </w:trPr>
        <w:tc>
          <w:tcPr>
            <w:tcW w:w="466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shd w:val="clear" w:color="auto" w:fill="CFF0FC"/>
          </w:tcPr>
          <w:p>
            <w:pPr>
              <w:jc w:val="right"/>
              <w:ind w:right="42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197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586</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80" w:type="dxa"/>
            <w:vAlign w:val="bottom"/>
          </w:tcPr>
          <w:p>
            <w:pPr>
              <w:spacing w:after="0"/>
              <w:rPr>
                <w:sz w:val="18"/>
                <w:szCs w:val="18"/>
                <w:color w:val="auto"/>
              </w:rPr>
            </w:pPr>
          </w:p>
        </w:tc>
      </w:tr>
      <w:tr>
        <w:trPr>
          <w:trHeight w:val="250"/>
        </w:trPr>
        <w:tc>
          <w:tcPr>
            <w:tcW w:w="46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600" w:type="dxa"/>
            <w:vAlign w:val="bottom"/>
            <w:tcBorders>
              <w:bottom w:val="single" w:sz="8" w:color="auto"/>
            </w:tcBorders>
            <w:shd w:val="clear" w:color="auto" w:fill="CFF0FC"/>
          </w:tcPr>
          <w:p>
            <w:pPr>
              <w:jc w:val="right"/>
              <w:ind w:right="42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783</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-24765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2022, there was approximately $7.7 million of unrecognized stock-based compensation expense related to stock options and RSUs, which is expected to be recognized over a weighted-average vesting term of 2.6 years.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06"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 xml:space="preserve">The Company accounts for income taxes under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this standard, deferred tax assets and liabilities are recognized for future tax benefits or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w:t>
      </w:r>
    </w:p>
    <w:p>
      <w:pPr>
        <w:spacing w:after="0" w:line="68"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A valuation allowance is provided for significant deferred tax assets when it is more likely than not that such assets will not be realized through future operations. No provision for income taxes has been recorded due to losses incurred to date. Future tax benefits which may arise as a result of these losses have not been recognized in these financial statements, as their realization is determined not likely to occur and accordingly, the Company has recorded a full valuation allowance for deferred tax assets.</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(in thousands, except share and per share amounts):</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80" w:type="dxa"/>
            <w:vAlign w:val="bottom"/>
            <w:gridSpan w:val="5"/>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620" w:type="dxa"/>
            <w:vAlign w:val="bottom"/>
            <w:gridSpan w:val="5"/>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(11,401 )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(11,447 )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(35,036 )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(33,108 )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160" w:type="dxa"/>
            <w:vAlign w:val="bottom"/>
          </w:tcPr>
          <w:p>
            <w:pPr>
              <w:ind w:left="180"/>
              <w:spacing w:after="0" w:line="170" w:lineRule="exact"/>
              <w:rPr>
                <w:sz w:val="20"/>
                <w:szCs w:val="20"/>
                <w:color w:val="auto"/>
              </w:rPr>
            </w:pPr>
            <w:r>
              <w:rPr>
                <w:rFonts w:ascii="Times New Roman" w:cs="Times New Roman" w:eastAsia="Times New Roman" w:hAnsi="Times New Roman"/>
                <w:sz w:val="18"/>
                <w:szCs w:val="18"/>
                <w:color w:val="auto"/>
              </w:rPr>
              <w:t>Weighted-average shares of</w:t>
            </w:r>
          </w:p>
        </w:tc>
        <w:tc>
          <w:tcPr>
            <w:tcW w:w="2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23,560,250</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23,367,140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23,515,651</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23,330,399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1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color w:val="auto"/>
              </w:rPr>
              <w:t>common stock outstanding</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(0.48</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(0.49</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-25400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30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6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4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subject to outstanding common stock options</w:t>
            </w:r>
          </w:p>
        </w:tc>
        <w:tc>
          <w:tcPr>
            <w:tcW w:w="250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4,380,668</w:t>
            </w:r>
          </w:p>
        </w:tc>
        <w:tc>
          <w:tcPr>
            <w:tcW w:w="18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2,534,530</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outstanding RSUs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336,565</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shares issuable under the ESPP</w:t>
            </w:r>
          </w:p>
        </w:tc>
        <w:tc>
          <w:tcPr>
            <w:tcW w:w="3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228,423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4,945,656</w:t>
            </w:r>
          </w:p>
        </w:tc>
        <w:tc>
          <w:tcPr>
            <w:tcW w:w="1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2,563,125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50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14</w:t>
            </w: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unaudited condensed financial statements and the related notes to those statements included elsewhere in this Quarterly Report on Form 10-Q and our audited financial statements and notes thereto and the related Management’s Discussion and Analysis of Financial Condition and Results of Operations included in our Annual Report on Form 10-K for the year ended December 31, 2021 filed with the Securities and Exchange Commission, or SEC, on March 14, 2022, or the Annual Report. Unless otherwise indicated, all references in this Quarterly Report on Form 10-Q to “Spruce,” the “company,” “we,” “our,” “us” or similar terms refer to Spruce Biosciences, Inc.</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6"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this Quarterly Report on Form 10Q contains forward-looking statements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spacing w:after="0" w:line="82"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r>
        <w:rPr>
          <w:rFonts w:ascii="Times New Roman" w:cs="Times New Roman" w:eastAsia="Times New Roman" w:hAnsi="Times New Roman"/>
          <w:sz w:val="18"/>
          <w:szCs w:val="18"/>
          <w:i w:val="1"/>
          <w:iCs w:val="1"/>
          <w:color w:val="32406B"/>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15"/>
        <w:spacing w:after="0" w:line="242" w:lineRule="auto"/>
        <w:rPr>
          <w:sz w:val="20"/>
          <w:szCs w:val="20"/>
          <w:color w:val="auto"/>
        </w:rPr>
      </w:pPr>
      <w:r>
        <w:rPr>
          <w:rFonts w:ascii="Times New Roman" w:cs="Times New Roman" w:eastAsia="Times New Roman" w:hAnsi="Times New Roman"/>
          <w:sz w:val="18"/>
          <w:szCs w:val="18"/>
          <w:color w:val="auto"/>
        </w:rPr>
        <w:t>We are a late-stage biopharmaceutical company focused on developing and commercializing novel therapies for rare endocrine disorders with significant unmet medical need. We are initially developing our wholly-owned product candidate, tildacerfont, as the potential first non-steroidal therapy to offer markedly improved disease control and reduce steroid burden for patients suffering from congenital adrenal hyperplasia, or CAH. Classic CAH is a serious and life-threatening disease with no known novel therapies approved in approximately 50 years. In a 12-week Phase 2a proof-of-concept clinical trial, tildacerfont-treated adult patients suffering from classic CAH who had elevated adrenal hormones at baseline despite being on standard of care therapy achieved approximately 80% reductions in hormones that are key indicators of elevated adrenal hormones at baseline. Furthermore, over 200 subjects across eight completed clinical trials to date have been administered tildacerfont with no drug-related serious adverse events, or SAEs, reported.</w:t>
      </w:r>
    </w:p>
    <w:p>
      <w:pPr>
        <w:spacing w:after="0" w:line="92" w:lineRule="exact"/>
        <w:rPr>
          <w:sz w:val="20"/>
          <w:szCs w:val="20"/>
          <w:color w:val="auto"/>
        </w:rPr>
      </w:pPr>
    </w:p>
    <w:p>
      <w:pPr>
        <w:ind w:right="20" w:firstLine="515"/>
        <w:spacing w:after="0" w:line="242" w:lineRule="auto"/>
        <w:rPr>
          <w:sz w:val="20"/>
          <w:szCs w:val="20"/>
          <w:color w:val="auto"/>
        </w:rPr>
      </w:pPr>
      <w:r>
        <w:rPr>
          <w:rFonts w:ascii="Times New Roman" w:cs="Times New Roman" w:eastAsia="Times New Roman" w:hAnsi="Times New Roman"/>
          <w:sz w:val="18"/>
          <w:szCs w:val="18"/>
          <w:color w:val="auto"/>
        </w:rPr>
        <w:t>We have initiated CAHmelia-203, a placebo-controlled, double-blind Phase 2b clinical trial in adult patients with classic CAH with elevated adrenal hormones at baseline and anticipate topline results in the second half of 2023. We have also initiated CAHmelia-204, a second Phase 2b clinical trial in adult patients with classic CAH with elevated daily glucocorticoids at baseline focused on glucocorticoid reduction and anticipate topline results in the second half of 2024. Based on post-hoc analyses of our clinical data to date, we have chosen to target two distinct groups of classic CAH patients with either elevated daily glucocorticoids at baseline or elevated adrenal hormones at baseline. These two groups, which together make up the entire classic CAH patient population, have differing disease challenges centered on excessive adrenal androgen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these two clinical trials will provide sufficient patient exposures for our registrational safety database, which are designed to potentially support registration in the United States and Europe. Assuming positive results from these clinical trials, we plan to meet with the U.S. Food and Drug Administration, or FDA, and certain comparable foreign regulatory authorities to discuss registration.</w:t>
      </w:r>
    </w:p>
    <w:p>
      <w:pPr>
        <w:spacing w:after="0" w:line="80" w:lineRule="exact"/>
        <w:rPr>
          <w:sz w:val="20"/>
          <w:szCs w:val="20"/>
          <w:color w:val="auto"/>
        </w:rPr>
      </w:pPr>
    </w:p>
    <w:p>
      <w:pPr>
        <w:ind w:right="20" w:firstLine="515"/>
        <w:spacing w:after="0" w:line="244" w:lineRule="auto"/>
        <w:rPr>
          <w:sz w:val="20"/>
          <w:szCs w:val="20"/>
          <w:color w:val="auto"/>
        </w:rPr>
      </w:pPr>
      <w:r>
        <w:rPr>
          <w:rFonts w:ascii="Times New Roman" w:cs="Times New Roman" w:eastAsia="Times New Roman" w:hAnsi="Times New Roman"/>
          <w:sz w:val="18"/>
          <w:szCs w:val="18"/>
          <w:color w:val="auto"/>
        </w:rPr>
        <w:t>We are also investigating tildacerfont for the treatment of classic CAH in children. We believe there is a significant medical need to provide androgen-lowering and glucocorticoid-sparing therapies to pediatric classic CAH patients to reduce the risk of premature puberty and the adverse effects of glucocorticoids, including growth inhibition and short-stature as adults. We have initiated a Phase 2 open-label clinical trial, which will utilize a sequential three cohort design, to evaluate the safety and pharmacokinetics of tildacerfont in children six to 17 years of age with classic CAH. We anticipate topline safety results from cohort 1 of the Phase 2 open-label clinical trial in the first half of 2023. We have also submitted a pediatric investigational plan, or PIP, to the Pediatric Committee, or PDCO, of the European Medicines Agency, or EMA, regarding a registrational program in children with classic CAH. PDCO issued an opinion on its agreement with the proposed PIP of tildacerfont for the treatment of CAH which endorsed the clinical program to evaluate the safety, tolerability and efficacy of tildacerfont for the treatment of CAH in patients from one year of age to less than 18 years of age. PDCO also granted a waiver for the treatment of CAH in patients less than one year of age.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80" w:firstLine="509"/>
        <w:spacing w:after="0" w:line="241" w:lineRule="auto"/>
        <w:rPr>
          <w:sz w:val="20"/>
          <w:szCs w:val="20"/>
          <w:color w:val="auto"/>
        </w:rPr>
      </w:pPr>
      <w:r>
        <w:rPr>
          <w:rFonts w:ascii="Times New Roman" w:cs="Times New Roman" w:eastAsia="Times New Roman" w:hAnsi="Times New Roman"/>
          <w:sz w:val="18"/>
          <w:szCs w:val="18"/>
          <w:color w:val="auto"/>
        </w:rPr>
        <w:t>Beyond classic CAH, we believe tildacerfont has potential utility in polycystic ovary syndrome, or PCOS, and in a range of diseases where the underlying biology supports a need to reduce excess secretion of or hyperresponsiveness to adrenocorticotropic hormone, or ACTH. PCOS is a hormonal disorder common among females of reproductive age affecting nearly five million females in the United States and approximately 115 million females worldwide. PCOS is characterized by elevated levels of androgens, cysts in the ovaries, and irregular periods. We have identified a subpopulation of patients where elevated levels of adrenal androgens are the cause of disease. We believe that tildacerfont may present a novel mechanism to reduce ACTH and provide a therapeutic option for females with PCOS. By leveraging our existing Phase 1 program, which includes safety, tolerability, and pharmacokinetics of tildacerfont, we have initiated a Phase 2 proof-of-concept clinical trial. The Phase 2 proof-of-concept clinical trial is a randomized, placebo-controlled, dose escalation trial which will evaluate the safety and efficacy of tildacerfont titrated to 200 mg QD compared to placebo over 12 weeks of treatment in subjects with PCOS and elevated adrenal androgens as measured by dehydroepiandrosterone sulfate, or DHEAS, levels at baseline. We anticipate topline results from the Phase 2 proof-of-concept clinical trial in the first half of 2023.</w:t>
      </w:r>
    </w:p>
    <w:p>
      <w:pPr>
        <w:spacing w:after="0" w:line="95"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Since our inception in November 2014, we have focused primarily on raising capital, establishing and protecting our intellectual property portfolio, organizing and staffing our company, business planning, and conducting preclinical and clinical development of, and manufacturing development for, our product candidate, tildacerfont. We have no products approved for commercial sale and have not generated any revenue to date, and we continue to incur significant research and development and other expenses related to our ongoing operations. Our ability to generate product revenue sufficient to achieve profitability, if ever, will depend on the successful development of tildacerfont and any future product candidates. We intend to build a highly specialized commercial organization to support the commercialization of tildacerfont, if approved, in the United States and Europe. Given a relatively small number of endocrinologists and specialists treat a large proportion of patients with classic CAH, we believe this market can be effectively addressed with a modest-sized targeted commercial sales force, alongside various high-touch patient initiatives. If tildacerfont is approved for additional indications, we plan to leverage our rare disorder commercial infrastructure and expertise to efficiently address those patient populations. We may also either build a commercial infrastructure or opportunistically seek strategic collaborations to benefit from the resources of biopharmaceutical companies specialized in either relevant disease areas or geographies.</w:t>
      </w:r>
    </w:p>
    <w:p>
      <w:pPr>
        <w:spacing w:after="0" w:line="80" w:lineRule="exact"/>
        <w:rPr>
          <w:sz w:val="20"/>
          <w:szCs w:val="20"/>
          <w:color w:val="auto"/>
        </w:rPr>
      </w:pPr>
    </w:p>
    <w:p>
      <w:pPr>
        <w:ind w:right="240" w:firstLine="509"/>
        <w:spacing w:after="0" w:line="246" w:lineRule="auto"/>
        <w:rPr>
          <w:sz w:val="20"/>
          <w:szCs w:val="20"/>
          <w:color w:val="auto"/>
        </w:rPr>
      </w:pPr>
      <w:r>
        <w:rPr>
          <w:rFonts w:ascii="Times New Roman" w:cs="Times New Roman" w:eastAsia="Times New Roman" w:hAnsi="Times New Roman"/>
          <w:sz w:val="18"/>
          <w:szCs w:val="18"/>
          <w:color w:val="auto"/>
        </w:rPr>
        <w:t>We rely, and expect to continue to rely, on third parties for the manufacture of tildacerfont for preclinical studies and clinical trials, as well as for commercial manufacture if tildacerfont obtains marketing approval. We also rely, and expect to continue to rely, on third parties to package, label, store, and distribute tildacerfont,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tildacerfont.</w:t>
      </w:r>
    </w:p>
    <w:p>
      <w:pPr>
        <w:spacing w:after="0" w:line="87"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Since inception, we have incurred significant losses and negative cash flows from operations. During the nine months ended September 30, 2022, we incurred a net loss of $35.0 million and used $29.9 million of cash in operations. As of September 30, 2022, we had an accumulated deficit of $138.2 million, compared to $103.1 million as of December 31, 2021, and we do not expect positive cash flows from operations for the foreseeable future. We expect to continue to incur significant and increasing losses for the foreseeable future, and our net losses may fluctuate significantly from period to period, depending on the timing of expenditures on our planned research and development activities.</w:t>
      </w:r>
    </w:p>
    <w:p>
      <w:pPr>
        <w:spacing w:after="0" w:line="73"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October 2020, we consummated our initial public offering, or IPO, and issued 6,900,000 shares of common stock for net proceeds of $93.4 million, after deducting underwriting discounts, commissions and offering expenses. Since inception through September 30, 2022, we have raised aggregate gross proceeds of $224.5 million, including $103.5 million from our IPO in October 2020, $116.0 million from the sale of our redeemable convertible preferred stock, and $5.0 million from the issuance of debt. As of September 30, 2022, we had cash, cash equivalents, and investments of $90.4 million compared to $121.4 million as of December 31, 2021.</w:t>
      </w:r>
    </w:p>
    <w:p>
      <w:pPr>
        <w:spacing w:after="0" w:line="69"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We believe, based on our current operating plan, that our cash, cash equivalents and short-term investments as of September 30, 2022, will be sufficient to fund our operations and debt obligations for at least the next 12 months. We have based this projection on assumptions that may be inaccurate and as a result, we may utilize our capital resources sooner than we expect. We expect our expenses will increase significantly in connection with our ongoing activities, as we:</w:t>
      </w:r>
    </w:p>
    <w:p>
      <w:pPr>
        <w:spacing w:after="0" w:line="69"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tildacerfont through our ongoing Phase 2b clinical trials in adult patients with classic CAH;</w:t>
      </w:r>
    </w:p>
    <w:p>
      <w:pPr>
        <w:spacing w:after="0" w:line="10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 development of tildacerfont in additional indications, including pediatric classic CAH and a subpopulation of females with PCOS;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approvals of tildacerfont in patients with classic CAH and a subpopulation of females with PCOS;</w:t>
      </w:r>
    </w:p>
    <w:p>
      <w:pPr>
        <w:spacing w:after="0" w:line="10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highly specialized commercial organization to support the commercialization of tildacerfont, if approved, in the United States and Europe;</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left="1020" w:right="58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commercial infrastructure or opportunistically seek strategic collaborations to benefit from the resources of biopharmaceutical companies specialized in either relevant disease areas or geographies, if tildacerfont is approved for additional indications;</w:t>
      </w:r>
    </w:p>
    <w:p>
      <w:pPr>
        <w:spacing w:after="0" w:line="54"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indications and formulations for which to investigate tildacerfont in the future and expand our pipeline of product candidates;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our intellectual property portfolio.</w:t>
      </w:r>
    </w:p>
    <w:p>
      <w:pPr>
        <w:spacing w:after="0" w:line="104"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 xml:space="preserve">Our business has been and could continue to be adversely affected by the evolving COVID-19 pandemic. For example, the COVID-19 pandemic has resulted in and could result in delays to our clinical trials for numerous reasons including additional delays or difficulties in enrolling patients, diversion of healthcare resources away from the conduct of clinical trials, interruption or delays in the operations of the FDA or other regulatory authorities, and delays in clinical sites receiving the supplies and materials to conduct our clinical trials. While vaccines have become widely available in certain countries, and businesses and economies have reopened, the status of global economic recovery remains uncertain and unpredictable and will continue to be impacted by developments in the pandemic including any subsequent waves of outbreak or new variant strains of the COVID-19 virus which may require re-closures or other preventative measures. At this time, the extent to which the COVID-19 pandemic impacts our business will depend on future developments, which are highly uncertain and cannot be predicted. </w:t>
      </w:r>
      <w:r>
        <w:rPr>
          <w:rFonts w:ascii="Times New Roman" w:cs="Times New Roman" w:eastAsia="Times New Roman" w:hAnsi="Times New Roman"/>
          <w:sz w:val="18"/>
          <w:szCs w:val="18"/>
          <w:color w:val="231F20"/>
        </w:rPr>
        <w:t>In addition to the ongoing COVID-19 pandemic, global economic and business activities continue to face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widespread macroeconomic uncertainties, including labor shortages, inflation and monetary supply shifts, recession risks and potential disruptions from the Russia-Ukraine conflict. The extent of the impact of these factors on our operational and financial performance, including our ability to execute our business strategies and initiatives in the expected time frame, will depend on future developments, which are uncertain and cannot be predicted; however, any continued or renewed disruption resulting from these factors could negatively impact our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Eli Lilly and Company</w:t>
      </w:r>
    </w:p>
    <w:p>
      <w:pPr>
        <w:spacing w:after="0" w:line="10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In May 2016, we entered into a license agreement, or the License Agreement, with Eli Lilly and Company, or Lilly. Pursuant to the terms of the License Agreement, Lilly granted us an exclusive, worldwide, royalty bearing, sublicensable license under certain technology, patent rights, know-how, and proprietary materials, which we refer to collectively as the Lilly IP, and such patents, the Lilly Licensed Patents, relating to the CRF1 receptor antagonist compounds either listed in the License Agreement or covered by patent rights controlled by Lilly, which we refer to collectively as the Lilly Compounds, to research, develop, commercialize, make, have made, use, sell, offer to sell, and import the Lilly Compounds and any products containing a Lilly Compound, including any products containing a Lilly Compound and one or more additional active pharmaceutical ingredients, or APIs, other than a Lilly Compound, which we refer to collectively as the Lilly Licensed Products, for all pharmaceutical uses, including all diagnostic, therapeutic, and prophylactic uses, for human or animal administration. Lilly retained rights under the Lilly IP and the Lilly Licensed Patents for internal research purposes.</w:t>
      </w:r>
    </w:p>
    <w:p>
      <w:pPr>
        <w:spacing w:after="0" w:line="92"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As partial consideration for the rights granted to us under the License Agreement, we made a one-time upfront payment to Lilly of $0.8 million. We are also required to pay Lilly up to an aggregate of $23.0 million upon the achievement, during the time the License Agreement remains in effect, of certain milestones relating to the clinical development and commercial sales of the Lilly Licensed Products. Such payments are for predetermined fixed amounts, are paid only upon the first occurrence of each such event, and are due shortly after achieving the applicable milestone. In addition, we are required to pay Lilly tiered royalties on annual worldwide net sales of Lilly Licensed Products, with rates ranging from mid-single-digits to sub-teens, or the Lilly Royalties. The Lilly Royalties shall commence on a country-by-country basis on the date of the first commercial sale of Lilly Licensed Product in such country, and shall expire on a country-by-country basis on the latest of the following dates: (i) the tenth anniversary of the date of first commercial sale in such country, (ii) the expiration in such country of the last-to-expire Lilly Licensed Patent having a valid claim covering the manufacture, use, or sale of the Lilly Licensed Product as commercialized in such country, and (iii) the expiration of any data or regulatory exclusivity period for the Lilly Licensed Product in such country. Upon such expiration, the license granted to us with respect to such country shall become fully paid-up, royalty-free, perpetual and irrevocable. In addition, the Lilly Royalties may be reduced upon the occurrence of certain events.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108"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In September 2019, we entered into a Loan and Security Agreement, as subsequently amended (the Loan Agreement) with Silicon Valley Bank (SVB) providing for a term loan (the Term Loan) for an aggregate principal amount of $4.5 million.</w:t>
      </w:r>
    </w:p>
    <w:p>
      <w:pPr>
        <w:spacing w:after="0" w:line="40" w:lineRule="exact"/>
        <w:rPr>
          <w:sz w:val="20"/>
          <w:szCs w:val="20"/>
          <w:color w:val="auto"/>
        </w:rPr>
      </w:pPr>
    </w:p>
    <w:p>
      <w:pPr>
        <w:ind w:right="660" w:firstLine="509"/>
        <w:spacing w:after="0" w:line="266" w:lineRule="auto"/>
        <w:rPr>
          <w:sz w:val="20"/>
          <w:szCs w:val="20"/>
          <w:color w:val="auto"/>
        </w:rPr>
      </w:pPr>
      <w:r>
        <w:rPr>
          <w:rFonts w:ascii="Times New Roman" w:cs="Times New Roman" w:eastAsia="Times New Roman" w:hAnsi="Times New Roman"/>
          <w:sz w:val="18"/>
          <w:szCs w:val="18"/>
          <w:color w:val="auto"/>
        </w:rPr>
        <w:t>In March 2021, we entered into a First Amendment to Loan and Security Agreement (the First Amendment), which increased the aggregate principal amount of the Term Loan to $30.0 million, of which $20.0 million was immediately available under the first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0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tranche (First Tranche) and $10.0 million is available under the second tranche through December 31, 2022 (Second Tranche), subject to the completion of certain clinical or financial milestones. Pursuant to the First Amendment, the Term Loan will mature on January 1, 2026.</w:t>
      </w:r>
    </w:p>
    <w:p>
      <w:pPr>
        <w:spacing w:after="0" w:line="54" w:lineRule="exact"/>
        <w:rPr>
          <w:sz w:val="20"/>
          <w:szCs w:val="20"/>
          <w:color w:val="auto"/>
        </w:rPr>
      </w:pPr>
    </w:p>
    <w:p>
      <w:pPr>
        <w:jc w:val="both"/>
        <w:ind w:right="120" w:firstLine="509"/>
        <w:spacing w:after="0" w:line="282" w:lineRule="auto"/>
        <w:rPr>
          <w:sz w:val="20"/>
          <w:szCs w:val="20"/>
          <w:color w:val="auto"/>
        </w:rPr>
      </w:pPr>
      <w:r>
        <w:rPr>
          <w:rFonts w:ascii="Times New Roman" w:cs="Times New Roman" w:eastAsia="Times New Roman" w:hAnsi="Times New Roman"/>
          <w:sz w:val="18"/>
          <w:szCs w:val="18"/>
          <w:color w:val="auto"/>
        </w:rPr>
        <w:t>In May 2022, we entered into a Second Amendment to Loan and Security Agreement (the Second Amendment), which amended the milestones for the Second Tranche, added a liquidity covenant for the Second Tranche and amended the interest and prepayment terms.</w:t>
      </w:r>
    </w:p>
    <w:p>
      <w:pPr>
        <w:spacing w:after="0" w:line="40"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2022, the outstanding principal was comprised of $5.0 million under the First Tranche. The remainder of the First Tranche of $15.0 million expired on December 31, 2021. The Second Tranche of $10.0 million is available through December 31, 2022, subject to milestones that are not probable of being achieved as of September 30, 2022.</w:t>
      </w:r>
    </w:p>
    <w:p>
      <w:pPr>
        <w:spacing w:after="0" w:line="61"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The Loan Agreement provides for monthly cash interest-only payments following the funding date of each respective tranche and continuing thereafter through December 31, 2022, to the extent that we do not borrow any part of the Second Tranche, or June 30, 2023 if we borrowed some or all of the Second Tranche. The Term Loan is subject to a floating per annum interest rate equal to the greater of (a) 0.50% above the Prime Rate (as defined in the Loan Agreement) or (b) 3.75%. Following the interest-only period, the outstanding Term Loan balance will be payable in (i) 37 consecutive monthly payments (or 31 if we borrow under the Second Tranche) after the end of the interest-only period and continuing on the same day of each month thereafter, in amounts that would fully amortize such Term Loan balance, as of the first business day of the first month following the amended interest-only period, over the repayment period, plus (ii) monthly payments of accrued but unpaid interest.</w:t>
      </w:r>
    </w:p>
    <w:p>
      <w:pPr>
        <w:spacing w:after="0" w:line="73"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The final payment is due on the maturity date and includes all outstanding principal plus accrued unpaid interest and an end of term payment totaling (x) 6.0% of the original funded principal amount of the First Tranche, and (y) 4.0% of the original funded principal amount under the Second Tranche if we borrow under the Second Tranche (the Supplemental Final Payment). We may prepay amounts outstanding under the Term Loan at any time provided certain notification conditions are met, in which case, all outstanding principal plus accrued and unpaid interest, the Supplemental Final Payment, a prepayment fee of 1% or 2% of the principal amount of the First and Second Tranches, and any bank expenses become due and payable.</w:t>
      </w:r>
    </w:p>
    <w:p>
      <w:pPr>
        <w:spacing w:after="0" w:line="87"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are subject to customary affirmative and restrictive covenants under the Loan Agreement. Our obligations under the Loan Agreement are secured by a first priority security interest in substantially all of our current and future assets, other than intellectual property. We also agreed not to encumber our intellectual property assets, except as permitted by the Loan Agreement. Further, in the event that the Second Tranche becomes available and we obtain an advance thereunder, we will be required to comply with a liquidity covenant of at least $50.0 million at all times. If we do not comply with the foregoing liquidity covenant, a springing cash pledge will occur, pursuant to which we must maintain a cash secured blocked account with SVB with a cash balance in an amount equal to the outstanding SVB obligations at such time (excluding Bank Services (as defined in the Loan Agreement)). The foregoing cash collateral requirement will terminate upon a certain additional equity raise, which must occur on or before September 30, 2024.</w:t>
      </w:r>
    </w:p>
    <w:p>
      <w:pPr>
        <w:spacing w:after="0" w:line="92" w:lineRule="exact"/>
        <w:rPr>
          <w:sz w:val="20"/>
          <w:szCs w:val="20"/>
          <w:color w:val="auto"/>
        </w:rPr>
      </w:pPr>
    </w:p>
    <w:p>
      <w:pPr>
        <w:ind w:right="160" w:firstLine="509"/>
        <w:spacing w:after="0" w:line="245" w:lineRule="auto"/>
        <w:rPr>
          <w:sz w:val="20"/>
          <w:szCs w:val="20"/>
          <w:color w:val="auto"/>
        </w:rPr>
      </w:pPr>
      <w:r>
        <w:rPr>
          <w:rFonts w:ascii="Times New Roman" w:cs="Times New Roman" w:eastAsia="Times New Roman" w:hAnsi="Times New Roman"/>
          <w:sz w:val="18"/>
          <w:szCs w:val="18"/>
          <w:color w:val="auto"/>
        </w:rPr>
        <w:t>The Loan Agreement also contains customary indemnification obligations and customary events of default, including, among other things, our failure to fulfill certain obligations under the Loan Agreement and the occurrence of a material adverse change in our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us under the Loan Agreement, the lender would be entitled to exercise their remedies thereunder, including the right to accelerate the debt, upon which we may be required to repay all amounts then outstanding under the Loan Agreement. As of September 30, 2022, management believes that we are in compliance with all financial covenants under the Loan Agreement and there had been no material adverse change.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classify operating expenses into two main categories: (i) research and development expenses and (ii) general and administrative expenses.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6" w:lineRule="exact"/>
        <w:rPr>
          <w:sz w:val="20"/>
          <w:szCs w:val="20"/>
          <w:color w:val="auto"/>
        </w:rPr>
      </w:pPr>
    </w:p>
    <w:p>
      <w:pPr>
        <w:ind w:right="920" w:firstLine="509"/>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consist of external and internal expenses incurred in connection with our research activities and development programs.</w:t>
      </w:r>
    </w:p>
    <w:p>
      <w:pPr>
        <w:spacing w:after="0" w:line="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expenses include:</w:t>
      </w:r>
    </w:p>
    <w:p>
      <w:pPr>
        <w:spacing w:after="0" w:line="104"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consisting of:</w:t>
      </w:r>
    </w:p>
    <w:p>
      <w:pPr>
        <w:spacing w:after="0" w:line="104" w:lineRule="exact"/>
        <w:rPr>
          <w:sz w:val="20"/>
          <w:szCs w:val="20"/>
          <w:color w:val="auto"/>
        </w:rPr>
      </w:pPr>
    </w:p>
    <w:p>
      <w:pPr>
        <w:ind w:left="1440" w:right="400" w:hanging="384"/>
        <w:spacing w:after="0" w:line="282" w:lineRule="auto"/>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development—expenses associated with clinical research organizations, or CROs, engaged to manage and conduct clinical trials and other outside services;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04" w:lineRule="exact"/>
        <w:rPr>
          <w:sz w:val="20"/>
          <w:szCs w:val="20"/>
          <w:color w:val="auto"/>
        </w:rPr>
      </w:pPr>
    </w:p>
    <w:p>
      <w:pPr>
        <w:ind w:left="1440" w:hanging="384"/>
        <w:spacing w:after="0"/>
        <w:tabs>
          <w:tab w:leader="none" w:pos="1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studies—expenses associated with preclinical studies performed by vendors;</w:t>
      </w:r>
    </w:p>
    <w:p>
      <w:pPr>
        <w:spacing w:after="0" w:line="103" w:lineRule="exact"/>
        <w:rPr>
          <w:rFonts w:ascii="Times New Roman" w:cs="Times New Roman" w:eastAsia="Times New Roman" w:hAnsi="Times New Roman"/>
          <w:sz w:val="18"/>
          <w:szCs w:val="18"/>
          <w:color w:val="auto"/>
        </w:rPr>
      </w:pPr>
    </w:p>
    <w:p>
      <w:pPr>
        <w:ind w:left="1440" w:right="240" w:hanging="384"/>
        <w:spacing w:after="0" w:line="266" w:lineRule="auto"/>
        <w:tabs>
          <w:tab w:leader="none" w:pos="1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manufacturing—expenses associated with contract manufacturing; labeling, packaging, and distribution of clinical trial supplies, and consulting;</w:t>
      </w:r>
    </w:p>
    <w:p>
      <w:pPr>
        <w:spacing w:after="0" w:line="67" w:lineRule="exact"/>
        <w:rPr>
          <w:rFonts w:ascii="Times New Roman" w:cs="Times New Roman" w:eastAsia="Times New Roman" w:hAnsi="Times New Roman"/>
          <w:sz w:val="18"/>
          <w:szCs w:val="18"/>
          <w:color w:val="auto"/>
        </w:rPr>
      </w:pPr>
    </w:p>
    <w:p>
      <w:pPr>
        <w:ind w:left="1440" w:hanging="384"/>
        <w:spacing w:after="0"/>
        <w:tabs>
          <w:tab w:leader="none" w:pos="1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research and development—expenses associated with quality and regulatory compliance; and</w:t>
      </w:r>
    </w:p>
    <w:p>
      <w:pPr>
        <w:spacing w:after="0" w:line="10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expenses, consisting of personnel, including expenses for salaries, bonuses, benefits, stock-based compensation, as well as allocation of certain expenses.</w:t>
      </w:r>
    </w:p>
    <w:p>
      <w:pPr>
        <w:spacing w:after="0" w:line="68" w:lineRule="exact"/>
        <w:rPr>
          <w:sz w:val="20"/>
          <w:szCs w:val="20"/>
          <w:color w:val="auto"/>
        </w:rPr>
      </w:pPr>
    </w:p>
    <w:p>
      <w:pPr>
        <w:jc w:val="both"/>
        <w:ind w:right="340" w:firstLine="509"/>
        <w:spacing w:after="0" w:line="250" w:lineRule="auto"/>
        <w:rPr>
          <w:sz w:val="20"/>
          <w:szCs w:val="20"/>
          <w:color w:val="auto"/>
        </w:rPr>
      </w:pPr>
      <w:r>
        <w:rPr>
          <w:rFonts w:ascii="Times New Roman" w:cs="Times New Roman" w:eastAsia="Times New Roman" w:hAnsi="Times New Roman"/>
          <w:sz w:val="18"/>
          <w:szCs w:val="18"/>
          <w:color w:val="auto"/>
        </w:rPr>
        <w:t>To date, these expenses have been incurred to advance tildacerfont. These expenses will primarily consist of expenses for the conduct of clinical trials as well as manufacturing costs for clinical material supply. We expect that significant additional spending will be required to progress tildacerfont through clinical development and regulatory approval.</w:t>
      </w:r>
    </w:p>
    <w:p>
      <w:pPr>
        <w:spacing w:after="0" w:line="6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are recognized as they are incurred, including licenses of intellectual property that have no alternative future use at the time of the acquisition. If deposits are required by external vendors, a portion of the deposit is included as a prepaid expense until the activity has been performed or when the goods have been received to amortize the deposit to expense in the statements of operations and comprehensive loss.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bonuses, benefits, and stock-based compensation expense) for executive, finance, and other administrative functions. General and administrative expenses also include legal fees, professional fees, insurance costs, facility costs not otherwise included in research and development expenses, and public company expenses such as costs associated with compliance with the rules and regulations of the SEC, and those of the Nasdaq Stock Market, Inc., or Nasdaq, listing rules.</w:t>
      </w:r>
    </w:p>
    <w:p>
      <w:pPr>
        <w:spacing w:after="0" w:line="69" w:lineRule="exact"/>
        <w:rPr>
          <w:sz w:val="20"/>
          <w:szCs w:val="20"/>
          <w:color w:val="auto"/>
        </w:rPr>
      </w:pPr>
    </w:p>
    <w:p>
      <w:pPr>
        <w:ind w:right="40" w:firstLine="509"/>
        <w:spacing w:after="0" w:line="296" w:lineRule="auto"/>
        <w:rPr>
          <w:sz w:val="20"/>
          <w:szCs w:val="20"/>
          <w:color w:val="auto"/>
        </w:rPr>
      </w:pPr>
      <w:r>
        <w:rPr>
          <w:rFonts w:ascii="Times New Roman" w:cs="Times New Roman" w:eastAsia="Times New Roman" w:hAnsi="Times New Roman"/>
          <w:sz w:val="17"/>
          <w:szCs w:val="17"/>
          <w:color w:val="auto"/>
        </w:rPr>
        <w:t>We expect that our general and administrative expenses will continue to increase in the foreseeable future as additional administrative personnel and services are required to manage these functions of a public company, as we advance tildacerfont through clinical development and regulatory approval.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consists of interest incurred and non-cash amortization of debt discount and issuance costs in connection with the Term Loan.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and other income, net primarily consists of interest income earned on our cash, cash equivalents and investments.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of the Three Months Ended September 30, 2022 and 2021</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20" w:type="dxa"/>
            <w:vAlign w:val="bottom"/>
            <w:gridSpan w:val="5"/>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8,607</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2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2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Borders>
              <w:top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(110 )</w:t>
            </w:r>
          </w:p>
        </w:tc>
        <w:tc>
          <w:tcPr>
            <w:tcW w:w="36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(88 )</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xml:space="preserve">(11,401 </w:t>
            </w:r>
            <w:r>
              <w:rPr>
                <w:rFonts w:ascii="Times New Roman" w:cs="Times New Roman" w:eastAsia="Times New Roman" w:hAnsi="Times New Roman"/>
                <w:sz w:val="18"/>
                <w:szCs w:val="18"/>
                <w:color w:val="auto"/>
                <w:highlight w:val="white"/>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 xml:space="preserve">(11,447 </w:t>
            </w:r>
            <w:r>
              <w:rPr>
                <w:rFonts w:ascii="Times New Roman" w:cs="Times New Roman" w:eastAsia="Times New Roman" w:hAnsi="Times New Roman"/>
                <w:sz w:val="18"/>
                <w:szCs w:val="18"/>
                <w:color w:val="auto"/>
                <w:highlight w:val="white"/>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90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36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-1216660</wp:posOffset>
            </wp:positionV>
            <wp:extent cx="5969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-1216660</wp:posOffset>
            </wp:positionV>
            <wp:extent cx="51435"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-1216660</wp:posOffset>
            </wp:positionV>
            <wp:extent cx="51435"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-650875</wp:posOffset>
            </wp:positionV>
            <wp:extent cx="51435"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research and development expenses for the periods presented (in thousands):</w:t>
      </w:r>
    </w:p>
    <w:p>
      <w:pPr>
        <w:spacing w:after="0" w:line="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expenses:</w:t>
            </w: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development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Manufacturing</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(336 )</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Preclinical studies and biometrics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(411 )</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Internal expenses: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Allocated overhead</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9"/>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8,607</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-25400</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-25400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increased by $0.2 million during the three months ended September 30, 2022, compared to the three months ended September 30, 2021. The overall increase in research and development expenses was primarily driven by an increase in clinical development related to the progression in clinical trials of tildacerfont in adult classic CAH, pediatric classic CAH, and PCOS, offset by a decrease in preclinical studies. Additionally, manufacturing expenses decreased due to the timing of planned manufacturing activities related to clinical drug supply. Personnel expenses increased due to an increase in research and development headcount.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06"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consistent during the three months ended September 30, 2022, compared to the three months ended September 30, 2021. There was a decrease of $0.3 million in personnel expenses due to a decrease in general and administrative headcount, offset by an increase of $0.3 million in professional services related to finance and accounting services.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0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Interest expense was consistent during the three months ended September 30, 2022, compared to the three months ended September 30, 2021 and was related to the Term Loan.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Net</w:t>
      </w:r>
    </w:p>
    <w:p>
      <w:pPr>
        <w:spacing w:after="0" w:line="106"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Interest and other income, net increased by $0.2 million during the three months ended September 30, 2022, compared to the three months ended September 30, 2021. The increase was primarily due to higher yield earned on investment balances in 2022.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of the Nine Months Ended September 30, 2022 and 2021</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7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26,359</w:t>
            </w:r>
          </w:p>
        </w:tc>
        <w:tc>
          <w:tcPr>
            <w:tcW w:w="260" w:type="dxa"/>
            <w:vAlign w:val="bottom"/>
          </w:tcPr>
          <w:p>
            <w:pPr>
              <w:spacing w:after="0"/>
              <w:rPr>
                <w:sz w:val="18"/>
                <w:szCs w:val="18"/>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2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7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35,173</w:t>
            </w:r>
          </w:p>
        </w:tc>
        <w:tc>
          <w:tcPr>
            <w:tcW w:w="2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32,931</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(35,173</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(32,931</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(291 )</w:t>
            </w:r>
          </w:p>
        </w:tc>
        <w:tc>
          <w:tcPr>
            <w:tcW w:w="500" w:type="dxa"/>
            <w:vAlign w:val="bottom"/>
          </w:tcPr>
          <w:p>
            <w:pPr>
              <w:spacing w:after="0"/>
              <w:rPr>
                <w:sz w:val="18"/>
                <w:szCs w:val="18"/>
                <w:color w:val="auto"/>
              </w:rPr>
            </w:pPr>
          </w:p>
        </w:tc>
        <w:tc>
          <w:tcPr>
            <w:tcW w:w="10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(257 )</w:t>
            </w: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7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(35,036 )</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(33,108 )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(1,928 )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70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94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94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-1216660</wp:posOffset>
            </wp:positionV>
            <wp:extent cx="7747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-1216660</wp:posOffset>
            </wp:positionV>
            <wp:extent cx="6858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-650875</wp:posOffset>
            </wp:positionV>
            <wp:extent cx="77470"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-650875</wp:posOffset>
            </wp:positionV>
            <wp:extent cx="6858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research and development expenses for the periods presented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6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expenses:</w:t>
            </w:r>
          </w:p>
        </w:tc>
        <w:tc>
          <w:tcPr>
            <w:tcW w:w="8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Clinical development</w:t>
            </w:r>
          </w:p>
        </w:tc>
        <w:tc>
          <w:tcPr>
            <w:tcW w:w="80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17,372</w:t>
            </w:r>
          </w:p>
        </w:tc>
        <w:tc>
          <w:tcPr>
            <w:tcW w:w="7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Manufacturing</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(826 )</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Preclinical studies and biometrics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(1,225 )</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expenses:</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Personnel</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Allocated overhead</w:t>
            </w: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research and development expenses</w:t>
            </w:r>
          </w:p>
        </w:tc>
        <w:tc>
          <w:tcPr>
            <w:tcW w:w="800" w:type="dxa"/>
            <w:vAlign w:val="bottom"/>
            <w:tcBorders>
              <w:bottom w:val="single" w:sz="8" w:color="auto"/>
            </w:tcBorders>
            <w:shd w:val="clear" w:color="auto" w:fill="CFF0FC"/>
          </w:tcPr>
          <w:p>
            <w:pPr>
              <w:jc w:val="right"/>
              <w:ind w:right="61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26,359</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24,440</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1,919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80"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increased by $1.9 million during the nine months ended September 30, 2022, compared to the nine months ended September 30, 2021. The overall increase in research and development expenses was primarily related to an increase in clinical development activities associated with the progression of clinical trials of tildacerfont in adult classic CAH, pediatric classic CAH, and PCOS, partially offset by decreases in preclinical studies and manufacturing. Preclinical expenses decreased due to the completion of certain trials, while manufacturing expenses decreased due to the timing of planned manufacturing activities related to clinical drug supply.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06"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$0.3 million during the nine months ended September 30, 2022, compared to the nine months ended September 30, 2021. The overall increase in general and administrative expenses was primarily driven by an increase in professional services including legal, finance and accounting.</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0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Interest expense was consistent during the nine months ended September 30, 2022, compared to the nine months ended September 30, 2021 and was related to the Term Loan.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Net</w:t>
      </w:r>
    </w:p>
    <w:p>
      <w:pPr>
        <w:spacing w:after="0" w:line="10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Interest and other income, net increased by $0.3 million during the nine months ended September 30, 2022, compared to the nine months ended September 30, 2021. The increase was primarily due to higher yield earned on investment balances in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operations. We anticipate that we will continue to incur net losses for the foreseeable future. As of September 30, 2022, we had an accumulated deficit of $138.2 million, compared to $103.1 million as of December 31, 2021. As of September 30, 2022 we had cash, cash equivalents and investments of $90.4 million, compared to $121.4 million as of December 31, 2021. Since inception through September 30, 2022, we have raised aggregate gross proceeds of $224.5 million, including $103.5 million from our IPO in October 2020, $116.0 million from the sale of our redeemable convertible preferred stock, and $5.0 million from the issuance of debt. We believe, based on our current operating plan, that our cash, cash equivalents and short-term investments as of September 30, 2022 will be sufficient to fund our operations and debt obligations for at least the next 12 months.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and Sales Agreement</w:t>
      </w:r>
    </w:p>
    <w:p>
      <w:pPr>
        <w:spacing w:after="0" w:line="108" w:lineRule="exact"/>
        <w:rPr>
          <w:sz w:val="20"/>
          <w:szCs w:val="20"/>
          <w:color w:val="auto"/>
        </w:rPr>
      </w:pPr>
    </w:p>
    <w:p>
      <w:pPr>
        <w:ind w:right="140" w:firstLine="509"/>
        <w:spacing w:after="0" w:line="243" w:lineRule="auto"/>
        <w:rPr>
          <w:sz w:val="20"/>
          <w:szCs w:val="20"/>
          <w:color w:val="auto"/>
        </w:rPr>
      </w:pPr>
      <w:r>
        <w:rPr>
          <w:rFonts w:ascii="Times New Roman" w:cs="Times New Roman" w:eastAsia="Times New Roman" w:hAnsi="Times New Roman"/>
          <w:sz w:val="18"/>
          <w:szCs w:val="18"/>
          <w:color w:val="auto"/>
        </w:rPr>
        <w:t>In February 2022, the SEC declared effective the Shelf Registration covering the sale of up to $200.0 million of our securities. Also, in February 2022, we entered into the Sales Agreement with Jefferies, pursuant to which we may elect to issue and sell, from time to time, shares of common stock having an aggregate offering price of up to $21.0 million under the Shelf Registration through Jefferies acting as the sales agent and/or principal, or the Offering. We have also filed a prospectus supplement with the SEC in connection with the Offering under the Shelf Registration. Upon delivery of an issuance notice and subject to the terms and conditions of the Sales Agreement, Jefferies may sell the shares at market prices by any method deemed to be an “at the market offering” as defined in Rule 415(a)(4) promulgated under the Securities Act, including sales made directly on or through The Nasdaq Global Select Market, or Nasdaq, the existing trading market for our common stock. We or Jefferies may suspend or terminate the offering of the shares upon notice to the other party, subject to certain conditions. Jefferies will act as sales agent on a commercially reasonable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04"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efforts basis consistent with its normal trading and sales practices and applicable state and federal law, rules and regulations and the rules of Nasdaq. We may instruct Jefferies to not sell the shares if the sales cannot be transacted at or above the price we designate in any issuance notice. We are not obligated to make any sales of the shares under the Sales Agreement. As of September 30, 2022, we have not issued any shares of common stock pursuant to the Sales Agreement.</w:t>
      </w:r>
    </w:p>
    <w:p>
      <w:pPr>
        <w:spacing w:after="0" w:line="6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have agreed to pay Jefferies commissions for its services of acting as agent of 3.0% of the gross proceeds from the sale of the shares pursuant to the Sales Agreement. We have also agreed to provide Jefferies with customary indemnification and contribution rights.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08"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generate any meaningful revenue unless and until we obtain regulatory approval and commercialize tildacerfont or any future product candidates, and we do not know when, or if at all, that will occur. We will continue to require additional capital to develop tildacerfont and fund operations for the foreseeable future. Our primary uses of cash are to fund our operations, which consist primarily of research and development expenses related to our clinical development programs, and to a lesser extent, general and administrative expenses.</w:t>
      </w:r>
    </w:p>
    <w:p>
      <w:pPr>
        <w:spacing w:after="0" w:line="69"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and obtain regulatory approval for, tildacerfont or any of our future product candidates. We expect our research and development expenses to increase significantly in the foreseeable future as we continue to invest in research and development activities related to developing tildacerfont, as tildacerfont continues advancing in late stage studies for the treatment of classic CAH in adult patients, as we conduct clinical trials of tildacerfont in additional indications beyond classic CAH in adult patients, as we seek regulatory approvals for tildacerfont, and incur expenses associated with hiring additional personnel to support our research and development efforts. The process of conducting the necessary clinical research to obtain regulatory approval is costly and time-consuming, the successful development of tildacerfont is highly uncertain, and we may never succeed in achieving regulatory approval for tildacerfont in classic CAH in adult patients or other indications.</w:t>
      </w:r>
    </w:p>
    <w:p>
      <w:pPr>
        <w:spacing w:after="0" w:line="92" w:lineRule="exact"/>
        <w:rPr>
          <w:sz w:val="20"/>
          <w:szCs w:val="20"/>
          <w:color w:val="auto"/>
        </w:rPr>
      </w:pPr>
    </w:p>
    <w:p>
      <w:pPr>
        <w:jc w:val="both"/>
        <w:ind w:right="260" w:firstLine="509"/>
        <w:spacing w:after="0" w:line="250" w:lineRule="auto"/>
        <w:rPr>
          <w:sz w:val="20"/>
          <w:szCs w:val="20"/>
          <w:color w:val="auto"/>
        </w:rPr>
      </w:pPr>
      <w:r>
        <w:rPr>
          <w:rFonts w:ascii="Times New Roman" w:cs="Times New Roman" w:eastAsia="Times New Roman" w:hAnsi="Times New Roman"/>
          <w:sz w:val="18"/>
          <w:szCs w:val="18"/>
          <w:color w:val="auto"/>
        </w:rPr>
        <w:t>We may seek to raise capital through equity or debt financings, collaborative agreements or other arrangements with other companies, or through other sources of financing.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spacing w:after="0" w:line="69"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trial design, results of, and timing of our ongoing and planned clinical trials of tildacerfont;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seeking and obtaining FDA and any other regulatory approvals;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may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sufficient quantities of tildacerfont;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 to expand our research and development activities;</w:t>
      </w:r>
    </w:p>
    <w:p>
      <w:pPr>
        <w:spacing w:after="0" w:line="10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tildacerfont and establishing clinical and commercial supplies and sales, marketing, and distribution capabilities;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securing and establishing clinical and commercialization;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product candidates;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8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retain key management and hire scientific, technical, business, and medical personnel;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products and product candidates and other market developments;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from tildacerfont and any future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of, and success of any collaboration, licensing, or other arrangements which we may enter in the future; and</w:t>
      </w:r>
    </w:p>
    <w:p>
      <w:pPr>
        <w:spacing w:after="0" w:line="54"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disruptions to and volatility in the credit and financial markets in the United States and worldwide from geopolitical and macroeconomic events, including the COVID-19 pandemic.</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04"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6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resulting from macroeconomic events, such as the COVID-19 pandemic and the on-going Russia-Ukraine conflict,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the pace and results of our development efforts.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cannot assure you that we will ever be profitable or generate positive cash flow from operating activities.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0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2022, future payments of principal and interest on the Term Loan, which commences repayment in January 2023 and matures in January 2026, were $5.6 million. For a description of the terms of the Loan Agreement, see the section titled “Management’s Discussion and Analysis of Financial Condition and Results of Operations —Material Agreements — Loan Agreement" above.</w:t>
      </w:r>
    </w:p>
    <w:p>
      <w:pPr>
        <w:spacing w:after="0" w:line="6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2022, the total lease liability for our non-cancelable operating lease for office space, which terminates in November 2025 unless renewed, was $1.4 million.</w:t>
      </w:r>
    </w:p>
    <w:p>
      <w:pPr>
        <w:spacing w:after="0" w:line="68" w:lineRule="exact"/>
        <w:rPr>
          <w:sz w:val="20"/>
          <w:szCs w:val="20"/>
          <w:color w:val="auto"/>
        </w:rPr>
      </w:pPr>
    </w:p>
    <w:p>
      <w:pPr>
        <w:ind w:right="160" w:firstLine="509"/>
        <w:spacing w:after="0" w:line="245"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third-party contract manufacturing organizations and CROs for clinical trials, non-clinical studies, drug substance and product manufacturing and other services for operating purposes. These contracts are generally cancelable by us upon prior written notice after a certain period. Payments due upon cancellation consist only of payments for services provided or expenses incurred, including noncancelable obligations of our service providers, up to the date of cancellation.</w:t>
      </w:r>
    </w:p>
    <w:p>
      <w:pPr>
        <w:spacing w:after="0" w:line="86" w:lineRule="exact"/>
        <w:rPr>
          <w:sz w:val="20"/>
          <w:szCs w:val="20"/>
          <w:color w:val="auto"/>
        </w:rPr>
      </w:pPr>
    </w:p>
    <w:p>
      <w:pPr>
        <w:ind w:right="160" w:firstLine="509"/>
        <w:spacing w:after="0" w:line="245" w:lineRule="auto"/>
        <w:rPr>
          <w:sz w:val="20"/>
          <w:szCs w:val="20"/>
          <w:color w:val="auto"/>
        </w:rPr>
      </w:pPr>
      <w:r>
        <w:rPr>
          <w:rFonts w:ascii="Times New Roman" w:cs="Times New Roman" w:eastAsia="Times New Roman" w:hAnsi="Times New Roman"/>
          <w:sz w:val="18"/>
          <w:szCs w:val="18"/>
          <w:color w:val="auto"/>
        </w:rPr>
        <w:t>We have also entered into the License Agreement under which we are obligated to make aggregate milestone payments upon the achievement of specified milestones as well as royalty payments. The payment obligations under the License Agreement are contingent upon future events, such as our achievement of specified milestones or generating product sales. In addition to royalty payments on future sales, we are also required to pay up to an aggregate of $23.0 million upon the achievement of certain milestones. As of September 30, 2022, we were unable to estimate the timing or likelihood of achieving these milestones or generating future product sales. For a description of the terms of the License Agreement, see the section titled “Management’s Discussion and Analysis of Financial Condition and Results of Operations — Material Agreements — License Agreement with Lilly and Company” above.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Statement of Cash Flows</w:t>
      </w:r>
    </w:p>
    <w:p>
      <w:pPr>
        <w:spacing w:after="0" w:line="108"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primary sources and uses of cash, cash equivalents, and restricted cash for the periods presented below (in thousands):</w:t>
      </w:r>
    </w:p>
    <w:p>
      <w:pPr>
        <w:spacing w:after="0" w:line="47"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4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(29,945</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(73,185 )</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(277 )</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FF0FC"/>
          </w:tcPr>
          <w:p>
            <w:pPr>
              <w:spacing w:after="0"/>
              <w:rPr>
                <w:sz w:val="18"/>
                <w:szCs w:val="18"/>
                <w:color w:val="auto"/>
              </w:rPr>
            </w:pPr>
          </w:p>
        </w:tc>
      </w:tr>
      <w:tr>
        <w:trPr>
          <w:trHeight w:val="20"/>
        </w:trPr>
        <w:tc>
          <w:tcPr>
            <w:tcW w:w="54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w w:val="99"/>
              </w:rPr>
              <w:t xml:space="preserve">(21,099 </w:t>
            </w:r>
            <w:r>
              <w:rPr>
                <w:rFonts w:ascii="Times New Roman" w:cs="Times New Roman" w:eastAsia="Times New Roman" w:hAnsi="Times New Roman"/>
                <w:sz w:val="18"/>
                <w:szCs w:val="18"/>
                <w:color w:val="auto"/>
                <w:highlight w:val="white"/>
                <w:w w:val="99"/>
              </w:rPr>
              <w:t>)</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(98,787 </w:t>
            </w:r>
            <w:r>
              <w:rPr>
                <w:rFonts w:ascii="Times New Roman" w:cs="Times New Roman" w:eastAsia="Times New Roman" w:hAnsi="Times New Roman"/>
                <w:sz w:val="18"/>
                <w:szCs w:val="18"/>
                <w:color w:val="auto"/>
                <w:highlight w:val="white"/>
              </w:rPr>
              <w:t>)</w:t>
            </w:r>
          </w:p>
        </w:tc>
      </w:tr>
      <w:tr>
        <w:trPr>
          <w:trHeight w:val="20"/>
        </w:trPr>
        <w:tc>
          <w:tcPr>
            <w:tcW w:w="5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106" w:lineRule="exact"/>
        <w:rPr>
          <w:sz w:val="20"/>
          <w:szCs w:val="20"/>
          <w:color w:val="auto"/>
        </w:rPr>
      </w:pPr>
    </w:p>
    <w:p>
      <w:pPr>
        <w:ind w:right="400" w:firstLine="509"/>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2022, net cash used in operating activities was $29.9 million, which consisted of a net loss of $35.0 million, offset by a net decrease in net assets of $1.9 million and non-cash charges of $3.2 million. The decrease in net assets consisted primarily of an increase of accounts payable and accrued expenses related to an increase in clinical development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activities associated with progressing clinical development. Non-cash charges consisted primarily of stock-based compensation expense of $2.8 million and non-cash lease expense of $0.3 million.</w:t>
      </w:r>
    </w:p>
    <w:p>
      <w:pPr>
        <w:spacing w:after="0" w:line="54"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7"/>
          <w:szCs w:val="17"/>
          <w:color w:val="auto"/>
        </w:rPr>
        <w:t>For the nine months ended September 30, 2021, net cash used in operating activities was $26.1 million, which consisted of a net loss of $33.1 million, offset by a net decrease in net assets of $3.5 million and non-cash charges of $3.5 million. The decrease in net assets consisted primarily of a decrease in prepaid expenses, other current assets, and other assets of $1.9 million and an increase in accounts payable and accrued expenses of $1.8 million. The non-cash charges of $3.5 million consisted of stock-based compensation expense of $3.2 million and non-cash lease expense of $0.2 million.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Investing Activities</w:t>
      </w:r>
    </w:p>
    <w:p>
      <w:pPr>
        <w:spacing w:after="0" w:line="106"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cash provided by investing activities was $9.1 million, consisting primarily of proceeds from maturities of investments of $43.0 million offset by purchases of investments of $33.9 million.</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2021, cash used in investing activities was $73.2 million, consisting primarily of purchases of investments of $73.1 million.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Provided by Financing Activities</w:t>
      </w:r>
    </w:p>
    <w:p>
      <w:pPr>
        <w:spacing w:after="0" w:line="10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cash used in financing activities was $0.3 million, consisting primarily of payments of deferred offering costs.</w:t>
      </w:r>
    </w:p>
    <w:p>
      <w:pPr>
        <w:spacing w:after="0" w:line="4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2021, cash provided by financing activities was $0.5 million, consisting primarily of net proceeds from the issuance of the Term Loan of $5.0 million and proceeds from exercise of stock options and employee stock purchase plan of $0.3 million, offset by the repayment of the first Term Loan of $4.8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Our condensed financial statements have been prepared in accordance with generally accepted accounting principles in the United States. The preparation of these condensed financial statements requires us to make estimates and assumptions that affect the reported amounts of assets, liabilities and expenses, as well as the related disclosure of contingent assets and liabilities as of the date of the financial statements.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Our actual results may differ from these estimates under different assumptions or conditions.</w:t>
      </w:r>
    </w:p>
    <w:p>
      <w:pPr>
        <w:spacing w:after="0" w:line="72"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in the section titled “Management’s Discussion and Analysis of Financial Condition and Results of Operations—Critical Accounting Policies, Significant Judgments and Use of Estimates” in the Annual Report. During the three and nine months ended September 30, 2022, there were no material changes to our critical accounting policies from those discussed in the Annual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JOBS Act. The JOBS Act permits</w:t>
      </w:r>
    </w:p>
    <w:p>
      <w:pPr>
        <w:spacing w:after="0" w:line="27"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emerging growth companies to take advantage of an extended transition period to comply with new or revised accounting standards, delaying the adoption of these accounting standards until they would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7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could be an emerging growth company until December 31, 2025, although circumstances could cause us to lose that status earlier, including if we become a “large accelerated filer” as defined in Rule 12b-2 under the Exchange Act or if we have total annual gross revenue of $1.235 billion or more during any fiscal year before that time, in which cases we would no longer be an emerging growth company as of the following December 31 or, if we issue more than $1.0 billion in non-convertible debt during any three year period before that time, we would cease to be an emerging growth company immediately.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Our cash, cash equivalents and short-term investments as of September 30, 2022 consist of $90.4 million in bank deposits, money market funds, U.S. treasury securities and corporate bonds. Such interest-earning instruments carry a degree of interest rate risk. The goals of our investment policy are capital preservation, liquidity, safeguarding of capital and total return. We do not enter into investments for trading or speculative purposes and have not used any derivative financial instruments to manage our interest rate exposure. While we believe our cash, cash equivalents and investments do not contain excessive risk, we cannot provide absolute assurance that in the future our investments will not be subject to adverse changes in market value. Additionally, the interest rate for our Term Loan is variable.</w:t>
      </w:r>
    </w:p>
    <w:p>
      <w:pPr>
        <w:spacing w:after="0" w:line="72"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a hypothetical 1% change in interest rates would not have a material effect on our financial statements. We do not currently engage in hedging transactions to manage our exposure to interest rate risk.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Rate Risk</w:t>
      </w:r>
    </w:p>
    <w:p>
      <w:pPr>
        <w:spacing w:after="0" w:line="10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operations include activities in the United States. In addition, we contract with vendors that are located outside of the United States and certain invoices are denominated in foreign currencies. While our operating results are exposed to changes in foreign currency exchange rates between the U.S. dollar and various foreign currencies, there was no material impact on our results of operations for any periods presented herein.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08"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and changing prices had a significant impact on our results of operations for any periods presented herein. While we are seeing, and expect to continue to see, record inflation due to, among other things, the COVID-19 pandemic and other geopolitical and macroeconomic events, such as the ongoing military conflict between Ukraine and Russia and related sanctions, as of September 30, 2022, we do not expect anticipated changes in inflation to have a material effect on our business, financial condition or results of operations for future reporting periods other than general impacts on companies due to general economic and market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our President and Chief Financial Officer, have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President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President and Chief Financial Officer, as appropriate, to allow timely decisions regarding required disclosure.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quarter ended September 30, 2022 that have materially affected, or are reasonably likely to materially affect, our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the Effectiveness of Disclosure Controls and Procedures</w:t>
      </w:r>
    </w:p>
    <w:p>
      <w:pPr>
        <w:spacing w:after="0" w:line="121" w:lineRule="exact"/>
        <w:rPr>
          <w:sz w:val="20"/>
          <w:szCs w:val="20"/>
          <w:color w:val="auto"/>
        </w:rPr>
      </w:pPr>
    </w:p>
    <w:p>
      <w:pPr>
        <w:ind w:right="120" w:firstLine="509"/>
        <w:spacing w:after="0" w:line="242"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and internal control over financial reporting, our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are based in part upon certain assumptions about the likelihood of future events, and there can be no assurance that any design will succeed in achieving its stated goals under all potential future conditions.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currently a party to any material legal proceedings. Regardless of outcome, litigation can have an adverse impact on us due to defense and settlement costs, diversion of management resources, negative publicity, reputational harm and other factors.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i w:val="1"/>
          <w:iCs w:val="1"/>
          <w:color w:val="auto"/>
        </w:rPr>
        <w:t>An investment in shares of our common stock involves a high degree of risk. You should carefully consider the risks described below, as well as the other information in this Quarterly Report on Form 10-Q, including our unaudited condensed financial statements and the related notes and “Management’s Discussion and Analysis of Financial Condition and Results of Operations” before deciding whether to purchase, hold or sell shares of our common stock. The occurrence of any of the risks described below could harm our business, financial condition, results of operations, growth prospects, and/or stock price or cause our actual results to differ materially from those contained in forward-looking statements we have made in this Quarterly Report on Form 10-Q and those we may make from time to time. You should consider all of the risk factors described when evaluating our business. We have marked with an asterisk (*) those risk factors that reflect changes from the similarly titled risk factors included in the Annual Report.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04"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incurred significant net losses since our inception, and anticipate that we will continue to incur significant net losses for the foreseeable future.*</w:t>
      </w:r>
    </w:p>
    <w:p>
      <w:pPr>
        <w:spacing w:after="0" w:line="63"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We are a late-stage biopharmaceutical company founded in 2014, and our operations to date have focused primarily on raising capital, establishing and protecting our intellectual property portfolio, organizing and staffing our company, business planning, and conducting preclinical and clinical development of, and manufacturing development for, our only product candidate, tildacerfont. Additionally, as an organization, we have not yet demonstrated an ability to successfully complete clinical development, obtain regulatory approvals, manufacture a commercial-scale product, or conduct sales and marketing activities necessary for successful commercialization. As we build our capabilities and expand our organization,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spacing w:after="0" w:line="78"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Investment in biopharmaceutical product development is highly speculative because it entails substantial upfront capital expenditures and significant risk that any potential product candidate will fail to demonstrate adequate effectiveness in the targeted indication or an acceptable safety profile, gain regulatory approval and become commercially viable. We have no products approved for commercial sale and have not generated any revenue to date, and we continue to incur significant research and development and other expenses related to our ongoing operations. As a result, we are not profitable and have incurred significant net losses since our inception. If tildacerfont is not successfully developed and approved in the United States or Europe, we may never generate any revenue. For the nine months ended September 30, 2022, we reported a net loss of $35.0 million. As of September 30, 2022, we had an accumulated deficit of $138.2 million.</w:t>
      </w:r>
    </w:p>
    <w:p>
      <w:pPr>
        <w:spacing w:after="0" w:line="73"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as we continue our clinical development of, seek regulatory approvals for, and commercially launch tildacerfont and any future product candidates, if approved.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net losses and expected future net losses have had and will continue to have an adverse effect on our stockholders’ equity and working capital. Because of the numerous risks and uncertainties associated with drug development, we are unable to accurately predict the timing or amount of increased expenses, or when, if at all, we will be able to achieve profitability.</w:t>
      </w:r>
    </w:p>
    <w:p>
      <w:pPr>
        <w:spacing w:after="0" w:line="83"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financing to develop tildacerfont and any future product candidates and implement our operating plan. If we fail to obtain additional financing, we may be forced to delay, reduce or eliminate our product development programs or commercialization efforts.*</w:t>
      </w:r>
    </w:p>
    <w:p>
      <w:pPr>
        <w:spacing w:after="0" w:line="50"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our inception. We expect to continue to spend substantial amounts to continue the clinical development of, and seek regulatory approval for, tildacerfont and any future product candidates. We will require significant additional amounts in order to prepare for commercialization, and, if approved, to launch and commercialize tildacerfont.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As of September 30, 2022, we had cash, cash equivalents and short-term investments of $90.4 million. We believe, based on our current operating plan, that our cash, cash equivalents and short-term investments as of September 30, 2022 will be sufficient to fund our operations and debt obligations for at least the next 12 months.</w:t>
      </w:r>
    </w:p>
    <w:p>
      <w:pPr>
        <w:spacing w:after="0" w:line="82"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However, changing circumstances may cause us to consume capital significantly faster than we currently anticipate, and we may need to spend more money than currently expected because of circumstances beyond our control. For example, primarily as a result of the COVID-19 pandemic, enrollment in our Phase 2b clinical trials evaluating tildacerfont for the treatment of adult classic congenital adrenal hyperplasia, or CAH, has been delayed, extending the overall duration of the trials. We plan to expand the number of trial sites worldwide to provide more recruitment capabilities in an effort to accelerate enrollment. Additionally, we have amended our clinical trial protocols to enable remote visits to mitigate any potential impacts. As a result of the extended duration of the trials, increased number of trial sites, and this home health component, the overall costs of our Phase 2b clinical trials have increased and may continue to increase in the future.</w:t>
      </w:r>
    </w:p>
    <w:p>
      <w:pPr>
        <w:spacing w:after="0" w:line="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will require additional capital for the further development and commercialization of tildacerfont and any future product candidates and may need to raise additional funds sooner if we choose to expand more rapidly than we presently anticipate.</w:t>
      </w:r>
    </w:p>
    <w:p>
      <w:pPr>
        <w:spacing w:after="0" w:line="54"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Additional funding may not be available on acceptable terms, or at all. As a result of geopolitical and macroeconomic events, including the COVID-19 pandemic and the ongoing military conflict between Ukraine and Russia and related sanctions, the global credit and financial markets have experienced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or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spacing w:after="0" w:line="7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Any of the above events could significantly harm our business, prospects, financial condition, and results of operations and cause the price of our common stock to decline.</w:t>
      </w:r>
    </w:p>
    <w:p>
      <w:pPr>
        <w:spacing w:after="0" w:line="36"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spacing w:after="0" w:line="81"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We currently only have one product candidate, tildacerfont, and our business and future success depends entirely on our ability to develop, obtain regulatory approval for, and then successfully commercialize, tildacerfont, which is currently in clinical development for adult patients with classic CAH. This may make an investment in our company riskier than similar companies that have multiple product candidates in active development that may be able to better sustain failure of a lead product candidate. We have initiated CAHmelia-203, a placebo-controlled, double-blind Phase 2b clinical trial in adult patients with classic CAH with elevated levels of A4 at baseline and anticipate topline results in the second half of 2023. We have also initiated CAHmelia-204, a second Phase 2b clinical trial in adult patients with classic CAH on supraphysiologic doses of glucocorticoids with normal or near normal levels of A4 at baseline focused on glucocorticoid reduction and anticipate topline results in the second half of 2024.</w:t>
      </w:r>
    </w:p>
    <w:p>
      <w:pPr>
        <w:spacing w:after="0" w:line="73"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Assuming positive results, we plan to meet with the U.S. Food and Drug Administration, or FDA, and certain comparable foreign regulatory authorities to discuss registration. While we believe these two clinical trials will provide sufficient patient exposures for our registrational safety database, the FDA and comparable foreign regulatory authorities may not agree and may require us to enroll additional patients or initiate one or more additional clinical trials, including a Phase 3 clinical trial or trials. If the FDA or comparable foreign regulatory authorities require us to conduct one or more clinical trials, including a Phase 3 clinical trial or trials, the design, duration, and scope of such clinical trials will be decided upon after further discussions with the FDA or comparable foreign regulatory authorities, and at this time are not ascertainable. As a result, we are unable to predict with certainty the estimated timing or scope of any future clinical trials of tildacerfont we may be required to conduct.</w:t>
      </w:r>
    </w:p>
    <w:p>
      <w:pPr>
        <w:spacing w:after="0" w:line="73"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In addition, we are investigating tildacerfont for the treatment of classic CAH in children. We have initiated a Phase 2 open-label clinical trial, which will utilize a sequential three cohort design, to evaluate the safety and pharmacokinetics of tildacerfont in children six to 17 years of age with classic CAH. We anticipate topline safety results from cohort 1 of the Phase 2 open-label clinical trial in the first half of 2023. Additionally, by leveraging our existing Phase 1 program, which includes safety, tolerability, and pharmacokinetics of tildacerfont, we have initiated a Phase 2 proof-of-concept clinical trial in polycystic ovary syndrome, or PCOS. The Phase 2 proof-of-concept clinical trial is a randomized, placebo-controlled, dose escalation trial which will evaluate the safety and efficacy of tildacerfont titrated to 200 mg QD compared to placebo over 12 weeks of treatment in subjects with PCOS and elevated adrenal androgens as measured by dehydroepiandrosterone sulfate, or DHEAS levels at baseline. We anticipate topline results from the Phase 2 proof-of-concept clinical trial in the first half of 2023.</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COVID-19 pandemic continues to evolve and any impacts on these projected milestones are highly uncertain and cannot be predicted with confidence.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tildacerfont will depend on several factors, including the following:</w:t>
      </w:r>
    </w:p>
    <w:p>
      <w:pPr>
        <w:spacing w:after="0" w:line="11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site expansion and activation and patient engagement in our ongoing and planned clinical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our ongoing and planned clinical trials with favorable results;</w:t>
      </w:r>
    </w:p>
    <w:p>
      <w:pPr>
        <w:spacing w:after="0" w:line="10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and European Medicines Agency, or EMA, of the clinical trial design of our planned and ongoing clinical trials of tildacerfont;</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safety and efficacy to the satisfaction of applicable regulatory authorities;</w:t>
      </w:r>
    </w:p>
    <w:p>
      <w:pPr>
        <w:spacing w:after="0" w:line="10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EMA, and other comparable foreign regulatory authorities;</w:t>
      </w:r>
    </w:p>
    <w:p>
      <w:pPr>
        <w:spacing w:after="0" w:line="6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 including one or more non-disclosure agreements, or NDAs, from the FDA, and maintaining such approvals;</w:t>
      </w:r>
    </w:p>
    <w:p>
      <w:pPr>
        <w:spacing w:after="0" w:line="54"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and receiving/importing commercial supplies approved by the FDA and other regulatory authorities from any future third-party manufacturer;</w:t>
      </w:r>
    </w:p>
    <w:p>
      <w:pPr>
        <w:spacing w:after="0" w:line="40"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commercializing tildacerfont, if approved, whether alone or in collaboration with others;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patent and trade secret protection and regulatory exclusivity for tildacerfont;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tildacerfont following approval; and</w:t>
      </w:r>
    </w:p>
    <w:p>
      <w:pPr>
        <w:spacing w:after="0" w:line="10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people who can develop and, if approved, commercialize, market, and sell tildacerfont to physicians, patients, healthcare payors, and others in the medical community.</w:t>
      </w:r>
    </w:p>
    <w:p>
      <w:pPr>
        <w:spacing w:after="0" w:line="40" w:lineRule="exact"/>
        <w:rPr>
          <w:sz w:val="20"/>
          <w:szCs w:val="20"/>
          <w:color w:val="auto"/>
        </w:rPr>
      </w:pPr>
    </w:p>
    <w:p>
      <w:pPr>
        <w:ind w:right="740" w:firstLine="509"/>
        <w:spacing w:after="0" w:line="266" w:lineRule="auto"/>
        <w:rPr>
          <w:sz w:val="20"/>
          <w:szCs w:val="20"/>
          <w:color w:val="auto"/>
        </w:rPr>
      </w:pPr>
      <w:r>
        <w:rPr>
          <w:rFonts w:ascii="Times New Roman" w:cs="Times New Roman" w:eastAsia="Times New Roman" w:hAnsi="Times New Roman"/>
          <w:sz w:val="18"/>
          <w:szCs w:val="18"/>
          <w:color w:val="auto"/>
        </w:rPr>
        <w:t>If we do not achieve one or more of these factors, many of which are beyond our control, in a timely manner or at all, we could experience significant delays or an inability to obtain regulatory approvals or commercialize tildacerfont.</w:t>
      </w:r>
    </w:p>
    <w:p>
      <w:pPr>
        <w:spacing w:after="0" w:line="6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Even if regulatory approvals are obtained, we may never be able to successfully commercialize tildacerfont. In addition, we will need to transition at some point from a company with a development focus to a company capable of supporting commercial activities. We may not be successful in such a transition. Accordingly, we may not be able to generate sufficient revenue through the sale of tildacerfont to continue our business.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2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We may not be able to initiate or continue our clinical trials for tildacerfont and any future product candidates if we are unable to identify and enroll a sufficient number of eligible patients to participate in these trials as required by the FDA and comparable foreign regulatory authorities. Patient enrollment, a significant factor in the timing of clinical trials, is affected by many factors including the size and nature of the patient population, the proximity of patients to clinical sites, the eligibility criteria for the clinical trial, the design of the clinical trial, competing clinical trials, patient engagement, and clinicians’ and patients’ perceptions as to the potential advantages of the product candidate being studied in relation to other available therapies, including any new drugs that may be approved for the indications we are investigating.</w:t>
      </w:r>
    </w:p>
    <w:p>
      <w:pPr>
        <w:spacing w:after="0" w:line="87"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In particular, each indication for which we are evaluating tildacerfont is a rare endocrine disorder with limited patient populations from which to draw participants in clinical trials. For example, we estimate the total classic CAH populations are approximately 20,000 to 30,000 people in the United States, approximately 50,000 people in the European Union, or EU, and approximately 145,000 people in China. We are and will be required to identify and enroll a sufficient number of patients with the disorder under investigation for our clinical trials of tildacerfont. Potential patients may not be adequately diagnosed or identified with the disorders which we are targeting or may not meet the entry criteria for our clinical trials. Additionally, other pharmaceutical companies with more resources and greater experience in drug development and commercialization are targeting these same endocrine disorders and are recruiting clinical trial patients from these patient populations, which may delay or make it more difficult to fully enroll our clinical trials. In addition, we have encountered difficulties in opening clinical trial sites and enrolling patients in our two ongoing Phase 2b clinical trials. Our inability to enroll a sufficient number of patients for any of our current or future clinical trials would result in significant delays or may require us to abandon one or more clinical trials altogether.</w:t>
      </w:r>
    </w:p>
    <w:p>
      <w:pPr>
        <w:spacing w:after="0" w:line="9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clinical trials have been, and may in the future be, affected by the COVID-19 pandemic. For example, the COVID-19 pandemic has impacted patient enrollment in our two ongoing Phase 2b clinical trials. In particular, some sites have paused or delayed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enrollment to focus on, and direct resources to, COVID-19, while at other sites, patients have chosen not to enroll or continue participating in the clinical trial as a result of the pandemic. In addition, patient visits to endocrinologists in the United States have slowed as a result of the COVID-19 pandemic. Further, according to the Centers for Disease Control and Prevention, people who have serious chronic medical conditions, including those such as classic CAH, are at higher risk of getting very sick from COVID-19. As a result, current or potential patients in our ongoing and planned clinical trials may choose to not enroll, not participate in follow-up clinical visits, or drop out of the trial as a precaution against contracting COVID-19. Further, some patients may not be able or willing to comply with clinical trial protocols if quarantines impede patient movement or interrupt healthcare services.</w:t>
      </w:r>
    </w:p>
    <w:p>
      <w:pPr>
        <w:spacing w:after="0" w:line="87" w:lineRule="exact"/>
        <w:rPr>
          <w:sz w:val="20"/>
          <w:szCs w:val="20"/>
          <w:color w:val="auto"/>
        </w:rPr>
      </w:pPr>
    </w:p>
    <w:p>
      <w:pPr>
        <w:ind w:right="80" w:firstLine="509"/>
        <w:spacing w:after="0" w:line="296" w:lineRule="auto"/>
        <w:rPr>
          <w:sz w:val="20"/>
          <w:szCs w:val="20"/>
          <w:color w:val="auto"/>
        </w:rPr>
      </w:pPr>
      <w:r>
        <w:rPr>
          <w:rFonts w:ascii="Times New Roman" w:cs="Times New Roman" w:eastAsia="Times New Roman" w:hAnsi="Times New Roman"/>
          <w:sz w:val="17"/>
          <w:szCs w:val="17"/>
          <w:color w:val="auto"/>
        </w:rPr>
        <w:t>We are unable to predict with confidence the likelihood or duration of such patient enrollment delays and difficulties, whether related to COVID-19 or otherwise. If patient enrollment is delayed for an extended period of time, our Phase 2b clinical trials could be delayed or otherwise adversely affected.</w:t>
      </w:r>
    </w:p>
    <w:p>
      <w:pPr>
        <w:spacing w:after="0" w:line="27"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adequately demonstrate the safety and efficacy of tildacerfont, which could prevent or delay regulatory approval and commercialization.</w:t>
      </w:r>
    </w:p>
    <w:p>
      <w:pPr>
        <w:spacing w:after="0" w:line="63"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 product candidate, we must demonstrate through lengthy, complex, and expensive preclinical testing and clinical trials that a product candidate is both safe and effective for use in each target indication. Clinical trials often fail to demonstrate safety and efficacy of the product candidate studied for the target indication. Most product candidates that commence clinical trials are never approved by regulatory authorities for commercialization. We are seeking to develop treatments for rare endocrine disorders for which there is limited clinical experience, and our two ongoing Phase 2b clinical trials use novel endpoints that do not have regulatory precedent in classic CAH due to the lack of clinical trials in classic CAH, which add complexity to the conduct and analysis of data from our clinical trials and may delay or prevent regulatory approval. Additionally, any safety concerns observed in any one of our clinical trials in our targeted indications could limit the prospects for regulatory approval of tildacerfont in other indications.</w:t>
      </w:r>
    </w:p>
    <w:p>
      <w:pPr>
        <w:spacing w:after="0" w:line="7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spacing w:after="0" w:line="6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Preclinical and clinical testing is expensive and can take many years to complete, and its outcome is inherently uncertain. A failure of one or more preclinical or clinical trials can occur at any stage of testing. The results of preclinical studies and early clinical trials of tildacerfont may not be predictive of the results of later-stage clinical trials. Product candidates in later stages of clinical trials may fail to show the desired safety and efficacy traits despite having progressed through preclinical studies and initial clinical trials. For example, tildacerfont has not yet been evaluated in pediatric patients with classic CAH, and the results may not be similar to the results observed in clinical trials of adult patients. In addition, we intend to use doses in our two Phase 2b clinical trials that may not be safe or efficacious doses. As such, our hypotheses of efficacy may not show the desired clinical results. A number of companies in the biopharmaceutical industry have suffered significant setbacks in advanced clinical trials due to lack of efficacy or safety profiles, notwithstanding promising results in earlier trials. Moreover, preclinical and clinical data is often susceptible to varying interpretations and analyses. We may face significant setbacks as we conduct our two Phase 2b clinical trials in adult patients with classic CAH, which may delay or prevent regulatory approval of tildacerfont.</w:t>
      </w:r>
    </w:p>
    <w:p>
      <w:pPr>
        <w:spacing w:after="0" w:line="7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Further, if patients drop out of our clinical trials, miss scheduled doses or follow-up visits, or otherwise fail to follow clinical trial protocols, whether as a result of the COVID-19 pandemic, actions taken to slow the spread of COVID-19 or otherwise, the integrity of data from our clinical trials may be compromised or not accepted by the FDA or other regulatory authorities, which would represent a significant setback for the applicable program.</w:t>
      </w:r>
    </w:p>
    <w:p>
      <w:pPr>
        <w:spacing w:after="0" w:line="5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37"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Before we can initiate clinical trials for tildacerfont or any future product candidates, we must submit the results of preclinical studies to the FDA, or comparable foreign regulatory authorities, along with other information, including information about chemistry, manufacturing and controls, and our proposed clinical trial protocol, as part of an IND or similar regulatory filing under which we must receive authorization to proceed with clinical development.</w:t>
      </w:r>
    </w:p>
    <w:p>
      <w:pPr>
        <w:spacing w:after="0" w:line="69"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tildacerfont or any future product candidates, we must conduct extensive clinical trials to demonstrate the safety and efficacy of tildacerfont and any future product candidates in humans. Clinical testing is expensive, time-consuming, and uncertain as to outcome. In addition, we may rely in part on preclinical, clinical and quality data generated by clinical research organizations, or CROs, and other third parties for regulatory submissions for tildacerfont and any future product candidates. While we have or will have agreements governing these third parties’ services, we have limited influence over their actual performance. If these third parties do not make data available to us, or, if applicable, do not make regulatory submissions in a timely manner, in each case pursuant to our agreements with them, our development programs may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be significantly delayed, and we may need to conduct additional clinical trials or collect additional data independently. In either case, our development costs would increase.</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do not know whether our current or any future clinical trials will begin on time or be completed on schedule, if at all. The commencement and completion of clinical trials can be delayed for a number of reasons, including delays related to:</w:t>
      </w:r>
    </w:p>
    <w:p>
      <w:pPr>
        <w:spacing w:after="0" w:line="40" w:lineRule="exact"/>
        <w:rPr>
          <w:sz w:val="20"/>
          <w:szCs w:val="20"/>
          <w:color w:val="auto"/>
        </w:rPr>
      </w:pPr>
    </w:p>
    <w:p>
      <w:pPr>
        <w:ind w:left="1020" w:right="760" w:hanging="503"/>
        <w:spacing w:after="0" w:line="296" w:lineRule="auto"/>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failure to accept our proposed manufacturing processes and suppliers and/or requirement to provide additional information regarding our manufacturing processes before providing marketing authorization;</w:t>
      </w:r>
    </w:p>
    <w:p>
      <w:pPr>
        <w:spacing w:after="0" w:line="44" w:lineRule="exact"/>
        <w:rPr>
          <w:rFonts w:ascii="Times New Roman" w:cs="Times New Roman" w:eastAsia="Times New Roman" w:hAnsi="Times New Roman"/>
          <w:sz w:val="17"/>
          <w:szCs w:val="17"/>
          <w:color w:val="auto"/>
        </w:rPr>
      </w:pPr>
    </w:p>
    <w:p>
      <w:pPr>
        <w:ind w:left="1020" w:right="6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authorizations to commence a clinical trial or reaching a consensus with regulatory authorities on clinical trial design or implementation;</w:t>
      </w:r>
    </w:p>
    <w:p>
      <w:pPr>
        <w:spacing w:after="0" w:line="54"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and clinical trial sites, the terms of which can be subject to extensive negotiation and may vary significantly among different CROs and clinical trial sites;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one or more institutional review boards, or IRBs, or Ethics Committees, or ECs;</w:t>
      </w:r>
    </w:p>
    <w:p>
      <w:pPr>
        <w:spacing w:after="0" w:line="10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 or ECs refusing to approve, suspending or terminating the clinical trial at an investigational site, precluding enrollment of additional subjects, or withdrawing their approval of the clinical trial;</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protocols and related operationalization of such changes at clinical trial sites;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and EMA of the clinical trial design of our planned and ongoing clinical trials of tildacerfont;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sites not timely activating, delaying screening activities, or deviating from clinical trial protocols;</w:t>
      </w:r>
    </w:p>
    <w:p>
      <w:pPr>
        <w:spacing w:after="0" w:line="10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tildacerfont or any future product candidates or obtaining sufficient quantities of combination therapies for use in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failing to enroll or remain in our trials at the rate we expect, or failing to return for post-treatment follow-up;</w:t>
      </w:r>
    </w:p>
    <w:p>
      <w:pPr>
        <w:spacing w:after="0" w:line="10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indications for which we are developing tildacerfont and any future product candidates, or participating in competing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subject engagement in the clinical trials or subjects dropping out of a clinical trial;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unexpected drug-related adverse effects;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SAEs in clinical trials of the same class of agents conducted by other companies;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50"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tildacerfont or any of its components being ordered by the FDA or comparable foreign regulatory authorities to temporarily or permanently shut down due to violations of current good manufacturing practice, or cGMP, regulations or other applicable requirements, or infections or cross-contaminations of tildacerfont in the manufacturing process;</w:t>
      </w:r>
    </w:p>
    <w:p>
      <w:pPr>
        <w:spacing w:after="0" w:line="8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suppliers or formulation that may be necessary or desired;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vendors not performing manufacturing and distribution services in a timely manner or to sufficient quality standards;</w:t>
      </w:r>
    </w:p>
    <w:p>
      <w:pPr>
        <w:spacing w:after="0" w:line="10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 or GCP, or other regulatory requirements;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not performing data collection or analysis in a timely or accurate manner;</w:t>
      </w:r>
    </w:p>
    <w:p>
      <w:pPr>
        <w:spacing w:after="0" w:line="103"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or</w:t>
      </w:r>
    </w:p>
    <w:p>
      <w:pPr>
        <w:spacing w:after="0" w:line="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COVID-19 pandemic on our ongoing and planned clinical trials.</w:t>
      </w:r>
    </w:p>
    <w:p>
      <w:pPr>
        <w:spacing w:after="0" w:line="11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addition, disruptions caused by the COVID-19 pandemic may increase the likelihood that we encounter such difficulties or delays in initiating, enrolling, conducting, or completing our planned and ongoing clinical trials. We could also encounter delays if a</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clinical trial is suspended or terminated by us, by the IRBs or ECs of the institutions in which such trials are being conducted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have amended, and may need to further amend, clinical trial protocols to comply with these changes. Amendments may require us to resubmit our clinical trial protocols to IRBs for reexamination, which may impact the costs, timing, or successful completion of a clinical trial.</w:t>
      </w:r>
    </w:p>
    <w:p>
      <w:pPr>
        <w:spacing w:after="0" w:line="7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Further, conducting clinical trials in foreign countries, which we are doing for tildacerfont and may do for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69"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and have served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tildacerfont.</w:t>
      </w:r>
    </w:p>
    <w:p>
      <w:pPr>
        <w:spacing w:after="0" w:line="8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tildacerfont or any future product candidates, the commercial prospect of tildacerfont or any future product candidates will be harmed, and our ability to generate product revenue will be delayed. Moreover, any delays in completing our clinical trials will increase our costs, slow down our product candidate development and approval process and jeopardize our ability to commence product sales and generate revenue. In addition, many of the factors that cause, or lead to, termination or suspension of, or a delay in the commencement or completion of, clinical trials may also ultimately lead to the denial of regulatory approval of tildacerfont or any future product candidates. Further, delays to our clinical trials that occur as a result could shorten any period during which we may have the exclusive right to commercialize tildacerfont and our competitors may be able to bring products to market before we do, and the commercial viability of tildacerfont could be significantly reduced. Any of these occurrences may harm our business, financial condition, and prospects significantly.</w:t>
      </w:r>
    </w:p>
    <w:p>
      <w:pPr>
        <w:spacing w:after="0" w:line="7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spacing w:after="0" w:line="60"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The clinical development, manufacturing, labeling, storage, record-keeping, advertising, promotion, import, export, marketing, and distribution of tildacerfont is subject to extensive regulation by the FDA in the United States and by comparable foreign regulatory authorities in foreign markets. In the United States, we are not permitted to market tildacerfont and any future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regulatory approval is never guaranteed. Neither we nor any future collaborator is permitted to market tildacerfont and any future product candidates in the United States until we receive approval of an NDA from the FDA. We have not previously submitted an NDA to the FDA, or similar drug approval filings to comparable foreign authorities.</w:t>
      </w:r>
    </w:p>
    <w:p>
      <w:pPr>
        <w:spacing w:after="0" w:line="78" w:lineRule="exact"/>
        <w:rPr>
          <w:sz w:val="20"/>
          <w:szCs w:val="20"/>
          <w:color w:val="auto"/>
        </w:rPr>
      </w:pPr>
    </w:p>
    <w:p>
      <w:pPr>
        <w:ind w:right="120" w:firstLine="509"/>
        <w:spacing w:after="0" w:line="245"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in foreign markets,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tildacerfont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tildacerfont and any future product candidates either prior to or post-approval, or may object to elements of our clinical development program.</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Tildacerfont and any future product candidates could fail to receive regulatory approval for many reasons, including the following:</w:t>
      </w:r>
    </w:p>
    <w:p>
      <w:pPr>
        <w:spacing w:after="0" w:line="104" w:lineRule="exact"/>
        <w:rPr>
          <w:sz w:val="20"/>
          <w:szCs w:val="20"/>
          <w:color w:val="auto"/>
        </w:rPr>
      </w:pPr>
    </w:p>
    <w:p>
      <w:pPr>
        <w:ind w:left="1020" w:right="14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people using drugs similar to tildacerfont and any future product candidates;</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safety in the full population for which we seek approval;</w:t>
      </w:r>
    </w:p>
    <w:p>
      <w:pPr>
        <w:spacing w:after="0" w:line="54"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clinical data from trials which are conducted at clinical facilities or in countries where the standard of care is potentially different from that of the United States;</w:t>
      </w:r>
    </w:p>
    <w:p>
      <w:pPr>
        <w:spacing w:after="0" w:line="40"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any of its proposed indications;</w:t>
      </w:r>
    </w:p>
    <w:p>
      <w:pPr>
        <w:spacing w:after="0" w:line="5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tildacerfont and any future product candidates may not be sufficient to satisfy the FDA or comparable foreign regulatory authorities to support the submission of an NDA or other comparable submissions in foreign jurisdictions or to obtain regulatory approval in the United States or elsewhere, requiring, in the case of adult patients with classic CAH, additional clinical trials beyond our two ongoing Phase 2b clinical trials prior to any such approval;</w:t>
      </w:r>
    </w:p>
    <w:p>
      <w:pPr>
        <w:spacing w:after="0" w:line="69" w:lineRule="exact"/>
        <w:rPr>
          <w:rFonts w:ascii="Times New Roman" w:cs="Times New Roman" w:eastAsia="Times New Roman" w:hAnsi="Times New Roman"/>
          <w:sz w:val="18"/>
          <w:szCs w:val="18"/>
          <w:color w:val="auto"/>
        </w:rPr>
      </w:pPr>
    </w:p>
    <w:p>
      <w:pPr>
        <w:ind w:left="1020" w:right="9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Any of the above events could prevent us from achieving market approval of tildacerfont or any future product candidates and could substantially increase the costs of commercializing tildacerfont or any future product candidates. The demand for tildacerfont or any future product candidates could also be negatively impacted by any adverse effects of a competitor’s product or treatment.</w:t>
      </w:r>
    </w:p>
    <w:p>
      <w:pPr>
        <w:spacing w:after="0" w:line="61" w:lineRule="exact"/>
        <w:rPr>
          <w:sz w:val="20"/>
          <w:szCs w:val="20"/>
          <w:color w:val="auto"/>
        </w:rPr>
      </w:pPr>
    </w:p>
    <w:p>
      <w:pPr>
        <w:jc w:val="both"/>
        <w:ind w:right="60" w:firstLine="509"/>
        <w:spacing w:after="0" w:line="250"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tildacerfont and any future product candidates, which would significantly harm our business, financial condition, results of operations, and prospects.</w:t>
      </w:r>
    </w:p>
    <w:p>
      <w:pPr>
        <w:spacing w:after="0" w:line="69"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Even if we eventually complete clinical trials and receive approval of an NDA or foreign marketing application for tildacerfont and any future product candidates, the FDA or comparable foreign regulatory authority may grant approval contingent on the performance of costly additional clinical trials, including Phase 4 clinical trials, and/or the implementation of a risk evaluation and mitigation strategy, or REMS, which may be required to ensure safe use of the drug after approval. The FDA or the comparable foreign regulatory authority also may approve a product candidate for a more limited indication or patient population than we originally requested, and the FDA or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U.S. and global economic conditions could adversely affect our business, financial condition or results of operations.*</w:t>
      </w:r>
    </w:p>
    <w:p>
      <w:pPr>
        <w:spacing w:after="0" w:line="108"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U.S. and global economies, the U.S. and global financial markets and adverse geopolitical and macroeconomic developments. U.S. and global market and economic conditions have been, and continue to be, disrupted and volatile due to many factors, including component shortages and related supply chain challenges, geopolitical developments such as the ongoing COVID-19 pandemic and the conflict between Ukraine and Russia and related sanctions, and increasing inflation rates and the responses by central banking authorities to control such inflation, among others. General business and economic conditions that could affect our business, financial condition or results of operations include fluctuations in economic growth, debt and equity capital markets, liquidity of the global financial markets, the availability and cost of credit, investor and consumer confidence, and the strength of the economies in which we, our manufacturers and our suppliers operate.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A severe or prolonged global economic downturn could result in a variety of risks to our business. 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spacing w:after="0" w:line="78"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Additionally, financial markets around the world experienced volatility following the recent invasion of Ukraine by Russia. In response to the invasion, the United States, United Kingdom and EU,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(as well as possible future punitive measures that may be implemented), as well as the counter measures imposed by Russia, in addition to the ongoing military conflict between Ukraine and Russia and related sanctions, which could conceivably expand into the surrounding region, remains uncertain; however, both the conflict and related sanctions have resulted and could continue to result in disruptions to trade, commerce, pricing stability, credit availability, supply chain continuity and reduced access to liquidity in both Europe and globally, and has introduced significant uncertainty into global markets. In particular, the Russia-Ukraine conflict and related sanctions has contributed to rapidly rising costs of living (driven largely by higher energy prices) in Europe and other advanced economies. Further, a weak or declining economy could strain our suppliers and manufacturers.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spacing w:after="0" w:line="9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been and could continue to be adversely affected by the evolving and ongoing COVID-19 global pandemic in regions where we or third parties on which we rely have significant manufacturing facilities, concentrations of clinical trial sites or other business operations. The COVID-19 pandemic could adversely affect our operations, as well as the business or operations of our manufacturers, CROs, or other third parties with whom we conduct business.</w:t>
      </w:r>
    </w:p>
    <w:p>
      <w:pPr>
        <w:spacing w:after="0" w:line="66"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Our business has been and could continue to be adversely affected by the evolving COVID-19 pandemic, which was declared by the World Health Organization as a global pandemic. As COVID-19 and its variants continue to spread, we have experienced and may continue to experience ongoing disruptions that could severely impact our business and clinical trials, including:</w:t>
      </w:r>
    </w:p>
    <w:p>
      <w:pPr>
        <w:spacing w:after="0" w:line="82"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0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 including interruption in global shipping that may affect the transport of clinical trial materials;</w:t>
      </w:r>
    </w:p>
    <w:p>
      <w:pPr>
        <w:spacing w:after="0" w:line="40"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outbreak which may require us to change the ways in which our clinical trials are conducted, which may result in unexpected costs, or to discontinue the clinical trials altogether;</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4" w:lineRule="exact"/>
        <w:rPr>
          <w:rFonts w:ascii="Times New Roman" w:cs="Times New Roman" w:eastAsia="Times New Roman" w:hAnsi="Times New Roman"/>
          <w:sz w:val="18"/>
          <w:szCs w:val="18"/>
          <w:color w:val="auto"/>
        </w:rPr>
      </w:pPr>
    </w:p>
    <w:p>
      <w:pPr>
        <w:jc w:val="both"/>
        <w:ind w:left="1020" w:right="420" w:hanging="503"/>
        <w:spacing w:after="0" w:line="258"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the operations of the FDA or other regulatory authorities, which may impact review and approval timelines;</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from clinical trials in affected geographies;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relating to mitigating the impact of COVID-19 on any of the foregoing factors.</w:t>
      </w:r>
    </w:p>
    <w:p>
      <w:pPr>
        <w:spacing w:after="0" w:line="117" w:lineRule="exact"/>
        <w:rPr>
          <w:sz w:val="20"/>
          <w:szCs w:val="20"/>
          <w:color w:val="auto"/>
        </w:rPr>
      </w:pPr>
    </w:p>
    <w:p>
      <w:pPr>
        <w:ind w:right="720" w:firstLine="509"/>
        <w:spacing w:after="0" w:line="266" w:lineRule="auto"/>
        <w:rPr>
          <w:sz w:val="20"/>
          <w:szCs w:val="20"/>
          <w:color w:val="auto"/>
        </w:rPr>
      </w:pPr>
      <w:r>
        <w:rPr>
          <w:rFonts w:ascii="Times New Roman" w:cs="Times New Roman" w:eastAsia="Times New Roman" w:hAnsi="Times New Roman"/>
          <w:sz w:val="18"/>
          <w:szCs w:val="18"/>
          <w:color w:val="auto"/>
        </w:rPr>
        <w:t>These and other disruptions in our operations and the global economy could negatively impact our business, operating results and financial condition.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Our clinical trials have been, and may in the future be, affected by the COVID-19 pandemic. For example, the COVID-19 pandemic has impacted patient enrollment in our two ongoing Phase 2b clinical trials. In particular, some sites have paused enrollment to focus on, and direct resources to, COVID-19, while at other sites, patients have chosen not to enroll or continue participating in the clinical trial as a result of the pandemic. Further, we are aware of delays in site activations for our CAHmelia-203 and -204 trials due to COVID-19-related closures and delays. In addition, patient visits to endocrinologists in the United States have slowed as a result of the COVID-19 pandemic. Further, according to the Centers for Disease Control and Prevention, people who have serious chronic medical conditions, including those such as classic CAH, are at higher risk of getting very sick from COVID-</w:t>
      </w:r>
    </w:p>
    <w:p>
      <w:pPr>
        <w:spacing w:after="0" w:line="3" w:lineRule="exact"/>
        <w:rPr>
          <w:sz w:val="20"/>
          <w:szCs w:val="20"/>
          <w:color w:val="auto"/>
        </w:rPr>
      </w:pPr>
    </w:p>
    <w:p>
      <w:pPr>
        <w:ind w:right="360" w:firstLine="8"/>
        <w:spacing w:after="0"/>
        <w:tabs>
          <w:tab w:leader="none" w:pos="27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current or potential patients in our ongoing and planned clinical trials may continue to choose to not enroll, not participate in follow-up clinical visits, or drop out of the trial as a precaution against contracting COVID-19. Further, some patients may continue to not be able or willing to comply with clinical trial protocols if quarantines impede patient movement or interrupts healthcare services.</w:t>
      </w:r>
    </w:p>
    <w:p>
      <w:pPr>
        <w:spacing w:after="0" w:line="76"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If patient enrollment is delayed for an extended period of time, our ongoing and planned clinical trials could be significantly delayed or otherwise adversely affected. Similarly, our ability to recruit and retain principal investigators and site staff who, as healthcare providers, may have heightened exposure to COVID-19, may be adversely impacted.</w:t>
      </w:r>
    </w:p>
    <w:p>
      <w:pPr>
        <w:spacing w:after="0" w:line="61"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In addition, ongoing or planned clinical trials may also be impacted by interruptions or delays in the operations of the FDA and comparable foreign regulatory agencies. For example, we and our CROs have also made certain adjustments to the operation of our trials in an effort to ensure the monitoring and safety of patients and minimize risks to trial integrity during the pandemic in accordance with the guidance issued by the FDA and may need to make further adjustments in the future. For example, we have amended our clinical trial protocols to enable remote visits to mitigate any potential impacts as a result of the COVID-19 pandemic. As a result of this home health component, the overall costs of our Phase 2b clinical trials have increased and may continue to increase in the future. Many of these adjustments are new and untested, may not be effective, may affect the integrity of data collected, and may have unforeseen effects on the progress and completion of our clinical trials and the findings from such clinical trials.</w:t>
      </w:r>
    </w:p>
    <w:p>
      <w:pPr>
        <w:spacing w:after="0" w:line="87"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In addition, we may encounter a shortage in supplies of, or in delays in shipping, our study drug or other components of the clinical trial vital for successful conduct of the trial. For example, in our two ongoing Phase 2b clinical trials, patients will continue to use their steroid regimen for the duration of the clinical trial. In particular, we have experienced a shortage of supply of hydrocortisone as a result of the COVID-19 pandemic, which if continued indefinitely, could adversely affect the timing and ultimately success of our clinical trials. Further, the successful conduct of our clinical trials depends on retrieving laboratory data from patients. Any failure by the laboratories with which we work to send us such data could impair the progress of such clinical trials. These events could delay our clinical trials, increase the cost of completing our clinical trials, and negatively impact the integrity, reliability, or robustness of the data from our clinical trials.</w:t>
      </w:r>
    </w:p>
    <w:p>
      <w:pPr>
        <w:spacing w:after="0" w:line="92"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our CROs or third-party manufacturing facilities upon which we rely, or the availability or cost of materials, which could disrupt the supply chain for tildacerfont. To the extent our suppliers and service providers are unable to comply with their obligations under our agreements with them or they are otherwise unable to deliver or are delayed in delivering goods and services to us due to the COVID-19 pandemic, our ability to continue meeting clinical supply demand for tildacerfont or otherwise advancing development of tildacerfont may become impaired.</w:t>
      </w:r>
    </w:p>
    <w:p>
      <w:pPr>
        <w:spacing w:after="0" w:line="87"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The spread of COVID-19 and actions taken to reduce its spread may also materially affect us economically. While the potential economic impact brought by, and the duration of, the COVID-19 pandemic may be difficult to assess or predict, there could be a significant disruption of global financial markets, reducing our ability to access capital, which could in the future negatively affect our liquidity and financial position. In addition, the trading prices for other companies have been highly volatile as a result of the COVID-19 pandemic. As a result, we may face difficulties raising capital through sales of our common stock or such sales may be on unfavorable terms.</w:t>
      </w:r>
    </w:p>
    <w:p>
      <w:pPr>
        <w:spacing w:after="0" w:line="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COVID-19 and actions taken to reduce its spread continue to evolve. While vaccines have become widely available in certain countries, and</w:t>
      </w:r>
    </w:p>
    <w:p>
      <w:pPr>
        <w:spacing w:after="0" w:line="2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businesses and economies have reopened, the status of global economic recovery remains uncertain and unpredictable and will continue to be impacted by developments in the pandemic including any subsequent waves of outbreak or new variant strains of the COVID-19 virus which may require re-closures or other preventative measures. The extent to which COVID-19 may impede the development of tildacerfont, reduce the productivity of our employees, disrupt our supply chains, delay our clinical trials, reduce our access to capital or limit our business development activities, will depend on future developments, which are highly uncertain and cannot be predicted with confidence.</w:t>
      </w:r>
    </w:p>
    <w:p>
      <w:pPr>
        <w:spacing w:after="0" w:line="7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64"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that may result in the final data being materially different from the preliminary data we previously published. As a result, such data should be viewed with caution until the final data are available. Adverse differences between preliminary, interim, or topline data and final data could significantly harm our business prospects.</w:t>
      </w:r>
    </w:p>
    <w:p>
      <w:pPr>
        <w:spacing w:after="0" w:line="78"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approval for, and commercialize, tildacerfont and any future product candidates may be harmed, which could harm our business, operating results, prospects, or financial condition.</w:t>
      </w:r>
    </w:p>
    <w:p>
      <w:pPr>
        <w:spacing w:after="0" w:line="73" w:lineRule="exact"/>
        <w:rPr>
          <w:sz w:val="20"/>
          <w:szCs w:val="20"/>
          <w:color w:val="auto"/>
        </w:rPr>
      </w:pPr>
    </w:p>
    <w:p>
      <w:pPr>
        <w:ind w:right="7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tildacerfont and any future product candidates are smaller than we believe they are, our future revenue may be adversely affected, and our business may suffer.*</w:t>
      </w:r>
    </w:p>
    <w:p>
      <w:pPr>
        <w:spacing w:after="0" w:line="63"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If the size of the market opportunities in each of our target indications for tildacerfont and any future product candidates is smaller than we anticipate, we may not be able to achieve profitability and growth. We focus our clinical development of tildacerfont on treatments for rare endocrine disorders with relatively small patient populations. For example, we believe that tildacerfont has the potential to bring therapeutic benefit to patients suffering from endocrine disorders where the underlying pathophysiology supports a need to reduce excess secretion of or hyperresponsiveness to adrenocorticotropic hormone, or ACTH, including, but not limited to, non-classic CAH and a subpopulation of females with PCOS due to adrenal hyperandrogenism. Given the relatively small number of patients who have the disorders that we are targeting and intend to target with tildacerfont, it is critical to our ability to grow and become profitable that we continue to successfully identify patients with these rare endocrine disorders. In addition, our estimates of the patient populations for our target indications have been derived from a variety of sources, including scientific literature, surveys of clinics, patient foundations, and market research, and may prove to be incorrect. Further, new studies may change the estimated incidence or prevalence of these disorders. The number of patients may turn out to be lower than expected. The effort to identify patients with diseases we seek to treat is in early stages, and we cannot accurately predict the number of patients for whom treatment might be possible. For example, while classic CAH is usually detected at birth through required newborn screening programs in most developed countries, new patients may become increasingly difficult to identify or gain access to, which would adversely affect our results of operations and our business. In addition, the potentially addressable patient population for classic CAH may be limited or may not be amenable to treatment with tildacerfont, if approved. Further, even if we obtain significant market share for tildacerfont in classic CAH, we may never achieve profitability despite obtaining such significant market share, as other pharmaceutical companies with more resources and greater experience in drug development and commercialization are targeting this same endocrine disorder.</w:t>
      </w:r>
    </w:p>
    <w:p>
      <w:pPr>
        <w:spacing w:after="0" w:line="86"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spacing w:after="0" w:line="81" w:lineRule="exact"/>
        <w:rPr>
          <w:sz w:val="20"/>
          <w:szCs w:val="20"/>
          <w:color w:val="auto"/>
        </w:rPr>
      </w:pPr>
    </w:p>
    <w:p>
      <w:pPr>
        <w:ind w:right="240" w:firstLine="509"/>
        <w:spacing w:after="0" w:line="24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are focused on specific indications and formulations for tildacerfont. As a result, we may fail to generate additional clinical development opportunities for tildacerfont for a number of reasons, including, tildacerfont may in certain indications, on further study, be shown to have harmful side effects, limited to no efficacy, or other characteristics that suggest it is unlikely to receive marketing approval and achieve market acceptance in such additional indications.</w:t>
      </w:r>
    </w:p>
    <w:p>
      <w:pPr>
        <w:spacing w:after="0" w:line="86" w:lineRule="exact"/>
        <w:rPr>
          <w:sz w:val="20"/>
          <w:szCs w:val="20"/>
          <w:color w:val="auto"/>
        </w:rPr>
      </w:pPr>
    </w:p>
    <w:p>
      <w:pPr>
        <w:ind w:right="180" w:firstLine="509"/>
        <w:spacing w:after="0" w:line="244" w:lineRule="auto"/>
        <w:rPr>
          <w:sz w:val="20"/>
          <w:szCs w:val="20"/>
          <w:color w:val="auto"/>
        </w:rPr>
      </w:pPr>
      <w:r>
        <w:rPr>
          <w:rFonts w:ascii="Times New Roman" w:cs="Times New Roman" w:eastAsia="Times New Roman" w:hAnsi="Times New Roman"/>
          <w:sz w:val="18"/>
          <w:szCs w:val="18"/>
          <w:color w:val="auto"/>
        </w:rPr>
        <w:t>We plan to conduct several clinical trials for tildacerfont in parallel over the next several years, including multiple clinical trials in adult and pediatric patients with classic CAH and in a subpopulation of females with PCOS. As a result, we may forgo or delay pursuit of opportunities with other indications that could have had greater commercial potential or likelihood of success. However, we may focus on or pursue one or more of our target indications over other potential indications and such development efforts may not be successful, which would cause us to delay the clinical development and approval of tildacerfont. Furthermore, research programs to identify additional indications for tildacerfont require substantial technical, financial, and human resources. We may also pursue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additional formulations for tildacerfont, including transitioning from a tablet formulation to a granulate formulation or oral suspension. However, we may not successfully develop these additional formulations for chemistry-related, stability-related, or other reasons. Our resource allocation decisions may cause us to fail to capitalize on viable commercial products or profitable market opportunities. Our spending on current and future research and development programs for specific indications may not yield any commercially viable products.</w:t>
      </w:r>
    </w:p>
    <w:p>
      <w:pPr>
        <w:spacing w:after="0" w:line="69"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w:t>
      </w:r>
    </w:p>
    <w:p>
      <w:pPr>
        <w:spacing w:after="0" w:line="6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64"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a product candidate in one jurisdiction does not mean that we will be successful in obtaining regulatory approval for that product candidate in other jurisdictions.</w:t>
      </w:r>
    </w:p>
    <w:p>
      <w:pPr>
        <w:spacing w:after="0" w:line="50"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Obtaining and maintaining regulatory approval for a product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for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including a number of countries in the EU, a product candidate must be approved for reimbursement before it can be approved for sale in that jurisdiction. In some cases, the price that we intend to charge for tildacerfont is also subject to approval.</w:t>
      </w:r>
    </w:p>
    <w:p>
      <w:pPr>
        <w:spacing w:after="0" w:line="77"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We expect to submit a Marketing Authorization Application, or MAA, to the EMA for approval of tildacerfont in the EU for the treatment of classic CAH. As with the FDA, obtaining approval of an MAA from the European Commission, which acts on the recommendation of the Committee for Medicinal Products for Human Use, is a similarly lengthy and expensive process and the EMA has its own procedures for assessing product candidates. Regulatory authorities in jurisdictions outside of the United States and the EU also have requirements for approval for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tildacerfont in certain countries. If we fail to comply with the regulatory requirements in international markets and/or receive applicable marketing approvals, our target market will be reduced and our ability to realize the full market potential of tildacerfont will be harmed, which would adversely affect our business, prospects, financial condition, and results of operations.</w:t>
      </w:r>
    </w:p>
    <w:p>
      <w:pPr>
        <w:spacing w:after="0" w:line="73"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spacing w:after="0" w:line="60"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We currently do not have a commercial organization for the marketing, sales, and distribution of pharmaceutical products. To commercialize tildacerfont and any future product candidates, we must build our marketing, sales, distribution, managerial and other non-technical capabilities or make arrangements with third parties to perform these services. We intend to build a highly specialized commercial organization to support the commercialization of tildacerfont, if approved, in the United States and Europe.</w:t>
      </w:r>
    </w:p>
    <w:p>
      <w:pPr>
        <w:spacing w:after="0" w:line="69" w:lineRule="exact"/>
        <w:rPr>
          <w:sz w:val="20"/>
          <w:szCs w:val="20"/>
          <w:color w:val="auto"/>
        </w:rPr>
      </w:pPr>
    </w:p>
    <w:p>
      <w:pPr>
        <w:ind w:right="140" w:firstLine="509"/>
        <w:spacing w:after="0" w:line="243" w:lineRule="auto"/>
        <w:rPr>
          <w:sz w:val="20"/>
          <w:szCs w:val="20"/>
          <w:color w:val="auto"/>
        </w:rPr>
      </w:pPr>
      <w:r>
        <w:rPr>
          <w:rFonts w:ascii="Times New Roman" w:cs="Times New Roman" w:eastAsia="Times New Roman" w:hAnsi="Times New Roman"/>
          <w:sz w:val="18"/>
          <w:szCs w:val="18"/>
          <w:color w:val="auto"/>
        </w:rPr>
        <w:t>The establishment and development of our own sales force or the establishment of a contract sales force to market tildacerfont and any future product candidates will be expensive and time-consuming and could delay any commercial launch. Moreover, we may not be able to successfully develop this capability. We will have to compete with other pharmaceutical and biotechnology companies to recruit, hire, train, and retain marketing and sales personnel. We also face competition in our search for third parties to assist us with the sales and marketing efforts of tildacerfont. To the extent we rely on third parties to commercialize tildacerfont, if approved, we may have little or no control over the marketing and sales efforts of such third parties and our revenues from product sales may be lower than if we had commercialized tildacerfont and any future product candidates ourselves. In the event we are unable to develop our own marketing and sales force or collaborate with a third-party marketing and sales organization, we would not be able to commercialize tildacerfont or any future product candidates.</w:t>
      </w:r>
    </w:p>
    <w:p>
      <w:pPr>
        <w:spacing w:after="0" w:line="88"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The loss of the services of any of our executive officers or other key employees and our inability to find suitable replacements could potentially harm our business, prospects, financial condition or results of operations.</w:t>
      </w:r>
    </w:p>
    <w:p>
      <w:pPr>
        <w:spacing w:after="0" w:line="69" w:lineRule="exact"/>
        <w:rPr>
          <w:sz w:val="20"/>
          <w:szCs w:val="20"/>
          <w:color w:val="auto"/>
        </w:rPr>
      </w:pPr>
    </w:p>
    <w:p>
      <w:pPr>
        <w:jc w:val="both"/>
        <w:ind w:right="220" w:firstLine="509"/>
        <w:spacing w:after="0" w:line="258" w:lineRule="auto"/>
        <w:rPr>
          <w:sz w:val="20"/>
          <w:szCs w:val="20"/>
          <w:color w:val="auto"/>
        </w:rPr>
      </w:pPr>
      <w:r>
        <w:rPr>
          <w:rFonts w:ascii="Times New Roman" w:cs="Times New Roman" w:eastAsia="Times New Roman" w:hAnsi="Times New Roman"/>
          <w:sz w:val="18"/>
          <w:szCs w:val="18"/>
          <w:color w:val="auto"/>
        </w:rPr>
        <w:t>We conduct our operations in Daly City, California. This region serves as the headquarters to many other biopharmaceutical companies and many academic and research institutions. Competition for skilled personnel in our market is intense and may limit our ability to hire and retain highly qualified personnel on acceptable terms or at all.</w:t>
      </w:r>
    </w:p>
    <w:p>
      <w:pPr>
        <w:spacing w:after="0" w:line="6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and/or offer letters with our key employees, these arrangements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spacing w:after="0" w:line="78"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Many of the other biotechnology and pharmaceutical companies that we compete against for qualified personnel have greater financial and other resources, different risk profiles, and a longer history in the industry than we do. They may also provide more diverse opportunities and better chances for career advancement. Some of these characteristics are more appealing to high quality candidates than what we can offer. If we are unable to continue to attract and retain high quality personnel, the rate and success at which we can discover, develop and commercialize product candidates will be limited.</w:t>
      </w:r>
    </w:p>
    <w:p>
      <w:pPr>
        <w:spacing w:after="0" w:line="7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Use of tildacerfont or any future product candidates could be associated with side effects, adverse events or other properties that could delay or prevent regulatory approval or result in significant negative consequences following marketing approval, if any.</w:t>
      </w:r>
    </w:p>
    <w:p>
      <w:pPr>
        <w:spacing w:after="0" w:line="50"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As is the case with biopharmaceuticals generally, it is likely that there may be side effects and adverse events associated with the use of tildacerfont and any future product candidates. Results of our clinical trials could reveal a high and unacceptable severity and prevalence of side effects or unexpected characteristics. Undesirable side effects caused by tildacerfont and any future product candidates could cause us or regulatory authorities to interrupt, delay or halt clinical trials and could result in a more restrictive label or the delay or denial of regulatory approval by the FDA or other comparable foreign authorities. For example, although tildacerfont has been assessed in over 200 subjects across eight completed clinical trials in which it has been well tolerated with no drug-related SAEs, in our proof-of-concept, dose-escalating Phase 2a clinical trial in adults with classic CAH, one patient experienced a grade one liver-related adverse event after 14 days of treatment at 1,000mg once daily. This patient had elevated levels of alanine transaminase, or ALT, between five and nine times the upper limit of normal, or ULN, elevations in aspartate aminotransferase, or AST, less than five times the ULN, and no increases in bilirubin. The event resolved on its own without additional medical intervention. No cases of liver enzyme elevations above three times the ULN were observed in any patient receiving total daily doses of 600mg, which is approximately three times the proposed therapeutic dose for adults with classic CAH, and below. If drug-related SAEs are observed, our trials could be suspended or terminated and the FDA or comparable foreign regulatory authorities could order us to cease further development of or deny approval for tildacerfont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8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Furthermore, only adults have been treated with tildacerfont, and the safety profile in pediatric patients is unknown and may be different than that observed in previous clinical trials. Results of our trials could reveal a high and unacceptable severity and prevalence of side effects.</w:t>
      </w:r>
    </w:p>
    <w:p>
      <w:pPr>
        <w:spacing w:after="0" w:line="5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Additionally, if tildacerfont and any future product candidates receive marketing approval, and we or others later identify undesirable side effects caused by such product candidate, a number of potentially significant negative consequences could result, including:</w:t>
      </w:r>
    </w:p>
    <w:p>
      <w:pPr>
        <w:spacing w:after="0" w:line="40"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suspend marketing of that product, or decide to remove the product form the marketplace;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or change their approvals of such product;</w:t>
      </w:r>
    </w:p>
    <w:p>
      <w:pPr>
        <w:spacing w:after="0" w:line="10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 or to sued and held liable for harm caused to subjects or patients;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 our reputation may suffer.</w:t>
      </w:r>
    </w:p>
    <w:p>
      <w:pPr>
        <w:spacing w:after="0" w:line="104" w:lineRule="exact"/>
        <w:rPr>
          <w:sz w:val="20"/>
          <w:szCs w:val="20"/>
          <w:color w:val="auto"/>
        </w:rPr>
      </w:pPr>
    </w:p>
    <w:p>
      <w:pPr>
        <w:ind w:right="700"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tildacerfont and any future product candidates, if approved, and could significantly harm our business, results of operations, and prospects.</w:t>
      </w:r>
    </w:p>
    <w:p>
      <w:pPr>
        <w:spacing w:after="0" w:line="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receive regulatory approval for tildacerfont and any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any product.</w:t>
      </w:r>
    </w:p>
    <w:p>
      <w:pPr>
        <w:spacing w:after="0" w:line="68"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Any regulatory approvals that we receive may be subject to limitations on the approved indicated uses for which the product may be marketed or to the conditions of approval, or contain requirements for potentially costly post-marketing testing, including post-market studies or clinical trials, and surveillance to monitor safety and effectiveness. The FDA may also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w:t>
      </w:r>
    </w:p>
    <w:p>
      <w:pPr>
        <w:spacing w:after="0" w:line="71" w:lineRule="exact"/>
        <w:rPr>
          <w:sz w:val="20"/>
          <w:szCs w:val="20"/>
          <w:color w:val="auto"/>
        </w:rPr>
      </w:pPr>
    </w:p>
    <w:p>
      <w:pPr>
        <w:ind w:right="140" w:firstLine="509"/>
        <w:spacing w:after="0" w:line="247" w:lineRule="auto"/>
        <w:rPr>
          <w:sz w:val="20"/>
          <w:szCs w:val="20"/>
          <w:color w:val="auto"/>
        </w:rPr>
      </w:pPr>
      <w:r>
        <w:rPr>
          <w:rFonts w:ascii="Times New Roman" w:cs="Times New Roman" w:eastAsia="Times New Roman" w:hAnsi="Times New Roman"/>
          <w:sz w:val="18"/>
          <w:szCs w:val="18"/>
          <w:color w:val="auto"/>
        </w:rPr>
        <w:t>In addition, if the FDA or a comparable foreign regulatory authority approves a product candidate, the manufacturing, quality control, labeling, packaging, distribution, adverse event reporting, storage, advertising, promotion, import, export, and recordkeeping for the approved product will be subject to extensive and ongoing regulatory requirements. The FDA also requires submissions of safety and other post-marketing information and reports, registration, as well as continued compliance with cGMP requirements and GCP for any clinical trials that we conduct post-approval. 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spacing w:after="0" w:line="72"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103"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 or require other restrictions on the labeling or marketing of such products;</w:t>
      </w:r>
    </w:p>
    <w:p>
      <w:pPr>
        <w:spacing w:after="0" w:line="67"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withdraw or modify regulatory approval;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modify any ongoing clinical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us to initiate a product recall.</w:t>
      </w:r>
    </w:p>
    <w:p>
      <w:pPr>
        <w:spacing w:after="0" w:line="10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tildacerfont and any future product candidates and generate revenue and could require us to expend significant time and resources in response and could generate negative publicity.</w:t>
      </w:r>
    </w:p>
    <w:p>
      <w:pPr>
        <w:spacing w:after="0" w:line="40"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U.S. Federal Trade Commission, the Department of Justice, or the DOJ, the Office of Inspector General of the U.S. Department of Health and Human Services, or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and investigations, and civil and criminal sanctions by the FDA, DOJ,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for tildacerfont and any future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69" w:lineRule="exact"/>
        <w:rPr>
          <w:sz w:val="20"/>
          <w:szCs w:val="20"/>
          <w:color w:val="auto"/>
        </w:rPr>
      </w:pPr>
    </w:p>
    <w:p>
      <w:pPr>
        <w:ind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4"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69"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87"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Separately, in response to the global COVID-19 pandemic, in March 2020 the FDA announced its intention to postpone most foreign inspections of manufacturing facilities. In July 2020, the FDA restarted inspections of domestic and international manufacturing facilities on a risk-based basis.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83"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tildacerfont and any future product candidates, tildacerfont and any future product candidates may not gain market acceptance among physicians, patients, healthcare payors and others in the medical community.</w:t>
      </w:r>
    </w:p>
    <w:p>
      <w:pPr>
        <w:spacing w:after="0" w:line="50" w:lineRule="exact"/>
        <w:rPr>
          <w:sz w:val="20"/>
          <w:szCs w:val="20"/>
          <w:color w:val="auto"/>
        </w:rPr>
      </w:pPr>
    </w:p>
    <w:p>
      <w:pPr>
        <w:jc w:val="both"/>
        <w:ind w:right="200" w:firstLine="509"/>
        <w:spacing w:after="0" w:line="258" w:lineRule="auto"/>
        <w:rPr>
          <w:sz w:val="20"/>
          <w:szCs w:val="20"/>
          <w:color w:val="auto"/>
        </w:rPr>
      </w:pPr>
      <w:r>
        <w:rPr>
          <w:rFonts w:ascii="Times New Roman" w:cs="Times New Roman" w:eastAsia="Times New Roman" w:hAnsi="Times New Roman"/>
          <w:sz w:val="18"/>
          <w:szCs w:val="18"/>
          <w:color w:val="auto"/>
        </w:rPr>
        <w:t>Tildacerfont and any future product candidates may not be commercially successful. The commercial success of tildacerfont or any future product candidates, if approved, will depend significantly on the broad adoption and use of such product by physicians and patients for approved indications. The degree of market acceptance of tildacerfont or any future products, if approved, will depend on a number of factors, including:</w:t>
      </w:r>
    </w:p>
    <w:p>
      <w:pPr>
        <w:spacing w:after="0" w:line="61"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such product candidate is approved;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and patients considering the product as a safe and effective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over alternative treatments;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 or other regulatory authorities;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as well as competitive products;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third-party payors and government authorities;</w:t>
      </w:r>
    </w:p>
    <w:p>
      <w:pPr>
        <w:spacing w:after="0" w:line="103" w:lineRule="exact"/>
        <w:rPr>
          <w:rFonts w:ascii="Times New Roman" w:cs="Times New Roman" w:eastAsia="Times New Roman" w:hAnsi="Times New Roman"/>
          <w:sz w:val="18"/>
          <w:szCs w:val="18"/>
          <w:color w:val="auto"/>
        </w:rPr>
      </w:pPr>
    </w:p>
    <w:p>
      <w:pPr>
        <w:ind w:left="1020" w:right="88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coverage and adequate reimbursement by third-party payors and government authorities;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 and</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those of any collaboration or distribution partner on whom we rely for sales in foreign jurisdictions.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If tildacerfont and any future product candidate is approved but fails to achieve market acceptance among physicians, patients, healthcare payors or others in the medical community, we will not be able to generate significant revenues, which would have a material adverse effect on our business, prospects, financial condition, and results of operations. In addition, even if tildacerfont and any future product candidate gains acceptance, the markets for the treatment of patients with our target indications may not be as significant as we estimate.</w:t>
      </w:r>
    </w:p>
    <w:p>
      <w:pPr>
        <w:spacing w:after="0" w:line="6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tildacerfont and any future product candidate is approved for marketing, and we are found to have improperly promoted off-label uses, or if physicians prescribe or use tildacerfont and any future product candidates off-label, we may become subject to prohibitions on the sale or marketing of tildacerfont and any future product candidates, significant fines, penalties, sanctions, or product liability claims, and our image and reputation within the industry and marketplace could be harmed.</w:t>
      </w:r>
    </w:p>
    <w:p>
      <w:pPr>
        <w:spacing w:after="0" w:line="66"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The FDA, DOJ, and comparable foreign authorities strictly regulate the marketing and promotional claims that are made about pharmaceutical products, such as tildacerfont, if approved. In particular, a product may not be promoted for uses or indications that are not approved by the FDA or comparable foreign authorities as reflected in the product’s approved labeling. However, if we receive marketing approval for tildacerfont and any future product candidates, physicians can prescribe such product to their patients in a manner that is inconsistent with the approved label based on the physician’s independent medical judgement. If we are found to have promoted such off-label uses, we may receive warning letters from the FDA and comparable foreign authorities and become subject to significant liability, which would materially harm our business.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and other governmental authorities have also required that companies enter into consent decrees or permanent injunctions under which specified promotional conduct is changed or curtailed in order to resolve enforcement actions. If we are deemed by the FDA, DOJ, or other governmental authorities to have engaged in the promotion of tildacerfont or any future product candidate for off-label use, we could be subject to certain prohibitions or other restrictions on the sale or marketing and other operations or significant fines and penalties, and the imposition of these sanctions could also affect our reputation and position within the industry.</w:t>
      </w:r>
    </w:p>
    <w:p>
      <w:pPr>
        <w:spacing w:after="0" w:line="85"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tildacerfont and any future product candidates, which could make it difficult for us to sell tildacerfont and any future product candidates profitably.</w:t>
      </w:r>
    </w:p>
    <w:p>
      <w:pPr>
        <w:spacing w:after="0" w:line="50"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Successful sales of tildacerfont and any future product candidates, if approved, depend on the availability of coverage and adequate reimbursement from third-party payors. Patients who are prescribed medicine for the treatment of their conditions generally rely on third-party payors to reimburse all or part of the costs associated with their prescription drugs. Coverage and adequate reimbursement from governmental healthcare programs, such as Medicare and Medicaid, and commercial payors is critical to new product acceptance, and we may not obtain such coverage or adequate reimbursement. Moreover, we focus our clinical development of tildacerfont on treatments for rare endocrine disorders with relatively small patient populations. As a result, we must rely on obtaining appropriate coverage and reimbursement for these populations.</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Government authorities and third-party payors, such as private health insurers and health maintenance organizations, decide which drugs they will cover and the amount of reimbursement they will provide. Reimbursement by a third-party payor may depend upon a number of factors, including, but not limited to, the third-party payor’s determination that use of a product is:</w:t>
      </w:r>
    </w:p>
    <w:p>
      <w:pPr>
        <w:spacing w:after="0" w:line="61"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third-party payor is a time-consuming and costly process that could require us to provide to the payor supporting scientific, clinical and cost-effectiveness data for the use of our products. We may not be able to provide data sufficient to obtain coverage and adequate reimbursement. Assuming we obtain coverage for a given product, the resulting reimbursement payment rates might not be adequate or may require co-payments that patients find unacceptably high. Patients are unlikely to use tildacerfont or any future product candidate unless coverage is provided and reimbursement is adequate to cover a significant portion of the cost. Additionally, the reimbursement rates and coverage amounts may be affected by the approved label for tildacerfont or any future product candidate. If coverage and reimbursement of our future products are unavailable or limited in scope or amount, or if pricing is set at unsatisfactory levels, we may be unable to achieve or sustain profitability.</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In addition, the market for tildacerfont and any future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through formulary controls or otherwise to a branded drug when a less costly generic equivalent or other alternative is available.</w:t>
      </w:r>
    </w:p>
    <w:p>
      <w:pPr>
        <w:spacing w:after="0" w:line="73"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drug products exists among third-party payors. Third-party payors often rely upon Medicare coverage policy and payment limitations in setting their own reimbursement rates, but also have their own methods and approval process apart from Medicare determinations. Therefore, coverage and reimbursement for drug products can differ significantly from payor to payor. As a result, the coverage determination process is often a time-consuming and costly process that will require us to provide scientific and clinical support for the use of tildacerfont and any future product candidates to each payor separately, with no assurance that coverage and adequate reimbursement will be obtained. Further, coverage policies and third-party reimbursement rates may change at any time. Therefore, even if favorable coverage and reimbursement status is attained, less favorable coverage policies and reimbursement rates may be implemented in the future.</w:t>
      </w:r>
    </w:p>
    <w:p>
      <w:pPr>
        <w:spacing w:after="0" w:line="73"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We intend to seek approval to market tildacerfont in the United States and in selected foreign jurisdictions. If we obtain approval in one or more foreign jurisdictions for tildacerfont, we will be subject to rules and regulations in those jurisdictions. In some foreign countries, particularly those in the EU, the pricing of prescription pharmaceuticals and biologics is subject to governmental control. In these countries, pricing negotiations with governmental authorities can take considerable time after obtaining marketing approval for a drug candidate. In addition, market acceptance and sales of a product will depend significantly on the availability of coverage and adequate reimbursement from third-party payors for a product and may be affected by existing and future health care reform measures.</w:t>
      </w:r>
    </w:p>
    <w:p>
      <w:pPr>
        <w:spacing w:after="0" w:line="68"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legislation, future legislation and healthcare reform measures may increase the difficulty and cost for us to obtain marketing approval for and commercialize tildacerfont and any future product candidates and may affect the prices we may set.*</w:t>
      </w:r>
    </w:p>
    <w:p>
      <w:pPr>
        <w:spacing w:after="0" w:line="3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69" w:lineRule="exact"/>
        <w:rPr>
          <w:sz w:val="20"/>
          <w:szCs w:val="20"/>
          <w:color w:val="auto"/>
        </w:rPr>
      </w:pPr>
    </w:p>
    <w:p>
      <w:pPr>
        <w:ind w:right="120" w:firstLine="509"/>
        <w:spacing w:after="0" w:line="243"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or collectively, the Affordable Care Act, was enacted in the United States. Among the provisions of the Affordable Care Act of importance to our potential product candidates are that it established an annual, nondeductible fee on any entity that manufactures or imports specified branded prescription drugs and biologic agents; expands eligibility criteria for Medicaid programs; increased the statutory minimum rebates a manufacturer must pay under the Medicaid Drug Rebate Program; created a new Medicare Part D coverage gap discount program; established a new Patient-Centered Outcomes Research Institute to oversee, identify priorities in and conduct comparative clinical effectiveness research, along with funding for such research; and established a Center for Medicare and Medicaid Innovation at the Centers for Medicare &amp; Medicaid Services, or CMS, to test innovative payment and service delivery models to lower Medicare and Medicaid spending.</w:t>
      </w:r>
    </w:p>
    <w:p>
      <w:pPr>
        <w:spacing w:after="0" w:line="92"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Affordable Care Act. By way of example, legislation enacted in 2017, informally titled the Tax Cuts and Jobs Act, or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For example, on June 17, 2021, the United States Supreme Court dismissed a challenge on procedural grounds that argued the Affordable Care Act is unconstitutional in its entirety because the "individual mandate" was repealed by Congress. Thus, the Affordable Care Act will remain in effect in its current form. Moreover, prior to the United Supreme Court ruling, on January 28, 2021, President Biden issued an executive order that initiated a special enrollment period for purposes of obtaining health insurance coverage through the Affordable Care Act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spacing w:after="0" w:line="9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On August 2, 2011, the Budget Control Act of 2011 was signed into law, which, among other things, included reductions to Medicare payments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providers of 2% per fiscal year, which went into effect on April 1, 2013 and, due to subsequent legislative amendments to the statute, will remain in effect through 2031, with the exception of a temporary suspension from May 1, 2020 through March 31, 2022 due to COVID-19 relief legislation, unless additional Congressional action is taken. Under current legislation, the actual reduction in Medicare payments will vary from 1% in 2022 to up to 4% in the final fiscal year of this sequester.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Further, Congress is considering additional health reform measures.</w:t>
      </w:r>
    </w:p>
    <w:p>
      <w:pPr>
        <w:spacing w:after="0" w:line="87"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Further, there has been heightened governmental scrutiny in the United States of pharmaceutical pricing practices in light of the rising cost of prescription drugs.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86"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At the federal level, the previous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drug pricing that attempted to implement several of the Trump administration’s proposals. As a result, the FDA concurrently released a final rule and guidance in September 2020 providing pathways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rule also creates a new safe harbor for price reductions reflected at the point-of-sale, as well as a new safe harbor for certain fixed fee arrangements between pharmacy benefit managers and manufacturers. The implementation of the rule has been delayed until January 1, 2027. On November 20, 2020, CMS issued an interim final rule implementing the Trump administration’s Most Favored Nation, or MFN, executive order, which would tie Medicare Part B payments for certain physician-administered drugs to the lowest price paid in other economically advanced countries, effective January 1, 2021. As a result of litigation challenging the MFN model, on December 27, 2021, CMS published a final rule that rescinds the MFN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w:t>
      </w:r>
    </w:p>
    <w:p>
      <w:pPr>
        <w:spacing w:after="0" w:line="82" w:lineRule="exact"/>
        <w:rPr>
          <w:sz w:val="20"/>
          <w:szCs w:val="20"/>
          <w:color w:val="auto"/>
        </w:rPr>
      </w:pPr>
    </w:p>
    <w:p>
      <w:pPr>
        <w:jc w:val="both"/>
        <w:ind w:right="220" w:firstLine="509"/>
        <w:spacing w:after="0" w:line="247" w:lineRule="auto"/>
        <w:rPr>
          <w:sz w:val="20"/>
          <w:szCs w:val="20"/>
          <w:color w:val="auto"/>
        </w:rPr>
      </w:pPr>
      <w:r>
        <w:rPr>
          <w:rFonts w:ascii="Times New Roman" w:cs="Times New Roman" w:eastAsia="Times New Roman" w:hAnsi="Times New Roman"/>
          <w:sz w:val="18"/>
          <w:szCs w:val="18"/>
          <w:color w:val="auto"/>
        </w:rPr>
        <w:t>At the state level,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color w:val="auto"/>
        </w:rPr>
        <w:t>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tildacerfont, if approved, or put pressure on our product pricing, which could negatively affect our business, results of operations, financial condition, and prospects.</w:t>
      </w:r>
    </w:p>
    <w:p>
      <w:pPr>
        <w:spacing w:after="0" w:line="75"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We expect that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third-party payors. The implementation of cost containment measures or other healthcare reforms may prevent us from being able to generate revenue, attain profitability or commercialize tildacerfont, if approved.</w:t>
      </w:r>
    </w:p>
    <w:p>
      <w:pPr>
        <w:spacing w:after="0" w:line="83"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tildacerfont and any future product candidates internationally could materially adversely affect our business.</w:t>
      </w:r>
    </w:p>
    <w:p>
      <w:pPr>
        <w:spacing w:after="0" w:line="5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plan to seek regulatory approval for tildacerfont and any future product candidates internationally and, accordingly, we expect that we will be subject to additional risks related to operating in foreign countries if we obtain the necessary approvals, including:</w:t>
      </w:r>
    </w:p>
    <w:p>
      <w:pPr>
        <w:spacing w:after="0" w:line="68"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 including differing reimbursement, pricing and insurance regimes;</w:t>
      </w:r>
    </w:p>
    <w:p>
      <w:pPr>
        <w:spacing w:after="0" w:line="10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03"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U.S. Foreign Corrupt Practices Act of 1977, or FCPA, or comparable foreign regulations;</w:t>
      </w:r>
    </w:p>
    <w:p>
      <w:pPr>
        <w:spacing w:after="0" w:line="10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internationally;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117" w:lineRule="exact"/>
        <w:rPr>
          <w:sz w:val="20"/>
          <w:szCs w:val="20"/>
          <w:color w:val="auto"/>
        </w:rPr>
      </w:pPr>
    </w:p>
    <w:p>
      <w:pPr>
        <w:ind w:right="640" w:firstLine="509"/>
        <w:spacing w:after="0" w:line="266" w:lineRule="auto"/>
        <w:rPr>
          <w:sz w:val="20"/>
          <w:szCs w:val="20"/>
          <w:color w:val="auto"/>
        </w:rPr>
      </w:pPr>
      <w:r>
        <w:rPr>
          <w:rFonts w:ascii="Times New Roman" w:cs="Times New Roman" w:eastAsia="Times New Roman" w:hAnsi="Times New Roman"/>
          <w:sz w:val="18"/>
          <w:szCs w:val="18"/>
          <w:color w:val="auto"/>
        </w:rPr>
        <w:t>These and other risks associated with our international operations may materially adversely affect our ability to attain or maintain profitable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commercialize additional product candidates, we may be unable to grow our business.</w:t>
      </w:r>
    </w:p>
    <w:p>
      <w:pPr>
        <w:spacing w:after="0" w:line="121"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We may seek to in-license or acquire development-stage product candidates in endocrine disorders that have the potential to complement our existing portfolio. If we decide to pursue the development and commercialization of any additional product candidates, we may be required to invest significant resources to acquire or in-license the rights to such product candidates or to conduct drug discovery activities. We do not currently have the necessary drug discovery personnel or expertise adequate to discover and develop an additional product candidate on our own. Any other product candidates will require additional, time-consuming development efforts, and significant financial resources, prior to commercial sale, including preclinical studies, extensive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and/or effective for approval by regulatory authorities. In addition, we may not be able to acquire, discover, or develop any additional product candidates, and any additional product candidates we may develop may not be approved, manufactured, or produced economically, successfully commercialized or widely accepted in the marketplace, or be more effective than other commercially available alternatives. Research programs to identify new product candidates require substantial technical, financial, and human resources whether or not we ultimately identify any candidates. If we are unable to develop or commercialize any other product candidates, our business and prospects will suffer.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tildacerfont for additional indications, our commercial opportunity may be limited.</w:t>
      </w:r>
    </w:p>
    <w:p>
      <w:pPr>
        <w:spacing w:after="0" w:line="121"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One of our strategies is to pursue clinical development of tildacerfont in additional endocrine disorders, including, but not limited to, pediatric classic CAH and a subpopulation of females with PCOS. The endocrine disorders we are targeting are all rare disorders and, as a result, the market size for the treatment of patients with such disorders is limited. In addition, CRF1 receptor antagonism may not be an appropriate or effective mechanism in indications where disease biology supports a need to reduce ACTH. Due to these factors, our ability to grow revenue may be dependent on our ability to successfully develop and commercialize tildacerfont for the treatment of additional indications. Developing, obtaining regulatory approval and commercializing tildacerfont for additional indications will require substantial additional funding and is prone to the risks of failure inherent in drug development. We may not be able to successfully advance any of these indications through the development process. Even if we receive regulatory approval to market tildacerfont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tildacerfont for these additional indications, our commercial opportunity may be limited.</w:t>
      </w:r>
    </w:p>
    <w:p>
      <w:pPr>
        <w:spacing w:after="0" w:line="74"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5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biopharmaceutical industry is characterized by intense competition and rapid innovation. Although we believe that we hold a leading position in our focus on rare endocrine disorders, our competitors may be able to develop other compounds or drugs that are able to achieve similar or better results. Our potential competitors include major multinational pharmaceutical companies, established</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tildacerfont. We believe the key competitive factors that will affect the development and commercial success of tildacerfont are efficacy, safety and tolerability profile, reliability, convenience of dosing, price and reimbursement.</w:t>
      </w:r>
    </w:p>
    <w:p>
      <w:pPr>
        <w:spacing w:after="0" w:line="78"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Although classic CAH is part of the newborn screening program in most developed countries, there are no known novel therapies that have been approved in approximately 50 years. We are aware of other companies actively developing treatments for patients with classic CAH. Neurocrine Biosciences, Inc., or Neurocrine, is developing a CRF1 receptor antagonist and has completed a two-week Phase 2 clinical trial in adults with classic CAH and a 2-week Phase 2 clinical trial in adolescents aged 14 to 17 years with classic CAH. Neurocrine has initiated registrational trials for adult and pediatric patients with classic CAH. BridgeBio Pharma, Inc. is evaluating an AAV5 gene therapy product candidate to treat classic CAH in a Phase 1/2 proof of concept clinical trial. In addition, Crinetics Pharmaceuticals, Inc. reported findings from a Phase 1 clinical trial that evaluated the ability of an oral ACTH antagonist to suppress ACTH-stimulated secretion in healthy volunteers and plans to initiate a Phase 2 program in the second half of 2022.</w:t>
      </w:r>
    </w:p>
    <w:p>
      <w:pPr>
        <w:spacing w:after="0" w:line="73"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In addition, while tildacerfont ultimately seeks to significantly reduce steroid use for patients with classic CAH, patients will continue use of their steroid regimen. As corticosteroids are the current standard of care for the treatment of classic CAH, in the United States alone, there are more than two dozen companies manufacturing steroid-based products. One such company is Diurnal Group PLC, or Diurnal, which is developing an exogenous cortisol treatment with a modified release intended to more closely match the physiological release profile of cortisol but announced a failed Phase 3 clinical trial in 2018. Diurnal submitted a MAA to the EMA in December of 2019. In March 2021, the EMA announced a positive opinion from the Committee for Medicinal Products for Human Use, or CHMP, on granting marketing approval for its exogenous cortisol treatment with a modified release for the treatment of adults and adolescents aged 12 and over with CAH. Diurnal announced that it has launched in the EU. Diurnal also announced that the FDA agreed to a special protocol assessment for a Phase 3 trial of its exogenous cortisol treatment with a modified release for the treatments of patients aged 16 and over with CAH and has initiated the study in the United States.</w:t>
      </w:r>
    </w:p>
    <w:p>
      <w:pPr>
        <w:spacing w:after="0" w:line="77"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We believe the key competitive factors affecting the success of tildacerfont are likely to be efficacy, safety, and convenience.</w:t>
      </w:r>
    </w:p>
    <w:p>
      <w:pPr>
        <w:spacing w:after="0" w:line="83"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though we have obtained orphan drug designation for tildacerfont for the treatment of CAH, we may not be able to obtain or maintain the benefits associated with orphan drug status, including market exclusivity.</w:t>
      </w:r>
    </w:p>
    <w:p>
      <w:pPr>
        <w:spacing w:after="0" w:line="50"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the EU, may designate drugs for relatively small patient populations as orphan drugs.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In the EU, the European Commission, on the basis of the opinion of the EMA Committee for Orphan Medicinal Products, grants orphan drug designation for medicines to be developed for the diagnosis, prevention or treatment of diseases that are life-threatening or chronically debilitating, for which either no satisfactory method of diagnosis, prevention, or treatment exists, or if such method exists, the medicine is of significant benefit to those affected by such condition. To benefit from such designation, either the prevalence of such condition must not be more than five in 10,000 people across the EU or, if more prevalent, it must be unlikely that the marketing of the medicine would generate sufficient returns to justify the investment needed for its development.</w:t>
      </w:r>
    </w:p>
    <w:p>
      <w:pPr>
        <w:spacing w:after="0" w:line="77"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We have received orphan drug designation for tildacerfont for the treatment of patients with CAH in both the US and EU. Generally, if a drug with an orphan drug designation subsequently receives the first marketing approval for the indication for which it has such designation, the drug may be entitled to a period of marketing exclusivity, which precludes the FDA or the European Commission from approving another marketing application for the same drug (or, in the case of the European Commission, a similar drug) and same indication for that time period. The applicable period is seven years in the United States and ten years in the EU, which may be extended by six months and two years, respectively, in the case of product candidates that have complied with the respective regulatory agency’s agreed upon pediatric investigation plan. The exclusivity period in the EU can be reduced to six years if, at the end of the fifth year, it is established that a drug no longer meets the criteria for orphan drug designation or if the drug is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even after a drug is granted orphan exclusivity and approved, the FDA and the European Commission can subsequently approve a different drug for the same condition or the same drug for a different condition, which may subject the orphan-exclusive product to off-label competition. As well, before the expiration of the orphan exclusivity period, the FDA or European Commission may grant approval to a competitor if it concludes that a subsequent application for the same drug for the same indication is clinically superior in that it is shown to be safer, more effective or makes a major contribution to patient care. In the EU, the EMA may deny marketing approval for a product candidate if it determines such product candidate is structurally similar to an approved product for the same indication. In addition, if an orphan designated product receives marketing approval for an indication broader than or different from what is designated, such product may not be entitled to orphan exclusivity. Even though the FDA has granted orphan drug designation to tildacerfont for the treatment of classic CAH, if we receive approval for tildacerfont for a modified or different indication, our current orphan designations may not provide us with exclusivity.</w:t>
      </w:r>
    </w:p>
    <w:p>
      <w:pPr>
        <w:spacing w:after="0" w:line="80" w:lineRule="exact"/>
        <w:rPr>
          <w:sz w:val="20"/>
          <w:szCs w:val="20"/>
          <w:color w:val="auto"/>
        </w:rPr>
      </w:pPr>
    </w:p>
    <w:p>
      <w:pPr>
        <w:jc w:val="both"/>
        <w:ind w:right="200" w:firstLine="509"/>
        <w:spacing w:after="0" w:line="258" w:lineRule="auto"/>
        <w:rPr>
          <w:sz w:val="20"/>
          <w:szCs w:val="20"/>
          <w:color w:val="auto"/>
        </w:rPr>
      </w:pPr>
      <w:r>
        <w:rPr>
          <w:rFonts w:ascii="Times New Roman" w:cs="Times New Roman" w:eastAsia="Times New Roman" w:hAnsi="Times New Roman"/>
          <w:sz w:val="18"/>
          <w:szCs w:val="18"/>
          <w:color w:val="auto"/>
        </w:rPr>
        <w:t>Orphan drug designation does not convey any advantage in, or shorten the duration of, the regulatory review or approval process. Also, regulatory approval for any product candidate may be withdrawn, and other product candidates may obtain approval before us and receive orphan drug exclusivity, which could block us from entering the market.</w:t>
      </w:r>
    </w:p>
    <w:p>
      <w:pPr>
        <w:spacing w:after="0" w:line="6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Even if we obtain orphan drug exclusivity for tildacerfont, that exclusivity may not effectively protect us from competition because different drugs can be approved for the same condition before the expiration of the orphan drug exclusivity period.</w:t>
      </w:r>
    </w:p>
    <w:p>
      <w:pPr>
        <w:spacing w:after="0" w:line="6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pursue orphan drug designation for tildacerfont for the treatment of a subpopulation of females with PCOS. The incidence and prevalence of this target patient population is based on our estimates and third-party data. If the market opportunity for this target population is larger than we estimate, we may be unable to receive orphan drug designation. Additionally, if orphan drug designation is granted, we may be unable to maintain any benefits associated with orphan drug designation, including market exclusivity.</w:t>
      </w:r>
    </w:p>
    <w:p>
      <w:pPr>
        <w:spacing w:after="0" w:line="66" w:lineRule="exact"/>
        <w:rPr>
          <w:sz w:val="20"/>
          <w:szCs w:val="20"/>
          <w:color w:val="auto"/>
        </w:rPr>
      </w:pPr>
    </w:p>
    <w:p>
      <w:pPr>
        <w:ind w:right="140" w:firstLine="509"/>
        <w:spacing w:after="0" w:line="244" w:lineRule="auto"/>
        <w:rPr>
          <w:sz w:val="20"/>
          <w:szCs w:val="20"/>
          <w:color w:val="auto"/>
        </w:rPr>
      </w:pPr>
      <w:r>
        <w:rPr>
          <w:rFonts w:ascii="Times New Roman" w:cs="Times New Roman" w:eastAsia="Times New Roman" w:hAnsi="Times New Roman"/>
          <w:sz w:val="18"/>
          <w:szCs w:val="18"/>
          <w:color w:val="auto"/>
        </w:rPr>
        <w:t>Periodically, we make estimates regarding the incidence and prevalence of target patient populations based on various third-party sources and internally generated analysis. Our estimates may be inaccurate or based on imprecise data. As described above,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If our incidence or prevalence estimates for the subpopulation of females with PCOS are incorrect, we may be unable to receive orphan drug designation.</w:t>
      </w:r>
    </w:p>
    <w:p>
      <w:pPr>
        <w:spacing w:after="0" w:line="87"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Even if the FDA grants orphan drug designation for tildacerfont for the treatment of a subpopulation of females with PCOS, exclusive marketing rights in the United States may be limited if we seek FDA marketing approval for an indication broader than the orphan designated indication. Additionally, any product candidate that initially receives orphan drug status designation, may lose such designation if the FDA later determines that the request for designation was materially defective or if the manufacturer is unable to assure sufficient quantities of the product to meet the needs of patients with the rare disease or condition. In addition, others may obtain orphan drug status for products addressing the same diseases or conditions as products we are developing, thus limiting our ability to compete in the markets addressing such diseases or conditions for a significant period of time. As a result, our business and prospects could suffer.</w:t>
      </w:r>
    </w:p>
    <w:p>
      <w:pPr>
        <w:spacing w:after="0" w:line="69"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form or seek strategic alliances or enter into additional licensing arrangements in the future, and we may not realize the benefits of such alliances or licensing arrangements.</w:t>
      </w:r>
    </w:p>
    <w:p>
      <w:pPr>
        <w:spacing w:after="0" w:line="63"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We may form or seek strategic alliances, create joint ventures or collaborations or enter into additional licensing arrangements with third parties that we believe will complement or augment our development and commercialization efforts with respect to tildacerfont and any future product candidates that we may develop. We intend to establish commercial partnerships outside of the United States in selected foreign markets. Any of these relationships may require us to incur non-recurring and other charges, increase our near-and long-term expenditures, issue securities that dilute our existing stockholders, or disrupt our management and business. In addition, we face significant competition in seeking appropriate strategic partners and the negotiation process is time-consuming and complex. If we license products or businesses, we may not be able to realize the benefit of such transactions if we are unable to successfully integrate them with our existing operations and company culture. Following a strategic transaction or license, we may not achieve the revenues or cash flows that justifies such transaction. Any delays in entering into new strategic partnership agreements related to tildacerfont could delay the development and commercialization of tildacerfont in certain geographies for certain indications, which would harm our business prospects, financial condition, and results of operations.</w:t>
      </w:r>
    </w:p>
    <w:p>
      <w:pPr>
        <w:spacing w:after="0" w:line="91"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failure to successfully in-license, acquire, develop, and market additional product candidates or approved products would impair our ability to grow our business.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Although a substantial amount of our efforts are focused on the clinical development, potential regulatory approval and commercialization of tildacerfont, a key element of our long-term strategy is to in-license, acquire, develop, market, and commercialize a portfolio of products to treat patients with endocrine disorders. Because we do not have the necessary internal research and development capabilities, unless we build such capabilities internally, we will be dependent upon pharmaceutical companies, academic scientists, and other researchers to sell or license products or technology to us. The success of this strategy depends partly upon our ability to identify and select promising biopharmaceutical product candidates and products, negotiate licensing or acquisition agreements with their current owners, and finance these arrangements. The process of proposing, negotiating, and implementing a license or acquisition of a product candidate or approved product is lengthy and complex. Other companies, including some with substantially greater financial, marketing, sales, and other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licensing opportunities that are never completed, or we may fail to realize the anticipated benefits of such efforts. We may not be able to acquire the rights to additional product candidates on terms that we find acceptable, or at all. Further, any product candidate that we acquire may require additional development efforts prior to commercial sale, including preclinical or clinical testing and approval by the FDA, the EMA and other similar regulatory authorities. All product candidates are prone to risks of failure during biopharmaceutical product development, including the possibility that a product candidate will not be shown to be sufficiently safe and effective for approval by regulatory authorities. In addition, any approved products that we acquire may not be manufactured or sold profitably or achieve market acceptance.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108"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2022, we had 22 employees, all of whom are full-time. As our development and commercialization plans and strategies develop, and as we transition into operating as a public company, we expect to need additional development, managerial, operational, financial, sales, marketing, and other personnel. Future growth would impose significant added responsibilities on members of management, including:</w:t>
      </w:r>
    </w:p>
    <w:p>
      <w:pPr>
        <w:spacing w:after="0" w:line="61"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0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regulatory review process for tildacerfont and any future product candidates, while complying with our contractual obligations to contractors and other third parties; and</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04"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In addition, we initiated enrollment in CAHmelia-203, our ongoing placebo-controlled, double-blind Phase 2b clinical trial in adult patients with classic CAH with elevated levels of A4 at baseline, and in CAHmelia-204, our second Phase 2b clinical trial in adult patients with classic CAH on supraphysiologic doses of glucocorticoids with normal or near normal levels of A4 at baseline focused on glucocorticoid reduction. We also initiated a Phase 2 open-label clinical trial in pediatric patients between six and 17 years of age with classic CAH and a Phase 2 proof-of-concept clinical trial in females with PCOS. Our future financial performance and our ability to commercialize tildacerfont will depend, in part, on our ability to effectively manage any future growth, and our management may also have to divert a disproportionate amount of its attention away from day-to-day activities in order to devote a substantial amount of time to managing these growth activities. To date, we have used the services of outside vendors to perform tasks including clinical trial management, manufacturing, statistics and analysis, regulatory affairs, formulation development, and other drug development functions. Our growth 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tildacerfont and any future product candidates or otherwise advance our business. We may not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tildacerfont and any future product candidates and, accordingly, may not achieve our research, development and commercialization goals.</w:t>
      </w:r>
    </w:p>
    <w:p>
      <w:pPr>
        <w:spacing w:after="0" w:line="8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indebtedness to Silicon Valley Bank may limit our flexibility in operating our business and adversely affect our financial health and competitive position, and our obligations to Silicon Valley Bank are secured by substantially all of our assets, excluding our intellectual property assets. If we default on these obligations, Silicon Valley Bank could foreclose on our assets.*</w:t>
      </w:r>
    </w:p>
    <w:p>
      <w:pPr>
        <w:spacing w:after="0" w:line="60"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In September 2019, we entered into the Loan Agreement, providing for the Term Loan, with Silicon Valley Bank. In April 2020, we entered into the Deferral Agreement, whereby we and Silicon Valley Bank agreed to extend the repayment dates of all monthly payments of principal due and the maturity date with respect to the Term Loan by six months. In March 2021, we entered</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into the First Amendment, which increased the aggregate principal amount of the Term Loan commitment by Silicon Valley Bank to up to $30.0 million. In May 2022, we entered into the Second Amendment, which amended the milestone upon which the Second Tranche commitment of $10.0 million would become available. As of September 30, 2022, we had $5.0 million outstanding under the Loan Agreement and $10.0 million of principal commitment available for withdrawal in 2022, subject to the satisfaction of certain clinical development and financial conditions.</w:t>
      </w:r>
    </w:p>
    <w:p>
      <w:pPr>
        <w:spacing w:after="0" w:line="69"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All obligations under the Term Loan are secured by a first priority lien on substantially all of our assets, excluding intellectual property assets. We have agreed with Silicon Valley Bank not to encumber our intellectual property assets without its prior written consent unless a security interest in the underlying intellectual property is necessary to have a security interest in the accounts and proceeds that are part of the assets securing the Term Loan, in which case our intellectual property shall automatically be included within the assets securing the Term Loan. As a result, if we default on any of our obligations under the Loan Agreement, Silicon Valley Bank could foreclose on its security interest and liquidate some or all of the collateral, which would harm our business, financial condition, and results of operations and could require us to reduce or cease operations.</w:t>
      </w:r>
    </w:p>
    <w:p>
      <w:pPr>
        <w:spacing w:after="0" w:line="87"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could place us at a competitive disadvantage compared to our competitors that have less indebtedness.</w:t>
      </w:r>
    </w:p>
    <w:p>
      <w:pPr>
        <w:spacing w:after="0" w:line="73"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The Loan Agreement contains certain covenants that limit our ability to engage in certain transactions that may be in our long-term best interest, including entering into a change in control transaction. The Loan Agreement also contains certain covenants that limit our ability to obtain additional debt financing, including incurring debt from third parties not permitted under the Loan Agreement or incurring liens or encumbrances on our property.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Silicon Valley Bank may choose to declare an event of default and require that we immediately repay all amounts outstanding under the Loan Agreement, terminate any commitment to extend further credit and foreclose on the collateral. In addition, if an event of default occurs under the Loan Agreement, Silicon Valley Bank may, among other things, accelerate the Term Loan or do any acts it considers necessary or 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spacing w:after="0" w:line="80" w:lineRule="exact"/>
        <w:rPr>
          <w:sz w:val="20"/>
          <w:szCs w:val="20"/>
          <w:color w:val="auto"/>
        </w:rPr>
      </w:pPr>
    </w:p>
    <w:p>
      <w:pPr>
        <w:jc w:val="both"/>
        <w:ind w:right="260" w:firstLine="509"/>
        <w:spacing w:after="0" w:line="258" w:lineRule="auto"/>
        <w:rPr>
          <w:sz w:val="20"/>
          <w:szCs w:val="20"/>
          <w:color w:val="auto"/>
        </w:rPr>
      </w:pPr>
      <w:r>
        <w:rPr>
          <w:rFonts w:ascii="Times New Roman" w:cs="Times New Roman" w:eastAsia="Times New Roman" w:hAnsi="Times New Roman"/>
          <w:sz w:val="18"/>
          <w:szCs w:val="18"/>
          <w:color w:val="auto"/>
        </w:rPr>
        <w:t>For a more detailed description of the terms of the Loan Agreement, see the section titled “Management’s Discussion and Analysis of Financial Condition and Results of Operations—Material Agreements—Loan Agreement” and Note 6 to our financial statements, each included elsewhere in this Quarterly Report on Form 10-Q.</w:t>
      </w:r>
    </w:p>
    <w:p>
      <w:pPr>
        <w:spacing w:after="0" w:line="5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 may seek additional capital through a combination of equity offerings, debt financings, strategic partnerships and alliances, and licensing</w:t>
      </w:r>
    </w:p>
    <w:p>
      <w:pPr>
        <w:spacing w:after="0" w:line="1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arrangements. To the extent that we raise additional capital through the sale of equity or convertible debt securities, your ownership interest will be diluted, and the terms of these securities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current or future product candidates, or grant licenses on terms unfavorable to us.</w:t>
      </w:r>
    </w:p>
    <w:p>
      <w:pPr>
        <w:spacing w:after="0" w:line="7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employees, independent contractors, principal investigators, CROs, consultants, strategic partners, and vendors may engage in misconduct or other improper activities, including noncompliance with regulatory standards and requirements.</w:t>
      </w:r>
    </w:p>
    <w:p>
      <w:pPr>
        <w:spacing w:after="0" w:line="68"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We are exposed to the risk that employees, independent contractors, principal investigators, CROs, consultants, and vendors may engage in fraudulent or other illegal activity. Misconduct by these parties could include intentional, reckless and/or negligent conduct or disclosure of unauthorized activities to us that violates: (i) the rules of the FDA and other similar foreign regulatory bodies, including those rules that require the reporting of true, complete, and accurate information to the FDA and other similar foreign regulatory bodies; (ii) manufacturing standards; (iii) healthcare fraud and abuse laws in the United States and similar foreign fraudulent misconduct laws or (iv) laws that require the true, complete, and accurate reporting of our financial information or data. These laws may impact, among other things, our current activities with principal investigators and research subjects, as well as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73"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If we obtain regulatory approval for tildacerfont and begin commercializing those products in the United States and in Europe, our potential exposure under such laws will increase significantly, and our costs associated with compliance with such laws are also likely to increase.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additional reporting requirements and/or oversight if we become subject to a corporate integrity agreement or similar agreement to resolve allegations of non-compliance with these laws, contractual damages, reputational harm, diminished profits and future earnings, and curtailment of our operations.</w:t>
      </w:r>
    </w:p>
    <w:p>
      <w:pPr>
        <w:spacing w:after="0" w:line="69"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If we or our employees, independent contractors, consultants, commercial partners, or vendors violate these laws, we could face substantial penalties.</w:t>
      </w:r>
    </w:p>
    <w:p>
      <w:pPr>
        <w:spacing w:after="0" w:line="41"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The U.S. healthcare laws and regulations that may affect our ability to operate include, but are not limited to:</w:t>
      </w:r>
    </w:p>
    <w:p>
      <w:pPr>
        <w:spacing w:after="0" w:line="71" w:lineRule="exact"/>
        <w:rPr>
          <w:sz w:val="20"/>
          <w:szCs w:val="20"/>
          <w:color w:val="auto"/>
        </w:rPr>
      </w:pPr>
    </w:p>
    <w:p>
      <w:pPr>
        <w:ind w:left="1020" w:right="80" w:hanging="503"/>
        <w:spacing w:after="0" w:line="243"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may be alleged to be intended to induce prescribing, purchases or recommendations, include any payments of more than fair market value, and may be subject to scrutiny if they do not qualify for an exception or safe harbor. In addition, a person or entity does not need to have actual knowledge of this statute or specific intent to violate it in order to have committed a violation.</w:t>
      </w:r>
    </w:p>
    <w:p>
      <w:pPr>
        <w:spacing w:after="0" w:line="78" w:lineRule="exact"/>
        <w:rPr>
          <w:rFonts w:ascii="Times New Roman" w:cs="Times New Roman" w:eastAsia="Times New Roman" w:hAnsi="Times New Roman"/>
          <w:sz w:val="18"/>
          <w:szCs w:val="18"/>
          <w:color w:val="auto"/>
        </w:rPr>
      </w:pPr>
    </w:p>
    <w:p>
      <w:pPr>
        <w:ind w:left="1020" w:right="80" w:hanging="503"/>
        <w:spacing w:after="0" w:line="247"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federal civil False Claims Act, and civil monetary penalty laws,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government, including federal healthcare programs. In addition, the government may assert that a claim including items or services resulting from a violation of the federal Anti-Kickback Statute constitutes a false or fraudulent claim for purposes of the federal civil False Claims Act and the civil monetary penalties statute;</w:t>
      </w:r>
    </w:p>
    <w:p>
      <w:pPr>
        <w:spacing w:after="0" w:line="71" w:lineRule="exact"/>
        <w:rPr>
          <w:rFonts w:ascii="Times New Roman" w:cs="Times New Roman" w:eastAsia="Times New Roman" w:hAnsi="Times New Roman"/>
          <w:sz w:val="18"/>
          <w:szCs w:val="18"/>
          <w:color w:val="auto"/>
        </w:rPr>
      </w:pPr>
    </w:p>
    <w:p>
      <w:pPr>
        <w:ind w:left="1020" w:hanging="503"/>
        <w:spacing w:after="0" w:line="245"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respective implementing regulations, which impose requirements on certain healthcare providers, health plans, and healthcare</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left="1020" w:right="300"/>
        <w:spacing w:after="0" w:line="266" w:lineRule="auto"/>
        <w:rPr>
          <w:sz w:val="20"/>
          <w:szCs w:val="20"/>
          <w:color w:val="auto"/>
        </w:rPr>
      </w:pPr>
      <w:r>
        <w:rPr>
          <w:rFonts w:ascii="Times New Roman" w:cs="Times New Roman" w:eastAsia="Times New Roman" w:hAnsi="Times New Roman"/>
          <w:sz w:val="18"/>
          <w:szCs w:val="18"/>
          <w:color w:val="auto"/>
        </w:rPr>
        <w:t>clearinghouses, known as covered entities, and their respective business associates that perform services for them that involve the use, or disclosure of, individually identifiable health information as well as their covered subcontractors; and</w:t>
      </w:r>
    </w:p>
    <w:p>
      <w:pPr>
        <w:spacing w:after="0" w:line="54" w:lineRule="exact"/>
        <w:rPr>
          <w:sz w:val="20"/>
          <w:szCs w:val="20"/>
          <w:color w:val="auto"/>
        </w:rPr>
      </w:pPr>
    </w:p>
    <w:p>
      <w:pPr>
        <w:ind w:left="1020" w:right="120" w:hanging="503"/>
        <w:spacing w:after="0" w:line="250"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spacing w:after="0" w:line="69"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may also be subject to state and foreign equivalents of each of the healthcare laws described above, among others, some of which may be broader in scope. For example, we may be subject to the following: state anti-kickback and false claims laws that may apply to sales or marketing arrangements and claims involving healthcare items or services reimbursed by non-governmental third 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marketing expenditures, or drug pricing; state and local laws requiring the registration of pharmaceutical sales and medical representatives; and state and foreign laws, such as the European Union General Data Protection Regulation, or GDPR, governing the privacy and security of health information in some circumstances, many of which differ from each other in significant ways and often are not preempted by HIPAA, thus complicating compliance efforts.</w:t>
      </w:r>
    </w:p>
    <w:p>
      <w:pPr>
        <w:spacing w:after="0" w:line="93"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Additionally, we may be subject to federal consumer protection and unfair competition laws, which broadly regulate marketplace activities and activities that potentially harm consumers.</w:t>
      </w:r>
    </w:p>
    <w:p>
      <w:pPr>
        <w:spacing w:after="0" w:line="54"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or our arrangements with physicians, could be subject to challenge under one or more of such laws.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we or our employees, independent contractors, consultants, commercial partners and vendors violate these laws, we may be subject to investigations, enforcement actions and/or significant penalties,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tildacerfont outside the United States will also likely subject us to foreign equivalents of the healthcare laws mentioned above, among other foreign laws.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used by our third-party collaborators or other contractors or consultants, may fail or suffer security breaches.</w:t>
      </w:r>
    </w:p>
    <w:p>
      <w:pPr>
        <w:spacing w:after="0" w:line="10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Despite the implementation of security and back-up measures, our internal computer, server, and other information technology systems as well as those of our third-party collaborators, consultants, contractors, suppliers, and service providers, may be vulnerable to damage from physical or electronic break-ins, computer viruses, malware, ransomware, natural disasters, terrorism, war, telecommunication and electrical failure, denial of service, and other cyberattacks or disruptive incidents that could result in unauthorized access to, use or disclosure of, corruption of, or loss of sensitive, and/ or proprietary data, including personal information, including health-related information, and could subject us to significant liabilities and regulatory and enforcement actions, and reputational damage. 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 If we or our third-party collaborators, consultants, contractors, suppliers, or service providers were to suffer an attack or breach, for example, that resulted in the unauthorized access to or use or disclosure of personal or health information, we may have to notify consumers, partners, collaborators, government authorities, and the media, and may be subject to investigations, civil penalties, administrative and enforcement actions, and litigation, any of which could harm our business and reputation. Likewise, we rely on our third-party research institution collaborators and other third parties to conduct clinical trials, and similar events relating to their computer systems could also have a material adverse effect on our business. The COVID-19 pandemic has generally increased the risk of cybersecurity intrusions. For example, there has been an increase in phishing and spam</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emails as well as social engineering attempts from “hackers” hoping to use the recent COVID-19 pandemic to their advantage. To the extent that any disruption or security breach were to result in a loss of, or damage to, our data or systems, or inappropriate or unauthorized access to or disclosure or use of confidential, proprietary, or other sensitive, personal, or health information, we could incur liability and suffer reputational harm, and the development and commercialization of tildacerfont could be delayed.</w:t>
      </w:r>
    </w:p>
    <w:p>
      <w:pPr>
        <w:spacing w:after="0" w:line="65"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data protection laws and regulations could lead to government enforcement actions (which could include civil or criminal penalties), private litigation, and/or adverse publicity and could negatively affect our operating results and business.*</w:t>
      </w:r>
    </w:p>
    <w:p>
      <w:pPr>
        <w:spacing w:after="0" w:line="6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7"/>
          <w:szCs w:val="17"/>
          <w:color w:val="auto"/>
        </w:rPr>
        <w:t>We and our partners may be subject to federal, state, and foreign data protection laws and regulations, as well as other rules, standards, policies and contractual or other obligations, relating to the collection, use, retention, security, disclosure, transfer and other processing of personal data, collectively, Data Protection Requirements. If we fail, or are perceived to have failed, to address or comply with any such Data Protection Requirements, this could result in enforcement actions against us that could include investigations, fines, penalties, audits and inspections, additional reporting requirements and/or oversight, temporary or permanent bans on all or some processing of personal data or orders to destroy or not use personal data. Further, individuals or other relevant stakeholders could bring a variety of claims against us for our actual or perceived failure to comply with the Data Protection Requirements.</w:t>
      </w:r>
    </w:p>
    <w:p>
      <w:pPr>
        <w:spacing w:after="0" w:line="61"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state data breach notification laws, state health information privacy laws, and federal and state consumer protection laws and regulations that govern the collection, use, disclosure, and protection of health-related and other personal information could apply to our operations or the operations of our partners. In addition, we may obtain health information from third parties (including research institutions from which we obtain clinical trial data) that are subject to privacy and security requirements under HIPAA. If we violate HIPAA, we may subject to significant administrative and civil penalties. Additionally,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87" w:lineRule="exact"/>
        <w:rPr>
          <w:sz w:val="20"/>
          <w:szCs w:val="20"/>
          <w:color w:val="auto"/>
        </w:rPr>
      </w:pPr>
    </w:p>
    <w:p>
      <w:pPr>
        <w:ind w:right="220" w:firstLine="509"/>
        <w:spacing w:after="0" w:line="246" w:lineRule="auto"/>
        <w:rPr>
          <w:sz w:val="20"/>
          <w:szCs w:val="20"/>
          <w:color w:val="auto"/>
        </w:rPr>
      </w:pPr>
      <w:r>
        <w:rPr>
          <w:rFonts w:ascii="Times New Roman" w:cs="Times New Roman" w:eastAsia="Times New Roman" w:hAnsi="Times New Roman"/>
          <w:sz w:val="18"/>
          <w:szCs w:val="18"/>
          <w:color w:val="auto"/>
        </w:rPr>
        <w:t>Even when HIPAA does not apply, according to the Federal Trade Commission, or the FTC, failing to take appropriate steps to keep consumers’ personal information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73"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In addition, California recently enacted the California Consumer Privacy Act, or CCPA, which creates new individual privacy rights for California consumers (as defined in the law)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became effective January 1, 2020, and the California Attorney General may bring enforcement actions for violations beginning July 1, 2020. The CCPA has been amended from time to time,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92"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Foreign data protection laws, including the GDPR may also apply to health-related and other personal data we process in respect of certain of our operations. The GDPR applies to any processing operations carried out in the context of the activities of an establishment in the European Economic Area, or EEA, as well as any processing operations relating to the offering of goods or services to individuals in the EEA and/or the monitoring of their behavior in the EEA. Further, notwithstanding the United Kingdom’s withdrawal from the EU, by operation of the so called ‘UK GDPR’, the GDPR continues to apply in substantially equivalent form to processing operations carried out in the context of the activities of an establishment in the United Kingdom and any processing relating to the offering of goods or services to individuals in the United Kingdom and/or monitoring of their behavior in the United Kingdom. Therefore, reference to the GDPR herein also refers to the UK GDPR in the context of the United Kingdom, unless the context requires otherwise. The GDPR provides that EEA member states may make their own further laws and regulations to introduce specific requirements related to the processing of ‘special categories of personal data,’ including the personal data related to health and genetic information, which we may process in connection with clinical trials or otherwise; as well as personal data related to criminal offenses or convictions – in the United Kingdom, the United Kingdom Data Protection Act 2018 complements the UK GDPR in this regard. Such laws may introduce further conditions, including limitations which could limit our ability to collect, use and share personal data, and/or otherwise lead to greater divergence on the law that applies to the processing of such data types across the EEA and/or United Kingdom, compliance with which, as and where applicable, may increase our costs and could increase our overall compliance risk.</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The GDPR has imposed stringent requirements for controllers and processors of personal data, including, for example, by extending the rights available to affected data subjects, materially expanding the definition of what is expressly noted to constitute personal data (including expanding the relevant definition to capture expressly the ‘pseudonymized’ or key-coded data that is commonly processed in a clinical trial-related context), introducing mandatory personal data breach notifications to Supervisory Authorities and affected individuals (in certain circumstances), setting limitations on retention of information, increasing requirements pertaining to special categories of personal data (such as health data, biometric data, genetic information), and requiring that prescriptive obligations must be met when we engage third-party processors to process of personal data on our behalf.</w:t>
      </w:r>
    </w:p>
    <w:p>
      <w:pPr>
        <w:spacing w:after="0" w:line="8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In addition, certain European data protection laws, including the GDPR, prohibit transfers of personal data from Europe, including the EEA, United Kingdom and Switzerland, to the United States and other 'third countries' in respect of which there is no adequacy decision, unless the parties to the transfer have implemented specific safeguards to protect the transferred personal data. One of the primary safeguards used for transfers of personal data from the EEA to the United States was the EU-U.S. Privacy Shield framework. However, on July 16, 2020 in a case known as “Schrems II,” the Court of Justice of the European Union, or the CJEU, invalidated the EU-US Privacy Shield. Following this decision, the United Kingdom government similarly confirmed that the EU-U.S. Privacy Shield could not be used as a mechanism for lawful personal data transfers from the United Kingdom to the United States under the so-called UK GDPR, and the Swiss Federal Data Protection and Information Commissioner announced that the Swiss-U.S. Privacy Shield does not provide adequate safeguards for the purposes of personal data transfers from Switzerland to the United States.</w:t>
      </w:r>
    </w:p>
    <w:p>
      <w:pPr>
        <w:spacing w:after="0" w:line="78"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CJEU’s decision in Schrems II also raised questions about whether one of the primary alternatives to the EU-U.S. Privacy Shield, namely, the European Commission’s Standard Contractual Clauses, can lawfully be used for personal data transfers from Europe to the United States or other third countries.</w:t>
      </w:r>
    </w:p>
    <w:p>
      <w:pPr>
        <w:spacing w:after="0" w:line="61"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On June 4, 2021, the European Commission published new versions of the Standard Contractual Clauses. All new transfers of personal data from the EEA to third countries were required to use these versions from September 27, 2021, and all existing transfers relying on the previous versions of the Standard Contractual Clauses must be replaced by December 27, 2022. The UK government also published an International Data Transfer Agreement, or IDTA, and an addendum to the European Commission’s Standard Contractual Clauses, each of which may serve as a transfer mechanism for data transfers to third countries under the UK GDPR. All new transfers of personal data from the UK to third countries are required to use these mechanisms from September 21, 2022, and all existing transfers relying on the previous versions of the Standard Contractual Clauses must be replaced by March 21, 2024. The implementation of these new Standard Contractual Clauses and UK GDPR-specific transfer mechanisms, together, Transfer Mechanisms, will necessitate significant contractual overhaul of our data transfer arrangements with customers, sub-processors and vendors.</w:t>
      </w:r>
    </w:p>
    <w:p>
      <w:pPr>
        <w:spacing w:after="0" w:line="78"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Use of both the existing and new forms of these Transfer Mechanisms must, following the Schrems II decision, be assessed on a case-by-case basis taking into account the legal regime applicable in the destination country, in particular applicable surveillance laws and rights of individuals, and supplementary technical, organizational and/or contractual measures may need to be put in place. At present, there are few, if any, viable alternatives to the Transfer Mechanisms, and there remains some uncertainty with respect to the nature and efficacy of any supplementary measures to effectively ensure an adequate level of protection of transferred personal data. If we are unable to implement a valid solution for personal data transfers from Europe, we will face increased exposure to regulatory actions, substantial fines and injunctions against processing personal data from Europe. Inability to import personal data from Europe, including the EEA, United Kingdom or Switzerland, may also: restrict our activities in Europe; limit our ability to collaborate with partners as well as other service providers, contractors and other companies subject to European data protection laws; and/or require us to increase our data processing capabilities in Europe at significant expense or otherwise cause us to change the geographical location or segregation of our relevant systems and operations – any or all of which could adversely affect our financial results. Additionally, other countries outside of Europe have enacted or are considering enacting similar cross-border data transfer restrictions and laws requiring local data residency, which could increase the cost and complexity of delivering our services and operating our business. The type of challenges we face in Europe will likely also arise in other jurisdictions that adopt laws similar in construction to the GDPR or regulatory frameworks of equivalent complexity.</w:t>
      </w:r>
    </w:p>
    <w:p>
      <w:pPr>
        <w:spacing w:after="0" w:line="95" w:lineRule="exact"/>
        <w:rPr>
          <w:sz w:val="20"/>
          <w:szCs w:val="20"/>
          <w:color w:val="auto"/>
        </w:rPr>
      </w:pPr>
    </w:p>
    <w:p>
      <w:pPr>
        <w:ind w:right="100" w:firstLine="509"/>
        <w:spacing w:after="0" w:line="242" w:lineRule="auto"/>
        <w:rPr>
          <w:sz w:val="20"/>
          <w:szCs w:val="20"/>
          <w:color w:val="auto"/>
        </w:rPr>
      </w:pPr>
      <w:r>
        <w:rPr>
          <w:rFonts w:ascii="Times New Roman" w:cs="Times New Roman" w:eastAsia="Times New Roman" w:hAnsi="Times New Roman"/>
          <w:sz w:val="18"/>
          <w:szCs w:val="18"/>
          <w:color w:val="auto"/>
        </w:rPr>
        <w:t>Furthermore, following Brexit, the relationship between the United Kingdom and the EEA in relation to certain aspects of data protection law remains somewhat uncertain. On June 28, 2021, the European Commission issued an adequacy decision under the GDPR which allows transfers (other than those carried out for the purposes of U.K. immigration control) of personal data from the EEA to the U.K. to continue without restriction for a period of four years ending June 27, 2025. After that period, the adequacy decision may be renewed only if the U.K. continues to ensure an adequate level of data protection. During these four years, the European Commission will continue to monitor the legal situation in the U.K. and could intervene at any point if the U.K. deviates from the level of data protection in place at the time of issuance of the adequacy decision. If the adequacy decision is withdrawn or not renewed, transfers of personal data from the EEA to the U.K. will require a valid ‘transfer mechanism’ and we may be required to implement new processes and put new agreements in place, such as Standard Contractual Clauses, to enable transfers of personal data from the EEA to the U.K. to continue, which could disrupt our operations.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Violations of the GDPR may be sanctioned by fines of up to €20 million or up to 4% of an undertaking’s total worldwide annual turnover of the preceding financial year, whichever is higher. Further, under the UK GDPR, parallel fines of up to the greater of £17.5 million or 4% of an undertaking’s total worldwide annual turnover may be imposed. In addition to administrative fines, a wide variety of other potential enforcement powers are available to competent authorities in respect of potential and suspected violations of the GDPR, including extensive audit and inspection rights, and powers to order temporary or permanent bans on all or some processing of personal data carried out by noncompliant actors. 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orders to cease/change our use of data, enforcement notices, or potential civil claims including class action-type litigation. While we have taken steps to comply with the GDPR where applicable, including by reviewing our security procedures, engaging data protection personnel, and entering into data processing agreements with relevant contractors, our efforts to achieve and remain in compliance may not be fully successful.</w:t>
      </w:r>
    </w:p>
    <w:p>
      <w:pPr>
        <w:spacing w:after="0" w:line="80"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7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withdrawal of the UK from the EU may adversely impact our ability to obtain regulatory approvals of our product candidates in the EU, result in restrictions or imposition of taxes and duties for importing our product candidates into the EU, and may require us to incur additional expenses in order to develop, manufacture and commercialize our product candidates in the EU.</w:t>
      </w:r>
    </w:p>
    <w:p>
      <w:pPr>
        <w:spacing w:after="0" w:line="60"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or the Transition Period, during which EU rules continued to apply. A trade and cooperation agreement, or the Trade and Cooperation Agreement, that outlines the future trading relationship between the United Kingdom and the European Union applied provisionally from January 1, 2021, and formally entered into force on May 1, 2021.</w:t>
      </w:r>
    </w:p>
    <w:p>
      <w:pPr>
        <w:spacing w:after="0" w:line="73"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UK applicable to our business and our product candidates is derived from EU directives and regulations, Brexit has had, and may continue to have, a material impact upon the regulatory regime with respect to the development, manufacture, importation, approval and commercialization of our product candidates in the UK. For example, Great Britain is no longer covered by the centralized procedures for obtaining EU-wide marketing authorization from the EMA and a separate process for authorization of drug products, including tildacerfont and any future product candidates, currently applies in Great Britain. Any delay in obtaining, or an inability to obtain, any marketing approvals, as a result of Brexit or otherwise, would restrict our ability to generate revenue and achieve and sustain profitability.</w:t>
      </w:r>
    </w:p>
    <w:p>
      <w:pPr>
        <w:spacing w:after="0" w:line="72"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Following Brexit, there is no pre-marketing authorization orphan designation in Great Britain, instead an application for orphan designation is made at the same time as an application for marketing authorization. Orphan designation in the Great Britain following Brexit is based on the prevalence of the condition in Great Britain as opposed to the previous position where prevalence in the EU was the determinant. It is therefore possible that conditions that were previously designated as orphan conditions in the United Kingdom will no longer be and that conditions that are not designated as orphan conditions in the European Union will be designated as such in the United Kingdom, or Great Britain.</w:t>
      </w:r>
    </w:p>
    <w:p>
      <w:pPr>
        <w:spacing w:after="0" w:line="6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While the Trade and Cooperation Agreement provides for the tariff-free trade of medicinal products between the UK and the EU there are additional non-tariff costs to such trade which did not exist prior to the end of the Transition Period, and shipments between the UK and the EU are more likely to be delayed compared to the position prior to Brexit. Further, should the UK diverge from the EU from a regulatory perspective in relation to medicinal products, tariffs could be put in place in the future. If any of these outcomes occur, we may be forced to restrict or delay efforts to seek regulatory approval in the UK for tildacerfont and any future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0"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tildacerfont and any future product candidates.</w:t>
      </w:r>
    </w:p>
    <w:p>
      <w:pPr>
        <w:spacing w:after="0" w:line="50"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tildacerfont and any future product candidates and will face an even greater risk if we commercialize any products. For example, we may be sued if tildacerfont or any future product candidates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tildacerfont. Even successful defense would require significant financial and management resources. Regardless of the merits or eventual outcome, liability claims may result in:</w:t>
      </w:r>
    </w:p>
    <w:p>
      <w:pPr>
        <w:spacing w:after="0" w:line="73"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tildacerfont and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tildacerfont and any future product candidates; or</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104"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We currently carry an aggregate of up to $7.0 million of product liability insurance covering our clinical trials. Although we maintain such insurance, any claim that may be brought against us could result in a court judgment or settlement in an amount that is not covered, in whole or in part, by our insurance or that is in excess of the limits of our insurance coverage. If we determine that it is prudent to increase our product liability coverage due to the commercial launch of any approved product, we may be unable to obtain such increased coverage on acceptable terms, or at all.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8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8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08"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As of December 31, 2021, after reducing net operating losses, or NOLs, and tax credits for amounts not expected to be utilized, we had federal NOL carryforwards of approximately $98.6 million and state NOL carryforwards of approximately $98.4 million. The federal NOL carryforwards arising in taxable years beginning prior to 2018 will begin to expire in 2036 and state NOL carryforwards will begin to expire in 2036, unless previously utilized. We also have federal and state tax credit carryforwards totaling $5.6 million and $1.0 million, respectively. The federal tax credit carryforwards will begin to expire in 2036, unless previously utilized. The state tax credits will not expire.</w:t>
      </w:r>
    </w:p>
    <w:p>
      <w:pPr>
        <w:spacing w:after="0" w:line="72"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Under the Tax Act, as modified by the Coronavirus Aid, Relief, and Economic Security Act, or CARES Act, federal NOL carryforwards generated in tax years beginning after December 31, 2017 may be carried forward indefinitely but may only be used to offset 80% of our taxable income annually. Similar rules may apply under state tax laws. Such limitations could result in the expiration of our carryforwards before they can be utilized and, if we are profitable, our future cash flows could be adversely affected due to our increased taxable income or tax liability. Our NOLs and tax credit carryforwards are subject to review and possible adjustment by the Internal Revenue Service and state tax authorities and may become subject to an annual limitations under Section 382 and 383 of the Internal Revenue Code of 1986, as amended. Under Section 382, certain cumulative changes in the ownership interest of significant stockholders over a rolling three-year period in excess of 50 percentage points (by value), could result in an ownership change that may limit our ability to utilize our NOL carryforwards and other tax attributes to offset future taxable income or tax liabilities. An ownership change analysis covering periods through December 31, 2021 concluded that an ownership change occurred in May 2016 and in August 2020. As a result of the ownership change, we derecognized NOL-related deferred tax assets down to the amount expected to be realized. Our ability to use our remaining NOL carryforwards may be further limited if we experience a Section 382 ownership change as a result of future changes in our stock ownership. As of September 30, 2022, we recorded a full valuation allowance on our net deferred tax assets.</w:t>
      </w:r>
    </w:p>
    <w:p>
      <w:pPr>
        <w:spacing w:after="0" w:line="94"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50"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and the recently enacted Inflation Reduction Act of 2022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Inflation Reduction Act, or any other newly enacted federal tax legislation. Changes in corporate tax rates, the realization of net deferred tax assets relating to our operations, and the deductibility of expenses under the Tax Act or future reform legislation could have a material impact on the value of our net deferred tax assets, could result in significant one-time charges, and could increase our future tax expense.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04"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licensed from Lilly, the termination of which could result in the loss of significant rights, which would harm our business.</w:t>
      </w:r>
    </w:p>
    <w:p>
      <w:pPr>
        <w:spacing w:after="0" w:line="63"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We are dependent on technology, patents, know-how, and proprietary materials, both our own and licensed from others. We entered into a license agreement with Lilly in May 2016 pursuant to which we were granted an exclusive, worldwide, royalty bearing, sublicensable license under certain technology, patent rights, know-how, and proprietary materials relating to certain CRF1 receptor antagonist compounds. Any termination of this license will result in the loss of significant rights and will restrict our ability to develop and commercialize tildacerfont.</w:t>
      </w:r>
    </w:p>
    <w:p>
      <w:pPr>
        <w:spacing w:after="0" w:line="69"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spacing w:after="0" w:line="78"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If these third parties do not successfully carry out their contractual duties or meet expected deadlines, we may not be able to obtain regulatory approval for or commercialize tildacerfont.</w:t>
      </w:r>
    </w:p>
    <w:p>
      <w:pPr>
        <w:spacing w:after="0" w:line="50"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We currently rely on, and intend to continue relying on, third-party CROs in connection with our clinical trials for tildacerfont. We control or will control only certain aspects of their activities. Nevertheless, we are responsible for ensuring that each of our clinical trials is conducted in accordance with applicable protocol, legal, regulatory, and scientific standards, and our reliance on our CROs does not relieve us of our regulatory responsibilities. We and our CROs are required to comply with GCPs, which are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04"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CROs fail to comply with applicable GCP regulations, the clinical data generated in our clinical trials may be deemed unreliable and the FDA or comparable foreign regulatory authorities may require us to perform additional clinical trials before approving our marketing applications. Upon inspection, such regulatory authorities may determine that our clinical trials do not comply with the GCP regulations. In addition, our clinical trials must be conducted with drug product produced under cGMP regulations and will require a large number of test subjects. Our failure or any failure by our CROs to comply with these regulations or to recruit a sufficient number of patients may require us to repeat clinical trials, which would delay the regulatory approval process. Moreover, our business may be implicated if any of our CROs violates federal or state fraud and abuse or false claims laws and regulations or healthcare privacy and security laws.</w:t>
      </w:r>
    </w:p>
    <w:p>
      <w:pPr>
        <w:spacing w:after="0" w:line="79"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Our CROs are not our employees and, except for remedies available to us under our agreements with such CROs, we cannot control whether or not they devote sufficient time and resources to our ongoing preclinical, clinical and non-clinical programs. These CROs may also have relationships with other commercial entities, including our competitors, for whom they may also be conducting clinical trials or other drug development activities, which could affect their performance on our behalf. If our CROs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for or successfully commercialize tildacerfont and any future product candidates. As a result, our financial results and the commercial prospects for tildacerfont and any future product candidates would be harmed, our costs could increase and our ability to generate revenues could be delayed.</w:t>
      </w:r>
    </w:p>
    <w:p>
      <w:pPr>
        <w:spacing w:after="0" w:line="77" w:lineRule="exact"/>
        <w:rPr>
          <w:sz w:val="20"/>
          <w:szCs w:val="20"/>
          <w:color w:val="auto"/>
        </w:rPr>
      </w:pPr>
    </w:p>
    <w:p>
      <w:pPr>
        <w:ind w:right="360" w:firstLine="509"/>
        <w:spacing w:after="0" w:line="250" w:lineRule="auto"/>
        <w:rPr>
          <w:sz w:val="20"/>
          <w:szCs w:val="20"/>
          <w:color w:val="auto"/>
        </w:rPr>
      </w:pPr>
      <w:r>
        <w:rPr>
          <w:rFonts w:ascii="Times New Roman" w:cs="Times New Roman" w:eastAsia="Times New Roman" w:hAnsi="Times New Roman"/>
          <w:sz w:val="18"/>
          <w:szCs w:val="18"/>
          <w:color w:val="auto"/>
        </w:rPr>
        <w:t>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Although we carefully manage our relationships with our CROs, we may encounter challenges or delays in the future and these delays or challenges may have a material adverse impact on our business, prospects, financial condition, and results of operations.</w:t>
      </w:r>
    </w:p>
    <w:p>
      <w:pPr>
        <w:spacing w:after="0" w:line="83"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our CROs, which could disrupt our clinical timelines, which could have a material adverse impact on our business, prospects, financial condition, and results of operations.</w:t>
      </w:r>
    </w:p>
    <w:p>
      <w:pPr>
        <w:spacing w:after="0" w:line="65"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rely completely on third parties to manufacture our preclinical and clinical drug supplies and we intend to rely on third parties to produce commercial supplies of tildacerfont and any future product candidates, if approved, and these third parties may fail to obtain and maintain regulatory approval for their facilities, fail to provide us with sufficient quantities of drug product or fail to do so at acceptable quality levels or prices.*</w:t>
      </w:r>
    </w:p>
    <w:p>
      <w:pPr>
        <w:spacing w:after="0" w:line="41"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internally to manufacture our clinical drug supplies for use in the conduct of our clinical trials, and we lack the resources and the capability to manufacture tildacerfont and any future product candidates on a clinical or commercial scale. Instead, we rely on contract manufacturers for such production. In particular, we currently rely on a single-source manufacturer for drug product, and a single-source manufacturer for drug substance.</w:t>
      </w:r>
    </w:p>
    <w:p>
      <w:pPr>
        <w:spacing w:after="0" w:line="83"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We do not currently have any long-term agreement with a manufacturer to produce raw materials, active pharmaceutical ingredients, or APIs, and the finished products of tildacerfont or the associated packaging used in our current product format and we may rely on single source suppliers for clinical supply of API and drug product of tildacerfont. We will need to identify and qualify a third-party manufacturer prior to commercialization of tildacerfont, and we intend to enter into agreements for commercial production with third-party suppliers. As tildacerfont is intended to treat rare endocrine disorders, we will only require a low-volume of raw materials and APIs, and in some cases with single-source suppliers and manufacturers. Our reliance on third-party suppliers and manufacturers, including single-source suppliers, could harm our ability to develop tildacerfont and any future product candidates or to commercialize any product candidates that are approved. Further, any delay in identifying and qualifying a manufacturer for commercial production could delay the potential commercialization of tildacerfont and any future product candidates, and, in the event that we do not have sufficient product to complete our clinical trials, it could delay such trials.</w:t>
      </w:r>
    </w:p>
    <w:p>
      <w:pPr>
        <w:spacing w:after="0" w:line="79"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tildacerfont and any future product candidates must be approved by the applicable regulatory authorities, including the FDA, pursuant to inspections that will be conducted after an NDA or comparable foreign regulatory marketing application is submitted. We currently do not control the manufacturing process of tildacerfont and are completely dependent on our contract manufacturing partners for compliance with the FDA’s cGMP requirements for manufacture of both the active drug substances and finished drug product. If our contract manufacturers cannot successfully manufacture material that conforms to our specifications and the FDA’s strict regulatory requirements, they will not be able to secure or maintain FDA approval for the manufacturing facilities. In addition, we have no control over the ability of our contract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0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manufacturers to maintain adequate quality control, quality assurance and qualified personnel. If the FDA or any other applicable regulatory authority does not approve these facilities for the manufacture of tildacerfont or any future product candidates or if it withdraws any such approval in the future,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which would significantly impact our ability to develop, obtain regulatory approval for, or market tildacerfont and any future product candidates.</w:t>
      </w:r>
    </w:p>
    <w:p>
      <w:pPr>
        <w:spacing w:after="0" w:line="7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tildacerfont or any future product candidates or in the manufacturing facilities, such manufacturing facilities may need to be closed for an extended period of time to investigate and remedy the contamination. Any stability or other issues relating to the manufacture of tildacerfont may occur in the future. In addition, quarantines, shelter-in-place, and similar government orders, or the perception that such orders, shutdowns, or other restrictions on the conduct of business operations could occur, related to COVID-19 or other infectious diseases could impact personnel at our third-party manufacturing facilities upon which we rely, or the availability or cost of materials, which could disrupt the supply chain for our product candidates.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78"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manufacturers use hazardous and biological materials in a manner that causes injury or violates applicable law, we may be liable for damages.</w:t>
      </w:r>
    </w:p>
    <w:p>
      <w:pPr>
        <w:spacing w:after="0" w:line="63"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any future product candidates, and other proprietary technologies if approved, may be adversely affected.</w:t>
      </w:r>
    </w:p>
    <w:p>
      <w:pPr>
        <w:spacing w:after="0" w:line="66"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a combination of patents, trade secret protection and confidentiality agreements to protect the intellectual property related to tildacerfont, any future product candidates, and other proprietary technologies we develop. If we are unable to obtain or maintain patent protection with respect to tildacerfont, any future product candidates, and other proprietary technologies we may develop, our business, financial condition, results of operations, and prospects could be materially harmed.</w:t>
      </w:r>
    </w:p>
    <w:p>
      <w:pPr>
        <w:spacing w:after="0" w:line="69"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tildacerfont, any future product candidates, and other proprietary technologies we 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0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82"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actual or potential future collaborators will be successful in protecting tildacerfont, any future product candidates, and other proprietary technologies and their uses by obtaining, defending and enforcing patents. These risks and uncertainties include the following:</w:t>
      </w:r>
    </w:p>
    <w:p>
      <w:pPr>
        <w:spacing w:after="0" w:line="82" w:lineRule="exact"/>
        <w:rPr>
          <w:sz w:val="20"/>
          <w:szCs w:val="20"/>
          <w:color w:val="auto"/>
        </w:rPr>
      </w:pPr>
    </w:p>
    <w:p>
      <w:pPr>
        <w:ind w:left="1020" w:right="40" w:hanging="503"/>
        <w:spacing w:after="0" w:line="250"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or in-licensed may be challenged, invalidated, modified, revoked, circumvented, found to be unenforceable, or may otherwise not provide any competitive advantage;</w:t>
      </w:r>
    </w:p>
    <w:p>
      <w:pPr>
        <w:spacing w:after="0" w:line="54" w:lineRule="exact"/>
        <w:rPr>
          <w:rFonts w:ascii="Times New Roman" w:cs="Times New Roman" w:eastAsia="Times New Roman" w:hAnsi="Times New Roman"/>
          <w:sz w:val="18"/>
          <w:szCs w:val="18"/>
          <w:color w:val="auto"/>
        </w:rPr>
      </w:pPr>
    </w:p>
    <w:p>
      <w:pPr>
        <w:ind w:left="1020" w:right="180" w:hanging="503"/>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6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composition of matter, methods or formulations or by claiming subject matter that could dominate our patent position;</w:t>
      </w:r>
    </w:p>
    <w:p>
      <w:pPr>
        <w:spacing w:after="0" w:line="61"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successful opposition to any patents owned by or licensed to us could deprive us of rights necessary for the practice of our technologies or the successful commercialization of any products or product candidates that we may develop;</w:t>
      </w:r>
    </w:p>
    <w:p>
      <w:pPr>
        <w:spacing w:after="0" w:line="40" w:lineRule="exact"/>
        <w:rPr>
          <w:rFonts w:ascii="Times New Roman" w:cs="Times New Roman" w:eastAsia="Times New Roman" w:hAnsi="Times New Roman"/>
          <w:sz w:val="18"/>
          <w:szCs w:val="18"/>
          <w:color w:val="auto"/>
        </w:rPr>
      </w:pPr>
    </w:p>
    <w:p>
      <w:pPr>
        <w:ind w:left="1020" w:right="280" w:hanging="503"/>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patent applications in the United States and most other countries are confidential for a period of time after filing, we cannot be certain that we or our licensors were the first to file any patent application related to tildacerfont, any future product candidates, and other proprietary technologies and their uses;</w:t>
      </w:r>
    </w:p>
    <w:p>
      <w:pPr>
        <w:spacing w:after="0" w:line="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54" w:lineRule="exact"/>
        <w:rPr>
          <w:rFonts w:ascii="Times New Roman" w:cs="Times New Roman" w:eastAsia="Times New Roman" w:hAnsi="Times New Roman"/>
          <w:sz w:val="18"/>
          <w:szCs w:val="18"/>
          <w:color w:val="auto"/>
        </w:rPr>
      </w:pPr>
    </w:p>
    <w:p>
      <w:pPr>
        <w:ind w:left="1020" w:right="120" w:hanging="503"/>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1"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 candidates in those countries.</w:t>
      </w:r>
    </w:p>
    <w:p>
      <w:pPr>
        <w:spacing w:after="0" w:line="40"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or maintain all necessary or desirable patent applications at a reasonable cost or in a timely manner, including delays as a result of the COVID-19 pandemic impacting our or our licensor's operations.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04" w:lineRule="exact"/>
        <w:rPr>
          <w:sz w:val="20"/>
          <w:szCs w:val="20"/>
          <w:color w:val="auto"/>
        </w:rPr>
      </w:pPr>
    </w:p>
    <w:p>
      <w:pPr>
        <w:ind w:right="280" w:firstLine="509"/>
        <w:spacing w:after="0" w:line="250"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tildacerfont, any future product candidates, and other proprietary technologies and erode or negate any competitive advantage we may have, which could have a material adverse effect on our financial condition and results of operations. For example:</w:t>
      </w:r>
    </w:p>
    <w:p>
      <w:pPr>
        <w:spacing w:after="0" w:line="69" w:lineRule="exact"/>
        <w:rPr>
          <w:sz w:val="20"/>
          <w:szCs w:val="20"/>
          <w:color w:val="auto"/>
        </w:rPr>
      </w:pPr>
    </w:p>
    <w:p>
      <w:pPr>
        <w:ind w:left="1020" w:right="44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tildacerfont and any future product candidates but that are not covered by the claims of our patents;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pending patent applications;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for these inventions;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we obtain may not provide us with any competitive advantages;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03" w:lineRule="exact"/>
        <w:rPr>
          <w:rFonts w:ascii="Times New Roman" w:cs="Times New Roman" w:eastAsia="Times New Roman" w:hAnsi="Times New Roman"/>
          <w:sz w:val="18"/>
          <w:szCs w:val="18"/>
          <w:color w:val="auto"/>
        </w:rPr>
      </w:pPr>
    </w:p>
    <w:p>
      <w:pPr>
        <w:ind w:left="1020" w:right="740" w:hanging="503"/>
        <w:spacing w:after="0" w:line="258"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spacing w:after="0" w:line="61"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products;</w:t>
      </w:r>
    </w:p>
    <w:p>
      <w:pPr>
        <w:spacing w:after="0" w:line="67"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products on a substantial scale, if approved, before the relevant patents that we own or license expire; or</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or invalidity proceedings before U.S. or non-U.S. patent offices.</w:t>
      </w:r>
    </w:p>
    <w:p>
      <w:pPr>
        <w:spacing w:after="0" w:line="69"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cannot be certain that the claims in our issued patents and pending patent applications covering tildacerfont or any future product candidates will be considered patentable by the USPTO, courts in the United States, or by patent offices and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w:t>
      </w:r>
    </w:p>
    <w:p>
      <w:pPr>
        <w:spacing w:after="0" w:line="69"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fields involves complex legal and scientific questions and can be uncertain. The patent applications that we own or in-license may fail to result in issued patents with claims that cover tildacerfont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tildacerfont and any future product candidates. Furthermore, even if they are unchallenged, our patents may not adequately protect our intellectual property, provide exclusivity for tildacerfont or any future product candidates or prevent others from designing around our claims. If the breadth or strength of protection provided by the patents we hold with respect to tildacerfont or any future product candidates is threatened, it could dissuade companies from collaborating with us to develop, or threaten our ability to commercialize, tildacerfont or any future product candidates.</w:t>
      </w:r>
    </w:p>
    <w:p>
      <w:pPr>
        <w:spacing w:after="0" w:line="77"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w:t>
      </w:r>
    </w:p>
    <w:p>
      <w:pPr>
        <w:spacing w:after="0" w:line="73"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For U.S. patent applications containing a claim not entitled to priority before March 16, 2013, there is greater level of uncertainty in the patent law. In September 2011, the Leahy-Smith America Invents Act, or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Act, and in particular, the “first to file” provisions, were enacted on March 16, 2013. This will require us to be cognizant going forward of the time from invention to filing of a patent application and be diligent in filing patent applications, but circumstances 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Even if we or our licensors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tildacerfont, our business may be materially harmed.</w:t>
      </w:r>
    </w:p>
    <w:p>
      <w:pPr>
        <w:spacing w:after="0" w:line="10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tildacerfont, or any future product candidate we may develop, one or more of patents issuing from our U.S. patent applications may be eligible for limited patent term extension under the Drug Price Competition and Patent Term Restoration Action of 1984, or Hatch-Waxman Amendments. The Hatch-Waxman Amendments permit a patent extension term, or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or SPC. If we encounter delays in our development efforts, including our clinical trials, the period of time during which we could market tildacerfont and any future product candidates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spacing w:after="0" w:line="7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rights from third parties, such as our license agreement with Lilly, or otherwise experience disruptions to our business relationships with our licensors, we could lose license rights that are important to our business.</w:t>
      </w:r>
    </w:p>
    <w:p>
      <w:pPr>
        <w:spacing w:after="0" w:line="60" w:lineRule="exact"/>
        <w:rPr>
          <w:sz w:val="20"/>
          <w:szCs w:val="20"/>
          <w:color w:val="auto"/>
        </w:rPr>
      </w:pPr>
    </w:p>
    <w:p>
      <w:pPr>
        <w:jc w:val="both"/>
        <w:ind w:right="220" w:firstLine="509"/>
        <w:spacing w:after="0" w:line="258" w:lineRule="auto"/>
        <w:rPr>
          <w:sz w:val="20"/>
          <w:szCs w:val="20"/>
          <w:color w:val="auto"/>
        </w:rPr>
      </w:pPr>
      <w:r>
        <w:rPr>
          <w:rFonts w:ascii="Times New Roman" w:cs="Times New Roman" w:eastAsia="Times New Roman" w:hAnsi="Times New Roman"/>
          <w:sz w:val="18"/>
          <w:szCs w:val="18"/>
          <w:color w:val="auto"/>
        </w:rPr>
        <w:t>We are a party to a license agreement with Lilly under which we are granted intellectual property rights that are important to our business and our only product candidate, tildacerfont. If we fail to comply with our obligations under the license agreement, or we are subject to a bankruptcy, the license agreement may be terminated, in which event we would not be able to develop, commercialize or market tildacerfont.</w:t>
      </w:r>
    </w:p>
    <w:p>
      <w:pPr>
        <w:spacing w:after="0" w:line="6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w:t>
      </w:r>
    </w:p>
    <w:p>
      <w:pPr>
        <w:spacing w:after="0" w:line="40"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0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rights of the licensor that are not subject to the license agreement;</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intellectual property rights to third parties under collaborative development relationships;</w:t>
      </w:r>
    </w:p>
    <w:p>
      <w:pPr>
        <w:spacing w:after="0" w:line="103" w:lineRule="exact"/>
        <w:rPr>
          <w:rFonts w:ascii="Times New Roman" w:cs="Times New Roman" w:eastAsia="Times New Roman" w:hAnsi="Times New Roman"/>
          <w:sz w:val="18"/>
          <w:szCs w:val="18"/>
          <w:color w:val="auto"/>
        </w:rPr>
      </w:pPr>
    </w:p>
    <w:p>
      <w:pPr>
        <w:ind w:left="1020" w:right="70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tildacerfont, and what activities satisfy those diligence obligations; and</w:t>
      </w:r>
    </w:p>
    <w:p>
      <w:pPr>
        <w:spacing w:after="0" w:line="67"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Further, our current licensor or any future licensor may not always act in our best interest.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6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are generally also subject to all of the same risks with respect to protection of intellectual property that we license as we are for intellectual property that we own, which are described below. If we, our current licensor, or any future licensor fail to adequately protect this intellectual property, our ability to commercialize tildacerfont and any future product could be impeded.</w:t>
      </w:r>
    </w:p>
    <w:p>
      <w:pPr>
        <w:spacing w:after="0" w:line="57" w:lineRule="exact"/>
        <w:rPr>
          <w:sz w:val="20"/>
          <w:szCs w:val="20"/>
          <w:color w:val="auto"/>
        </w:rPr>
      </w:pPr>
    </w:p>
    <w:p>
      <w:pPr>
        <w:jc w:val="both"/>
        <w:ind w:right="5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1"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 employ an outside firm and rely on our outside counsel to pay these fees due to foreign patent agencies. These systems and processes may be negatively impacted by the COVID-19 pandemic in various aspects.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with similar or identical products or technology earlier than should otherwise have been the case, which would have a material adverse effect on our business, financial condition, results of operations, and prospects.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tildacerfont.</w:t>
      </w:r>
    </w:p>
    <w:p>
      <w:pPr>
        <w:spacing w:after="0" w:line="108"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injunctions and/or damages. For example, the scope of patentable subject matter under 35 U.S.C. 101 has evolved significantly over the past several years as the Court of Appeals for the Federal Circuit and the Supreme Court issued various opinions, and the USPTO modified its guidance for practitioners on multiple occasions. Other countries may likewise enact changes to their patent laws in ways that adversely diminish the scope of patent protection and weaken the rights of patent owners to obtain patents, enforce patent infringement, and obtain injunctions and/or damages.</w:t>
      </w:r>
    </w:p>
    <w:p>
      <w:pPr>
        <w:spacing w:after="0" w:line="78"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inter partes review, and derivation proceedings that allow third parties to challenge the validity of issued patents.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08"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Patents are of national or regional effect. Filing, prosecuting, and defending patents on tildacerfont,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The requirements for patentability may differ in certain countries. For example, unlike other countries, China has a heightened requirement for patentability, and specifically requires a detailed description of medical uses of a claimed drug. In India, unlike the 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w:t>
      </w:r>
    </w:p>
    <w:p>
      <w:pPr>
        <w:spacing w:after="0" w:line="7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61"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 could make it difficult for us to stop the infringement of our patents or marketing of competing products in violation of our proprietary rights generally. </w:t>
      </w:r>
      <w:r>
        <w:rPr>
          <w:rFonts w:ascii="Times New Roman" w:cs="Times New Roman" w:eastAsia="Times New Roman" w:hAnsi="Times New Roman"/>
          <w:sz w:val="18"/>
          <w:szCs w:val="18"/>
          <w:color w:val="231F20"/>
        </w:rPr>
        <w:t>In Europe, no earlier than October 1, 2022, European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applications will soon have the option, upon grant of a patent, of becoming a Unitary Patent which will be subject to the jurisdiction of the Unitary Patent Court (UPC). This will be a significant change in European patent practice. As the UPC is a new court system, there is no precedent for the court, increasing the uncertainty of any litigation. </w:t>
      </w:r>
      <w:r>
        <w:rPr>
          <w:rFonts w:ascii="Times New Roman" w:cs="Times New Roman" w:eastAsia="Times New Roman" w:hAnsi="Times New Roman"/>
          <w:sz w:val="18"/>
          <w:szCs w:val="18"/>
          <w:color w:val="000000"/>
        </w:rPr>
        <w:t>Proceedings to enforce our patent rights in foreign jurisdictions could result in substantial costs and divert 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94"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patents and other intellectual property.</w:t>
      </w:r>
    </w:p>
    <w:p>
      <w:pPr>
        <w:spacing w:after="0" w:line="108"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may be subject to claims that former employees (including former employees of our licensors), collaborators or other third parties have an interest in our patents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tildacerfont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spacing w:after="0" w:line="7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3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Presently we have intellectual property rights, through licenses from third parties including Lilly, related to tildacerfont. Because our program may require the use of additional proprietary rights held by third parties, the growth of our business will likely depend in part on our ability to acquire, in-license or use these proprietary rights. In addition, tildacerfont may require specific formulations to work effectively and efficiently and these rights may be held by others. We may be unable to acquire or in-license, on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reasonable terms, proprietary rights related to any compositions, formulations, methods of use, processes or other intellectual property rights from third parties that we identify as being necessary for tildacerfont.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69"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Where we obtain licenses from or collaborate with third parties, we may not have the right to control the preparation, filing, and prosecution of patent applications, or to maintain the patents, covering technology that we license from third parties, or such activities, if controlled by us, may require the input of such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or in compliance with applicable laws and regulations, which may affect the validity and enforceability of such patents or any patents that may issue from such application.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85"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tildacerfont. More established companies may have a competitive advantage over us due to their size, cash resources and greater clinical development and commercialization capabilities.</w:t>
      </w:r>
    </w:p>
    <w:p>
      <w:pPr>
        <w:spacing w:after="0" w:line="69"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For example, we may collaborate with U.S. and foreign academic institutions to accelerate our preclinical research or development under written agreements with these institutions. Typically, these institutions provide us with an option to negotiate an 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w:t>
      </w:r>
    </w:p>
    <w:p>
      <w:pPr>
        <w:spacing w:after="0" w:line="69"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alleging intellectual property infringement may prevent or delay our drug discovery and development efforts.</w:t>
      </w:r>
    </w:p>
    <w:p>
      <w:pPr>
        <w:spacing w:after="0" w:line="121"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Our success depends in part on our avoiding infringement of the patents and proprietary rights of third parties. There is a substantial amount of litigation, both within and outside the United States, involving patents and other intellectual property rights in the biotechnology and pharmaceutical industries, as well as administrative proceedings for challenging patents, including inter partes review, interference and reexamination proceedings before the USPTO, or oppositions and other comparable proceedings in foreign jurisdictions. The America Invents Act introduced new procedures including inter partes review and post grant review. The implementation of these procedures brings uncertainty to the possibility of challenges to our patents in the future and the outcome of such challenges. Numerous U.S. and foreign issued patents and pending patent applications, which are owned by third parties, exist in the fields in which we are developing tildacerfont. As the biotechnology and pharmaceutical industries expand and more patents are issued, the risk increases that our activities related to tildacerfont may give rise to claims of infringement of the patent rights of others.</w:t>
      </w:r>
    </w:p>
    <w:p>
      <w:pPr>
        <w:spacing w:after="0" w:line="78"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 future product candidates. Nevertheless, we are not aware of any issued patents that will prevent us from marketing tildacerfont.</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tildacerfont. Because patent applications can take many years to issue and may be confidential for 18 months or more after filing, there may be currently pending third-party patent applications which may later result in issued patents that tildacerfont,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tildacerfont or future product candidates. Defense of these claims, regardless of their merit, could involve substantial expenses and could be a substantial diversion of management and other employee resources from our business.</w:t>
      </w:r>
    </w:p>
    <w:p>
      <w:pPr>
        <w:spacing w:after="0" w:line="78" w:lineRule="exact"/>
        <w:rPr>
          <w:sz w:val="20"/>
          <w:szCs w:val="20"/>
          <w:color w:val="auto"/>
        </w:rPr>
      </w:pPr>
    </w:p>
    <w:p>
      <w:pPr>
        <w:ind w:right="260" w:firstLine="509"/>
        <w:spacing w:after="0" w:line="246" w:lineRule="auto"/>
        <w:rPr>
          <w:sz w:val="20"/>
          <w:szCs w:val="20"/>
          <w:color w:val="auto"/>
        </w:rPr>
      </w:pPr>
      <w:r>
        <w:rPr>
          <w:rFonts w:ascii="Times New Roman" w:cs="Times New Roman" w:eastAsia="Times New Roman" w:hAnsi="Times New Roman"/>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claims of patent infringement asserted by third parties would be time-consuming and could:</w:t>
      </w:r>
    </w:p>
    <w:p>
      <w:pPr>
        <w:spacing w:after="0" w:line="10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03"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tildacerfont or any future product candidates until the asserted patent expires or is finally held invalid, unenforceable, or not infringed in a court of law;</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103"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pay damages to the party whose intellectual property rights we may be found to be infringing, which may include treble damages if we are found to have been willfully infringing such intellectual property;</w:t>
      </w:r>
    </w:p>
    <w:p>
      <w:pPr>
        <w:spacing w:after="0" w:line="67"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pay the attorney’s fees and costs of litigation to the party whose intellectual property rights we may be found to be willfully infringing; and/or</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license agreements, which may not be available on commercially reasonable terms, or at all.</w:t>
      </w:r>
    </w:p>
    <w:p>
      <w:pPr>
        <w:spacing w:after="0" w:line="104"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If we are sued for patent infringement, we would need to demonstrate that our products or methods either do not infringe the patent claims of the relevant patent or that the patent claims are invalid or unenforceable, and we may not be able to do either. Proving invalidity or unenforceability is difficult. For example, in the United States, proving invalidity before federal courts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or enforceability of the patents in court. Patent litigation is costly and time-consuming. We may not have sufficient resources to bring these actions to a successful conclusion. In addition, if we do not obtain a license, develop or obtain non-infringing technology, fail to defend an infringement action successfully or have infringed patents declared invalid or unenforceable, we may incur substantial monetary damages, encounter significant delays in bringing tildacerfont to market and be precluded from developing, manufacturing or selling tildacerfont.</w:t>
      </w:r>
    </w:p>
    <w:p>
      <w:pPr>
        <w:spacing w:after="0" w:line="9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do not always conduct independent reviews of pending patent applications of and patents issued to third parties. We cannot be certain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candidates in any jurisdiction, because:</w:t>
      </w:r>
    </w:p>
    <w:p>
      <w:pPr>
        <w:spacing w:after="0" w:line="73"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patent applications in the United States may be maintained in secrecy until the patents are issued;</w:t>
      </w:r>
    </w:p>
    <w:p>
      <w:pPr>
        <w:spacing w:after="0" w:line="10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United States and elsewhere can be pending for many years before issuance, or unintentionally abandoned patents or applications can be revived;</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left="1020" w:right="26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have been published can, subject to certain limitations, be later amended in a manner that could cover our technologies, tildacerfont, and any future product candidates or the use of tildacerfont and any future product candidates;</w:t>
      </w:r>
    </w:p>
    <w:p>
      <w:pPr>
        <w:spacing w:after="0" w:line="54"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United States are typically not published until 18 months after the priority date;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in the scientific literature often lag behind actual discoveries.</w:t>
      </w:r>
    </w:p>
    <w:p>
      <w:pPr>
        <w:spacing w:after="0" w:line="117"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w:t>
      </w:r>
    </w:p>
    <w:p>
      <w:pPr>
        <w:spacing w:after="0" w:line="74"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Our competitors may have filed, and may in the future file, patent applications covering technology similar to ours, and others may have or obtain patents or proprietary rights that could limit our ability to make, use, sell, offer for sale or import tildacerfont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tildacerfont.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spacing w:after="0" w:line="91" w:lineRule="exact"/>
        <w:rPr>
          <w:sz w:val="20"/>
          <w:szCs w:val="20"/>
          <w:color w:val="auto"/>
        </w:rPr>
      </w:pPr>
    </w:p>
    <w:p>
      <w:pPr>
        <w:jc w:val="both"/>
        <w:ind w:right="120" w:firstLine="509"/>
        <w:spacing w:after="0" w:line="250"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69"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If a third party prevails in a patent infringement lawsuit against us, we may have to stop making and selling the infringing product,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w:t>
      </w:r>
    </w:p>
    <w:p>
      <w:pPr>
        <w:spacing w:after="0" w:line="6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We cannot predict whether any such license would be available at all or whether it would be available on commercially reasonable terms.</w:t>
      </w:r>
    </w:p>
    <w:p>
      <w:pPr>
        <w:spacing w:after="0" w:line="27"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8"/>
          <w:szCs w:val="18"/>
          <w:color w:val="auto"/>
        </w:rPr>
        <w:t>Furthermore, even in the absence of litigation, we may need to obtain licenses from third parties to advance our research or allow commercialization of tildacerfont. We may fail to obtain any of these licenses at a reasonable cost or on reasonable terms, if at all. In that event, we would be unable to further develop and commercialize tildacerfont, which could harm our business significantly. Even if we were able to obtain a license, the rights may be nonexclusive, which may give our competitors access to the same intellectual property.</w:t>
      </w:r>
    </w:p>
    <w:p>
      <w:pPr>
        <w:spacing w:after="0" w:line="71"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3"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in addition to our employees, we engage the services of consultants to assist us in the development of tildacerfont, any future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 Further, our issued patents could be found invalid or unenforceable if challenged in court, and we may incur substantial costs as a result of litigation or other proceedings relating to patent and other intellectual property rights.*</w:t>
      </w:r>
    </w:p>
    <w:p>
      <w:pPr>
        <w:spacing w:after="0" w:line="8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Third parties including competitors may infringe, misappropriate or otherwise violate our patents, patents that may issue to us in the future, or the patents of our licensors that are licensed to us. To counter infringement or unauthorized use, we may need to or choose to file infringement claims, which can be expensive and time-consuming. We may not be able to prevent, alone or with our licensors, infringement, misappropriation, or other violation of our intellectual property, particularly in countries where the laws may not protect those rights as fully as in the United States.</w:t>
      </w:r>
    </w:p>
    <w:p>
      <w:pPr>
        <w:spacing w:after="0" w:line="69"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 Third parties may also raise similar claims before the USPTO, even outside the context of litigation. For example, in May 2021, Neurocrine filed a petition requesting the USPTO to institute an administrative proceeding involving the post-grant review of the patentability of United States Patent 10,849,908. In December 2021, the USPTO denied Neurocrine's request for post-grant review. In January 2022, Neurocrine requested a rehearing of the USPTO's decision to deny the post-grant review and also filed a request that the Procedural Opinion Panel (POP) review the case. Additionally, in February 2022, Neurocrine filed a petition requesting the USPTO to institute an administrative proceeding involving the post-grant review of the patentability of United States Patent 11,007,201. In September 2022, the USPTO denied Neurocrine's request for post-grant review. In October 2022, Neurocrine requested a rehearing of the USPTO's decision to deny the post-grant review and also filed a request that the POP review the case. Similar mechanisms for challenging the validity and enforceability of a patent exist in foreign patent offices and courts and may result in the revocation, cancellation, or amendment of any foreign patents we or our licensors hold now or in the future.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spacing w:after="0" w:line="79"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tildacerfont and any future product candidates to market.</w:t>
      </w:r>
    </w:p>
    <w:p>
      <w:pPr>
        <w:spacing w:after="0" w:line="7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78"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the expense and uncertainty of litigation, we may not be in a position to enforce our intellectual property rights against third parties.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6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spacing w:after="0" w:line="60"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98"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spacing w:after="0" w:line="78"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7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3"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73"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Moreover, any name we have proposed to use with tildacerfont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94"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5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40"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w:t>
      </w:r>
    </w:p>
    <w:p>
      <w:pPr>
        <w:spacing w:after="0" w:line="103" w:lineRule="exact"/>
        <w:rPr>
          <w:rFonts w:ascii="Times New Roman" w:cs="Times New Roman" w:eastAsia="Times New Roman" w:hAnsi="Times New Roman"/>
          <w:sz w:val="18"/>
          <w:szCs w:val="18"/>
          <w:color w:val="auto"/>
        </w:rPr>
      </w:pPr>
    </w:p>
    <w:p>
      <w:pPr>
        <w:jc w:val="both"/>
        <w:ind w:left="1020" w:right="400" w:hanging="503"/>
        <w:spacing w:after="0" w:line="258"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61"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tildacerfont and any future product candidates;</w:t>
      </w:r>
    </w:p>
    <w:p>
      <w:pPr>
        <w:spacing w:after="0" w:line="67"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50"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2"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54" w:lineRule="exact"/>
        <w:rPr>
          <w:rFonts w:ascii="Times New Roman" w:cs="Times New Roman" w:eastAsia="Times New Roman" w:hAnsi="Times New Roman"/>
          <w:sz w:val="18"/>
          <w:szCs w:val="18"/>
          <w:color w:val="auto"/>
        </w:rPr>
      </w:pPr>
    </w:p>
    <w:p>
      <w:pPr>
        <w:ind w:left="1020" w:right="9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products;</w:t>
      </w:r>
    </w:p>
    <w:p>
      <w:pPr>
        <w:spacing w:after="0" w:line="40"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develop or commercialize such intellectual property;</w:t>
      </w:r>
    </w:p>
    <w:p>
      <w:pPr>
        <w:spacing w:after="0" w:line="54"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intellectual property rights in technologies or products resulting from the collaboration; under certain situations, the collaborators may provide us with an option to negotiate a license to such developed technologies or products, however, we may not be able to negotiate such license; and</w:t>
      </w:r>
    </w:p>
    <w:p>
      <w:pPr>
        <w:spacing w:after="0" w:line="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liquid and orderly trading market for our common stock may not be sustained.*</w:t>
      </w:r>
    </w:p>
    <w:p>
      <w:pPr>
        <w:spacing w:after="0" w:line="108"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Prior to the closing of our initial public offering, or IPO, in October 2020, there was no public market for shares of our common stock. An active trading market for our shares may not be sustained. You may not be able to sell your shares quickly or at the market price if trading in shares of our common stock is not active. As a result of these and other factors, you may be unable to resell your shares of our common stock.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and you could lose all or part of your investment.*</w:t>
      </w:r>
    </w:p>
    <w:p>
      <w:pPr>
        <w:spacing w:after="0" w:line="108"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could be subject to wide fluctuations in response to various factors, some of which are beyond our control, including limited trading volume. For example, the closing price of our common stock from November 4, 2021, to November 4, 2022, has ranged from a low of $1.02 to a high of $5.03. In addition to the factors discussed in this “Risk Factors” section and elsewhere in this Quarterly Report on Form 10-Q, these factors include:</w:t>
      </w:r>
    </w:p>
    <w:p>
      <w:pPr>
        <w:spacing w:after="0" w:line="69" w:lineRule="exact"/>
        <w:rPr>
          <w:sz w:val="20"/>
          <w:szCs w:val="20"/>
          <w:color w:val="auto"/>
        </w:rPr>
      </w:pPr>
    </w:p>
    <w:p>
      <w:pPr>
        <w:jc w:val="both"/>
        <w:ind w:left="1020" w:right="560" w:hanging="503"/>
        <w:spacing w:after="0" w:line="258"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our ongoing and planned clinical trials of tildacerfont or any future clinical trials we may conduct of tildacerfont and any future product candidates, or changes in the development status of tildacerfont and any future product candidates;</w:t>
      </w:r>
    </w:p>
    <w:p>
      <w:pPr>
        <w:spacing w:after="0" w:line="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and EMA of the clinical trial design of our planned and ongoing clinical trials of tildacerfont;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and EMA of data from our two Phase 2b clinical trials or any future clinical trials we conduct;</w:t>
      </w:r>
    </w:p>
    <w:p>
      <w:pPr>
        <w:spacing w:after="0" w:line="103"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tildacerfont and any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clinical trials as a result of the COVID-19 pandemic, patient engagement, protocol amendments or otherwise;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for tildacerfont and any future product candidates;</w:t>
      </w:r>
    </w:p>
    <w:p>
      <w:pPr>
        <w:spacing w:after="0" w:line="103" w:lineRule="exact"/>
        <w:rPr>
          <w:rFonts w:ascii="Times New Roman" w:cs="Times New Roman" w:eastAsia="Times New Roman" w:hAnsi="Times New Roman"/>
          <w:sz w:val="18"/>
          <w:szCs w:val="18"/>
          <w:color w:val="auto"/>
        </w:rPr>
      </w:pPr>
    </w:p>
    <w:p>
      <w:pPr>
        <w:ind w:left="1020" w:right="7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tildacerfont and any future product candidates, including but not limited to clinical trial requirements for approvals;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obtain coverage and adequate reimbursement of tildacerfont and any future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on the structure of healthcare payment systems;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approved drug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collaborations if needed;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tildacerfont and any future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executive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tildacerfont and any future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offered by us or our competitors, or the release or publication of clinical trial results from competing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0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if any, of the markets for classic CAH in adult and pediatric patients and a subpopulation of females with PCOS, and other rare endocrine disorders that we may target;</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or annual operating results;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0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debt or equity securities;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10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macroeconomic events, including the COVID-19 pandemic and the military conflict in Ukraine and Russia;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117"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21"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pursuant to the Loan Agreement, we are prohibited from paying cash dividends without the prior written consent of Silicon Valley Bank, and future debt instruments may materially restrict our ability to pay dividends on our common stock. Any return to stockholders would therefore be limited to the appreciation, if any, of their stock.</w:t>
      </w:r>
    </w:p>
    <w:p>
      <w:pPr>
        <w:spacing w:after="0" w:line="6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3"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8"/>
          <w:szCs w:val="18"/>
          <w:color w:val="auto"/>
        </w:rPr>
        <w:t>Our executive officers and directors, combined with our stockholders who own more than 5% of our outstanding capital stock, beneficially own shares representing a significant percentage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83"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reporting requirements applicable to emerging growth companies and smaller reporting companies may make our common stock less attractive to investors.*</w:t>
      </w:r>
    </w:p>
    <w:p>
      <w:pPr>
        <w:spacing w:after="0" w:line="50"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certain exemptions from various public company reporting requirements, including being permitted to provide only two years of audited financial statements, in addition to any required financial statements with correspondingly reduced “Management’s Discussion and Analysis of Financial Condition and Results of Operations” disclosure in this Quarterly Report on Form 10-Q,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December 31, 2025, or until we are no longer an emerging growth company, whichever is earlier. We will cease to be an emerging growth company prior to the end of such five-year period if certain earlier events occur, including if we become a “large accelerated filer” as defined in Rule 12b-2 under the Exchange Act, our annual gross revenues exceed $1.235 billion or we issue more than $1.0 billion of non-convertible debt in any three-year period.</w:t>
      </w:r>
    </w:p>
    <w:p>
      <w:pPr>
        <w:spacing w:after="0" w:line="82" w:lineRule="exact"/>
        <w:rPr>
          <w:sz w:val="20"/>
          <w:szCs w:val="20"/>
          <w:color w:val="auto"/>
        </w:rPr>
      </w:pPr>
    </w:p>
    <w:p>
      <w:pPr>
        <w:jc w:val="both"/>
        <w:ind w:right="180" w:firstLine="509"/>
        <w:spacing w:after="0" w:line="250"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w:t>
      </w:r>
    </w:p>
    <w:p>
      <w:pPr>
        <w:spacing w:after="0" w:line="8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which would allow us to take advantage of many of the same exemptions available to emerging growth companies, including not being required to comply with the auditor attestation requirements of Section 404 of the Sarbanes-Oxley Act or 2002, or the Sarbanes-Oxley Act,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Investors may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7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and remediated a material weakness in our internal control over financial reporting and may identify material weaknesses in the future or otherwise fail to maintain proper and effective internal controls, which may impair our ability to produce accurate financial statements on a timely basis.*</w:t>
      </w:r>
    </w:p>
    <w:p>
      <w:pPr>
        <w:spacing w:after="0" w:line="60"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During the preparation of our financial statements for the years ended December 31, 2018 and 2019, we identified a material weakness in internal control over financial reporting primarily related to a lack of timely review over the financial statement close process. During these periods, we did not have a sufficient complement of qualified personnel within the accounting function and had a lack of segregation of duties to adequately conduct review and analysis of certain routine transactions.</w:t>
      </w:r>
    </w:p>
    <w:p>
      <w:pPr>
        <w:spacing w:after="0" w:line="83"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This material weakness could result in a misstatement of account balances or disclosures that would result in a material misstatement to the annual or interim financial statements that would not be prevented or detected. To address our material weakness, we added a chief financial officer and controller, and we implemented new processes and controls, formalized documentation of policies and procedures, and recruited additional accounting personnel. We have fully remediated the material weakness as of the filing date of our Annual Report for the fiscal year ending December 31, 2020. Completion of remediation does not provide assurance that our remediation or other controls will continue operating effectively. Remediation costs consisted primarily of additional personnel expenses, which did not have a material impact to our financial statements.</w:t>
      </w:r>
    </w:p>
    <w:p>
      <w:pPr>
        <w:spacing w:after="0" w:line="78"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evaluation and testing of our internal controls over financial reporting to allow management to report on the effectiveness of our internal controls over financial reporting in this Quarterly Report on Form 10-Q, as required by Section 404 of the Sarbanes-Oxley Act. This will require that we incur substantial additional professional fees and internal costs to expand our accounting and finance functions and that we expend significant management efforts. Prior to our IPO, we have never been required to test our internal controls within a specified period, and, as a result, we may experience difficulty in meeting these reporting requirements in a timely manner.</w:t>
      </w:r>
    </w:p>
    <w:p>
      <w:pPr>
        <w:spacing w:after="0" w:line="73"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87"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Nasdaq, the SEC or other regulatory authorities.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The measures we have taken to date, and actions we may take in the future, may not be sufficient to remediate the control deficiencies that led to our material weakness in our internal control over financial reporting or to prevent or avoid potential future material weaknesses. We may not have identified all material weaknesses. Moreover,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69"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increased costs as a result of operating as a public company, and our management will be required to devote substantial time to new compliance initiatives.</w:t>
      </w:r>
    </w:p>
    <w:p>
      <w:pPr>
        <w:spacing w:after="0" w:line="5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and smaller reporting companies are exempted from certain of these requirements, but we may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7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08"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September 30, 2022, there were 23,560,250 shares of our common stock outstanding.</w:t>
      </w:r>
    </w:p>
    <w:p>
      <w:pPr>
        <w:spacing w:after="0" w:line="61"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In addition, shares of common stock that are either subject to outstanding options or reserved for future issuance under our employee benefit plans will become eligible for sale in the public market to the extent permitted by the provisions of various vesting schedules, Rule 144 and Rule 701 under the Securities Act of 1933, as amended, or the Securities Act. If these additional shares of common stock are sold, or if it is perceived that they will be sold, in the public market, the trading price of our common stock could decline.</w:t>
      </w:r>
    </w:p>
    <w:p>
      <w:pPr>
        <w:spacing w:after="0" w:line="69"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Further, certain holders of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65" w:lineRule="exact"/>
        <w:rPr>
          <w:sz w:val="20"/>
          <w:szCs w:val="20"/>
          <w:color w:val="auto"/>
        </w:rPr>
      </w:pPr>
    </w:p>
    <w:p>
      <w:pPr>
        <w:jc w:val="both"/>
        <w:ind w:right="2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including pursuant to the Shelf Registration, Sales Agreement and our equity incentive plans, could result in additional dilution of the percentage ownership of our stockholders and could cause our stock price to fall.*</w:t>
      </w:r>
    </w:p>
    <w:p>
      <w:pPr>
        <w:spacing w:after="0" w:line="60"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We expect that we will need significant additional capital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including through the registration statement on Form S-3, as amended,</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declared effective in February 2022, covering the sale of up to $200.0 million of our securities, or the Shelf Registration. For example, in February 2022, we entered into the Sales Agreement with Jefferies, pursuant to which we may elect to issue and sell, from time to time, shares of common stock having an aggregate offering price of up to $21.0 million under the Shelf Registration through Jefferies acting as the sales agent and/or principal.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As of September 30, 2022, we have not issued any shares of common stock pursuant to the Sales Agreement.</w:t>
      </w:r>
    </w:p>
    <w:p>
      <w:pPr>
        <w:spacing w:after="0" w:line="87"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Pursuant to our 2020 Plan, our management is authorized to grant stock options and other stock awards to our employees, directors and consultants. Additionally, the number of shares of our common stock reserved for issuance under our 2020 Plan will automatically increase on January 1 of each year continuing through and including January 1, 2030, by 5% of the total number of shares of our capital stock outstanding on December 31 of the preceding calendar year, or a lesser number of shares determined by our board of directors. In addition, pursuant to our 2020 Employee Stock Purchase Plan, or ESPP, the number of shares of our common stock reserved for issuance will automatically increase on January 1 of each calendar year continuing through January 1, 2030, by the lesser of (i) 1% of the total number of shares of our common stock outstanding on the last day of the calendar month before the date of the automatic increase, and (ii) 441,280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w:t>
      </w:r>
    </w:p>
    <w:p>
      <w:pPr>
        <w:spacing w:after="0" w:line="7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3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68" w:lineRule="exact"/>
        <w:rPr>
          <w:sz w:val="20"/>
          <w:szCs w:val="20"/>
          <w:color w:val="auto"/>
        </w:rPr>
      </w:pPr>
    </w:p>
    <w:p>
      <w:pPr>
        <w:ind w:left="1020" w:right="30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4"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40"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82"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5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40"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6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Court of Chancery of the State of Delaware (and any appellate court therefrom) is the sole and exclusive forum for the following types of actions or proceedings under Delaware statutory or common law: (i) any derivative claim or cause of action brought on our behalf; (ii) any claim or cause of action for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 each case as may be amended from time to time); (v) any claim or cause of action as to which the Delaware General Corporation Law confers jurisdiction to the Court of Chancery of the State of Delaware; and (vi) any claim or cause of action against us or any of our current or former directors, officers, or other employees governed by the internal affairs doctrine, in all cases to the fullest extent permitted by law and subject to the court’s having personal jurisdiction over the indispensable parties named as defendants. These provisions would not apply to claims or causes of action brought to enforce a duty or liability created by the Securities Act and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to the fullest extent permitted by law, the federal district courts of the United States of America is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82"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Nasdaq’s continued listing requirements could result in a delisting of our common stock.</w:t>
      </w:r>
    </w:p>
    <w:p>
      <w:pPr>
        <w:spacing w:after="0" w:line="108"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6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37"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revenues and financial condition and increase our costs and expenses.</w:t>
      </w:r>
    </w:p>
    <w:p>
      <w:pPr>
        <w:spacing w:after="0" w:line="108"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Our operations, and those of our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tildacerfont. Our ability to obtain clinical supplies of tildacerfont and any future product candidates could be disrupted if the operations of these suppliers are affected by a man-made or natural disaster or other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interruption. Our corporate headquarters is located in California near major earthquake faults and fire zones. The ultimate impact on us, our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08"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 Restrictions and Limitations Upon the Payment of Dividends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Pursuant to the Loan Agreement, we are prohibited from paying cash dividends without the prior written consent of Silicon Valley Bank.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320" w:top="117" w:right="11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560" w:type="dxa"/>
            <w:vAlign w:val="bottom"/>
            <w:gridSpan w:val="1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5560" w:type="dxa"/>
            <w:vAlign w:val="bottom"/>
            <w:tcBorders>
              <w:bottom w:val="single" w:sz="8" w:color="auto"/>
            </w:tcBorders>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16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4"/>
                <w:szCs w:val="14"/>
                <w:color w:val="auto"/>
              </w:rPr>
            </w:pPr>
          </w:p>
        </w:tc>
        <w:tc>
          <w:tcPr>
            <w:tcW w:w="10080" w:type="dxa"/>
            <w:vAlign w:val="bottom"/>
            <w:gridSpan w:val="21"/>
          </w:tcPr>
          <w:p>
            <w:pPr>
              <w:spacing w:after="0" w:line="169"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Amended and Restated Certificate of Incorporation of the Registrant (incorporated by reference to Exhibit 3.1 to the Registrant’s Current</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90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Report on Form 8-K, filed with the SEC on October 14, 2020).</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10080" w:type="dxa"/>
            <w:vAlign w:val="bottom"/>
            <w:gridSpan w:val="21"/>
          </w:tcPr>
          <w:p>
            <w:pPr>
              <w:spacing w:after="0"/>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Amended and Restated Bylaws of the Registrant (incorporated by reference to Exhibit 3.2 to the Registrant’s Current Report on Form 8-K,</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319">
              <w:r>
                <w:rPr>
                  <w:rFonts w:ascii="Times New Roman" w:cs="Times New Roman" w:eastAsia="Times New Roman" w:hAnsi="Times New Roman"/>
                  <w:sz w:val="18"/>
                  <w:szCs w:val="18"/>
                  <w:color w:val="0000FF"/>
                  <w:w w:val="99"/>
                </w:rPr>
                <w:t>filed with the SEC on October 14, 2020).</w:t>
              </w:r>
            </w:hyperlink>
          </w:p>
        </w:tc>
        <w:tc>
          <w:tcPr>
            <w:tcW w:w="20" w:type="dxa"/>
            <w:vAlign w:val="bottom"/>
            <w:tcBorders>
              <w:top w:val="single" w:sz="8" w:color="0000FF"/>
              <w:bottom w:val="single" w:sz="8" w:color="0000EE"/>
            </w:tcBorders>
          </w:tcPr>
          <w:p>
            <w:pPr>
              <w:spacing w:after="0"/>
              <w:rPr>
                <w:sz w:val="14"/>
                <w:szCs w:val="14"/>
                <w:color w:val="auto"/>
              </w:rPr>
            </w:pPr>
          </w:p>
        </w:tc>
        <w:tc>
          <w:tcPr>
            <w:tcW w:w="706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0080" w:type="dxa"/>
            <w:vAlign w:val="bottom"/>
            <w:gridSpan w:val="21"/>
          </w:tcPr>
          <w:p>
            <w:pPr>
              <w:spacing w:after="0"/>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Form of Common Stock Certificate (incorporated by reference to Exhibit 4.1 to the Registrant’s Registration Statement on Form S-1, as</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8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320">
              <w:r>
                <w:rPr>
                  <w:rFonts w:ascii="Times New Roman" w:cs="Times New Roman" w:eastAsia="Times New Roman" w:hAnsi="Times New Roman"/>
                  <w:sz w:val="18"/>
                  <w:szCs w:val="18"/>
                  <w:color w:val="0000FF"/>
                  <w:w w:val="99"/>
                </w:rPr>
                <w:t>amended (File No. 333-248924), filed with the SEC on October 5, 2020).</w:t>
              </w:r>
            </w:hyperlink>
          </w:p>
        </w:tc>
        <w:tc>
          <w:tcPr>
            <w:tcW w:w="20" w:type="dxa"/>
            <w:vAlign w:val="bottom"/>
            <w:tcBorders>
              <w:top w:val="single" w:sz="8" w:color="0000FF"/>
              <w:bottom w:val="single" w:sz="8" w:color="0000EE"/>
            </w:tcBorders>
          </w:tcPr>
          <w:p>
            <w:pPr>
              <w:spacing w:after="0"/>
              <w:rPr>
                <w:sz w:val="14"/>
                <w:szCs w:val="14"/>
                <w:color w:val="auto"/>
              </w:rPr>
            </w:pPr>
          </w:p>
        </w:tc>
        <w:tc>
          <w:tcPr>
            <w:tcW w:w="4520" w:type="dxa"/>
            <w:vAlign w:val="bottom"/>
            <w:tcBorders>
              <w:top w:val="single" w:sz="8" w:color="0000FF"/>
            </w:tcBorders>
            <w:gridSpan w:val="5"/>
          </w:tcPr>
          <w:p>
            <w:pPr>
              <w:spacing w:after="0"/>
              <w:rPr>
                <w:sz w:val="14"/>
                <w:szCs w:val="14"/>
                <w:color w:val="auto"/>
              </w:rPr>
            </w:pPr>
          </w:p>
        </w:tc>
        <w:tc>
          <w:tcPr>
            <w:tcW w:w="1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10080" w:type="dxa"/>
            <w:vAlign w:val="bottom"/>
            <w:gridSpan w:val="21"/>
          </w:tcPr>
          <w:p>
            <w:pPr>
              <w:spacing w:after="0"/>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Amended and Restated Investors’ Rights Agreement, by and among the Registrant and certain of its stockholders, dated February 19, 2020</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6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(incorporated by reference to Exhibit 4.2 to the Registrant’s Registration Statement on Form S-1, as amended (File No. 333-248924), filed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321">
              <w:r>
                <w:rPr>
                  <w:rFonts w:ascii="Times New Roman" w:cs="Times New Roman" w:eastAsia="Times New Roman" w:hAnsi="Times New Roman"/>
                  <w:sz w:val="18"/>
                  <w:szCs w:val="18"/>
                  <w:color w:val="0000FF"/>
                  <w:w w:val="99"/>
                </w:rPr>
                <w:t>with the SEC on September 18. 2020).</w:t>
              </w:r>
            </w:hyperlink>
          </w:p>
        </w:tc>
        <w:tc>
          <w:tcPr>
            <w:tcW w:w="20" w:type="dxa"/>
            <w:vAlign w:val="bottom"/>
            <w:tcBorders>
              <w:top w:val="single" w:sz="8" w:color="0000FF"/>
              <w:bottom w:val="single" w:sz="8" w:color="0000EE"/>
            </w:tcBorders>
          </w:tcPr>
          <w:p>
            <w:pPr>
              <w:spacing w:after="0"/>
              <w:rPr>
                <w:sz w:val="14"/>
                <w:szCs w:val="14"/>
                <w:color w:val="auto"/>
              </w:rPr>
            </w:pPr>
          </w:p>
        </w:tc>
        <w:tc>
          <w:tcPr>
            <w:tcW w:w="720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60" w:type="dxa"/>
            <w:vAlign w:val="bottom"/>
            <w:tcBorders>
              <w:top w:val="single" w:sz="8" w:color="0000FF"/>
              <w:bottom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760" w:type="dxa"/>
            <w:vAlign w:val="bottom"/>
            <w:tcBorders>
              <w:top w:val="single" w:sz="8" w:color="0000FF"/>
            </w:tcBorders>
            <w:gridSpan w:val="2"/>
          </w:tcPr>
          <w:p>
            <w:pPr>
              <w:spacing w:after="0"/>
              <w:rPr>
                <w:sz w:val="14"/>
                <w:szCs w:val="14"/>
                <w:color w:val="auto"/>
              </w:rPr>
            </w:pPr>
          </w:p>
        </w:tc>
        <w:tc>
          <w:tcPr>
            <w:tcW w:w="32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60" w:type="dxa"/>
            <w:vAlign w:val="bottom"/>
            <w:tcBorders>
              <w:top w:val="single" w:sz="8" w:color="0000FF"/>
              <w:bottom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720" w:type="dxa"/>
            <w:vAlign w:val="bottom"/>
            <w:tcBorders>
              <w:top w:val="single" w:sz="8" w:color="0000FF"/>
            </w:tcBorders>
          </w:tcPr>
          <w:p>
            <w:pPr>
              <w:spacing w:after="0"/>
              <w:rPr>
                <w:sz w:val="14"/>
                <w:szCs w:val="14"/>
                <w:color w:val="auto"/>
              </w:rPr>
            </w:pPr>
          </w:p>
        </w:tc>
        <w:tc>
          <w:tcPr>
            <w:tcW w:w="36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9100" w:type="dxa"/>
            <w:vAlign w:val="bottom"/>
            <w:tcBorders>
              <w:top w:val="single" w:sz="8" w:color="0000FF"/>
            </w:tcBorders>
            <w:gridSpan w:val="16"/>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9040" w:type="dxa"/>
            <w:vAlign w:val="bottom"/>
            <w:tcBorders>
              <w:top w:val="single" w:sz="8" w:color="0000FF"/>
            </w:tcBorders>
            <w:gridSpan w:val="14"/>
          </w:tcPr>
          <w:p>
            <w:pPr>
              <w:spacing w:after="0"/>
              <w:rPr>
                <w:sz w:val="14"/>
                <w:szCs w:val="14"/>
                <w:color w:val="auto"/>
              </w:rPr>
            </w:pPr>
          </w:p>
        </w:tc>
        <w:tc>
          <w:tcPr>
            <w:tcW w:w="1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5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5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24"/>
                <w:szCs w:val="24"/>
                <w:color w:val="auto"/>
              </w:rPr>
            </w:pP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5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24"/>
                <w:szCs w:val="24"/>
                <w:color w:val="auto"/>
              </w:rPr>
            </w:pP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5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24"/>
                <w:szCs w:val="24"/>
                <w:color w:val="auto"/>
              </w:rPr>
            </w:pP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5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4"/>
                <w:szCs w:val="24"/>
                <w:color w:val="auto"/>
              </w:rPr>
            </w:pP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4300" w:firstLine="21"/>
        <w:spacing w:after="0" w:line="375" w:lineRule="auto"/>
        <w:tabs>
          <w:tab w:leader="none" w:pos="114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1" w:lineRule="exact"/>
        <w:rPr>
          <w:sz w:val="20"/>
          <w:szCs w:val="20"/>
          <w:color w:val="auto"/>
        </w:rPr>
      </w:pPr>
    </w:p>
    <w:p>
      <w:pPr>
        <w:ind w:right="60" w:firstLine="8"/>
        <w:spacing w:after="0" w:line="250" w:lineRule="auto"/>
        <w:tabs>
          <w:tab w:leader="none" w:pos="1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Exhibits 32.1 and 32.2 shall not be deemed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(including this Quarterly Report on Form 10-Q), unless the Registrant specifically incorporates the foregoing information into those documents by reference.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SPRUCE BIOSCIENCES, INC.</w:t>
            </w:r>
          </w:p>
        </w:tc>
      </w:tr>
      <w:tr>
        <w:trPr>
          <w:trHeight w:val="405"/>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2022</w:t>
            </w:r>
          </w:p>
        </w:tc>
        <w:tc>
          <w:tcPr>
            <w:tcW w:w="20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Javier Szwarcberg M.D., MPH</w:t>
            </w:r>
          </w:p>
        </w:tc>
      </w:tr>
      <w:tr>
        <w:trPr>
          <w:trHeight w:val="164"/>
        </w:trPr>
        <w:tc>
          <w:tcPr>
            <w:tcW w:w="3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54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Javier Szwarcberg, M.D., MPH</w:t>
            </w:r>
          </w:p>
        </w:tc>
      </w:tr>
      <w:tr>
        <w:trPr>
          <w:trHeight w:val="189"/>
        </w:trPr>
        <w:tc>
          <w:tcPr>
            <w:tcW w:w="3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36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05"/>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2022</w:t>
            </w:r>
          </w:p>
        </w:tc>
        <w:tc>
          <w:tcPr>
            <w:tcW w:w="20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Samir Gharib</w:t>
            </w:r>
          </w:p>
        </w:tc>
      </w:tr>
      <w:tr>
        <w:trPr>
          <w:trHeight w:val="184"/>
        </w:trPr>
        <w:tc>
          <w:tcPr>
            <w:tcW w:w="3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5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Samir Gharib</w:t>
            </w:r>
          </w:p>
        </w:tc>
      </w:tr>
    </w:tbl>
    <w:p>
      <w:pPr>
        <w:jc w:val="center"/>
        <w:ind w:left="5680"/>
        <w:spacing w:after="0" w:line="219" w:lineRule="auto"/>
        <w:rPr>
          <w:sz w:val="20"/>
          <w:szCs w:val="20"/>
          <w:color w:val="auto"/>
        </w:rPr>
      </w:pPr>
      <w:r>
        <w:rPr>
          <w:rFonts w:ascii="Times New Roman" w:cs="Times New Roman" w:eastAsia="Times New Roman" w:hAnsi="Times New Roman"/>
          <w:sz w:val="18"/>
          <w:szCs w:val="18"/>
          <w:color w:val="auto"/>
        </w:rPr>
        <w:t>President and Chief Financial Officer</w:t>
      </w:r>
    </w:p>
    <w:p>
      <w:pPr>
        <w:jc w:val="center"/>
        <w:ind w:left="56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Javier Szwarcberg, certify that:</w:t>
      </w:r>
    </w:p>
    <w:p>
      <w:pPr>
        <w:spacing w:after="0" w:line="212"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Spruce Biosciences,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20"/>
        <w:spacing w:after="0"/>
        <w:tabs>
          <w:tab w:leader="none" w:pos="5680" w:val="left"/>
          <w:tab w:leader="none" w:pos="738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Javier Szwarcberg, M.D., MPH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18415</wp:posOffset>
            </wp:positionV>
            <wp:extent cx="330898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b w:val="1"/>
          <w:bCs w:val="1"/>
          <w:color w:val="auto"/>
        </w:rPr>
        <w:t>Javier Szwarcberg, M.D., MPH</w:t>
      </w:r>
    </w:p>
    <w:p>
      <w:pPr>
        <w:ind w:left="7740"/>
        <w:spacing w:after="0" w:line="219"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Samir Gharib, certify that:</w:t>
      </w:r>
    </w:p>
    <w:p>
      <w:pPr>
        <w:spacing w:after="0" w:line="212"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Spruce Biosciences,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20"/>
        <w:spacing w:after="0"/>
        <w:tabs>
          <w:tab w:leader="none" w:pos="5680" w:val="left"/>
          <w:tab w:leader="none" w:pos="802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18415</wp:posOffset>
            </wp:positionV>
            <wp:extent cx="330898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Samir Gharib</w:t>
      </w:r>
    </w:p>
    <w:p>
      <w:pPr>
        <w:jc w:val="center"/>
        <w:ind w:left="6000"/>
        <w:spacing w:after="0" w:line="219" w:lineRule="auto"/>
        <w:rPr>
          <w:sz w:val="20"/>
          <w:szCs w:val="20"/>
          <w:color w:val="auto"/>
        </w:rPr>
      </w:pPr>
      <w:r>
        <w:rPr>
          <w:rFonts w:ascii="Times New Roman" w:cs="Times New Roman" w:eastAsia="Times New Roman" w:hAnsi="Times New Roman"/>
          <w:sz w:val="18"/>
          <w:szCs w:val="18"/>
          <w:b w:val="1"/>
          <w:bCs w:val="1"/>
          <w:color w:val="auto"/>
        </w:rPr>
        <w:t>President and Chief Financial Officer</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Spruce Biosciences, Inc. (the “Company”) on Form 10-Q for the period ended September 30, 2022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11"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7" w:lineRule="exact"/>
        <w:rPr>
          <w:sz w:val="20"/>
          <w:szCs w:val="20"/>
          <w:color w:val="auto"/>
        </w:rPr>
      </w:pPr>
    </w:p>
    <w:p>
      <w:pPr>
        <w:ind w:left="20"/>
        <w:spacing w:after="0"/>
        <w:tabs>
          <w:tab w:leader="none" w:pos="5680" w:val="left"/>
          <w:tab w:leader="none" w:pos="738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Javier Szwarcberg, M.D., MPH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18415</wp:posOffset>
            </wp:positionV>
            <wp:extent cx="330898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Javier Szwarcberg, M.D., MPH</w:t>
      </w:r>
    </w:p>
    <w:p>
      <w:pPr>
        <w:jc w:val="center"/>
        <w:ind w:left="6000"/>
        <w:spacing w:after="0" w:line="219"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Spruce Biosciences, Inc. (the “Company”) on Form 10-Q for the period ended September 30, 2022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11"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7" w:lineRule="exact"/>
        <w:rPr>
          <w:sz w:val="20"/>
          <w:szCs w:val="20"/>
          <w:color w:val="auto"/>
        </w:rPr>
      </w:pPr>
    </w:p>
    <w:p>
      <w:pPr>
        <w:ind w:left="20"/>
        <w:spacing w:after="0"/>
        <w:tabs>
          <w:tab w:leader="none" w:pos="5680" w:val="left"/>
          <w:tab w:leader="none" w:pos="802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18415</wp:posOffset>
            </wp:positionV>
            <wp:extent cx="330898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Samir Gharib</w:t>
      </w:r>
    </w:p>
    <w:p>
      <w:pPr>
        <w:jc w:val="center"/>
        <w:ind w:left="6000"/>
        <w:spacing w:after="0" w:line="219" w:lineRule="auto"/>
        <w:rPr>
          <w:sz w:val="20"/>
          <w:szCs w:val="20"/>
          <w:color w:val="auto"/>
        </w:rPr>
      </w:pPr>
      <w:r>
        <w:rPr>
          <w:rFonts w:ascii="Times New Roman" w:cs="Times New Roman" w:eastAsia="Times New Roman" w:hAnsi="Times New Roman"/>
          <w:sz w:val="18"/>
          <w:szCs w:val="18"/>
          <w:b w:val="1"/>
          <w:bCs w:val="1"/>
          <w:color w:val="auto"/>
        </w:rPr>
        <w:t>President and Chief Financial Officer</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5" w:name="page86"/>
    <w:bookmarkEnd w:id="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2"/>
    </w:lvl>
  </w:abstractNum>
  <w:abstractNum w:abstractNumId="6">
    <w:nsid w:val="189A769B"/>
    <w:multiLevelType w:val="hybridMultilevel"/>
    <w:lvl w:ilvl="0">
      <w:lvlJc w:val="left"/>
      <w:lvlText w:val="%1."/>
      <w:numFmt w:val="decimal"/>
      <w:start w:val="8"/>
    </w:lvl>
  </w:abstractNum>
  <w:abstractNum w:abstractNumId="7">
    <w:nsid w:val="54E49EB4"/>
    <w:multiLevelType w:val="hybridMultilevel"/>
    <w:lvl w:ilvl="0">
      <w:lvlJc w:val="left"/>
      <w:lvlText w:val="%1."/>
      <w:numFmt w:val="decimal"/>
      <w:start w:val="9"/>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o"/>
      <w:numFmt w:val="bullet"/>
      <w:start w:val="1"/>
    </w:lvl>
  </w:abstractNum>
  <w:abstractNum w:abstractNumId="12">
    <w:nsid w:val="3A95F874"/>
    <w:multiLevelType w:val="hybridMultilevel"/>
    <w:lvl w:ilvl="0">
      <w:lvlJc w:val="left"/>
      <w:lvlText w:val="▪"/>
      <w:numFmt w:val="bullet"/>
      <w:start w:val="1"/>
    </w:lvl>
    <w:lvl w:ilvl="1">
      <w:lvlJc w:val="left"/>
      <w:lvlText w:val="o"/>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1."/>
      <w:numFmt w:val="decimal"/>
      <w:start w:val="19"/>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lvl w:ilvl="1">
      <w:lvlJc w:val="left"/>
      <w:lvlText w:val="%2"/>
      <w:numFmt w:val="decimal"/>
      <w:start w:val="104"/>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18" Type="http://schemas.openxmlformats.org/officeDocument/2006/relationships/hyperlink" Target="https://www.sec.gov/Archives/edgar/data/1683553/000119312520269344/d12372dex31.htm" TargetMode="External"/><Relationship Id="rId319" Type="http://schemas.openxmlformats.org/officeDocument/2006/relationships/hyperlink" Target="https://www.sec.gov/Archives/edgar/data/1683553/000119312520269344/d12372dex32.htm" TargetMode="External"/><Relationship Id="rId320" Type="http://schemas.openxmlformats.org/officeDocument/2006/relationships/hyperlink" Target="https://www.sec.gov/Archives/edgar/data/1683553/000119312520263195/d902020dex41.htm" TargetMode="External"/><Relationship Id="rId321" Type="http://schemas.openxmlformats.org/officeDocument/2006/relationships/hyperlink" Target="https://www.sec.gov/Archives/edgar/data/1683553/000119312520249221/d902020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2022-11-10T18:06:26Z</dcterms:created>
  <dcterms:modified xsi:type="dcterms:W3CDTF">2022-11-10T18:06:26Z</dcterms:modified>
</cp:coreProperties>
</file>