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Spruce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 (the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Citadel Advisors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98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69,999.00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69,999.00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69,999.00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HC, OO</w:t>
      </w:r>
    </w:p>
    <w:p>
      <w:pPr>
        <w:spacing w:after="0" w:line="200" w:lineRule="exact"/>
        <w:rPr>
          <w:sz w:val="20"/>
          <w:szCs w:val="20"/>
          <w:color w:val="auto"/>
        </w:rPr>
      </w:pPr>
    </w:p>
    <w:p>
      <w:pPr>
        <w:sectPr>
          <w:pgSz w:w="11900" w:h="16838" w:orient="portrait"/>
          <w:cols w:equalWidth="0" w:num="2">
            <w:col w:w="1100" w:space="60"/>
            <w:col w:w="9880"/>
          </w:cols>
          <w:pgMar w:left="320" w:top="111" w:right="53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percentages reported in this Schedule 13G are based upon 1,372,278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as of March 24, 2026 (according to the issuer's definitive proxy statement as filed with the Securities and Exchange Commission on April 9,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Citadel Advisors Holdings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69,999.00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69,999.00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040"/>
          </w:cols>
          <w:pgMar w:left="320" w:top="111" w:right="539" w:bottom="0" w:gutter="0" w:footer="0" w:header="0"/>
          <w:type w:val="continuous"/>
        </w:sectPr>
      </w:pPr>
    </w:p>
    <w:bookmarkStart w:id="2" w:name="page3"/>
    <w:bookmarkEnd w:id="2"/>
    <w:p>
      <w:pPr>
        <w:spacing w:after="0" w:line="5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69,999.00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Citadel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89" w:orient="portrait"/>
          <w:cols w:equalWidth="0" w:num="1">
            <w:col w:w="10099"/>
          </w:cols>
          <w:pgMar w:left="360" w:top="111"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69,999.00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69,999.00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69,999.00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ectPr>
          <w:pgSz w:w="11900" w:h="16889"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ectPr>
          <w:pgSz w:w="11900" w:h="16889" w:orient="portrait"/>
          <w:cols w:equalWidth="0" w:num="1">
            <w:col w:w="10099"/>
          </w:cols>
          <w:pgMar w:left="360" w:top="111" w:right="1440"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Names of Reporting Persons</w:t>
      </w:r>
    </w:p>
    <w:p>
      <w:pPr>
        <w:sectPr>
          <w:pgSz w:w="11900" w:h="16889" w:orient="portrait"/>
          <w:cols w:equalWidth="0" w:num="1">
            <w:col w:w="1009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Citadel Securities LLC</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 OO</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Citadel Securities Group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66.00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continue"/>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099"/>
          </w:cols>
          <w:pgMar w:left="360" w:top="355" w:right="1440" w:bottom="0"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Shared Dispositive</w:t>
      </w:r>
    </w:p>
    <w:p>
      <w:pPr>
        <w:ind w:left="116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66.00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66.00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Citadel Securities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154"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ectPr>
          <w:pgSz w:w="11900" w:h="16838" w:orient="portrait"/>
          <w:cols w:equalWidth="0" w:num="2">
            <w:col w:w="1060" w:space="60"/>
            <w:col w:w="8979"/>
          </w:cols>
          <w:pgMar w:left="360" w:top="112" w:right="1440" w:bottom="154" w:gutter="0" w:footer="0" w:header="0"/>
          <w:type w:val="continuous"/>
        </w:sectPr>
      </w:pPr>
    </w:p>
    <w:bookmarkStart w:id="5" w:name="page6"/>
    <w:bookmarkEnd w:id="5"/>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Kenneth Griffin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96" w:orient="portrait"/>
          <w:cols w:equalWidth="0" w:num="1">
            <w:col w:w="11080"/>
          </w:cols>
          <w:pgMar w:left="360" w:top="110" w:right="45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70,065.00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70,065.00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70,065.00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96" w:orient="portrait"/>
          <w:cols w:equalWidth="0" w:num="2">
            <w:col w:w="1060" w:space="60"/>
            <w:col w:w="9960"/>
          </w:cols>
          <w:pgMar w:left="360" w:top="110" w:right="459"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Spruce Biosciences,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611 Gateway Boulevard, Suite 740, South San Francisco, CA 94080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pacing w:after="0" w:line="233" w:lineRule="exact"/>
        <w:rPr>
          <w:rFonts w:ascii="Times New Roman" w:cs="Times New Roman" w:eastAsia="Times New Roman" w:hAnsi="Times New Roman"/>
          <w:sz w:val="22"/>
          <w:szCs w:val="22"/>
          <w:color w:val="auto"/>
        </w:rPr>
      </w:pPr>
    </w:p>
    <w:p>
      <w:pPr>
        <w:ind w:left="920"/>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This Schedule 13G is being jointly filed by Citadel Advisors LLC ("Citadel Advisors"), Citadel Advisors Holdings LP ("CAH"), Citadel GP LLC ("CGP"), Citadel Securities LLC ("Citadel Securities"), Citadel Securities Group LP ("CALC4"), Citadel Securities GP LLC ("CSGP") and Mr. Kenneth Griffin (collectively with Citadel Advisors, CAH, CGP, Citadel Securities, CALC4 and CSGP, the "Reporting Persons") with respect to the Shares of the above-named issuer owned by Citadel CEMF Investments Ltd., a Cayman Islands limited company ("CCIL"), and Citadel Securities. Such owned Shares may include other instruments exercisable for or convertible into Shares. Citadel Advisors is the portfolio manager for CCIL. CAH is the sole member of Citadel Advisors. CGP is the general partner</w:t>
      </w:r>
    </w:p>
    <w:p>
      <w:pPr>
        <w:sectPr>
          <w:pgSz w:w="11900" w:h="16896" w:orient="portrait"/>
          <w:cols w:equalWidth="0" w:num="1">
            <w:col w:w="11080"/>
          </w:cols>
          <w:pgMar w:left="360" w:top="110" w:right="459" w:bottom="0" w:gutter="0" w:footer="0" w:header="0"/>
          <w:type w:val="continuous"/>
        </w:sectPr>
      </w:pPr>
    </w:p>
    <w:bookmarkStart w:id="6" w:name="page7"/>
    <w:bookmarkEnd w:id="6"/>
    <w:p>
      <w:pPr>
        <w:ind w:left="920" w:right="160"/>
        <w:spacing w:after="0" w:line="255" w:lineRule="auto"/>
        <w:rPr>
          <w:sz w:val="20"/>
          <w:szCs w:val="20"/>
          <w:color w:val="auto"/>
        </w:rPr>
      </w:pPr>
      <w:r>
        <w:rPr>
          <w:rFonts w:ascii="Times New Roman" w:cs="Times New Roman" w:eastAsia="Times New Roman" w:hAnsi="Times New Roman"/>
          <w:sz w:val="21"/>
          <w:szCs w:val="21"/>
          <w:color w:val="auto"/>
        </w:rPr>
        <w:t>of CAH. CALC4 is the non-member manager of Citadel Securities. CSGP is the general partner of CALC4. Mr. Griffin is the President and Chief Executive Officer of CGP, and owns a controlling interest in CGP and CSGP. The filing of this statement shall not be construed as an admission that any of the Reporting Persons is the beneficial owner of any securities covered by the statement other than the securities actually owned by such person (if any).</w:t>
      </w: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The address of each of the Reporting Persons is 830 Brickell Plaza, Miami, Florida 33131.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right="180" w:hanging="912"/>
        <w:spacing w:after="0" w:line="244" w:lineRule="auto"/>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Citadel Advisors, CGP, Citadel Securities and CSGP is organized as a limited liability company under the laws of the State of Delaware. Each of CALC4 and CAH is organized as a limited partnership under the laws of the State of Delaware. Mr. Griffin is a U.S. citizen.</w:t>
      </w:r>
    </w:p>
    <w:p>
      <w:pPr>
        <w:sectPr>
          <w:pgSz w:w="11900" w:h="16838" w:orient="portrait"/>
          <w:cols w:equalWidth="0" w:num="1">
            <w:col w:w="11080"/>
          </w:cols>
          <w:pgMar w:left="360" w:top="111" w:right="459" w:bottom="127" w:gutter="0" w:footer="0" w:header="0"/>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 (the "Shares")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20"/>
        <w:spacing w:after="0" w:line="258" w:lineRule="auto"/>
        <w:rPr>
          <w:sz w:val="20"/>
          <w:szCs w:val="20"/>
          <w:color w:val="auto"/>
        </w:rPr>
      </w:pPr>
      <w:r>
        <w:rPr>
          <w:sz w:val="1"/>
          <w:szCs w:val="1"/>
          <w:color w:val="auto"/>
        </w:rPr>
        <w:drawing>
          <wp:inline distT="0" distB="0" distL="0" distR="0">
            <wp:extent cx="128905" cy="1289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60"/>
        <w:spacing w:after="0" w:line="241" w:lineRule="auto"/>
        <w:rPr>
          <w:sz w:val="20"/>
          <w:szCs w:val="20"/>
          <w:color w:val="auto"/>
        </w:rPr>
      </w:pPr>
      <w:r>
        <w:rPr>
          <w:sz w:val="1"/>
          <w:szCs w:val="1"/>
          <w:color w:val="auto"/>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160"/>
          </w:cols>
          <w:pgMar w:left="360" w:top="111" w:right="459" w:bottom="127" w:gutter="0" w:footer="0" w:header="0"/>
          <w:type w:val="continuous"/>
        </w:sectPr>
      </w:pPr>
    </w:p>
    <w:p>
      <w:pPr>
        <w:spacing w:after="0" w:line="33" w:lineRule="exact"/>
        <w:rPr>
          <w:sz w:val="20"/>
          <w:szCs w:val="20"/>
          <w:color w:val="auto"/>
        </w:rPr>
      </w:pPr>
    </w:p>
    <w:p>
      <w:pPr>
        <w:ind w:left="920" w:right="40" w:hanging="912"/>
        <w:spacing w:after="0" w:line="193" w:lineRule="auto"/>
        <w:tabs>
          <w:tab w:leader="none" w:pos="920" w:val="left"/>
        </w:tabs>
        <w:numPr>
          <w:ilvl w:val="0"/>
          <w:numId w:val="1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1. Each of Citadel Advisors LLC, Citadel Advisors Holdings LP and Citadel GP LLC may be deemed to beneficially own 69,999 Shares. 2. Citadel Securities LLC may be deemed to beneficially own 66 Shares. 3. Each of Citadel Securities Group LP and Citadel Securities GP LLC may be deemed to beneficially own 66 Shares. 4. Mr. Griffin may be deemed to beneficially own 70,065 Shares.</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1140" w:hanging="214"/>
        <w:spacing w:after="0"/>
        <w:tabs>
          <w:tab w:leader="none" w:pos="1140"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number of Shares that each of Citadel Advisors LLC, Citadel Advisors Holdings LP and Citadel GP LLC may</w:t>
      </w:r>
    </w:p>
    <w:p>
      <w:pPr>
        <w:spacing w:after="0" w:line="25" w:lineRule="exact"/>
        <w:rPr>
          <w:rFonts w:ascii="Times New Roman" w:cs="Times New Roman" w:eastAsia="Times New Roman" w:hAnsi="Times New Roman"/>
          <w:sz w:val="21"/>
          <w:szCs w:val="21"/>
          <w:color w:val="auto"/>
        </w:rPr>
      </w:pPr>
    </w:p>
    <w:p>
      <w:pPr>
        <w:ind w:left="920" w:right="140" w:hanging="912"/>
        <w:spacing w:after="0" w:line="196" w:lineRule="auto"/>
        <w:tabs>
          <w:tab w:leader="none" w:pos="920" w:val="left"/>
        </w:tabs>
        <w:numPr>
          <w:ilvl w:val="0"/>
          <w:numId w:val="1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be deemed to beneficially own constitutes 5.1% of the Shares outstanding. 2. The number of Shares that Citadel Securities LLC may be deemed to beneficially own constitutes 0.0% of the Shares outstanding. 3. The number of Shares that each of Citadel Securities Group LP and Citadel Securities GP LLC may be deemed to beneficially own constitutes 0.0% of the Shares outstanding. 4. The number of Shares that Mr. Griffin may be deemed to beneficially own constitutes 5.1% of the Shares outstanding. %</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rFonts w:ascii="Times New Roman" w:cs="Times New Roman" w:eastAsia="Times New Roman" w:hAnsi="Times New Roman"/>
          <w:sz w:val="22"/>
          <w:szCs w:val="22"/>
          <w:color w:val="auto"/>
        </w:rPr>
      </w:pPr>
    </w:p>
    <w:p>
      <w:pPr>
        <w:ind w:left="1140" w:hanging="214"/>
        <w:spacing w:after="0"/>
        <w:tabs>
          <w:tab w:leader="none" w:pos="1140"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Citadel Advisors LLC, Citadel Advisors Holdings LP and Citadel GP LLC: 0 2. Citadel Securities LLC: 0</w:t>
      </w:r>
    </w:p>
    <w:p>
      <w:pPr>
        <w:spacing w:after="0" w:line="25" w:lineRule="exact"/>
        <w:rPr>
          <w:rFonts w:ascii="Times New Roman" w:cs="Times New Roman" w:eastAsia="Times New Roman" w:hAnsi="Times New Roman"/>
          <w:sz w:val="21"/>
          <w:szCs w:val="21"/>
          <w:color w:val="auto"/>
        </w:rPr>
      </w:pPr>
    </w:p>
    <w:p>
      <w:pPr>
        <w:ind w:left="1140" w:hanging="214"/>
        <w:spacing w:after="0"/>
        <w:tabs>
          <w:tab w:leader="none" w:pos="114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Citadel Securities Group LP and Citadel Securities GP LLC: 0 4. Mr. Griffin: 0</w:t>
      </w:r>
    </w:p>
    <w:p>
      <w:pPr>
        <w:spacing w:after="0" w:line="2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240" w:firstLine="6"/>
        <w:spacing w:after="0" w:line="282" w:lineRule="auto"/>
        <w:tabs>
          <w:tab w:leader="none" w:pos="1136"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Citadel Advisors LLC, Citadel Advisors Holdings LP and Citadel GP LLC: 69,999 2. Citadel Securities LLC: 66 3. Each of Citadel Securities Group LP and Citadel Securities GP LLC: 66 4. Mr. Griffin: 70,065</w:t>
      </w:r>
    </w:p>
    <w:p>
      <w:pPr>
        <w:spacing w:after="0" w:line="2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ectPr>
          <w:pgSz w:w="11900" w:h="16838" w:orient="portrait"/>
          <w:cols w:equalWidth="0" w:num="1">
            <w:col w:w="11080"/>
          </w:cols>
          <w:pgMar w:left="360" w:top="111" w:right="459" w:bottom="127" w:gutter="0" w:footer="0" w:header="0"/>
          <w:type w:val="continuous"/>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220" w:hanging="214"/>
        <w:spacing w:after="0"/>
        <w:tabs>
          <w:tab w:leader="none" w:pos="22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Citadel Advisors LLC, Citadel Advisors Holdings LP and Citadel GP LLC: 0 2. Citadel Securities LLC: 0</w:t>
      </w:r>
    </w:p>
    <w:p>
      <w:pPr>
        <w:spacing w:after="0" w:line="26" w:lineRule="exact"/>
        <w:rPr>
          <w:rFonts w:ascii="Times New Roman" w:cs="Times New Roman" w:eastAsia="Times New Roman" w:hAnsi="Times New Roman"/>
          <w:sz w:val="21"/>
          <w:szCs w:val="21"/>
          <w:color w:val="auto"/>
        </w:rPr>
      </w:pPr>
    </w:p>
    <w:p>
      <w:pPr>
        <w:ind w:left="220" w:hanging="214"/>
        <w:spacing w:after="0"/>
        <w:tabs>
          <w:tab w:leader="none" w:pos="2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Citadel Securities Group LP and Citadel Securities GP LLC: 0 4. Mr. Griffin: 0</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300" w:firstLine="6"/>
        <w:spacing w:after="0" w:line="282" w:lineRule="auto"/>
        <w:tabs>
          <w:tab w:leader="none" w:pos="216"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Citadel Advisors LLC, Citadel Advisors Holdings LP and Citadel GP LLC: 69,999 2. Citadel Securities LLC: 66 3. Each of Citadel Securities Group LP and Citadel Securities GP LLC: 66 4. Mr. Griffin: 70,065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0" w:orient="portrait"/>
          <w:cols w:equalWidth="0" w:num="2">
            <w:col w:w="720" w:space="200"/>
            <w:col w:w="10220"/>
          </w:cols>
          <w:pgMar w:left="360" w:top="111" w:right="399" w:bottom="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Citadel Advisors LLC</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Citadel Advisors Holdings LP</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Citadel GP LLC</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Citadel Securities LLC</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Citadel Securities Group LP</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Citadel Securities GP LLC</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60" w:orient="portrait"/>
          <w:cols w:equalWidth="0" w:num="1">
            <w:col w:w="11140"/>
          </w:cols>
          <w:pgMar w:left="360" w:top="111" w:right="399" w:bottom="0" w:gutter="0" w:footer="0" w:header="0"/>
          <w:type w:val="continuous"/>
        </w:sectPr>
      </w:pPr>
    </w:p>
    <w:bookmarkStart w:id="8" w:name="page9"/>
    <w:bookmarkEnd w:id="8"/>
    <w:p>
      <w:pPr>
        <w:ind w:left="1620"/>
        <w:spacing w:after="0"/>
        <w:rPr>
          <w:sz w:val="20"/>
          <w:szCs w:val="20"/>
          <w:color w:val="auto"/>
        </w:rPr>
      </w:pPr>
      <w:r>
        <w:rPr>
          <w:rFonts w:ascii="Times New Roman" w:cs="Times New Roman" w:eastAsia="Times New Roman" w:hAnsi="Times New Roman"/>
          <w:sz w:val="22"/>
          <w:szCs w:val="22"/>
          <w:color w:val="auto"/>
        </w:rPr>
        <w:t>Kenneth Griffin</w:t>
      </w:r>
    </w:p>
    <w:p>
      <w:pPr>
        <w:spacing w:after="0" w:line="152" w:lineRule="exact"/>
        <w:rPr>
          <w:sz w:val="20"/>
          <w:szCs w:val="20"/>
          <w:color w:val="auto"/>
        </w:rPr>
      </w:pPr>
    </w:p>
    <w:p>
      <w:pPr>
        <w:ind w:left="3740"/>
        <w:spacing w:after="0"/>
        <w:tabs>
          <w:tab w:leader="none" w:pos="4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Name/Title: Seth Levy, attorney-in-fact*</w:t>
      </w:r>
    </w:p>
    <w:p>
      <w:pPr>
        <w:spacing w:after="0" w:line="44" w:lineRule="exact"/>
        <w:rPr>
          <w:sz w:val="20"/>
          <w:szCs w:val="20"/>
          <w:color w:val="auto"/>
        </w:rPr>
      </w:pPr>
    </w:p>
    <w:p>
      <w:pPr>
        <w:ind w:left="3740"/>
        <w:spacing w:after="0"/>
        <w:tabs>
          <w:tab w:leader="none" w:pos="4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31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Seth Levy is signing on behalf of Kenneth Griffin as attorney-in-fact pursuant 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power of attorney previously filed with the Securities and Exchange Commission, and hereby incorporated by reference herein. The power of attorney was filed as an attachment to a filing by Citadel Advisors LLC on Schedule 13G for Allakos Inc. on October 13, 2023.</w:t>
      </w:r>
    </w:p>
    <w:sectPr>
      <w:pgSz w:w="11900" w:h="16838" w:orient="portrait"/>
      <w:cols w:equalWidth="0" w:num="1">
        <w:col w:w="11020"/>
      </w:cols>
      <w:pgMar w:left="320" w:top="23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2"/>
      <w:numFmt w:val="bullet"/>
      <w:start w:val="1"/>
    </w:lvl>
  </w:abstractNum>
  <w:abstractNum w:abstractNumId="1">
    <w:nsid w:val="4DB127F8"/>
    <w:multiLevelType w:val="hybridMultilevel"/>
    <w:lvl w:ilvl="0">
      <w:lvlJc w:val="left"/>
      <w:lvlText w:val="3"/>
      <w:numFmt w:val="bullet"/>
      <w:start w:val="1"/>
    </w:lvl>
  </w:abstractNum>
  <w:abstractNum w:abstractNumId="2">
    <w:nsid w:val="216231B"/>
    <w:multiLevelType w:val="hybridMultilevel"/>
    <w:lvl w:ilvl="0">
      <w:lvlJc w:val="left"/>
      <w:lvlText w:val="5"/>
      <w:numFmt w:val="bullet"/>
      <w:start w:val="1"/>
    </w:lvl>
  </w:abstractNum>
  <w:abstractNum w:abstractNumId="3">
    <w:nsid w:val="1F16E9E8"/>
    <w:multiLevelType w:val="hybridMultilevel"/>
    <w:lvl w:ilvl="0">
      <w:lvlJc w:val="left"/>
      <w:lvlText w:val="2"/>
      <w:numFmt w:val="bullet"/>
      <w:start w:val="1"/>
    </w:lvl>
  </w:abstractNum>
  <w:abstractNum w:abstractNumId="4">
    <w:nsid w:val="1190CDE7"/>
    <w:multiLevelType w:val="hybridMultilevel"/>
    <w:lvl w:ilvl="0">
      <w:lvlJc w:val="left"/>
      <w:lvlText w:val="3"/>
      <w:numFmt w:val="bullet"/>
      <w:start w:val="1"/>
    </w:lvl>
  </w:abstractNum>
  <w:abstractNum w:abstractNumId="5">
    <w:nsid w:val="66EF438D"/>
    <w:multiLevelType w:val="hybridMultilevel"/>
    <w:lvl w:ilvl="0">
      <w:lvlJc w:val="left"/>
      <w:lvlText w:val="9"/>
      <w:numFmt w:val="bullet"/>
      <w:start w:val="1"/>
    </w:lvl>
  </w:abstractNum>
  <w:abstractNum w:abstractNumId="6">
    <w:nsid w:val="140E0F76"/>
    <w:multiLevelType w:val="hybridMultilevel"/>
    <w:lvl w:ilvl="0">
      <w:lvlJc w:val="left"/>
      <w:lvlText w:val="1"/>
      <w:numFmt w:val="bullet"/>
      <w:start w:val="1"/>
    </w:lvl>
  </w:abstractNum>
  <w:abstractNum w:abstractNumId="7">
    <w:nsid w:val="3352255A"/>
    <w:multiLevelType w:val="hybridMultilevel"/>
    <w:lvl w:ilvl="0">
      <w:lvlJc w:val="left"/>
      <w:lvlText w:val="2"/>
      <w:numFmt w:val="bullet"/>
      <w:start w:val="1"/>
    </w:lvl>
  </w:abstractNum>
  <w:abstractNum w:abstractNumId="8">
    <w:nsid w:val="109CF92E"/>
    <w:multiLevelType w:val="hybridMultilevel"/>
    <w:lvl w:ilvl="0">
      <w:lvlJc w:val="left"/>
      <w:lvlText w:val="3"/>
      <w:numFmt w:val="bullet"/>
      <w:start w:val="1"/>
    </w:lvl>
  </w:abstractNum>
  <w:abstractNum w:abstractNumId="9">
    <w:nsid w:val="DED7263"/>
    <w:multiLevelType w:val="hybridMultilevel"/>
    <w:lvl w:ilvl="0">
      <w:lvlJc w:val="left"/>
      <w:lvlText w:val="2"/>
      <w:numFmt w:val="bullet"/>
      <w:start w:val="1"/>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lowerLetter"/>
      <w:start w:val="3"/>
    </w:lvl>
  </w:abstractNum>
  <w:abstractNum w:abstractNumId="12">
    <w:nsid w:val="41A7C4C9"/>
    <w:multiLevelType w:val="hybridMultilevel"/>
    <w:lvl w:ilvl="0">
      <w:lvlJc w:val="left"/>
      <w:lvlText w:val="(%1)"/>
      <w:numFmt w:val="lowerLetter"/>
      <w:start w:val="1"/>
    </w:lvl>
    <w:lvl w:ilvl="1">
      <w:lvlJc w:val="left"/>
      <w:lvlText w:val="%2."/>
      <w:numFmt w:val="decimal"/>
      <w:start w:val="1"/>
    </w:lvl>
  </w:abstractNum>
  <w:abstractNum w:abstractNumId="13">
    <w:nsid w:val="6B68079A"/>
    <w:multiLevelType w:val="hybridMultilevel"/>
    <w:lvl w:ilvl="0">
      <w:lvlJc w:val="left"/>
      <w:lvlText w:val="%1"/>
      <w:numFmt w:val="lowerLetter"/>
      <w:start w:val="1"/>
    </w:lvl>
    <w:lvl w:ilvl="1">
      <w:lvlJc w:val="left"/>
      <w:lvlText w:val="%2."/>
      <w:numFmt w:val="decimal"/>
      <w:start w:val="3"/>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3"/>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2026-05-15T16:00:54Z</dcterms:created>
  <dcterms:modified xsi:type="dcterms:W3CDTF">2026-05-15T16:00:54Z</dcterms:modified>
</cp:coreProperties>
</file>