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5" w:lineRule="exact"/>
        <w:rPr>
          <w:rFonts w:ascii="MS PGothic" w:cs="MS PGothic" w:eastAsia="MS PGothic" w:hAnsi="MS PGothic"/>
          <w:sz w:val="16"/>
          <w:szCs w:val="16"/>
          <w:color w:val="auto"/>
          <w:highlight w:val="black"/>
        </w:rPr>
      </w:pPr>
    </w:p>
    <w:p>
      <w:pPr>
        <w:ind w:left="39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rFonts w:ascii="MS PGothic" w:cs="MS PGothic" w:eastAsia="MS PGothic" w:hAnsi="MS PGothic"/>
          <w:sz w:val="16"/>
          <w:szCs w:val="16"/>
          <w:color w:val="auto"/>
          <w:highlight w:val="black"/>
        </w:rPr>
      </w:pPr>
    </w:p>
    <w:p>
      <w:pPr>
        <w:ind w:left="54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8"/>
          <w:szCs w:val="18"/>
          <w:b w:val="1"/>
          <w:bCs w:val="1"/>
          <w:color w:val="auto"/>
        </w:rPr>
        <w:t>OR</w:t>
      </w:r>
    </w:p>
    <w:p>
      <w:pPr>
        <w:ind w:left="480" w:hanging="459"/>
        <w:spacing w:after="0" w:line="192" w:lineRule="auto"/>
        <w:tabs>
          <w:tab w:leader="none" w:pos="480"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w:t>
      </w:r>
    </w:p>
    <w:p>
      <w:pPr>
        <w:spacing w:after="0" w:line="18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001-39594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Spruce Biosciences,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4500" w:type="dxa"/>
            <w:vAlign w:val="bottom"/>
          </w:tcPr>
          <w:p>
            <w:pPr>
              <w:jc w:val="center"/>
              <w:ind w:left="105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tcPr>
          <w:p>
            <w:pPr>
              <w:jc w:val="right"/>
              <w:ind w:right="2393"/>
              <w:spacing w:after="0"/>
              <w:rPr>
                <w:sz w:val="20"/>
                <w:szCs w:val="20"/>
                <w:color w:val="auto"/>
              </w:rPr>
            </w:pPr>
            <w:r>
              <w:rPr>
                <w:rFonts w:ascii="Times New Roman" w:cs="Times New Roman" w:eastAsia="Times New Roman" w:hAnsi="Times New Roman"/>
                <w:sz w:val="14"/>
                <w:szCs w:val="14"/>
                <w:b w:val="1"/>
                <w:bCs w:val="1"/>
                <w:color w:val="auto"/>
              </w:rPr>
              <w:t>81-2154263</w:t>
            </w:r>
          </w:p>
        </w:tc>
        <w:tc>
          <w:tcPr>
            <w:tcW w:w="0" w:type="dxa"/>
            <w:vAlign w:val="bottom"/>
          </w:tcPr>
          <w:p>
            <w:pPr>
              <w:spacing w:after="0"/>
              <w:rPr>
                <w:sz w:val="1"/>
                <w:szCs w:val="1"/>
                <w:color w:val="auto"/>
              </w:rPr>
            </w:pPr>
          </w:p>
        </w:tc>
      </w:tr>
      <w:tr>
        <w:trPr>
          <w:trHeight w:val="135"/>
        </w:trPr>
        <w:tc>
          <w:tcPr>
            <w:tcW w:w="4500" w:type="dxa"/>
            <w:vAlign w:val="bottom"/>
          </w:tcPr>
          <w:p>
            <w:pPr>
              <w:jc w:val="center"/>
              <w:ind w:left="1052"/>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60" w:type="dxa"/>
            <w:vAlign w:val="bottom"/>
          </w:tcPr>
          <w:p>
            <w:pPr>
              <w:jc w:val="center"/>
              <w:ind w:right="199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58"/>
        </w:trPr>
        <w:tc>
          <w:tcPr>
            <w:tcW w:w="4500" w:type="dxa"/>
            <w:vAlign w:val="bottom"/>
          </w:tcPr>
          <w:p>
            <w:pPr>
              <w:jc w:val="center"/>
              <w:ind w:left="107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560" w:type="dxa"/>
            <w:vAlign w:val="bottom"/>
          </w:tcPr>
          <w:p>
            <w:pPr>
              <w:jc w:val="center"/>
              <w:ind w:right="199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49"/>
        </w:trPr>
        <w:tc>
          <w:tcPr>
            <w:tcW w:w="4500" w:type="dxa"/>
            <w:vAlign w:val="bottom"/>
          </w:tcPr>
          <w:p>
            <w:pPr>
              <w:jc w:val="center"/>
              <w:ind w:left="1052"/>
              <w:spacing w:after="0" w:line="149" w:lineRule="exact"/>
              <w:rPr>
                <w:sz w:val="20"/>
                <w:szCs w:val="20"/>
                <w:color w:val="auto"/>
              </w:rPr>
            </w:pPr>
            <w:r>
              <w:rPr>
                <w:rFonts w:ascii="Times New Roman" w:cs="Times New Roman" w:eastAsia="Times New Roman" w:hAnsi="Times New Roman"/>
                <w:sz w:val="14"/>
                <w:szCs w:val="14"/>
                <w:b w:val="1"/>
                <w:bCs w:val="1"/>
                <w:color w:val="auto"/>
              </w:rPr>
              <w:t>611 Gateway Boulevard, Suite 740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vMerge w:val="restart"/>
          </w:tcPr>
          <w:p>
            <w:pPr>
              <w:jc w:val="right"/>
              <w:ind w:right="2553"/>
              <w:spacing w:after="0"/>
              <w:rPr>
                <w:sz w:val="20"/>
                <w:szCs w:val="20"/>
                <w:color w:val="auto"/>
              </w:rPr>
            </w:pPr>
            <w:r>
              <w:rPr>
                <w:rFonts w:ascii="Times New Roman" w:cs="Times New Roman" w:eastAsia="Times New Roman" w:hAnsi="Times New Roman"/>
                <w:sz w:val="14"/>
                <w:szCs w:val="14"/>
                <w:b w:val="1"/>
                <w:bCs w:val="1"/>
                <w:color w:val="auto"/>
              </w:rPr>
              <w:t>94080</w:t>
            </w:r>
          </w:p>
        </w:tc>
        <w:tc>
          <w:tcPr>
            <w:tcW w:w="0" w:type="dxa"/>
            <w:vAlign w:val="bottom"/>
          </w:tcPr>
          <w:p>
            <w:pPr>
              <w:spacing w:after="0"/>
              <w:rPr>
                <w:sz w:val="1"/>
                <w:szCs w:val="1"/>
                <w:color w:val="auto"/>
              </w:rPr>
            </w:pPr>
          </w:p>
        </w:tc>
      </w:tr>
      <w:tr>
        <w:trPr>
          <w:trHeight w:val="180"/>
        </w:trPr>
        <w:tc>
          <w:tcPr>
            <w:tcW w:w="4500" w:type="dxa"/>
            <w:vAlign w:val="bottom"/>
          </w:tcPr>
          <w:p>
            <w:pPr>
              <w:jc w:val="center"/>
              <w:ind w:left="1072"/>
              <w:spacing w:after="0"/>
              <w:rPr>
                <w:sz w:val="20"/>
                <w:szCs w:val="20"/>
                <w:color w:val="auto"/>
              </w:rPr>
            </w:pPr>
            <w:r>
              <w:rPr>
                <w:rFonts w:ascii="Times New Roman" w:cs="Times New Roman" w:eastAsia="Times New Roman" w:hAnsi="Times New Roman"/>
                <w:sz w:val="14"/>
                <w:szCs w:val="14"/>
                <w:b w:val="1"/>
                <w:bCs w:val="1"/>
                <w:color w:val="auto"/>
              </w:rPr>
              <w:t>South San Francisco, California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500" w:type="dxa"/>
            <w:vAlign w:val="bottom"/>
          </w:tcPr>
          <w:p>
            <w:pPr>
              <w:jc w:val="center"/>
              <w:ind w:left="107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jc w:val="center"/>
              <w:ind w:right="19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22"/>
        </w:trPr>
        <w:tc>
          <w:tcPr>
            <w:tcW w:w="7680" w:type="dxa"/>
            <w:vAlign w:val="bottom"/>
            <w:gridSpan w:val="7"/>
          </w:tcPr>
          <w:p>
            <w:pPr>
              <w:ind w:left="35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655-4168</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4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5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20" w:type="dxa"/>
            <w:vAlign w:val="bottom"/>
          </w:tcPr>
          <w:p>
            <w:pPr>
              <w:spacing w:after="0"/>
              <w:rPr>
                <w:sz w:val="15"/>
                <w:szCs w:val="15"/>
                <w:color w:val="auto"/>
              </w:rPr>
            </w:pPr>
          </w:p>
        </w:tc>
        <w:tc>
          <w:tcPr>
            <w:tcW w:w="1020" w:type="dxa"/>
            <w:vAlign w:val="bottom"/>
            <w:tcBorders>
              <w:bottom w:val="single" w:sz="8" w:color="auto"/>
            </w:tcBorders>
            <w:gridSpan w:val="2"/>
          </w:tcPr>
          <w:p>
            <w:pPr>
              <w:spacing w:after="0"/>
              <w:rPr>
                <w:sz w:val="15"/>
                <w:szCs w:val="15"/>
                <w:color w:val="auto"/>
              </w:rPr>
            </w:pPr>
          </w:p>
        </w:tc>
        <w:tc>
          <w:tcPr>
            <w:tcW w:w="3560" w:type="dxa"/>
            <w:vAlign w:val="bottom"/>
            <w:tcBorders>
              <w:bottom w:val="single" w:sz="8" w:color="auto"/>
            </w:tcBorders>
          </w:tcPr>
          <w:p>
            <w:pPr>
              <w:jc w:val="center"/>
              <w:ind w:right="95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69"/>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par value $0.0001 per share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color w:val="auto"/>
              </w:rPr>
              <w:t>SPRB</w:t>
            </w:r>
          </w:p>
        </w:tc>
        <w:tc>
          <w:tcPr>
            <w:tcW w:w="3560" w:type="dxa"/>
            <w:vAlign w:val="bottom"/>
          </w:tcPr>
          <w:p>
            <w:pPr>
              <w:jc w:val="center"/>
              <w:ind w:right="953"/>
              <w:spacing w:after="0"/>
              <w:rPr>
                <w:sz w:val="20"/>
                <w:szCs w:val="20"/>
                <w:color w:val="auto"/>
              </w:rPr>
            </w:pPr>
            <w:r>
              <w:rPr>
                <w:rFonts w:ascii="Times New Roman" w:cs="Times New Roman" w:eastAsia="Times New Roman" w:hAnsi="Times New Roman"/>
                <w:sz w:val="13"/>
                <w:szCs w:val="13"/>
                <w:color w:val="auto"/>
              </w:rPr>
              <w:t>Nasdaq Global Select Market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402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14"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42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as of June 30, 2023, the last business day of the Registrant's most recently completed second fiscal quarter, was approximately $75.0 million, based on the closing price of the Registrant's common stock on the Nasdaq Global Select Market of $2.15 per share.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14, 2024 was 41,149,160.</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3" w:lineRule="exact"/>
        <w:rPr>
          <w:sz w:val="24"/>
          <w:szCs w:val="24"/>
          <w:color w:val="auto"/>
        </w:rPr>
      </w:pPr>
    </w:p>
    <w:p>
      <w:pPr>
        <w:ind w:right="180"/>
        <w:spacing w:after="0" w:line="278"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2024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r>
      <w:tr>
        <w:trPr>
          <w:trHeight w:val="668"/>
        </w:trPr>
        <w:tc>
          <w:tcPr>
            <w:tcW w:w="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5340" w:type="dxa"/>
            <w:vAlign w:val="bottom"/>
            <w:tcBorders>
              <w:bottom w:val="single" w:sz="8" w:color="0000FF"/>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100" w:type="dxa"/>
            <w:vAlign w:val="bottom"/>
            <w:gridSpan w:val="8"/>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104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SUMMARY OF RISKS ASSOCIATED WITH OUR 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07"/>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9"/>
                <w:szCs w:val="19"/>
                <w:color w:val="auto"/>
              </w:rPr>
            </w:pPr>
          </w:p>
        </w:tc>
        <w:tc>
          <w:tcPr>
            <w:tcW w:w="8360" w:type="dxa"/>
            <w:vAlign w:val="bottom"/>
            <w:gridSpan w:val="2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2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9"/>
                <w:szCs w:val="19"/>
                <w:color w:val="auto"/>
              </w:rPr>
            </w:pPr>
          </w:p>
        </w:tc>
        <w:tc>
          <w:tcPr>
            <w:tcW w:w="8520" w:type="dxa"/>
            <w:vAlign w:val="bottom"/>
            <w:gridSpan w:val="2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507"/>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9"/>
                <w:szCs w:val="19"/>
                <w:color w:val="auto"/>
              </w:rPr>
            </w:pPr>
          </w:p>
        </w:tc>
        <w:tc>
          <w:tcPr>
            <w:tcW w:w="1000" w:type="dxa"/>
            <w:vAlign w:val="bottom"/>
            <w:tcBorders>
              <w:top w:val="single" w:sz="8" w:color="0000FF"/>
            </w:tcBorders>
            <w:gridSpan w:val="4"/>
          </w:tcPr>
          <w:p>
            <w:pPr>
              <w:spacing w:after="0"/>
              <w:rPr>
                <w:sz w:val="19"/>
                <w:szCs w:val="19"/>
                <w:color w:val="auto"/>
              </w:rPr>
            </w:pPr>
          </w:p>
        </w:tc>
        <w:tc>
          <w:tcPr>
            <w:tcW w:w="494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507"/>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143</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60" w:type="dxa"/>
            <w:vAlign w:val="bottom"/>
            <w:tcBorders>
              <w:top w:val="single" w:sz="8" w:color="0000FF"/>
            </w:tcBorders>
            <w:gridSpan w:val="7"/>
          </w:tcPr>
          <w:p>
            <w:pPr>
              <w:spacing w:after="0"/>
              <w:rPr>
                <w:sz w:val="19"/>
                <w:szCs w:val="19"/>
                <w:color w:val="auto"/>
              </w:rPr>
            </w:pPr>
          </w:p>
        </w:tc>
        <w:tc>
          <w:tcPr>
            <w:tcW w:w="520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4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507"/>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14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6200" w:type="dxa"/>
            <w:vAlign w:val="bottom"/>
            <w:gridSpan w:val="13"/>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w:t>
            </w:r>
          </w:p>
        </w:tc>
      </w:tr>
      <w:tr>
        <w:trPr>
          <w:trHeight w:val="223"/>
        </w:trPr>
        <w:tc>
          <w:tcPr>
            <w:tcW w:w="20" w:type="dxa"/>
            <w:vAlign w:val="bottom"/>
          </w:tcPr>
          <w:p>
            <w:pPr>
              <w:spacing w:after="0"/>
              <w:rPr>
                <w:sz w:val="19"/>
                <w:szCs w:val="19"/>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bottom w:val="single" w:sz="8" w:color="0000EE"/>
            </w:tcBorders>
          </w:tcPr>
          <w:p>
            <w:pPr>
              <w:spacing w:after="0"/>
              <w:rPr>
                <w:sz w:val="19"/>
                <w:szCs w:val="19"/>
                <w:color w:val="auto"/>
              </w:rPr>
            </w:pPr>
          </w:p>
        </w:tc>
        <w:tc>
          <w:tcPr>
            <w:tcW w:w="7720" w:type="dxa"/>
            <w:vAlign w:val="bottom"/>
            <w:gridSpan w:val="1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(the “Annual Report”) contains forward-looking statements within the meaning of the federal securities laws made pursuant to the safe harbor provisions of the Private Securities Litigation Reform Act of 1995. All statements other than statements of historical facts contained in this Annual Report, including statements regarding our future results of operations and financial position, business strategy, research and development costs; the anticipated timing, costs and conduct of our clinical trials for our only product candidate, tildacerfont; the timing and likelihood of regulatory filings and approvals for tildacerfont; our ability to commercialize tildacerfont, if approved; the pricing and reimbursement of tildacerfont, if approved; the potential benefits of strategic collaborations and our ability to enter into strategic arrangements; the timing and likelihood of success, plans and objectives of management for future operations; future results of anticipated product development efforts; and our expected future financing needs,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titled “Risk Factors” and “Management’s Discussion and Analysis of Financial Condition and Results of Operations”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Securities and Exchange Commission (“SEC”) after the date of this Annual Report.</w:t>
      </w:r>
    </w:p>
    <w:p>
      <w:pPr>
        <w:spacing w:after="0" w:line="8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on information available to us as of the date of this Annual Report, and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face risks and uncertainties associated with our business, many of which are beyond our control. Some of the material risks associated with our business include the following:</w:t>
      </w:r>
    </w:p>
    <w:p>
      <w:pPr>
        <w:spacing w:after="0" w:line="54" w:lineRule="exact"/>
        <w:rPr>
          <w:sz w:val="20"/>
          <w:szCs w:val="20"/>
          <w:color w:val="auto"/>
        </w:rPr>
      </w:pPr>
    </w:p>
    <w:p>
      <w:pPr>
        <w:ind w:left="1020" w:right="3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adequately demonstrate the safety and efficacy of tildacerfont, which could prevent or delay regulatory approval and commercialization.</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U.S. and global economic and geopolitical conditions could adversely affect our business, financial condition or results of operations.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tildacerfont and any future product candidates are smaller than we believe they are, our future revenue may be adversely affected, and our business may suffer.</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and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(“CAH”).</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Classic CAH is an autosomal recessive disease, driven by a mutation in the gene that encodes an enzyme necessary for the synthesis of key adrenal hormones with no known novel therapies approved in approximately 70 years. In classic CAH patients, the body is not able to produce cortisol, leading to serious health consequences. In the absence of cortisol, patients can face adrenal crisis and death rapidly as a result of any stressing event, such as infection. Physicians administer replacement steroid hormones to reduce the risk of adrenal crises and death; however, replacement alone is not sufficient to address all of the consequences associated with classic CAH. As a result, classic CAH patients suffer from premature puberty, impaired fertility, hirsutism, acne, the development of adrenal rest tumors, and an impaired quality of life, and additionally for females, virilized genitalia and menstrual irregularities. Currently, the only way to downregulate the production of excess androgens in classic CAH patients is to administer even higher doses of glucocorticoids, known as supraphysiologic glucocorticoid dosing. These elevated dose levels present specific side effects, including increased risks of developing diabetes, cardiovascular disease, stunted growth, osteoporosis, thin skin, gastrointestinal disorders, and decreased lifespan.</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Tildacerfont is a potent and highly selective, non-steroidal, oral antagonist of the CRF1 receptor, which is the receptor for corticotropin-releasing factor (“CRF”), a hormone that is secreted by the hypothalamus. The CRF1 receptor is abundantly expressed in the pituitary gland where it is the primary regulator of the hypothalamic pituitary adrenal (“HPA”) axis. By blocking the CRF1 receptor, tildacerfont has the potential to address the uncontrolled cortisol feedback regulatory pathway in CAH, and in turn reduce the production of adrenocorticotropic hormone (“ACTH”) in the pituitary, limiting the amount of androgen produced downstream from the adrenal gland. We believe that by controlling excess adrenal androgens through an independent mechanism, tildacerfont could reduce the unwanted clinical symptoms associated with high androgen exposure. Tildacerfont use could also enable treating physicians to lower the supraphysiologic glucocorticoid doses given to classic CAH patients to near physiologic levels, thus reducing or avoiding the long-term and serious side effects associated with the chronic use of high dose glucocorticoids. Tildacerfont has been evaluated in over 300 subjects across ten completed clinical trials in which it has been generally well tolerated. No drug-related serious adverse events (“SAEs”) have been reported related to tildacerfont treatment in completed clinical trials.</w:t>
      </w:r>
    </w:p>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Due to the severity of the disease, most developed countries have established newborn screening programs to test for classic CAH at birth. Infants diagnosed with classic CAH are generally initiated on glucocorticoid therapy at the time of diagnosis and lifelong disease management with steroids is required, with pediatric patients generally transitioning into the care of adult endocrinologists between the ages of 18 and 21. Due to the complexity of management of classic CAH, in the United States, patients are generally managed within specialty endocrinology clinics, and in the European Union (“EU”), most countries have a small number of centers of excellence addressing the population. We estimate the total classic CAH populations are approximately 20,000 to 30,000 people in the United States and approximately 50,000 people in the EU, and, according to the National Organization for Rare Disorders, the estimated incidence of classic CAH in the United States and Europe is between one in 10,000 and one in 15,000 live births. In addition, we estimate based on industry reports that the global market opportunity in patients with classic CAH is at least approximately $3.0 billion.</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initiated CAHmelia-203, a placebo-controlled, double-blind Phase 2b clinical trial in 96 adult patients with classic CAH with highly elevated levels of androstenedione (“A4”) at baseline and reported topline results in March 2024. CAHmelia-203 enrolled 96 subjects with a mean baseline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glucocorticoid ("GC") was low, with approximately 50% of patients reporting 80% or greater compliance, which we believe resulted in lower-than-expected tildacerfont exposure. Tildacerfont was generally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safe and well tolerated at all doses, with no treatment-related SAEs. Most adverse events were reported as mild to moderate. As a result of not meeting the primary efficacy endpoint, we have decided to terminate the CAHmelia-203 study.</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also initiated CAHmelia-204, a second Phase 2b clinical trial in 100 adult patients with classic CAH on mean daily dose of supraphysiologic glucocorticoids of 37 mg/day of hydrocortisone equivalents (“HCe”). Patients enrolled with mean A4 level at baseline of 224 ng/dL, which is approximately the ULN; 66% of patients enrolled with androgenic control, which is defined as having A4 values below the ULN at baseline. Although we have terminated the CAHmelia-203 trial, we believe the differentiated patient population between CAHmelia-203 and CAHmelia-204 supports our decision to continue with the CAHmelia-204 trial until topline results are available.</w:t>
      </w:r>
    </w:p>
    <w:p>
      <w:pPr>
        <w:spacing w:after="0" w:line="75"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8"/>
          <w:szCs w:val="18"/>
          <w:color w:val="auto"/>
        </w:rPr>
        <w:t>In addition, we are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initiated CAHptain, a Phase 2 open-label clinical trial, which utilizes a sequential three cohort design, to evaluate the safety, efficacy, and pharmacokinetics of tildacerfont in children two to 17 years of age with classic CAH. We reported topline results in March 2024. CAHptain-205 enrolled 30 children between two and 17 years of age with a mean baseline GC dose of 14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/day and mean baseline A4 level of 372 ng/dL. The study characterized the safety and pharmacokinetic profiles of tildacerfont, as well as changes in androgen levels over 12 weeks of treatment, and the ability to reduce daily GC dose upon A4 normalization.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It is not uncommon for children to require relatively higher doses than adults to achieve optimal exposures of drugs. While we are encouraged by the activity observed thus far at suboptimal doses in this Phase 2 dose-ranging study, we plan to continue to evaluate the optimal dose, with topline results from additional dosing cohorts anticipated in the fourth quarter of 2024. Assuming positive results from CAHmelia-204 and CAHptain-205, we plan to meet with the U.S. Food and Drug Administration (“FDA”) and comparable foreign regulatory authorities to outline the design of a registrational clinical program in adult and pediatric classic CAH.</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own worldwide development and commercialization rights for tildacerfont. We intend to build a highly specialized commercial organization to support the commercialization of tildacerfont, if approved, in the United States. Given a relatively small number of endocrinologists and specialists treat a large proportion of the patients with classic CAH, we believe this market can be effectively addressed with a modest-sized targeted commercial sales force, alongside various high-touch patient initiatives. If tildacerfont is approved for additional indications, we plan to leverage our rare disease commercial infrastructure and expertise to efficiently address those patient populations. We plan to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Under the terms of the agreement, we will receive an upfront payment of $15.0 million from Kaken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spacing w:after="0" w:line="8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have developed and continue to expand our extensive patent portfolio for tildacerfont, covering composition of matter, method of synthesis, formulation, and use. We have also been granted orphan drug designation for tildacerfont for the treatment of CAH both in the United States and the EU. We have assembled a highly experienced team with broad capabilities in drug discovery, development, and commercialization. Javier Szwarcberg, M.D., MPH, our Chief Executive Officer, previously served as Group Vice President and Head of Program and Portfolio Development for BioMarin Pharmaceuticals. Previously, he held positions as Senior Vice President, Head of Program and Portfolio Management at Ultragenyx Pharmaceutical and Vice President of R&amp;D and Business Development at Horizon Pharma. Samir Gharib, our President and Chief Financial Officer, previously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served as Chief Financial Officer at Stemedica Cell Technologies and prior to that in executive finance roles at Revance Therapeutics, Inc. and Talon Therapeutics,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Development Plan for Tildacerfont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investigating tildacerfont in orphan indications where the underlying disease biology supports a need to reduce excess secretion of or hyperresponsiveness to ACTH. We are currently in late-stage clinical development for tildacerfont in adult patients with classic CAH. We initiated the CAHmelia-203 trial in 96 adult patients with classic CAH with highly elevated levels of A4 at baseline and reported topline results in March 2024. We initiated CAHmelia-203, a placebo-controlled, double-blind Phase 2b clinical trial in 96 adult patients with classic CAH with highly elevated levels of A4 at baseline and reported topline results in March 2024. CAHmelia-203 enrolled 96 subjects with a mean baseline A4 level of 1,151 ng/dL, which is more than five times above the ULN. The clinical trial did not achieve the primary efficacy endpoint of change in A4 from baseline to week 12. 200mg QD of tildacerfont demonstrated a placebo-adjusted reduction from baseline in A4 of -2.6% with a non-significant p-value at week 12. Compliance with study medication and glucocorticoid was low with approximately 50% of patients reporting 80% or greater compliance, which we believe resulted in lower-than-expected tildacerfont exposure. Tildacerfont was generally safe and well tolerated at all doses, with no treatment-related SAEs. Most adverse events were reported as mild to moderate.</w:t>
      </w:r>
    </w:p>
    <w:p>
      <w:pPr>
        <w:spacing w:after="0" w:line="86"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We also initiated CAHmelia-204, a second Phase 2b clinical trial in 100 adult patients with classic CAH on mean daily dose of supraphysiologic glucocorticoids of 37 mg/day of HCe. Patients enrolled with mean A4 level at baseline of 224 ng/dL, which is approximately the ULN; 66% of patients enrolled with androgenic control, which is defined as having A4 values below the ULN at baseline.</w:t>
      </w:r>
    </w:p>
    <w:p>
      <w:pPr>
        <w:spacing w:after="0" w:line="6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8"/>
          <w:szCs w:val="18"/>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initiated CAHptain, a Phase 2 open-label clinical trial, which utilizes a sequential three cohort design, to evaluate the safety, efficacy, and pharmacokinetics of tildacerfont in children two to 17 years of age with classic CAH. We reported topline results in March 2024. CAHptain-205 enrolled 30 children between two and 17 years of age with a mean baseline GC dose of 14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/day and mean baseline A4 level of 372 ng/dL. The study characterized the safety and pharmacokinetic profiles of tildacerfont, as well as changes in androgen levels over 12 weeks of treatment, and the ability to reduce daily GC dose upon A4 normalization.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It is not uncommon for children to require relatively higher doses than adults to achieve optimal exposures of drugs. While we are encouraged by the activity observed thus far at suboptimal doses in this Phase 2 dose-ranging study, we plan to continue to evaluate the optimal dose, with topline results from additional dose ranging cohorts anticipated in the fourth quarter of 2024. Assuming positive results from CAHmelia-204 and CAHptain-205, we plan to meet with the FDA and comparable foreign regulatory authorities to outline the design of a registrational clinical program in adult and pediatric classic CAH.</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Polycystic ovary syndrome (“PCOS”) is a hormonal disorder common among females of reproductive age affecting nearly five million females in the United States and approximately 115 million females worldwide. PCOS is characterized by elevated levels of androgens, cysts in the ovaries, and irregular periods. We have identified a subpopulation of patients where elevated levels of adrenal androgens are the cause of disease. We believe that tildacerfont may present a novel mechanism to reduce ACTH and provide a therapeutic option for females with PCOS and elevated adrenal androgens. By leveraging our existing Phase 1 program, which includes safety,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tolerability, and pharmacokinetics of tildacerfont, we initiated and completed POWER, a Phase 2 proof-of-concept clinical trial. The Phase 2 proof-of-concept clinical trial is a randomized, placebo-controlled, dose escalation trial which will evaluate the safety and efficacy of tildacerfont titrated to 200mg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study drug and single event occurrences. No SAEs or dose toxicities were observed, and there was no evidence of adrenal insufficiency. We plan to present the final data from the POWER clinical trial at a future medical conference.</w:t>
      </w:r>
    </w:p>
    <w:p>
      <w:pPr>
        <w:spacing w:after="0" w:line="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Beyond classic CAH and PCOS, we believe tildacerfont has potential utility in a range of diseases where the underlying biology supports a need to reduce excess secretion of or hyperresponsiveness to ACTH. We are committed to leveraging our deep scientific knowledge of the biology of rare endocrine disorders, the benefits of tildacerfont, and our commercial expertise to dramatically transform the lives of individuals living with these devastating disorders.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ongoing clinical trials and anticipated upcoming milestones for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85725</wp:posOffset>
            </wp:positionV>
            <wp:extent cx="5349240" cy="256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7" w:lineRule="exact"/>
        <w:rPr>
          <w:sz w:val="20"/>
          <w:szCs w:val="20"/>
          <w:color w:val="auto"/>
        </w:rPr>
      </w:pPr>
    </w:p>
    <w:p>
      <w:pPr>
        <w:ind w:left="1020" w:right="30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 clinical development for tildacerfont and seek regulatory approval for the treatment of adults and children with classic CAH. </w:t>
      </w:r>
      <w:r>
        <w:rPr>
          <w:rFonts w:ascii="Times New Roman" w:cs="Times New Roman" w:eastAsia="Times New Roman" w:hAnsi="Times New Roman"/>
          <w:sz w:val="18"/>
          <w:szCs w:val="18"/>
          <w:color w:val="auto"/>
        </w:rPr>
        <w:t>Assuming positive results from CAHmelia-204 and CAHptain-205, we plan to meet with the FDA and comparable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authorities to outline the design of a registrational clinical program in adult and pediatric classic CAH.</w:t>
      </w:r>
    </w:p>
    <w:p>
      <w:pPr>
        <w:spacing w:after="0" w:line="62"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the commercial potential of tildacerfont in classic CAH. </w:t>
      </w:r>
      <w:r>
        <w:rPr>
          <w:rFonts w:ascii="Times New Roman" w:cs="Times New Roman" w:eastAsia="Times New Roman" w:hAnsi="Times New Roman"/>
          <w:sz w:val="18"/>
          <w:szCs w:val="18"/>
          <w:color w:val="auto"/>
        </w:rPr>
        <w:t>We intend to build a highly specialized commercial organization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the commercialization of tildacerfont, if approved, in the United States. Given a relatively small number of endocrinologists and specialists treat a large proportion of the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plan to seek strategic collaborations to benefit from the resources of biopharmaceutical companies specialized in either relevant disease areas or geographies in markets outside the United States. In January 2023, we and Kaken entered into an exclusive licensing agreement for the development and commercialization of</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100"/>
        <w:spacing w:after="0" w:line="258" w:lineRule="auto"/>
        <w:rPr>
          <w:sz w:val="20"/>
          <w:szCs w:val="20"/>
          <w:color w:val="auto"/>
        </w:rPr>
      </w:pPr>
      <w:r>
        <w:rPr>
          <w:rFonts w:ascii="Times New Roman" w:cs="Times New Roman" w:eastAsia="Times New Roman" w:hAnsi="Times New Roman"/>
          <w:sz w:val="18"/>
          <w:szCs w:val="18"/>
          <w:color w:val="auto"/>
        </w:rPr>
        <w:t>tildacerfont for the treatment of CAH in Japan. Under the terms of the agreement, we will receive an upfront payment of $15.0 million from Kaken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spacing w:after="0" w:line="71" w:lineRule="exact"/>
        <w:rPr>
          <w:sz w:val="20"/>
          <w:szCs w:val="20"/>
          <w:color w:val="auto"/>
        </w:rPr>
      </w:pPr>
    </w:p>
    <w:p>
      <w:pPr>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Explore the potential of tildacerfont to bring therapeutic benefit to patients with other rare endocrine disorders. </w:t>
      </w:r>
      <w:r>
        <w:rPr>
          <w:rFonts w:ascii="Times New Roman" w:cs="Times New Roman" w:eastAsia="Times New Roman" w:hAnsi="Times New Roman"/>
          <w:sz w:val="18"/>
          <w:szCs w:val="18"/>
          <w:color w:val="auto"/>
        </w:rPr>
        <w:t>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tildacerfont has the potential to bring therapeutic benefit to patients suffering from rare endocrine disorders where the underlying disease biology supports a need to reduce excess secretion of or hyperresponsiveness to ACTH. Based on this biological rationale, we believe tildacerfont may have utility in controlling elevated levels of adrenal androgens in females with PCOS. We believe these patients may potentially benefit from treatment with tildacerfont by reducing their ACTH level and related adrenal androgen production. We may continue to explore the utility of tildacerfont in other rare endocrine disorders, such as the severe form of non-classic CAH in which there is a strong scientific and clinical rationale.</w:t>
      </w:r>
    </w:p>
    <w:p>
      <w:pPr>
        <w:spacing w:after="0" w:line="74" w:lineRule="exact"/>
        <w:rPr>
          <w:rFonts w:ascii="Times New Roman" w:cs="Times New Roman" w:eastAsia="Times New Roman" w:hAnsi="Times New Roman"/>
          <w:sz w:val="18"/>
          <w:szCs w:val="18"/>
          <w:color w:val="auto"/>
        </w:rPr>
      </w:pPr>
    </w:p>
    <w:p>
      <w:pPr>
        <w:jc w:val="both"/>
        <w:ind w:left="1020" w:right="180" w:hanging="503"/>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opportunities to expand our product candidate portfolio. </w:t>
      </w:r>
      <w:r>
        <w:rPr>
          <w:rFonts w:ascii="Times New Roman" w:cs="Times New Roman" w:eastAsia="Times New Roman" w:hAnsi="Times New Roman"/>
          <w:sz w:val="18"/>
          <w:szCs w:val="18"/>
          <w:color w:val="auto"/>
        </w:rPr>
        <w:t>We intend to seek to in-license or acquire development-stage product candidates in rare endocrine disorders that have the potential to complement our existing portfolio. We believe that there are many opportunities to leverage our deep endocrine expertise to develop new treatments for rare endocrine disorders with significant unmet medical needs.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Endocrine System and the HPA Axis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endocrine system regulates most of the body’s physiological activities through the actions of hormones, which are chemical and biochemical messengers secreted from different organs that influence growth, gastrointestinal function, maturation and development, reproduction, stress, metabolism, and nearly all aspects of homeostasis. The endocrine system includes, among other glands and organs, the pituitary gland, hypothalamus, pancreas, adrenal gland, thyroid and parathyroid, ovaries and testes, as well as specialized enteroendocrine cells. Hormonal secretion is complex and the body employs several mechanisms to exert positive and negative feedback control to maintain homeostasis.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HPA axis is a critical component of the endocrine system and the body’s response to stress. In a functioning HPA axis, CRF is synthesized and secreted from the hypothalamus in the brain. This stimulates the secretion of ACTH, through activation of the CRF1 receptor at the pituitary gland, which in turn stimulates the production of several hormones in the adrenal cortex: corticosteroids, which gauge the body’s response to illness or injury; mineralocorticoids, which regulate salt and water levels; and androgens, which are male sex hormones. Cortisol, a glucocorticoid steroid, exerts a negative feedback response at the hypothalamus and pituitary, which decreases secretion of CRF and ACTH, respectively, to maintain an appropriate balance of all three hormones.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130810</wp:posOffset>
            </wp:positionV>
            <wp:extent cx="4886325" cy="1851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8632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1. Normal HPA Axis function.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Classic CAH Disease Overview</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Classic CAH is a chronic and potentially life-threatening rare disease with no cure. The most common cause of classic CAH, accounting for an estimated 95% of cases, is a genetic mutation leading to the production of dysfunctional 21-hydroxylase, an enzyme necessary for the biosynthesis of both corticosteroids and mineralocorticoids. Patients with classic CAH present with dysregulation across the HPA axis due to this enzymatic deficiency that shuts down the production of corticosteroids and, in approximately 75% of cases, the production of mineralocorticoids.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291465</wp:posOffset>
            </wp:positionV>
            <wp:extent cx="4860290" cy="1911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60290"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 The dysregulation of the HPA axis in classic CAH.</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immediate goal of treatment is the prevention of adrenal crises by replacing the missing physiological levels of corticosteroids. However, cortisol levels in the body vary daily, and normally increase during periods of high stress, making adequate control very difficult to achieve for most patients. In response to chronically absent or inadequate cortisol levels, the pituitary gland secretes higher levels of ACTH to further stimulate steroid synthesis in the adrenal gland. This results in hyperplasia of the gland and the shunting of the steroid precursors to androgen synthesis, resulting in excess levels of androgens such as testosterone and A4 with overt symptoms of virilization. Therefore, the long-term symptomatic control in these patients is to reduce ACTH through supraphysiological doses of exogenous glucocorticoids via a negative feedback response.</w:t>
      </w:r>
    </w:p>
    <w:p>
      <w:pPr>
        <w:spacing w:after="0" w:line="7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consequences of being born with CAH are severe. All patients born with classic CAH have cortisol deficiency, which makes these patients susceptible to adrenal crises in as early as one to four weeks of age. Due to the life-threatening adrenal crisis, screening for classic CAH is a standard part of routine neonatal screening in the United States and many other major geographies around the world. The most common cause of an adrenal crisis is an infection. Adrenal crisis can also be precipitated by other inducers of stress including surgery, dehydration, or trauma, and is characterized by extreme weakness, nausea, and vomiting. To prevent adrenal crises, physiological replacement of glucocorticoids is initiated in the neonatal period. Data from approximately 6.5 million newborn infants screened worldwide show an estimated incidence of approximately one in 15,000 live births.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when patients are diagnosed early and treated with steroids, the associated, continued exposure to high levels of androgens results in premature or precocious puberty, with onset sometimes occurring as early as five years of age. Early puberty drives early maturation of the body’s bones, resulting in an adult height that is typically significantly below the height expected based on the parents’ heights. In females, the presence of excess androgens in the body causes virilization, often leading to ambiguous genitalia and masculinizing features apparent at birth. Female adolescents and adults may develop male-pattern alopecia, acne, hirsutism, menstrual irregularities, and impaired fertility. Often commencing in early adolescence, a substantial proportion of males can develop testicular adrenal rest tumors (“TARTs”), benign tumors that can lead to pain and impaired fertility.</w:t>
      </w:r>
    </w:p>
    <w:p>
      <w:pPr>
        <w:spacing w:after="0" w:line="79"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Numerous studies have documented diminished quality of life in patients with CAH related both to the disease and its treatment with glucocorticoids. For example, CAH patients commonly experience fatigue, sleep disturbances, concentration problems, and challenges with social interactions.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Patients with classic CAH face increased risk of mortality, with one study documenting an average reduced lifespan of 6.5 years. The causes of death were adrenal crisis (42%), cardiovascular disease (32%), cancer (16%), and suicide (10%).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Consequences of Lack of Cortisol and Aldosterone</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 lack of functional 21-hydroxylase enzyme results in the inability to produce sufficient corticosteroids, such as cortisol, and mineralocorticoids, such as aldosterone. Cortisol functions as the body’s main stress hormone. Biochemically, it regulates glucose metabolism, inflammation and blood pressure. On a behavioral level, it controls mood, motivation, fear, and sleep/wake cycles. Aldosterone regulates the electrolyte balance between sodium and potassium in the body. Low levels of aldosterone result in hyponatremia, low blood pressure and volume, dizziness,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240"/>
        <w:spacing w:after="0" w:line="375" w:lineRule="auto"/>
        <w:rPr>
          <w:sz w:val="20"/>
          <w:szCs w:val="20"/>
          <w:color w:val="auto"/>
        </w:rPr>
      </w:pPr>
      <w:r>
        <w:rPr>
          <w:rFonts w:ascii="Times New Roman" w:cs="Times New Roman" w:eastAsia="Times New Roman" w:hAnsi="Times New Roman"/>
          <w:sz w:val="18"/>
          <w:szCs w:val="18"/>
          <w:color w:val="auto"/>
        </w:rPr>
        <w:t xml:space="preserve">and lightheadedness. Restoration of the function of both cortisol and aldosterone is the primary goal of current therapies for classic CAH. </w:t>
      </w:r>
      <w:r>
        <w:rPr>
          <w:rFonts w:ascii="Times New Roman" w:cs="Times New Roman" w:eastAsia="Times New Roman" w:hAnsi="Times New Roman"/>
          <w:sz w:val="18"/>
          <w:szCs w:val="18"/>
          <w:i w:val="1"/>
          <w:iCs w:val="1"/>
          <w:color w:val="auto"/>
        </w:rPr>
        <w:t>Consequences of the Accumulation of the Androgen Precursor 17-OHP</w:t>
      </w:r>
    </w:p>
    <w:p>
      <w:pPr>
        <w:spacing w:after="0" w:line="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 consequence of the absence of 21-hydroxylase is the accumulation of 17-hydroxyprogesterone (“17-OHP”), a precursor molecule to androgens and cortisol. Without 21-hydroxylase to convert 17-OHP into cortisol, increased levels of 17-OHP are shunted to an alternative hormone resulting in increased synthesis of the testosterone precursor, A4, and related increases in the levels of other androgens in the body, resulting in virilization that complicates fertility and sexual maturation in both females and males. The following figure depicts steroid treatment intervention in patients with classic CAH.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4663440" cy="2442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6344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Figure 3. Depiction of steroid treatment intervention in patients with classic CAH.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Inadequate Regulation of Steroid Synthesis Leading to Androgen Excess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Cortisol serves as a negative regulator of the HPA axis, regulating its own production. Increasing levels of cortisol downregulate the synthesis of CRF in the hypothalamus and ACTH in the pituitary to ultimately reduce the production of cortisol precursor molecules, such as 17-OHP. In classic CAH patients, deficiencies in cortisol levels stimulate this feedback mechanism and results in excess production of CRF and ACTH. CRF produced in the hypothalamus binds to the CRF1 receptor in the pituitary gland to stimulate the production of ACTH. In turn, ACTH overproduction drives both adrenal hyperplasia, or enlargement of the adrenal glands, and overproduction of steroid molecules such as 17-OHP and A4, leading to increased androgen production. This serves to further exacerbate the excessive levels of androgens in these patients.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Treatment Paradigm and its Limitations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mainstay of classic CAH therapy for approximately 70 years has been lifelong treatment with glucocorticoids such as hydrocortisone, prednisone, prednisolone, methylprednisolone, or dexamethasone. These treatments do not cure the disease, but they serve a two-fold purpose in disease management. Firstly, physiologic levels of glucocorticoids replace the missing cortisol in order to prevent adrenal crisis. Secondly, supraphysiologic levels of glucocorticoids reduce excess androgens through the negative feedback loop alleviating additional hyperandrogenic symptoms.</w:t>
      </w:r>
    </w:p>
    <w:p>
      <w:pPr>
        <w:spacing w:after="0" w:line="7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level of glucocorticoid necessary to achieve therapeutic benefit is specific to each patient, requires adjustment to individual patient circumstances, and may change over the patient’s lifetime, thereby creating multiple challenges for effective treatment. Chronic use of glucocorticoids requires careful management, because of the well-known serious side effects of these drugs, which include growth inhibition in children, high blood pressure, diabetes, psychological effects, skin thinning, and increased risks of infections.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Clinical management of classic CAH is a difficult balance between supplying sufficient levels of glucocorticoids to compensate for deficiencies in cortisol levels while minimizing side effects resulting in a narrow therapeutic window. In an analysis of classic CAH patients treated in the United States and the United Kingdom (“UK”), only one-third of those dosed with glucocorticoids achieved optimal control of their androgen levels. While treatment with supraphysiologic glucocorticoids can help restore the regulation of CRF and ACTH production leading to reductions in excess 17-OHP and A4 synthesis, in order to restore a more appropriate balance, physicians must identify the desired glucocorticoid dose for each patient. This is challenging, because the amount of cortisol needed to modulate 17-OHP and A4 levels is much higher than that required to functionally replace the missing cortisol.</w:t>
      </w:r>
    </w:p>
    <w:p>
      <w:pPr>
        <w:spacing w:after="0" w:line="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birth to adulthood, the aim of glucocorticoid treatment is to identify the right balance based on both the patient’s physical maturation as well as gender. At birth, the aim of treatment is to provide an adequate level of steroids to prevent an adrenal crisis. Throughout childhood, treatment becomes more complex with both a need to maintain adequate steroid levels but also ensure androgen levels are as close to normal to prevent precocious puberty while not stunting growth and to prevent premature closure of bone growth plates as a result of treatment with supraphysiologic steroids. The aim of treatment for adolescents and adults is to provide the body with the ability to maintain a normal energy level, normal growth, and fertility while minimizing clinically overt signs of excess glucocorticoids or excess androgens. In adults, the balancing act may be different between males and females. Females experience more outward signs of excess androgens than males, so females are more attentive to androgen control through supraphysiologic glucocorticoids while males may be more attentive to the adverse outcomes associated with supraphysiologic glucocorticoid replacement.</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This makes glucocorticoid therapy challenging, since treatment with high levels of glucocorticoids leads to, among other consequences, obesity, short stature, the loss of bone mineral density, drug-induced Cushing’s disease, which is a condition that occurs from exposure to high cortisol levels for a long period of time, metabolic disorders, increased cardiovascular and infection risk, and early mortality. The following figure depicts the need to balance the negative consequences that result from excess levels of androgen levels with those associated with high levels of glucocorticoids.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125730</wp:posOffset>
            </wp:positionV>
            <wp:extent cx="3651885" cy="18688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5188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4. The challenge in treating CAH is balancing therapy to provide optimal control of androgens while avoiding excess cortisol levels.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novel approach to suppress androgen synthesis would be to directly inhibit the ability of CRF to stimulate ACTH synthesis using a CRF1 receptor antagonist. This approach has the potential to dissociate physiologic cortisol replacement with glucocorticoids from cortisol’s regulatory role as a negative-regulator of ACTH to both prevent the hyperplasia of the adrenal gland and reduce the ensuing excess androgen synthesis. In effect, this is an independent mechanism to block excessive ACTH production. We believe that an effective CRF1receptor antagonist will enable physicians to reduce the dose of glucocorticoids administered to patients in a way that will address their cortisol replacement needs and simultaneously avoid excessive androgen production.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 Tildacerfont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Tildacerfont is a potent and highly selective, non-steroidal, oral, small-molecule antagonist of the CRF1 receptor, a regulator of the production of ACTH. The CRF1 receptor binds CRF, a potent mediator of endocrine, autonomic, behavioral, and immune responses to stress. Activation of the CRF1 receptor in the pituitary gland has been shown to increase the secretion of ACTH, which in turn drives the production of cortisol and androgens in the adrenal gland. By blocking the CRF1 receptor, tildacerfont can address the uncontrolled cortisol feedback regulatory pathway in CAH, and in turn reduce the production of ACTH in the pituitary, limiting the amount of androgen produced downstream from the adrenal gland. Tildacerfont has been assessed in over 300 subjects across ten completed clinical trials, in which it has been well tolerated with no drug-related SAEs. In preclinical studies, we showed that blocking the binding of CRF to this receptor decreased ACTH production and the production of hormones and androgens such as 17-OHP and A4 and that tildacerfont was over 1,000-fold selective for the CRF1 receptor versus any other receptor tested. Based on preclinical data, receptor occupancy of at least 90% was predicted to be achieved at a dose of less than 400mg.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60" w:right="180"/>
        <w:spacing w:after="0" w:line="286" w:lineRule="auto"/>
        <w:rPr>
          <w:sz w:val="20"/>
          <w:szCs w:val="20"/>
          <w:color w:val="auto"/>
        </w:rPr>
      </w:pPr>
      <w:r>
        <w:rPr>
          <w:rFonts w:ascii="Times New Roman" w:cs="Times New Roman" w:eastAsia="Times New Roman" w:hAnsi="Times New Roman"/>
          <w:sz w:val="18"/>
          <w:szCs w:val="18"/>
          <w:b w:val="1"/>
          <w:bCs w:val="1"/>
          <w:color w:val="auto"/>
        </w:rPr>
        <w:t>Figure 5. Tildacerfont blocks CRF1 receptors at the anterior pituitary gland to decrease secretion of ACTH, hormones, such as 17-OHP, and androgens, such as A4.</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Tildacerfont has been investigated in six completed Phase 1 clinical trials in healthy adult volunteers, in single doses up to 800mg as well as in multiple doses ranging from 50mg to 200mg once daily, for 14 days. In all of these clinical trials, tildacerfont was generally well tolerated. Over 200 healthy volunteers have received at least one dose of tildacerfont in completed studies. No drug-related SAEs during tildacerfont treatment were observed in these clinical trials and the most frequent non-procedural adverse events, defined as events experienced by greater than 5% of the healthy volunteer population was headache.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Clinical Trials in Classic CAH Patients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conducted two Phase 2a clinical trials of tildacerfont in adult patients with classic CAH on stable glucocorticoid therapy. Clinical trial SPR001-201 was an open-label, dose-ranging clinical trial in 24 patients. These patients received a series of doses of tildacerfont for two weeks each in addition to their standard daily glucocorticoid dose. Two patients participated in two cohorts in SPR001-201. Clinical trial SPR001-202 was a 12-week clinical trial of 11 patients treated with a fixed dose of 400mg tildacerfont once daily. Nine of the 11 SPR001-202 patients also participated in SPR001-201. A total of 26 unique classic CAH patients have been treated to date with tildacerfont. The results from the clinical trials to date suggest that tildacerfont may reduce elevated androgens and may also allow for reduction of supraphysiologic glucocorticoid doses.</w:t>
      </w:r>
    </w:p>
    <w:p>
      <w:pPr>
        <w:spacing w:after="0" w:line="79"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Previous observations had identified that tildacerfont interacts with CYP3A4, a liver enzyme that is responsible for the metabolism of a number of drugs. When a drug inhibits or induces CYP3A4, it can impact the body’s ability to metabolize other drugs. In SPR001-201, we observed that tildacerfont led to an approximately two-fold increase in the levels of dexamethasone, a glucocorticoid that is primarily metabolized through CYP3A4. In order to eliminate any potentially confounding drug-drug interactions from our clinical trial, we subsequently removed patients who were being treated with dexamethasone from our efficacy analyses. No drug-drug interactions were observed with other glucocorticoids and we made no other modifications.</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428625</wp:posOffset>
            </wp:positionV>
            <wp:extent cx="4208780" cy="2151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087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Figure 6. Phase 2 SPR001-201.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SPR001-201 Results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SPR001-201 was our first clinical trial in adults with classic CAH and was a proof-of-concept, dose-escalating Phase 2a clinical trial in patients who were on a stable glucocorticoid dosing regimen but still had levels of 17-OHP that were four-fold or greater above the 200 ng/dL upper limit of normal (“ULN”). Patients enrolled in three sequential cohorts, and during the clinical trial, could not change their underlying glucocorticoid regimen to avoid confounding the effect of varying glucocorticoid levels on disease-driving hormones. The clinical trial assessed the safety and pharmacokinetics of tildacerfont across a range of doses from 200mg to 1,000mg once daily and 100mg and 200mg twice daily. Pharmacodynamic activity was assessed using ACTH, 17-OHP, and A4 overnight with the baseline and key assessment at 8:00 a.m. This overnight period was selected as it represents the time period during which excess production of ACTH and hormones and androgens peak. The goal of this clinical trial was to assess whether tildacerfont could blunt the magnitude of this rise in the hormones.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enrollment screening criteria for SPR001-201 ensured that 17-OHP was elevated in all but one patient at baseline (8:00 a.m. on day one) enrolled in this clinical trial; however, the levels of ACTH and A4 were more variable. In a post-hoc analysis, we identified two homogenous patient groups using ACTH and A4 and classified these patients as either those with highly elevated adrenal hormones at baseline or on supraphysiologic doses of glucocorticoids with normal or near normal levels of A4 at baseline. In our clinical trial, patients with highly elevated levels of adrenal hormones at baseline had highly elevated ACTH, 17-OHP, and A4 levels, generally greater than twice the ULN and, more commonly, greater than four times the ULN. Patients with highly elevated levels of adrenal hormones at baseline were on a stable mean daily supraphysiologic dose of approximately 25mg of hydrocortisone, or a dose of another glucocorticoid equivalent to 25mg of hydrocortisone. Patients on supraphysiologic doses of glucocorticoids with normal or near normal levels of A4 at baseline had elevated 17-OHP levels but had ACTH and A4 generally less than twice the ULN and more commonly, within the normal bounds for ACTH and A4. These patients were on doses equivalent to a mean daily supraphysiologic dose 36mg of hydrocortisone, which was a 44% higher total daily dose than patients with highly elevated levels of adrenal hormones at baseline. These findings suggest that patients with highly elevated levels of adrenal hormones at baseline may have been receiving inadequate glucocorticoid doses to provide adequate control of their disease, possibly due to an inability to tolerate higher doses of glucocorticoids or unwillingness to accept the adverse outcomes attributed to chronic dosing of supraphysiologic glucocorticoids. Given the clear differences in baseline hormone profiles and glucocorticoid dosing, we decided to analyze the effect of tildacerfont on hormones in these two groups independently. We believe that by identifying these two homogeneous patient groups, and designing our development program around the two groups, we are uniquely positioned to address the two major areas of unmet medical need for these patients.</w:t>
      </w:r>
    </w:p>
    <w:p>
      <w:pPr>
        <w:spacing w:after="0" w:line="8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Table 1 summarizes the key demographic and baseline characteristics across the two patient groups. The demographics across both patient groups were similar. The age distribution trended to older subjects with an average age of 44 years, as compared to an age range of 19 years to 67 years, with an average body mass index (“BMI”)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approximately 31, signifying an obese population on average. The daily glucocorticoid dose and baseline hormones were different between the two patient groups.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Supraphysiologic</w:t>
            </w:r>
          </w:p>
        </w:tc>
        <w:tc>
          <w:tcPr>
            <w:tcW w:w="140" w:type="dxa"/>
            <w:vAlign w:val="bottom"/>
          </w:tcPr>
          <w:p>
            <w:pPr>
              <w:spacing w:after="0"/>
              <w:rPr>
                <w:sz w:val="13"/>
                <w:szCs w:val="13"/>
                <w:color w:val="auto"/>
              </w:rPr>
            </w:pPr>
          </w:p>
        </w:tc>
        <w:tc>
          <w:tcPr>
            <w:tcW w:w="16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Highly Elevated</w:t>
            </w:r>
          </w:p>
        </w:tc>
      </w:tr>
      <w:tr>
        <w:trPr>
          <w:trHeight w:val="148"/>
        </w:trPr>
        <w:tc>
          <w:tcPr>
            <w:tcW w:w="564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Glucocorticoids</w:t>
            </w:r>
          </w:p>
        </w:tc>
        <w:tc>
          <w:tcPr>
            <w:tcW w:w="140" w:type="dxa"/>
            <w:vAlign w:val="bottom"/>
          </w:tcPr>
          <w:p>
            <w:pPr>
              <w:spacing w:after="0"/>
              <w:rPr>
                <w:sz w:val="12"/>
                <w:szCs w:val="12"/>
                <w:color w:val="auto"/>
              </w:rPr>
            </w:pPr>
          </w:p>
        </w:tc>
        <w:tc>
          <w:tcPr>
            <w:tcW w:w="16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Adrenal Hormones</w:t>
            </w:r>
          </w:p>
        </w:tc>
      </w:tr>
      <w:tr>
        <w:trPr>
          <w:trHeight w:val="187"/>
        </w:trPr>
        <w:tc>
          <w:tcPr>
            <w:tcW w:w="5640" w:type="dxa"/>
            <w:vAlign w:val="bottom"/>
          </w:tcPr>
          <w:p>
            <w:pPr>
              <w:spacing w:after="0"/>
              <w:rPr>
                <w:sz w:val="16"/>
                <w:szCs w:val="16"/>
                <w:color w:val="auto"/>
              </w:rPr>
            </w:pPr>
          </w:p>
        </w:tc>
        <w:tc>
          <w:tcPr>
            <w:tcW w:w="100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w w:val="98"/>
              </w:rPr>
              <w:t>(N=6)</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(N=11)</w:t>
            </w:r>
          </w:p>
        </w:tc>
      </w:tr>
      <w:tr>
        <w:trPr>
          <w:trHeight w:val="237"/>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Demographics</w:t>
            </w: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r>
      <w:tr>
        <w:trPr>
          <w:trHeight w:val="239"/>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 (yrs), mean (SD)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(17.0)</w:t>
            </w:r>
          </w:p>
        </w:tc>
      </w:tr>
      <w:tr>
        <w:trPr>
          <w:trHeight w:val="247"/>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Sex, Female, n (%)</w:t>
            </w:r>
          </w:p>
        </w:tc>
        <w:tc>
          <w:tcPr>
            <w:tcW w:w="10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 (83%)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(55%)</w:t>
            </w:r>
          </w:p>
        </w:tc>
      </w:tr>
      <w:tr>
        <w:trPr>
          <w:trHeight w:val="239"/>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Race, White n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(91%)</w:t>
            </w:r>
          </w:p>
        </w:tc>
      </w:tr>
      <w:tr>
        <w:trPr>
          <w:trHeight w:val="247"/>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BMI (kg/m2), mean (SD)</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 (5.9)</w:t>
            </w:r>
          </w:p>
        </w:tc>
      </w:tr>
      <w:tr>
        <w:trPr>
          <w:trHeight w:val="241"/>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Baseline Glucocorticoid Dose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5"/>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Dose (mg) in Hydrocortisone equivalents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 (8.6)</w:t>
            </w:r>
          </w:p>
        </w:tc>
      </w:tr>
      <w:tr>
        <w:trPr>
          <w:trHeight w:val="241"/>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Baseline Hormones (8:00 a.m.)</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5"/>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ACTH (ng/mL), geometric mean (CV%)</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 (273.1%)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 (88.5%)</w:t>
            </w:r>
          </w:p>
        </w:tc>
      </w:tr>
      <w:tr>
        <w:trPr>
          <w:trHeight w:val="239"/>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17-OHP (ng/dL), geometric mean (CV%)</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6,688.6 (113%)</w:t>
            </w:r>
          </w:p>
        </w:tc>
      </w:tr>
      <w:tr>
        <w:trPr>
          <w:trHeight w:val="247"/>
        </w:trPr>
        <w:tc>
          <w:tcPr>
            <w:tcW w:w="5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A4 (pg/dL), geometric mean (CV%)</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 (171%)</w:t>
            </w: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1. Demographics and baseline hormones in non-dexamethasone patients (SPR001-201).</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the exposure levels, as a function of dose, generally demonstrated dose linearity, no clear dose-response was observed in ACTH, 17-OHP, and A4 reductions. The lowest evaluated dose of 200mg once daily resulted in hormone changes that were comparable to those observed at higher doses (Figures 7-9). Also, overall dosing twice daily did not result in greater hormone reductions compared to once daily dosing. This finding corresponds with the initial predicted receptor occupancy data based on preclinical experiments demonstrating at least 90% receptor occupancy at doses of tildacerfont up to 400mg.</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Figures 7-9 below summarize the changes in hormones across the overnight period. We conducted a post-hoc analysis which divided the subjects in this study into two groups, based on patients with highly elevated levels of adrenal hormones at baseline and patients on supraphysiologic doses of glucocorticoids with normal or near normal levels of A4 at baseline. Of the patients with highly elevated levels of adrenal hormones at baseline, there were 11 patients at doses equal to 200mg, six of whom received 200mg once per day in Cohort A and five of whom received 100mg twice per day in Cohort C, and 12 patients at doses greater than 200mg, six of whom received 600mg once per day and the same six of whom received 1,000mg once per day. There were six patients on supraphysiologic doses of glucocorticoids with normal or near normal levels of A4 at baseline, one patient at 200mg once per day in Cohort A and five patients at doses greater than 200mg, each receiving 200mg twice per day in Cohort B.</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Patients with highly elevated levels of adrenal hormones at baseline had baseline levels of ACTH, 17-OHP, and A4 that were substantially above the target goal for these hormones (ACTH target of 63.3 pg/mL, 17-OHP target of 1200 ng/dL and A4 target of 152 ng/dL for males and 262 ng/dL for females). Subsequent to receiving tildacerfont for 14 days, the mean levels of all three hormones were generally reduced throughout the overnight period from 10:00 p.m. to 8:00 a.m. These reductions were observed despite no changes in glucocorticoid dosing. We believe that the reductions in patients with highly elevated levels of adrenal hormones at baseline demonstrated proof-of-concept and supported further studies to assess the ability of tildacerfont to reduce hormones.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Patients on supraphysiologic doses of glucocorticoids with normal or near normal levels of A4 at baseline had mean baseline levels of ACTH and A4 that were already below the target goal for these hormones. Treatment with tildacerfont did not lead to clinically meaningful reduction of these levels, suggesting that administering tildacerfont in these patients have a low risk of excessive adrenal suppression. We believe the observed changes in these hormones are reflective of typical day-to-day variation in these patients. Treatment of these patients who had elevated levels of 17-OHP led to a modest decrease in 17-OHP.</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591820</wp:posOffset>
            </wp:positionV>
            <wp:extent cx="4585970" cy="1148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8597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7. Change from baseline in ACTH (pg/mL) in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320040</wp:posOffset>
            </wp:positionV>
            <wp:extent cx="4585970" cy="11398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859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8. Change from baseline in 17-OHP (ng/dL) in patients during the overnight period (SPR001-201).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320040</wp:posOffset>
            </wp:positionV>
            <wp:extent cx="3111500" cy="1508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0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9. Change from baseline in A4 (ng/dL) (SPR001-201).</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Of note, one classic CAH patient enrolled in this clinical trial, who had a pre-existing testicular mass classified as TART, saw a 25% decrease in the size of his tumor following six weeks of dosing with tildacerfont through two dose escalations in Cohort A. TARTs are directly driven by excess ACTH and the empiric standard of care to reduce TARTs is high dose dexamethasone. This tumor shrinkage is consistent with the mechanism of action of tildacerfont, reduction of excess ACTH, and provides the first known evidence of a non-steroidal, non-surgical reduction in a TART.</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Tildacerfont was well tolerated in SPR001-201 at doses up to 1,000mg once daily. No drug-related SAEs were reported. The most common adverse event was headache (n=3). The majority of events were grade one in nature. A female subject (age 48; 200mg twice daily) experienced a grade three hot flush that resolved on its own within 30 minutes in the first week of treatment. One event of special interest was observed at the highest dose of 1,000mg once daily. After 14 days of treatment at 1,000mg once daily, this patient experienced a grade one liver-related adverse event, as determined by the investigator. This patient had elevated levels of alanine transaminase (“ALT”) between five and nine times ULN, elevations in aspartate aminotransferase (“AST”) less than five times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and below.</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291465</wp:posOffset>
            </wp:positionV>
            <wp:extent cx="5349240" cy="1028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10. Phase 2 SPR001-202.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SPR001-202 Results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SPR001-202, our open-label, 12-week Phase 2a clinical trial, assessed the ability of a daily dose of 400mg of tildacerfont to lower disease-driving hormones such as ACTH, 17-OHP, and A4 over a 12-week dosing period. SPR001-202 was an extension clinical trial of SPR001-201, where the enrollment criteria was either prior participation in SPR001-201 or treatment-naïve patients meeting the 17-OHP criterion in SPR001-201. Disease-driving hormones were assessed at approximately 8:00 a.m. on each day corresponding to the peak excess hormone production. This clinical trial was conducted to evaluate the safety and tolerability of long-term treatment with tildacerfont and to assess the magnitude of hormone reductions after 12 weeks of treatment.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with SPR001-201, dexamethasone subjects (n=3) were excluded from pharmacodynamic activity summaries but included in safety summaries.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key demographic and baseline hormones in the non-dexamethasone patients.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Supraphysiologic</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Highly Elevated</w:t>
            </w:r>
          </w:p>
        </w:tc>
      </w:tr>
      <w:tr>
        <w:trPr>
          <w:trHeight w:val="149"/>
        </w:trPr>
        <w:tc>
          <w:tcPr>
            <w:tcW w:w="52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Glucocorticoids</w:t>
            </w:r>
          </w:p>
        </w:tc>
        <w:tc>
          <w:tcPr>
            <w:tcW w:w="1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Adrenal Hormones</w:t>
            </w:r>
          </w:p>
        </w:tc>
      </w:tr>
      <w:tr>
        <w:trPr>
          <w:trHeight w:val="187"/>
        </w:trPr>
        <w:tc>
          <w:tcPr>
            <w:tcW w:w="528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(N=3)</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(N=5)</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Demographics</w:t>
            </w:r>
          </w:p>
        </w:tc>
        <w:tc>
          <w:tcPr>
            <w:tcW w:w="1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 (yrs), mean (SD)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 (17.69)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 (15.63)</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Sex, Female, n (%)</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(100%)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(40%)</w:t>
            </w: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Race, White n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(100%)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(80%)</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BMI (kg/m2), mean (SD)</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 (6.10)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 (5.56)</w:t>
            </w:r>
          </w:p>
        </w:tc>
      </w:tr>
      <w:tr>
        <w:trPr>
          <w:trHeight w:val="241"/>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Baseline Glucocorticoid Dose</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5"/>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Dose (mg) in Hydrocortisone equivalents</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 (11.6)</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 (11.5)</w:t>
            </w:r>
          </w:p>
        </w:tc>
      </w:tr>
      <w:tr>
        <w:trPr>
          <w:trHeight w:val="241"/>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Baseline Hormones</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5"/>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ACTH (ng/mL), geometric mean (CV%)</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(584.1%)</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 (108.5%)</w:t>
            </w: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17-OHP (ng/dL), geometric mean (CV%)</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 (1068.6%)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15,323.3 (46.9%)</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A4 (pg/dL), geometric mean (CV%)</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 (216.1%)</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 (48.4%)</w:t>
            </w:r>
          </w:p>
        </w:tc>
      </w:tr>
    </w:tbl>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2. Demographics and baseline hormones (SPR001-202).</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Like with the SPR001-201 clinical trial, in the SPR001-202 clinical trial, we conducted a post-hoc analysis which divided the subjects in this study into patients with highly elevated levels of adrenal hormones at baseline and patients on supraphysiologic doses of glucocorticoids with normal or near normal levels of adrenal hormones at baseline. We observed that tildacerfont-treated patients with highly elevated levels of adrenal hormones at baseline had mean maximum reductions in ACTH, 17-OHP, and A4 of approximately 80% compared to baseline at 8:00 a.m., bringing the levels of these key hormones to near normal levels that are used as targets for standard glucocorticoid therapy. In addition, 60% of patients achieved normalization of ACTH levels, one subject at week two prior to discontinuation from the clinical trial and two subjects during month three, and 40% achieved normalization of A4 levels during month three. We are not aware of normalization of these highly elevated hormones in classic CAH patients with any other investigational product candidate without increases to daily steroid doses.</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reflected in the figures below, we observed reductions in these hormones as early as the two-week time point and the reductions increased throughout the 12-week dosing period of the clinical trial. Last observation carried forward is applied for patients missing assessments during the 12-week period in the time course figures.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591820</wp:posOffset>
            </wp:positionV>
            <wp:extent cx="4585970" cy="1157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8597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11. Change from baseline in ACTH (pg/mL)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320040</wp:posOffset>
            </wp:positionV>
            <wp:extent cx="2194560" cy="1157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945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12. Change from baseline in 17-OHP (ng/dL) (SPR001-202).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320040</wp:posOffset>
            </wp:positionV>
            <wp:extent cx="4585970" cy="1148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8597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13. Change from baseline in A4 (ng/dL) (SPR001-202).</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Upon completion of tildacerfont dosing at week 12, in patients with highly elevated levels of adrenal hormones at baseline, levels of these disease-driving hormones increased, approaching their pre-trial baseline levels at follow-up, week 16. The results from this clinical trial are consistent with the ability of tildacerfont to inhibit CRF signaling, leading to reduction of adrenal stimulation by ACTH and the production of androgen precursors. Treatment with tildacerfont in this clinical trial led to this adrenal hormone and androgen reduction without requiring any change in the dose of glucocorticoids.</w:t>
      </w:r>
    </w:p>
    <w:p>
      <w:pPr>
        <w:spacing w:after="0" w:line="5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Of the patients with highly elevated levels of adrenal hormones at baseline, the best response for each patient in the non-dexamethasone group in month three is summarized below. The majority of patients achieved robust reductions. One patient discontinued prior to month three and is not included in this figure. This patient had reductions of 99%, 82% and 68% for ACTH, 17-OHP and A4, respectively, prior to discontinuation.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428625</wp:posOffset>
            </wp:positionV>
            <wp:extent cx="2854325" cy="1654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432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Figure 14. Change from baseline in hormones in patients with highly elevated levels of adrenal hormones at baseline in month three (SPR001-202) at the individual patient level for subjects completing 12 weeks of treatment.</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Patients on supraphysiologic doses of glucocorticoids with normal or near normal levels of A4 at baseline upon entry to SPR001-202 had mean levels of ACTH, 17-OHP and A4 that were well below the target goal. Administration of tildacerfont to these patients did not lead to significant changes in these levels. We believe that this finding is important because it supports that there may be a limit as to how much tildacerfont can suppress adrenal function, which could reduce the risk that excess dosing with tildacerfont could lead to excessive levels of suppression. This is consistent with the results we observed in SPR001-201.</w:t>
      </w:r>
    </w:p>
    <w:p>
      <w:pPr>
        <w:spacing w:after="0" w:line="75"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Tildacerfont was well tolerated in SPR001-202. The most common adverse events were upper respiratory tract infection (n=2) and elevated A1c (n=2) and all four events deemed not related to tildacerfont treatment. The majority of events were grade one in nature. One subject discontinued study drug due to itching without a rash experienced between weeks two and four of treatment.</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Patients with highly elevated levels of adrenal hormones at baseline were receiving supraphysiologic glucocorticoid doses equivalent to approximately 25mg hydrocortisone daily. Based on the levels of ACTH, 17-OHP, and A4 at baseline, these glucocorticoid doses were insufficient to adequately suppress androgen synthesis. However, the addition of tildacerfont lowered the levels of these hormones by approximately 80%, bringing them close to normal levels. In contrast, patients on supraphysiologic doses of glucocorticoids with normal or near normal levels of A4 at baseline upon enrollment in the clinical trial were receiving supraphysiologic glucocorticoid doses equivalent to 36mg of hydrocortisone daily. Because the baseline levels of ACTH and A4 were all well below the target goal, we believe that these patients may have been receiving glucocorticoid doses that were higher than would be necessary with the addition of tildacerfont. Furthermore, we believe that treatment of these patients with tildacerfont could enable these patients to reduce their glucocorticoid doses. Over time, we believe that tildacerfont may enable both groups of patients to achieve potentially normal or markedly improved levels of androgen synthesis with minimized levels of glucocorticoid replacement.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Late-Stage Clinical Trials in Adult Classic CAH</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CAHmelia-203, a randomized, double-blind, placebo-controlled, dose-ranging Phase 2b clinical trial will evaluate the safety and efficacy of tildacerfont in 96 adults with classic CAH with highly elevated levels of A4 at baseline while on stable glucocorticoid dosing. For the first six weeks, patients received blinded placebo to assess their adherence to their existing glucocorticoid therapy. Patients who continued to meet all eligibility criteria at the end of this period entered a three-part treatment period. During the placebo-controlled treatment period, patients were randomized in a blinded manner to receive placebo, 50mg, 100mg, or 200mg tildacerfont once daily. Dosing in the placebo-controlled treatment period continued for 12 weeks. The primary endpoint of the clinical trial is the assessment of dose response for the change from baseline in A4 at week zero to week 12. Following the placebo-controlled treatment period, all patients received tildacerfont following a proposed dose-escalation protocol based on hormone response in which the dosage may be increased to 200mg once daily over 12 weeks. Following the 12-week dose-escalation period, all patients continued receiving tildacerfont at 200mg once daily for an additional 46 weeks. Patients who achieved control of A4 while on supraphysiologic glucocorticoid treatment had the opportunity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taper down their glucocorticoid dosing in the open-label period according to a pre-specified algorithm in the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85725</wp:posOffset>
            </wp:positionV>
            <wp:extent cx="4714875" cy="18434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1487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15. Design of trial CAHmelia-203</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CAHmelia-203 enrolled 96 subjects with a mean baseline A4 level of 1,151 ng/dL, which is more than five times above the ULN. The clinical trial did not achieve the primary efficacy endpoint of change in A4 from baseline to week 12. 200mg QD of tildacerfont demonstrated a placebo-adjusted reduction from baseline in A4 of -2.6% with a non-significant p-value at week 12. Compliance with study medication and glucocorticoid was low with approximately 50% of patients reporting 80% or greater compliance, which we believe resulted in lower-than-expected tildacerfont exposure. Tildacerfont was generally safe and well tolerated at all doses, with no treatment-related SAEs. Most adverse events were reported as mild to moderate.</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also initiated CAHmelia-204, a second Phase 2b clinical trial in 100 adult patients with classic CAH on mean daily dose of supraphysiologic glucocorticoids of 37 mg/day of HCe. Patients enrolled with mean A4 level at baseline of 224 ng/dL, which is approximately the ULN; 66% of patients enrolled with androgenic control, which is defined as having A4 values below the ULN at baseline. This clinical trial is designed in two parts. In the first part of the clinical trial, patients were randomized to receive 200mg tildacerfont once daily or placebo for 24 weeks. During the second part of the clinical trial, all patients received open-label 200mg tildacerfont once daily for 52 weeks. Throughout the trial, tapering of glucocorticoids will be guided according to a pre-specified algorithm and continue to the lowest level possible (replacement levels only), as long as patients remain well controlled based on standard biomarkers and clinical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251460</wp:posOffset>
            </wp:positionV>
            <wp:extent cx="4705985" cy="2049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0598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16. Design of trial CAHmelia-204</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endpoint of this clinical trial is the absolute change in daily GC dose (HCe) from baseline at week 24.</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Based on analyses of our clinical data to date, we have chosen to target two distinct groups of classic CAH patients with either supraphysiologic doses of glucocorticoids </w:t>
      </w:r>
      <w:r>
        <w:rPr>
          <w:rFonts w:ascii="Times New Roman" w:cs="Times New Roman" w:eastAsia="Times New Roman" w:hAnsi="Times New Roman"/>
          <w:sz w:val="18"/>
          <w:szCs w:val="18"/>
          <w:color w:val="363E3B"/>
        </w:rPr>
        <w:t>with normal or near normal levels of A4 at baseline</w:t>
      </w:r>
      <w:r>
        <w:rPr>
          <w:rFonts w:ascii="Times New Roman" w:cs="Times New Roman" w:eastAsia="Times New Roman" w:hAnsi="Times New Roman"/>
          <w:sz w:val="18"/>
          <w:szCs w:val="18"/>
          <w:color w:val="auto"/>
        </w:rPr>
        <w:t xml:space="preserve"> or highly elevated levels of A4 at baseline.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The table below summarizes the key demographics in patients enrolled in the CAHmelia-203 and CAHmelia-204 clinical studies as compared to a Phase 3 study investigating a CRF1 receptor antagonist for the treatment of adult classic CAH.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293370</wp:posOffset>
            </wp:positionV>
            <wp:extent cx="5151755" cy="2417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5175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Figure 17. Baseline Characteristics in CAHmelia-203 and CAHmelia-204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In hydrocortisone equivalents (HCe). 2 Pre-GC dose. 3 A4 &lt;ULN for age and sex. 4 A4 &lt;120% of the subject’s baseline or &lt;ULN for age and sex.</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CAHptain Clinical Trial in Pediatric Classic CAH</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birth, newborns with classic CAH are immediately faced with a risk of adrenal crisis, which produces symptoms that include vomiting, severe dehydration, low blood pressure, and life-threatening shock. Replacement glucocorticoid therapy, initiated immediately after diagnosis, remains the customary treatment for children with classic CAH. Glucocorticoid therapy is administered to avoid precocious puberty. The growth suppressing effects of glucocorticoids, however, combined with the early bone growth closure from elevated levels of adrenal androgens, limits the height potential of children impacted by classic CAH. Many patients with classic CAH complete growth prematurely and are ultimately short as adults. We believe tildacerfont has the potential to reduce both the levels of adrenal androgens and the need for excess glucocorticoids, which may enable management of classic CAH at doses of glucocorticoids near physiologic replacement levels, with potential to enable more normal growth progression through childhood and adolescence. We estimate that children represent approximately 20% of the total classic CAH patient population.</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initiated CAHptain, a Phase 2 open-label clinical trial, which utilizes a sequential three cohort design, to evaluate the safety, efficacy, and pharmacokinetics of tildacerfont in children two to 17 years of age. The study will also characterize changes in androgen levels over 12 weeks of treatment, and the ability to reduce daily glucocorticoid dose based on A4 normalization. An optional open-label extension period will provide additional open-label treatment with tildacerfont to provide long-term safety data for up to two years. Cohort 1 enrolled five participants between the ages of 11 and 17 years of age, who received a weight-adjusted, adult dose equivalent of 50mg QD of tildacerfont. Cohort 2 enrolled seven participants between the ages of 11 and 17 years of age, who received a weight-adjusted, adult dose equivalent of 200mg QD of tildacerfont. Cohort 3 enrolled 18 participants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ages of two and 10 years of age, who received a weight-adjusted, adult dose equivalent of 200mg QD of tildacerfont.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137160</wp:posOffset>
            </wp:positionV>
            <wp:extent cx="4328795" cy="2211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2879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18. Design of CAHptain (Cohorts 1-3)</w:t>
      </w:r>
    </w:p>
    <w:p>
      <w:pPr>
        <w:spacing w:after="0" w:line="12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The primary endpoint of this clinical trial is safety. Additional secondary endpoints include the proportion of subjects who achieve reduction in A4 or daily glucocorticoid dosing at week 12 and the proportion of subjects with elevated A4 at baseline who achieve a reduction in A4 at week 4. We reported topline results in March 2024. CAHptain-205 enrolled 30 children between two and 17 years of age with a mean baseline GC dose of 14 mg/m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/day and mean baseline A4 level of 372 ng/dL. The study characterized the safety and pharmacokinetic profiles of tildacerfont, as well as changes in androgen levels over 12 weeks of treatment, and the ability to reduce daily GC dose upon A4 normalization.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It is not uncommon for children to require relatively higher doses than adults to achieve optimal exposures of drugs. While we are encouraged by the activity observed thus far at suboptimal doses in this Phase 2 dose-ranging study, we plan to continue to evaluate the optimal dose, with topline results from additional dose ranging cohorts anticipated in the fourth quarter of 2024. Assuming positive results from CAHmelia-204 and CAHptain-205, we plan to meet with the FDA and comparable foreign regulatory authorities to outline the design of a registrational clinical program in adult and pediatric classic CAH.</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POWER Clinical Trial in PCOS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PCOS is a hormonal disorder common among females of reproductive age affecting nearly five million females in the United States and approximately 115 million females worldwide. PCOS is characterized by elevated levels of androgens, cysts in the ovaries, and irregular periods. Females with PCOS present with additional symptoms, including hirsutism, alopecia, acne, infertility, weight gain, fatigue, depression and mood changes. The underlying causes of PCOS are unknown. However, excess insulin secretion and low-grade inflammation, which stimulate the polycystic ovaries, have been linked to androgen excess. The source of this androgen excess may be ovarian, adrenal, both adrenal and ovarian, or from other sources. Adrenal androgen excess in PCOS appears to occur independently of ovarian androgen excess, suggesting it may represent an intrinsic, and possible primary source of abnormal synthesis of androgens. Adrenal androgen excess in PCOS does not result from enzymatic deficiencies, rather it represents an altered adrenal responsivity to ACTH. We believe that, in women whose PCOS is caused by elevated adrenal androgens, tildacerfont may provide a therapeutic option to treat the underlying cause of disease through reductions of ACTH. We may pursue orphan drug designation in this patient population.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By leveraging our existing Phase 1 program, which includes safety, tolerability, and pharmacokinetics of tildacerfont, we initiated and completed POWER, a Phase 2 proof-of-concept, randomized, placebo-controlled dose escalation study which will evaluate the safety and efficacy of tildacerfont titrated to 200 mg QD compared to placebo at 12 weeks of treatment in subjects with PCOS and elevated adrenal androgens as measured by DHEAS levels at baseline.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19. Design of POWER</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primary endpoint of this clinical trial is the absolute change from baseline in DHEAS. Additional secondary endpoints include safety and tolerability, the proportion of subjects who achieve a 30% or greater reduction in DHEAS and change from baseline in hormonal biomarkers.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study drug and single event occurrences. No serious adverse reactions or dose toxicities were observed, and there was no evidence of adrenal insufficiency. We plan to present the final data from the POWER clinical trial at a future medical conference.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Role of Tildacerfont in the Treatment of Non-Classic CAH</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non-classic form of CAH (non-classic CAH), also called late-onset CAH, occurs in approximately one in 1,000 of the general population. In females, non-classic CAH is characterized by a generally less severe dysregulation of cortisol production and clinically manifests with a variety of late-onset virilizing symptoms. Females may experience irregular periods, hirsutism, deep voice, and infertility. Some males and females may experience early onset puberty and rapid growth in childhood but short stature in adulthood. Other symptoms of non-classic CAH include low bone density, severe acne, obesity, and elevated lipids. Patients with non-classic CAH typically do not require glucocorticoids to replace deficiencies in cortisol levels. However, they possess high levels of adrenal androgens caused by the inability of their endogenous levels of cortisol to properly regulate ACTH production and adrenal stimulation. Although, genetic mutations have been associated with about 30% to 40% of residual 21-hydroxylase enzymatic activity, approximately 5% of patients presenting with non-classic CAH may have a mutation in one copy of the 21-hydroxylase gene, that results in clinical phenotype that is indistinguishable from classic CAH. We believe that tildacerfont has the potential to bring non-steroidal therapeutic benefit to these non-classic CAH patients with the severe form of disease.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currently do not have a commercial organization for the marketing, sales, and distribution of pharmaceutical products. 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disease commercial infrastructure and expertise to efficiently address those patient populations. We plan to seek strategic collaborations to benefit from the resources of biopharmaceutical companies specialized in either relevant disease areas or geographies in markets outside the United States.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Eli Lilly and Company (“Lilly”)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May 2016, we entered into a license agreement (the “Lilly License Agreement”) with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other than a Lilly Compound, which we refer to collectively as the Lilly Licensed Products, for all pharmaceutical uses, including all diagnostic, therapeutic, and prophylactic uses, for human or animal administration, which we refer to as the Field. Lilly retained rights under the Lilly IP and the Lilly Licensed Patents for internal research purposes.</w:t>
      </w:r>
    </w:p>
    <w:p>
      <w:pPr>
        <w:spacing w:after="0" w:line="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the Lilly License Agreement, we are required to use commercially reasonable efforts to develop and commercialize a Lilly Licensed Product in the Field. In addition, we are responsible to oversee, monitor, and manage all regulatory interactions, communications, and filings with, and submissions to regulatory authorities, with respect to the Lilly Licensed Products, and shall have final decision-making authority regarding all such regulatory activities, including the regulatory and labeling strategy and the content of submissions.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partial consideration for the rights granted to us under the Lilly License Agreement, we made a one-time upfront payment to Lilly of approximately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event, and are due shortly after achieving the applicable milestone. In addition, we are required to pay Lilly tiered royalties on annual worldwide net sales of Lilly Licensed Products in the Field,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 come fully paid-up, royalty-free, perpetual and irrevocable. In addition, the Lilly Royalties may be reduced upon the occurrence of certain events.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Lilly License Agreement shall remain in effect until the expiration of all payment obligations thereunder, unless terminated earlier as follows,</w:t>
      </w:r>
    </w:p>
    <w:p>
      <w:pPr>
        <w:spacing w:after="0" w:line="27" w:lineRule="exact"/>
        <w:rPr>
          <w:sz w:val="20"/>
          <w:szCs w:val="20"/>
          <w:color w:val="auto"/>
        </w:rPr>
      </w:pPr>
    </w:p>
    <w:p>
      <w:pPr>
        <w:ind w:right="260" w:firstLine="8"/>
        <w:spacing w:after="0" w:line="25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upon mutual agreement, (ii) unilateral termination by us, on a worldwide basis or with respect to any country or countries, in our sole discretion, upon 60 days’ advance written notice, (iii) unilateral termination by either party upon written notice of the other party’s material breach of its obligations under the Lilly License Agreement and failure to cure such breach within 90 days after receiving written notice of such breach, and (iv) unilateral termination by either party in the event of a general assignment for the benefit of creditors of the other party or if proceedings are commenced against such other party relating to bankruptcy, insolvency, liquidation, reorganization, winding up, or composition or adjustment of debt, and such proceedings continue undismissed, or an order with respect to the foregoing shall be entered and continue unabated, for a period of more than 60 days.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Kaken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January 5, 2023, we entered into a Collaboration and License Agreement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Pursuant to the Kaken License Agreement, Kaken made an upfront payment to us of $15.0 million.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 (the “Royalty Term”).</w:t>
      </w:r>
    </w:p>
    <w:p>
      <w:pPr>
        <w:spacing w:after="0" w:line="8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agreed to supply Kaken’s clinical drug supply requirements of tildacerfont pursuant to a clinical supply agreement that the parties plan to consummate.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developed and continue to expand our patent portfolio for tildacerfont. We have licensed from Lilly at least 25 patents in the United States and other countries and regions throughout the world covering composition of matter of tildacerfont, which are expected to expire in 2027, absent any patent term adjustments or extensions. We also have pending applications from the same family in Venezuela, and Pakistan covering tildacerfont, which, if issued, would also be expected to expire in 2027, absent any patent term adjustments or extensions. Additionally, we have licensed patents in the United States and other countries from Lilly covering methods of making tildacerfont, which are expected to expire in 2029, absent any patent term adjustments or extensions.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filed our own patent applications in the United States and other countries throughout the world directed to various methods of use and formulations, and six of these applications have been issued in the United States. Five of the issued United States patents are expected to expire in 2038, one of the issued United States patents is expected to expire in 2039, one of the issued United States patents in expected to expire in 2041, and one of the issued United States patents is expected to expire in 2042, absent any patent term adjustments or extensions. The remaining patent applications, if issued, would be expected to expire between 2038 and 2044, absent any patent term adjustments or extensions. We have also filed applications in the United States and other countries, including Argentina and Taiwan, directed to combination therapies as well as further uses of tildacerfont. Any patents that would issue from these applications would be expected to expire no later than 2041, absent any patent term adjustments or extensions. We have also filed an international patent application, a United States patent application, and a United States provisional application directed to various forms of tildacerfont. Any patents that would issue from this application would be expected to expire around 2042, absent any patent term adjustments or extension. Patents related to tildacerfont may be eligible for patent term extensions in certain jurisdictions, including up to five years in both the United States and the EU, upon approval of a commercial use of the corresponding product by a regulatory agency in the jurisdiction where the patent was granted.</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we rely on trade secret protection and know-how to expand our proprietary position around our chemistry, technology, and other discoveries and inventions that we consider important to our business. Under the Lilly License Agreement, Lilly granted intellectual property rights to know-how that are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important to our business. The Lilly License Agreement imposes various development, regulatory, and commercial diligence obligations, payment of milestones and/or royalties, and other obligations.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we have been granted orphan drug designation for tildacerfont for the treatment of patients with CAH in the United States and the EU, providing the opportunity to receive seven years of market exclusivity in the United States, which can be extended to seven and a half years if clinical trials are conducted in accordance with an agreed-upon PIP and ten years of market exclusivity in the EU, which can be extended to 12 years in the EU if clinical trials are conducted in accordance with an agreed-upon PIP, if tildacerfont is approved.</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approved in the United States, as tildacerfont has not previously been approved in the United States for any indication, tildacerfont may be eligible for five years of new chemical entity exclusivity, which would run concurrently with its seven years of orphan drug exclusivity if we obtain orphan drug exclusivity for its approved uses. Further, if approved in the EU, as tildacerfont has not previously been approved in the EU for any indication, tildacerfont may be eligible for eight years of data exclusivity, as well as ten years of market exclusivity. In the EU, an additional one year of market exclusivity may be obtained if within the first eight years of market exclusivity, tildacerfont is approved for a new indication that provides a significant clinical benefit.</w:t>
      </w:r>
    </w:p>
    <w:p>
      <w:pPr>
        <w:spacing w:after="0" w:line="7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We also seek to protect our intellectual property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w:t>
      </w:r>
    </w:p>
    <w:p>
      <w:pPr>
        <w:spacing w:after="0" w:line="5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addition to patent protection around tildacerfont, we have also licensed from Lilly patents in the United States and other countries throughout the world directed to composition of matter around other CRF1 antagonists.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contract manufacturing organizations (“CMOs”) to produce tildacerfont in accordance with the FDA’s and comparable foreign regulatory authorities current Good Manufacturing Practices (“cGMP”), regulations for use in our clinical trials. The manufacture of pharmaceuticals for human use is subject to extensive cGMP regulations, which impose various procedural and documentation requirements and govern all areas of record keeping, production processes and controls, personnel training, and quality control. Tildacerfont is manufactured using common chemical engineering and synthetic processes from readily available raw materials. We have entered into manufacturing, development, and clinical supply agreements with our CMOs that provide for the procurement of active pharmaceutical ingredient (“API”) and drug product in connection with our planned and future clinical trials. These agreements contain no minimum purchase commitments or other purchase obligations. To date, the CMOs have met our manufacturing requirements, and we expect them to be capable of providing sufficient quantities of API and our drug product to meet estimated full-scale commercial needs. We plan to enter into commercial manufacturing and supply agreements with our CMOs prior to commercialization of tildacerfont, if approved, in the United States, Europe, and Japan. Our relationships with CMOs are managed by internal personnel with extensive experience in pharmaceutical development and manufacturing.</w:t>
      </w:r>
    </w:p>
    <w:p>
      <w:pPr>
        <w:spacing w:after="0" w:line="84"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contract manufacturing agreements give us visibility into the expected future cost of producing tildacerfont at commercial scale. Based upon a range of prices of currently marketed therapies indicated for orphan diseases, we believe that our cost of goods for tildacerfont will be highly competitive.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commercialization of new drugs is competitive, and we may face worldwide competition from major pharmaceutical companies, specialty pharmaceutical companies, biotechnology companies, and ultimately generic companies. Our competitors may develop or market therapies that are more effective, safer, or less costly than any that we are commercializing, or may obtain regulatory or reimbursement approval for their therapies more rapidly than we may obtain approval for ours.</w:t>
      </w:r>
    </w:p>
    <w:p>
      <w:pPr>
        <w:spacing w:after="0" w:line="72"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We are aware of other companies actively developing treatments for patients with classic CAH. Neurocrine Biosciences, Inc. is developing a CRF1 receptor antagonist and has initiated Phase 3 registrational trials in adult and pediatric classic CAH and reported topline results from both studies in 2023. Crinetics Pharmaceuticals, Inc. initiated a Phase 2 clinical trial in 2023 to evaluate the safety and efficacy of an oral ACTH antagonist in adults with</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classic CAH and plans to report initial results in the first half of 2024.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a 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 are addressed in a centralized way, but country-specific regulation remains essential in many respects.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implements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82" w:lineRule="exact"/>
        <w:rPr>
          <w:sz w:val="20"/>
          <w:szCs w:val="20"/>
          <w:color w:val="auto"/>
        </w:rPr>
      </w:pPr>
    </w:p>
    <w:p>
      <w:pPr>
        <w:ind w:left="1020" w:right="66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extensive preclinical laboratory tests, preclinical animal studies and formulation studies in accordance </w:t>
      </w:r>
      <w:r>
        <w:rPr>
          <w:rFonts w:ascii="Times New Roman" w:cs="Times New Roman" w:eastAsia="Times New Roman" w:hAnsi="Times New Roman"/>
          <w:sz w:val="18"/>
          <w:szCs w:val="18"/>
          <w:i w:val="1"/>
          <w:iCs w:val="1"/>
          <w:color w:val="auto"/>
        </w:rPr>
        <w:t>with</w:t>
      </w:r>
      <w:r>
        <w:rPr>
          <w:rFonts w:ascii="Times New Roman" w:cs="Times New Roman" w:eastAsia="Times New Roman" w:hAnsi="Times New Roman"/>
          <w:sz w:val="18"/>
          <w:szCs w:val="18"/>
          <w:color w:val="auto"/>
        </w:rPr>
        <w:t xml:space="preserve"> applicable regulations, including the FDA’s Good Laboratory Practices (“GLP”), regulations, and other applicable regulations;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submission </w:t>
      </w:r>
      <w:r>
        <w:rPr>
          <w:rFonts w:ascii="Times New Roman" w:cs="Times New Roman" w:eastAsia="Times New Roman" w:hAnsi="Times New Roman"/>
          <w:sz w:val="18"/>
          <w:szCs w:val="18"/>
          <w:color w:val="auto"/>
        </w:rPr>
        <w:t>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 </w:t>
      </w:r>
      <w:r>
        <w:rPr>
          <w:rFonts w:ascii="Times New Roman" w:cs="Times New Roman" w:eastAsia="Times New Roman" w:hAnsi="Times New Roman"/>
          <w:sz w:val="18"/>
          <w:szCs w:val="18"/>
          <w:color w:val="auto"/>
        </w:rPr>
        <w:t>by an IRB at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of adequate and well-controlled human clinical trials in accordance with applicable regulations,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xml:space="preserve"> the FDA’s current good clinical practices (“GCP”), regulations to establish the safety and efficacy of the proposed drug for its proposed indication;</w:t>
      </w:r>
    </w:p>
    <w:p>
      <w:pPr>
        <w:spacing w:after="0" w:line="5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for a new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NDA for review;</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drug is produced to assess compliance with the FDA’s current cGMP requirements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and/or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or sale of the drug in the United States.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Before testing any compounds with potential therapeutic value in humans, the drug candidate enters the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preclinical testing may continue even after the IND is submitted.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drug candidate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or ethics committee,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5" w:lineRule="exact"/>
        <w:rPr>
          <w:sz w:val="20"/>
          <w:szCs w:val="20"/>
          <w:color w:val="auto"/>
        </w:rPr>
      </w:pPr>
    </w:p>
    <w:p>
      <w:pPr>
        <w:ind w:left="1020" w:right="8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is initially introduced into healthy human subjects and tested for safety, dosage tolerance, absorption, metabolism,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and excretion, the side effects associated with increasing doses and if </w:t>
      </w:r>
      <w:r>
        <w:rPr>
          <w:rFonts w:ascii="Times New Roman" w:cs="Times New Roman" w:eastAsia="Times New Roman" w:hAnsi="Times New Roman"/>
          <w:sz w:val="18"/>
          <w:szCs w:val="18"/>
          <w:i w:val="1"/>
          <w:iCs w:val="1"/>
          <w:color w:val="auto"/>
        </w:rPr>
        <w:t>possible</w:t>
      </w:r>
      <w:r>
        <w:rPr>
          <w:rFonts w:ascii="Times New Roman" w:cs="Times New Roman" w:eastAsia="Times New Roman" w:hAnsi="Times New Roman"/>
          <w:sz w:val="18"/>
          <w:szCs w:val="18"/>
          <w:color w:val="auto"/>
        </w:rPr>
        <w:t>,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71"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is evaluated in a limited patient population to identify possible adverse effects and safety risks,</w:t>
      </w:r>
      <w:r>
        <w:rPr>
          <w:rFonts w:ascii="Times New Roman" w:cs="Times New Roman" w:eastAsia="Times New Roman" w:hAnsi="Times New Roman"/>
          <w:sz w:val="18"/>
          <w:szCs w:val="18"/>
          <w:i w:val="1"/>
          <w:iCs w:val="1"/>
          <w:color w:val="auto"/>
        </w:rPr>
        <w:t xml:space="preserve"> to </w:t>
      </w:r>
      <w:r>
        <w:rPr>
          <w:rFonts w:ascii="Times New Roman" w:cs="Times New Roman" w:eastAsia="Times New Roman" w:hAnsi="Times New Roman"/>
          <w:sz w:val="18"/>
          <w:szCs w:val="18"/>
          <w:color w:val="auto"/>
        </w:rPr>
        <w:t>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or conditions and to determine dosage tolerance, optimal dosage, and dosing schedule.</w:t>
      </w:r>
    </w:p>
    <w:p>
      <w:pPr>
        <w:spacing w:after="0" w:line="65"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Clinical </w:t>
      </w:r>
      <w:r>
        <w:rPr>
          <w:rFonts w:ascii="Times New Roman" w:cs="Times New Roman" w:eastAsia="Times New Roman" w:hAnsi="Times New Roman"/>
          <w:sz w:val="18"/>
          <w:szCs w:val="18"/>
          <w:color w:val="auto"/>
        </w:rPr>
        <w:t>trials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7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some cases, FDA may require, or sponsors may voluntarily pursue, post-approval studies, or Phase 4 clinical trials, that are conducted after initial marketing approval. These trials are used to gain additional experience from the treatment of patients in the intended therapeutic indication. In certain instances, such as with accelerated approval drugs, FDA may mandate the performance of Phase 4 trials. In certain instances, the FDA may mandate the performance of Phase 4 clinical trials as a condition of approval of an NDA.</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successfully complete all required testing in accordance with all applicable regulatory requirements, 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Pediatric Research Equity Act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does not always meet its PDUFA goal dates for standard and priority NDAs, and the review process is often significantly extended by FDA requests for additional information or clarification.</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8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exclusivity also could block the approval of one of our products for seven years if a competitor obtains approval of the same drug as defined by the FDA or if our product candidate is determined to be contained within the competitor’s product for the same indication or disease. If an orphan designated product receives marketing approval for an indication broader than what is designated, it may not be entitled to orphan exclusivity. Orphan drug status in the EU has similar but not identical benefits in that jurisdiction.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including, among other things, manufacturing, record-keeping requirements, reporting of adverse experiences with the product, providing the FDA with updated safety and efficacy information, product sampling and distribution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requirements, and complying with FDA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requirements.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3"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fines, </w:t>
      </w:r>
      <w:r>
        <w:rPr>
          <w:rFonts w:ascii="Times New Roman" w:cs="Times New Roman" w:eastAsia="Times New Roman" w:hAnsi="Times New Roman"/>
          <w:sz w:val="18"/>
          <w:szCs w:val="18"/>
          <w:i w:val="1"/>
          <w:iCs w:val="1"/>
          <w:color w:val="auto"/>
        </w:rPr>
        <w:t>warning</w:t>
      </w:r>
      <w:r>
        <w:rPr>
          <w:rFonts w:ascii="Times New Roman" w:cs="Times New Roman" w:eastAsia="Times New Roman" w:hAnsi="Times New Roman"/>
          <w:sz w:val="18"/>
          <w:szCs w:val="18"/>
          <w:color w:val="auto"/>
        </w:rPr>
        <w:t xml:space="preserve">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clinical </w:t>
      </w:r>
      <w:r>
        <w:rPr>
          <w:rFonts w:ascii="Times New Roman" w:cs="Times New Roman" w:eastAsia="Times New Roman" w:hAnsi="Times New Roman"/>
          <w:sz w:val="18"/>
          <w:szCs w:val="18"/>
          <w:i w:val="1"/>
          <w:iCs w:val="1"/>
          <w:color w:val="auto"/>
        </w:rPr>
        <w:t>holds</w:t>
      </w:r>
      <w:r>
        <w:rPr>
          <w:rFonts w:ascii="Times New Roman" w:cs="Times New Roman" w:eastAsia="Times New Roman" w:hAnsi="Times New Roman"/>
          <w:sz w:val="18"/>
          <w:szCs w:val="18"/>
          <w:color w:val="auto"/>
        </w:rPr>
        <w:t xml:space="preserve"> on clinical trials;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refusal of the FDA to approve pending applications or supplements to approved applications, or suspension or revocation </w:t>
      </w:r>
      <w:r>
        <w:rPr>
          <w:rFonts w:ascii="Times New Roman" w:cs="Times New Roman" w:eastAsia="Times New Roman" w:hAnsi="Times New Roman"/>
          <w:sz w:val="18"/>
          <w:szCs w:val="18"/>
          <w:i w:val="1"/>
          <w:iCs w:val="1"/>
          <w:color w:val="auto"/>
        </w:rPr>
        <w:t>of</w:t>
      </w:r>
      <w:r>
        <w:rPr>
          <w:rFonts w:ascii="Times New Roman" w:cs="Times New Roman" w:eastAsia="Times New Roman" w:hAnsi="Times New Roman"/>
          <w:sz w:val="18"/>
          <w:szCs w:val="18"/>
          <w:color w:val="auto"/>
        </w:rPr>
        <w:t xml:space="preserve"> product license approvals;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consent </w:t>
      </w:r>
      <w:r>
        <w:rPr>
          <w:rFonts w:ascii="Times New Roman" w:cs="Times New Roman" w:eastAsia="Times New Roman" w:hAnsi="Times New Roman"/>
          <w:sz w:val="18"/>
          <w:szCs w:val="18"/>
          <w:color w:val="auto"/>
        </w:rPr>
        <w:t>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mandated </w:t>
      </w:r>
      <w:r>
        <w:rPr>
          <w:rFonts w:ascii="Times New Roman" w:cs="Times New Roman" w:eastAsia="Times New Roman" w:hAnsi="Times New Roman"/>
          <w:sz w:val="18"/>
          <w:szCs w:val="18"/>
          <w:color w:val="auto"/>
        </w:rPr>
        <w:t>modification of promotional materials and labeling and the issuance of corrective information;</w:t>
      </w:r>
    </w:p>
    <w:p>
      <w:pPr>
        <w:spacing w:after="0" w:line="119"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 injunctions or the imposition of civil or criminal penalties.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anti-kickback, fraud and abuse, false claims, privacy and security, price reporting, and physician sunshine laws and regulations.</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5"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and the criminal healthcare fraud statutes (discussed below) was amended by the Patient Protection and Affordable Care Act, as amended by the Health Care and Education Reconciliation Act, together with subsequent amendments and regulations,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(discussed below).</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Health Insurance Portability and Accountability Act (“HIPAA”)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7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certain other healthcare professionals (such as physician assistants and nurse practitioners), and teaching hospitals, certain ownership and investment interests held by physicians and their immediate family members.</w:t>
      </w:r>
    </w:p>
    <w:p>
      <w:pPr>
        <w:spacing w:after="0" w:line="7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We may also be subject to health data privacy and security regulations by both the federal government and the states in which we conduct our business. HIPAA, as amended by the Health Information Technology for Economic and Clinical Health Act (“HITECH”) and its implementing regulations, impose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and their covered subcontractors.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6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order to distribute products commercially, we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(“VHCA”), drug companies are required to offer certain drugs at a reduced price to a number of federal agencies, including the U.S. Department of Veterans Affairs and the U.S.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8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Europe, governments may influence the price of pharmaceutical products through their pricing and reimbursement rules and control of national health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care systems that fund a large part of the cost of those products to consumers. Some jurisdictions operate positive and negative list systems under which products may only be marketed once a reimbursement price has been agreed. Other countries may approve a specific price for a product, or they may instead adopt a system of director or indirect controls on the profitability of the company placing the product on the market. In addition, to obtain reimbursement or pricing approval, some countries of the European Economic Area (“EEA”) may require the completion of clinical studies that compare the cost-effectiveness of a particular drug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was enacted, which affected existing government healthcare programs and resulted in the development of new programs.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Among the provisions of the Affordable Care Act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 For example, the Tax Cuts and Jobs Act of 2017 (the “Tax Act”) was enacted,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 the Affordable Care Act is unconstitutional in its entirety because the "individual mandate" was repealed by Congress.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such challenges and the healthcare reform measures of the Biden administration will impact the Affordable Care Act and our business.</w:t>
      </w:r>
    </w:p>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Other legislative changes have also been proposed and adopted in the United States since the Affordable Care Act was enacted. On August 2, 2011, the Budget Control Act of 2011, among other things, included aggregate reductions to Medicare payments to providers of 2% per fiscal year, which went into effect on April 1, 2013 and, due to subsequent legislative amendments to the statute, will remain in effect until 2032, unless additional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Congressional action is taken.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has also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w:t>
      </w:r>
    </w:p>
    <w:p>
      <w:pPr>
        <w:spacing w:after="0" w:line="1" w:lineRule="exact"/>
        <w:rPr>
          <w:sz w:val="20"/>
          <w:szCs w:val="20"/>
          <w:color w:val="auto"/>
        </w:rPr>
      </w:pPr>
    </w:p>
    <w:p>
      <w:pPr>
        <w:ind w:right="20" w:firstLine="8"/>
        <w:spacing w:after="0" w:line="251"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directs HHS to negotiate the price of certain high-expenditure, single-source drugs and biologics covered under Medicare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or HTA Regulation, was adopted in the EU.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anticipate that these new laws and executive orders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In addition, it is possible that there will be further legislation or regulation that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may also be subject to federal, state, local, and foreign data privacy and security laws, regulations, guidance, industry standards and other obligations. Such obligations may include U.S. state data breach notification laws, U.S. state health information privacy laws, federal and state consumer protection laws and regulations (e.g., Section 5 of the FTC Act), HIPAA, as amended by HITECH, and its implementing regulations, U.S. state data privacy laws such as the California Consumer Privacy Act (“CCPA”), as amended by the California Privacy Rights Act, the European Union’s General Data Protection Regulation (“EU GDPR”), and the United Kingdom’s “UK GDPR” (the “EU GDPR” and the “UK GDPR” together, “GDPR”).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laws impose increasingly stringent and evolving regulatory frameworks related to the processing of personal data that may increase our compliance obligations and exposure for any noncompliance. For example, where it applies, the GDPR requires stringent standards of data privacy and security concerning personal data, including limitations which could limit our ability to collect, use and share personal data (including health and medical information collected and processed in connection our relevant clinical trials and studies). In particular, the GDPR significantly restricts the transfer of personal data to the United States and other countries whose privacy laws are considered ‘inadequate’. If there is no lawful manner for us to effect cross-border transfers of personal data in compliance with the GDPR, as applicable, or if the requirements for a compliant transfer are too onerous, we could face significant adverse consequences, including the interruption or degradation of our operations, the need to relocate certain parts of our operations, increased exposure to regulatory actions, substantial fines and penalties, the inability to work with certain collaborators, partners, vendors and other third parties, and injunctions against our processing or transferring of personal data necessary to operate our business. In addition, sanctions for breaches of the GDPR are significant: companies may face temporary or definitive bans on processing of personal data and other corrective actions; fines of up to 17.5 million pounds sterling under the UK GDPR / 20 million Euros under the EU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Furthermore, we and the third parties upon which we rely may be subject to various and evolving federal, state, and foreign regulatory frameworks and other obligations related to cybersecurity that may increase our compliance obligations and exposure for any noncompliance. For more information on the potential impact of these laws, including the GDPR, see the sections titled “Risk Factors—If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and “Risk Factors—We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(which could include civil or criminal penalties); private litigation (including class action claims) and mass arbitration demands; disruptions to our business operations; adverse publicity; and other adverse consequences that could negatively affect our operating results and business.”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 Foreign Corrupt Practices Act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U.S. Foreign Corrupt Practices Act of 1977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 / Rest of World Government Regulation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the EU, clinical trials are governed by the Clinical Trials Regulation (EU) No 536/2014, or CTR, which entered into application on January 31, 2022 repealing and replacing the former Clinical Trials Directive 2001/20, or CTD. The CTR is intended to harmonize and streamline clinical trial authorizations, simplify adverse-event reporting procedures, improve the supervision of clinical trials and increase transparency.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extent to which on-going clinical trials will be governed by the CTR will depend on the duration of the individual clinical trial. For clinical trials in relation to which an application for approval was made on the basis of the CTD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75" w:lineRule="exact"/>
        <w:rPr>
          <w:sz w:val="20"/>
          <w:szCs w:val="20"/>
          <w:color w:val="auto"/>
        </w:rPr>
      </w:pPr>
    </w:p>
    <w:p>
      <w:pPr>
        <w:ind w:right="7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Certain requirements governing the conduct of clinical trials, product licensing, pricing and reimbursement vary from country to country. </w:t>
      </w:r>
      <w:r>
        <w:rPr>
          <w:rFonts w:ascii="Times New Roman" w:cs="Times New Roman" w:eastAsia="Times New Roman" w:hAnsi="Times New Roman"/>
          <w:sz w:val="18"/>
          <w:szCs w:val="18"/>
          <w:i w:val="1"/>
          <w:iCs w:val="1"/>
          <w:color w:val="auto"/>
        </w:rPr>
        <w:t>EU Review and approval process</w:t>
      </w:r>
    </w:p>
    <w:p>
      <w:pPr>
        <w:spacing w:after="0" w:line="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(“MA”) has been granted. To obtain an MA for a product in the EU, an applicant must submit a Marketing Authorization Application (“MAA”) either under a centralized procedure administered by the EMA, or one of the procedures administered by the competent authorities of EU Member States (decentralized procedure, national procedure or mutual recognition procedure). An MA may be granted only to an applicant established in the EU.</w:t>
      </w:r>
    </w:p>
    <w:p>
      <w:pPr>
        <w:spacing w:after="0" w:line="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Centralized procedure. </w:t>
      </w:r>
      <w:r>
        <w:rPr>
          <w:rFonts w:ascii="Times New Roman" w:cs="Times New Roman" w:eastAsia="Times New Roman" w:hAnsi="Times New Roman"/>
          <w:sz w:val="18"/>
          <w:szCs w:val="18"/>
          <w:color w:val="auto"/>
        </w:rPr>
        <w:t>The centralized procedure provides for the grant of a single MA, which is issued by the European Commission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of the Committee for Medicinal Products for Human Use (the “CHMP”) of the EMA and that is valid in all EU Member States, as well as Iceland, Liechtenstein and Norway (the European Economic Area (“EEA”)). The Centralized Procedure is mandatory for certain types of products, such as biotechnology medicinal products, orphan medicinal products, and medicines that contain a new active substance indicated for the treatment of AIDS, cancer, neurodegenerative disorders, diabetes, auto-immune and viral diseases. The Centralized Procedure is optional for products containing a new active substance not yet authorized in the EEA, or for products that are highly innovative or for which a centralized process is in the interest of patients, authorization through the centralized procedure is optional on related approval. Under the Centralized Procedure the EMA’s CHMP conducts the initial assessment of a product. The maximum timeframe for the evaluation of an MAA is 210 days (excluding clock stops, when additional written or oral information is to be provided by the applicant in response to questions asked by the CHMP). Accelerated evaluation might be granted by the CHMP in exceptional cases, a medicinal product targeting an unmet medical need is expected to be of major interest from the point of view of public health and in particular from the viewpoint of therapeutic innovation. Under the accelerated procedure the standard 210-day review period is reduced to 150 days (excluding clock stops). The CHMP can, however, revert to the standard time limit for the centralized procedure if it considers that it is no longer appropriate to conduct an accelerated assessment.</w:t>
      </w:r>
    </w:p>
    <w:p>
      <w:pPr>
        <w:spacing w:after="0" w:line="18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National authorization procedures</w:t>
      </w:r>
      <w:r>
        <w:rPr>
          <w:rFonts w:ascii="Times New Roman" w:cs="Times New Roman" w:eastAsia="Times New Roman" w:hAnsi="Times New Roman"/>
          <w:sz w:val="18"/>
          <w:szCs w:val="18"/>
          <w:color w:val="auto"/>
        </w:rPr>
        <w:t>. There are also two other possible routes to authorize medicinal products in several EU Member States,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investigational medicinal products that fall outside the scope of the centralized procedure:</w:t>
      </w:r>
    </w:p>
    <w:p>
      <w:pPr>
        <w:spacing w:after="0" w:line="50" w:lineRule="exact"/>
        <w:rPr>
          <w:sz w:val="20"/>
          <w:szCs w:val="20"/>
          <w:color w:val="auto"/>
        </w:rPr>
      </w:pPr>
    </w:p>
    <w:p>
      <w:pPr>
        <w:jc w:val="both"/>
        <w:ind w:left="1020" w:right="4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 Using the decentralized procedure, an applicant may apply for simultaneous authorizations in more than one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country of medicinal products that have not yet been authorized in any EU Member State and that do not fall within the mandatory scope of the centralized procedure.</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 In the mutual recognition procedure, a medicine is first authorized in one EU Member State,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7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PRIME, scheme, which provides incentives similar to the breakthrough therapy designation in the U.S. In the EU, a “conditional” MA may be granted in cases where all the required safety and efficacy data are not yet available. 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 in the EU</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medicinal product for which MA is being sought.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the EEA, upon receiving marketing authorization, new active substances generally receive eight years of data exclusivity and an additional two years of market exclusivity. If granted, data exclusivity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During the additional two-year period of market exclusivity, a generic marketing authorization can be submitted, and the innovator’s data may be referenced, but no generic product can be marketed until the expiration of the market exclusivity. The overall ten-years of market exclusivity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qualify for data exclusivity.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in the EU</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7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designation.</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For other countries outside of the EU, such as countries in Eastern Europe, Latin America or Asia, the requirements governing the conduct of clinical trials, product licensing, pricing and reimbursement vary from country to country.</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variation or withdrawal of regulatory approvals, product recalls, seizure of products, operating restrictions and criminal prosecution.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29 employees, including 23 in research and development and 6 in general and administrative functions. We believe our employee relations are good.</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 In response to the COVID-19 pandemic, we implemented significant changes that we determined were in the best interest of our employees, as well as the communities in which we operate, and which comply with government regulations. This includes allowing our employees to work from home.</w:t>
      </w:r>
    </w:p>
    <w:p>
      <w:pPr>
        <w:spacing w:after="0" w:line="8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provide compensation and benefits programs to help meet the needs of our employees. In addition to salaries, these programs include potential annual discretionary bonuses, stock awards, a 401(k) Plan, healthcare and insurance benefits, paid time off, family leave, and flexible work schedules,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were initially formed as a limited liability company in Delaware in November 2014 under the name Spruce Biosciences LLC. In April 2016, Spruce Biosciences LLC converted into a Delaware corporation under the name Spruce Biosciences, Inc. Our principal executive offices are located at 611 Gateway Boulevard, Suite 740, South San Francisco, CA 94080. Our telephone number at that location is (415) 655-4168. Our corporate website address is www.sprucebiosciences.com. Information contained on, or that may be accessed through, our website is not incorporated by reference into this Annual Report and should not be considered a part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through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Annual Report on Form 10-K and those we may make from time to time. You should consider all of the risk factors described when evaluating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net losses since our inception, and anticipate that we will continue to incur significant net losses for the foreseeable future.</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product revenue. For the years ended December 31, 2023 and 2022, we reported net losses of $47.9 million and $46.2 million, respectively. As of December 31, 2023, we had an accumulated deficit of $197.2 million.</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spacing w:after="0" w:line="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spacing w:after="0" w:line="5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$96.3 million. In October 2020, we consummated our initial public offering (“IPO”) and issued 6,900,000 shares of common stock for net proceeds of $93.4 million, after deducting underwriting discounts and commissions and offering expenses. In February 2023, we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a private placement for net proceeds of $50.9 million. In April 2023, we received a $15.0 million upfront payment under the Kaken License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We believe, based on our current operating plan, that our cash and cash equivalents as of December 31, 2023 will be sufficient to fund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debt obligations for at least 12 months following the issuance date of our financial statements included elsewhere in this Annual Report.</w:t>
      </w:r>
    </w:p>
    <w:p>
      <w:pPr>
        <w:spacing w:after="0" w:line="9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was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will require additional capital for the further development and commercialization of tildacerfont and any future product candidates and may need to raise additional funds sooner if we choose to expand more rapidly than we presently anticipate.</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 funding may not be available on acceptable terms, or at all. In addition, we may not be able to access a portion of our existing cash and cash equivalents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 Further, as a result of geopolitical and macroeconomic events, including the COVID-19 pandemic and the ongoing wars in Ukraine and Israel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of the above events could significantly harm our business, prospects, financial condition, and results of operations and cause the price of our common stock to decline.</w:t>
      </w:r>
    </w:p>
    <w:p>
      <w:pPr>
        <w:spacing w:after="0" w:line="5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initiated CAHmelia-203, a placebo-controlled, double-blind Phase 2b clinical trial in 96 adult patients with classic CAH with highly elevated levels of A4 at baseline and reported topline results in March 2024.</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CAHmelia-203 enrolled 96 subjects with a mean baseline A4 level of 1,151 ng/dL, which is more than five times above the ULN. The clinical trial did not achieve the primary efficacy endpoint of change in A4 from baseline to week 12. 200mg QD of tildacerfont demonstrated a placebo-adjusted reduction from baseline in A4 of -2.6% with a non-significant p-value at week 12. Compliance with study medication and glucocorticoid was low with approximately 50% of patients reporting 80% or greater compliance, which we believe resulted in lower-than-expected tildacerfont exposure. Tildacerfont was generally safe and well tolerated at all doses, with no</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treatment-related SAEs. Most adverse events were reported as mild to moderate. As a result of not meeting the primary efficacy endpoint, we have decided to terminate the CAHmelia-203 study.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also initiated CAHmelia-204, a second Phase 2b clinical trial in 100 adult patients with classic CAH on mean daily dose of supraphysiologic glucocorticoids of 37 mg/day of HCe. Patients enrolled with mean A4 level at baseline of 224 ng/dL, which is approximately the ULN; 66% of patients enrolled with androgenic control, which is defined as having A4 values below the ULN at baseline. Although we have terminated the CAHmelia-203 trial, we believe the differentiated patient population between CAHmelia-203 and CAHmelia-204 supports our decision to continue with the CAHmelia-204 trial until topline results are available. However, our belief about the differentiated patient population may be incorrect and the CAHmelia-204 trial may similarly fail to meet its primary efficacy endpoint, which would result in significant financial and development setbacks.</w:t>
      </w:r>
    </w:p>
    <w:p>
      <w:pPr>
        <w:spacing w:after="0" w:line="7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In addition, we are investigating tildacerfont for the treatment of classic CAH in children. We initiated CAHptain, a Phase 2 open-label clinical trial, which will utilize a sequential three cohort design, to evaluate the safety, efficacy, and pharmacokinetics of tildacerfont in children two to 17 years of age with classic CAH. Enrollment in the clinical trial was completed with 30 patients and we reported topline results in March 2024. CAHptain-205 enrolled 30 children between two and 17 years of age with a mean baseline GC dose of 14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/day and mean baseline A4 level of 372 ng/dL. The study characterized the safety and pharmacokinetic profiles of tildacerfont, as well as changes in androgen levels over 12 weeks of treatment, and the ability to reduce daily GC dose upon A4 normalization.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It is not uncommon for children to require relatively higher doses than adults to achieve optimal exposures of drugs. While we are encouraged by the activity observed thus far at suboptimal doses in this Phase 2 dose-ranging study, we plan to continue to evaluate the optimal dose, with topline results from additional dose ranging cohorts anticipated in the fourth quarter of 2024. Assuming positive results from CAHmelia-204 and CAHptain-205, we plan to meet with the FDA and comparable foreign regulatory authorities to outline the design of a registrational clinical program in adult and pediatric classic CAH.</w:t>
      </w:r>
    </w:p>
    <w:p>
      <w:pPr>
        <w:spacing w:after="0" w:line="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by leveraging our existing Phase 1 program, which includes safety, tolerability, and pharmacokinetics of tildacerfont, we initiated and completed POWER, a Phase 2 proof-of-concept clinical trial in polycystic ovary syndrome (“PCOS”). The Phase 2 proof-of-concept clinical trial is a randomized,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study drug and single event occurrences. No serious adverse reactions or dose toxicities were observed, and there was no evidence of adrenal insufficiency. We plan to present the final data from the POWER clinical trial at a future medical conference.</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tildacerfont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site expansion and activation and patient engagement in our ongoing and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ongoing and planned clinical trials with favorable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the European Commission, EMA, and other comparable foreign regulatory authorities;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one or more non-disclosure agreements (“NDAs”) from the FDA, and maintaining such approvals;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 receiving/importing commercial supplies approved by the FDA and other regulatory authorities from any future third-party manufacturer;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commercializing tildacerfont, if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and regulatory exclusivity for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tildacerfont following approval;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tildacerfont to physicians, patients, healthcare payors, and others in the medical community.</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many of which are beyond our control, in a timely manner or at all, we could experience significant delays or an inability to obtain regulatory approvals or commercialize tildacerfont.</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spacing w:after="0" w:line="6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tildacerfont, which could prevent or delay regulatory approval and commercialization.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ongoing Phase 2b clinical trial uses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spacing w:after="0" w:line="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is still being evaluated in pediatric patients with classic CAH, and the results may not be similar to the results observed in clinical trials of adult patients. In addition, we are using doses in our Phase 2b clinical trial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have faced significant setbacks as we conducted our two Phase 2b clinical trials in adult patients with classic CAH, and we may continue to face such setbacks, which may delay or prevent regulatory approval of tildacerfont. For example, due to not meeting its primary efficacy endpoint, we made the decision to terminate our CAHmelia-203 trial in March 2024 and will be largely dependent on our Phase 2b CAHmelia-204 and Phase 2 CAHptain-205 trials to inform the design of a</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registrational clinical program in adult and pediatric classic CAH, subject to feedback from FDA and comparable regulatory authorities.</w:t>
      </w:r>
    </w:p>
    <w:p>
      <w:pPr>
        <w:spacing w:after="0" w:line="11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Phase 2b clinical trials. Our inability to enroll a sufficient number of patients for any of our current or future clinical trials would result in significant delays or may require us to abandon one or more clinical trials altogether.</w:t>
      </w:r>
    </w:p>
    <w:p>
      <w:pPr>
        <w:spacing w:after="0" w:line="8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delays in the commencement or completion, or termination or suspension, of our clinical trials could result in increased costs to us, delay or limit our ability to generate revenue, and adversely affect our commercial prospects.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 be significantly delayed, and we may need to conduct additional clinical trials or collect additional data independently. In either case, our development costs would increase.</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do not know whether our current or any future clinical trials will begin on time or be completed on schedule, if at all. The commencement and completion of clinical trials can be delayed for a number of reasons, including delays related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7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failure to accept our proposed manufacturing processes and suppliers and/or requirement to provide additional information regarding our manufacturing processes before providing marketing authorization;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clinical trial or reaching a consensus with regulatory authorities on clinical trial design or implementation;</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(“IRBs”) or positive opinions from Ethics Committees (“ECs”);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 and related operationalization of such changes at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not timely activating, delaying screening activities, or deviating from clinical trial protocols;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tildacerfont or any future product candidates or obtaining sufficient quantities of combination therapies for use in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tildacerfont and any future product candidates, or participating in competing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subject engagement in the clinical trials or subjects dropping out of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SAEs in clinical trials of the same class of agents conducted by other companies;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suppliers or formulation that may be necessary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vendors not performing manufacturing and distribution services in a timely manner or to sufficient quality standards;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contagious disease outbreaks on our ongoing and planned clinical trials.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spacing w:after="0" w:line="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the FDA. Similar requirements and risks are applicable in foreign markets. We have not previously submitted an NDA to the FDA, or similar drug approval filings to comparable foreign authorities.</w:t>
      </w:r>
    </w:p>
    <w:p>
      <w:pPr>
        <w:spacing w:after="0" w:line="5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Tildacerfont and any future product candidates could fail to receive regulatory approval for many reasons, including the following:</w:t>
      </w:r>
    </w:p>
    <w:p>
      <w:pPr>
        <w:spacing w:after="0" w:line="117" w:lineRule="exact"/>
        <w:rPr>
          <w:sz w:val="20"/>
          <w:szCs w:val="20"/>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people using drugs similar to tildacerfont and any future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any of its proposed indications;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ongoing Phase 2b clinical trial prior to any such approval;</w:t>
      </w:r>
    </w:p>
    <w:p>
      <w:pPr>
        <w:spacing w:after="0" w:line="71"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spacing w:after="0" w:line="68"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and global economic conditions could adversely affect our business, financial condition or results of operations.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 including component shortages and related supply chain challenges, outbreaks of contagious diseases (such as the COVID-19 pandemic), the wars in Ukraine and Israel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Similarly, it is possible that the war in Israel may have similar effects. As a result, our business and results of operations may be adversely affected by the ongoing wars in Ukraine and Israel and related sanctions, particularly to the extent it escalates to involve additional countries, further economic sanctions or wider military conflict.</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tildacerfont and any future product candidates may be harmed, which could harm our business, operating results, prospects, or financial condition.</w:t>
      </w:r>
    </w:p>
    <w:p>
      <w:pPr>
        <w:spacing w:after="0" w:line="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tildacerfont and any future product candidates are smaller than we believe they are, our future revenue may be adversely affected, and our business may suffer.</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adrenocorticotropic hormone (“ACTH”), including, but not limited to, non-classic CAH and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spacing w:after="0" w:line="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spacing w:after="0" w:line="6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conducting and plan to conduct several clinical trials for tildacerfont in parallel over the next several years, including multiple clinical trials in adult and pediatric patients with classic CAH and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a granulate formulation or oral suspension for pediatric patients.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spacing w:after="0" w:line="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5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EU, a product candidate must be approved for reimbursement before it can be approved for sale in that jurisdiction. In some cases, the price that we intend to charge for tildacerfont is also subject to approval.</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to submit a Marketing Authorization Application (“MAA”) to the EMA for approval of tildacerfont in the EU for the treatment of classic CAH. As with the FDA, obtaining approval of an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spacing w:after="0" w:line="80"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spacing w:after="0" w:line="6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spacing w:after="0" w:line="7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spacing w:after="0" w:line="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 and motivate highly skilled junior, mid-level, and senior managers as well as junior, mid-level, and senior scientific and medical personnel.</w:t>
      </w:r>
    </w:p>
    <w:p>
      <w:pPr>
        <w:spacing w:after="0" w:line="11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terminate or halt clinical trials and could result in a more restrictive label or the delay or denial of regulatory approval by the FDA or other comparable foreign authorities. For example, although tildacerfont has been assessed in over 200 subjects across nine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upper limit of normal (“ULN”), elevations in aspartate aminotransferase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form the marketplace;</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or suspend or change their approvals of such product or place restrictions on the way it is prescribed;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tildacerfont and any future product candidates, if approved, and could significantly harm our business, results of operations, and prospects.</w:t>
      </w:r>
    </w:p>
    <w:p>
      <w:pPr>
        <w:spacing w:after="0" w:line="5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spacing w:after="0" w:line="81"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 or require other restrictions on the labeling or marketing of such products;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withdraw or modify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terminate or modify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we conduct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approval for narrower indications than we requested;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spacing w:after="0" w:line="54" w:lineRule="exact"/>
        <w:rPr>
          <w:sz w:val="20"/>
          <w:szCs w:val="20"/>
          <w:color w:val="auto"/>
        </w:rPr>
      </w:pPr>
    </w:p>
    <w:p>
      <w:pPr>
        <w:jc w:val="both"/>
        <w:ind w:right="380" w:firstLine="509"/>
        <w:spacing w:after="0" w:line="261"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policies of the FDA and other regulatory authorities, including foreign regulatory authorities,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and other government agencies, or comparable foreign regulatory authorities could hinder their ability to hire and retain key leadership and other personnel, or otherwise prevent new products and services from being developed or commercialized in a timely manner, which could negatively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-314325</wp:posOffset>
            </wp:positionV>
            <wp:extent cx="285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or comparable foreign regulatory authorities may also slow the time necessary for new drugs to be reviewed and/or approved,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75"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6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tildacerfont and any future product candidates, tildacerfont and any future product candidates may not gain market acceptance among physicians, patients, healthcare payors and others in the medical community.</w:t>
      </w:r>
    </w:p>
    <w:p>
      <w:pPr>
        <w:spacing w:after="0" w:line="5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considering the product as a safe and effective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other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and government authorities;</w:t>
      </w:r>
    </w:p>
    <w:p>
      <w:pPr>
        <w:spacing w:after="0" w:line="11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and adequate reimbursement by third-party payors and government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any collaboration or distribution partner on whom we rely for sales in foreign jurisdictions.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FDA, DOJ, and comparable foreign authorities strictly regulate the marketing and promotional claims that are made about pharmaceutical products, such as tildacerfont,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spacing w:after="0" w:line="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tildacerfont and any future product candidates, which could make it difficult for us to sell tildacerfont and any future product candidates profitably.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or comparable foreign healthcare programs,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spacing w:after="0" w:line="7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they will cover and the amount of reimbursement they will provide.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but not limited to, the third-party payor’s determination that use of a product is:</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spacing w:after="0" w:line="7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88" w:lineRule="exact"/>
        <w:rPr>
          <w:sz w:val="20"/>
          <w:szCs w:val="20"/>
          <w:color w:val="auto"/>
        </w:rPr>
      </w:pPr>
    </w:p>
    <w:p>
      <w:pPr>
        <w:ind w:right="80" w:firstLine="515"/>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until 2032,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79" w:lineRule="exact"/>
        <w:rPr>
          <w:sz w:val="20"/>
          <w:szCs w:val="20"/>
          <w:color w:val="auto"/>
        </w:rPr>
      </w:pPr>
    </w:p>
    <w:p>
      <w:pPr>
        <w:ind w:right="80" w:firstLine="515"/>
        <w:spacing w:after="0" w:line="261"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2" w:lineRule="exact"/>
        <w:rPr>
          <w:sz w:val="20"/>
          <w:szCs w:val="20"/>
          <w:color w:val="auto"/>
        </w:rPr>
      </w:pPr>
    </w:p>
    <w:p>
      <w:pPr>
        <w:ind w:right="140" w:firstLine="515"/>
        <w:spacing w:after="0" w:line="254" w:lineRule="auto"/>
        <w:rPr>
          <w:sz w:val="20"/>
          <w:szCs w:val="20"/>
          <w:color w:val="auto"/>
        </w:rPr>
      </w:pPr>
      <w:r>
        <w:rPr>
          <w:rFonts w:ascii="Times New Roman" w:cs="Times New Roman" w:eastAsia="Times New Roman" w:hAnsi="Times New Roman"/>
          <w:sz w:val="18"/>
          <w:szCs w:val="18"/>
          <w:color w:val="auto"/>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HHS has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and will continue to issue and update guidance as these programs are implemented. 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80" w:lineRule="exact"/>
        <w:rPr>
          <w:sz w:val="20"/>
          <w:szCs w:val="20"/>
          <w:color w:val="auto"/>
        </w:rPr>
      </w:pPr>
    </w:p>
    <w:p>
      <w:pPr>
        <w:ind w:firstLine="515"/>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spacing w:after="0" w:line="84" w:lineRule="exact"/>
        <w:rPr>
          <w:sz w:val="20"/>
          <w:szCs w:val="20"/>
          <w:color w:val="auto"/>
        </w:rPr>
      </w:pPr>
    </w:p>
    <w:p>
      <w:pPr>
        <w:ind w:right="20" w:firstLine="515"/>
        <w:spacing w:after="0" w:line="258"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spacing w:after="0" w:line="75" w:lineRule="exact"/>
        <w:rPr>
          <w:sz w:val="20"/>
          <w:szCs w:val="20"/>
          <w:color w:val="auto"/>
        </w:rPr>
      </w:pPr>
    </w:p>
    <w:p>
      <w:pPr>
        <w:ind w:right="80" w:firstLine="515"/>
        <w:spacing w:after="0" w:line="252"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The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will apply from January 2025. It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88" w:lineRule="exact"/>
        <w:rPr>
          <w:sz w:val="20"/>
          <w:szCs w:val="20"/>
          <w:color w:val="auto"/>
        </w:rPr>
      </w:pPr>
    </w:p>
    <w:p>
      <w:pPr>
        <w:ind w:right="1020" w:firstLine="515"/>
        <w:spacing w:after="0" w:line="282"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If adopted in the form proposed, the recent European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Commission proposals to revise the existing EU laws governing authorization of medicinal products may result in a decrease in data and market exclusivity for our product candidates in the EU, if approved, among other regulatory changes.</w:t>
      </w:r>
    </w:p>
    <w:p>
      <w:pPr>
        <w:spacing w:after="0" w:line="5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tildacerfont and any future product candidates internationally could materially adversely affect our business.</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including differing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U.S. Foreign Corrupt Practices Act of 1977 (“FCPA”) or comparable foreign regulations;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internationally;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tildacerfont for additional indications, our commercial opportunity may be limited.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One of our strategies is to pursue clinical development of tildacerfont in additional endocrine disorders, including, but not limited to, pediatric classic CAH and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spacing w:after="0" w:line="8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CRF1 receptor antagonist and has initiated Phase 3 registrational trials in adult and pediatric classic CAH and reported positive topline results from both studies. Crinetics Pharmaceuticals, Inc. initiated a Phase 2 clinical trial in 2023 to evaluate the safety and efficacy of an oral ACTH antagonist in adults with CAH.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complicated. We believe the key competitive factors affecting the success of tildacerfont are likely to be efficacy, safety, and convenience.</w:t>
      </w:r>
    </w:p>
    <w:p>
      <w:pPr>
        <w:spacing w:after="0" w:line="11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orphan drug designation for tildacerfont for the treatment of CAH, we may not be able to obtain or maintain the benefits associated with orphan drug status, including market exclusivity.</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may grant orphan drug designation for medicinal products that are intended for the diagnosis, prevention or treatment of diseases that are life-threatening or chronically debilitating, and for which either no satisfactory method of diagnosis, prevention, or treatment exists, or if such method exists, the medicine is of significant benefit to those affected by such condition. In addition, to benefit from such designation, either the prevalence of such condition must not be more than five in 10,000 people across the EU or, if more prevalent, the product, without the benefits derived from orphan status, would not generate sufficient returns in the EU to justify the investment needed for its development.</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from approving another marketing application for the same drug and same indication for that time period. In the EU, upon grant of a marketing authorization, orphan medicinal products market exclusivity precludes the EMA from accepting another marketing authorization application or an application to extend for a similar product, and the European Commission from granting a marketing authorization for the same indication. The applicable period is seven years in the United States and ten years in the EU, which may be extended by six months and two years, respectively, in the case of product candidates that have complied with the respective regulatory authority’s agreed upon pediatric investigation plan. The market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designation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the manufacturer of the original orphan medicinal product is unable to supply sufficient quantities or the regulatory authority concludes that a subsequent application for the same drug for the same indication is clinically superior in that it is shown to be safer, more effective or makes a major contribution to patient care. In addition, if an orphan designated product receives marketing approval for an indication broader than or different from what is designated, such product may not be entitled to the regulatory exclusivities associated with orphan designation. Even though the FDA has granted orphan drug designation to tildacerfont for the treatment of classic CAH, if we receive approval for tildacerfont for a modified or different indication, our current orphan designations may not provide us with exclusivity.</w:t>
      </w:r>
    </w:p>
    <w:p>
      <w:pPr>
        <w:spacing w:after="0" w:line="8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Orphan drug designation does not convey any advantage in, or shorten the duration of, the regulatory review or approval process. Also, regulatory approval for any product candidate may be withdrawn, suspended or varied and other product candidates may obtain approval before us and receive orphan drug exclusivity, which could block us from entering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-175895</wp:posOffset>
            </wp:positionV>
            <wp:extent cx="28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Even if we obtain orphan drug exclusivity for tildacerfont, that exclusivity may not effectively protect us from competition because different drugs can be approved for the same condition before the expiration of the orphan drug exclusivity period.</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spacing w:after="0" w:line="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in-license, acquire, develop, and market additional product candidates or approved products would impair our ability to grow our business.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Although a substantial amount of our efforts is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European Commission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had 29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tildacerfont and any future product candidates,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1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in March 2024, we reported topline results from CAHmelia-203, our placebo-controlled, double-blind Phase 2b clinical trial in adult patients with classic CAH with highly elevated levels of A4 at baseline. Additionally, we completed enrollment in CAHmelia-204, our second Phase 2b clinical trial in adult patients with classic CAH on supraphysiologic doses of glucocorticoids with normal or near normal levels of A4 at baseline focused on glucocorticoid reduction and anticipate topline results in the third quarter of 2024. We also reported topline results from our Phase 2 open-label clinical trial in pediatric patients between two and 17 years of age with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classic CAH in March 2024.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spacing w:after="0" w:line="7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2019, we entered into a Loan and Security Agreement (the “Loan Agreement”) providing for a term loan (the “Term Loan”) with Silicon Valley Bank (“SVB”). In April 2020, we entered into a deferral agreement with SVB (the “Deferral Agreement”), whereby we and SVB agreed to extend the repayment dates of all monthly payments of principal due and the maturity date with respect to the Term Loan by six months. In March 2021, we entered into the First Amendment with SVB (the “First Amendment”), which increased the aggregate principal amount of the Term Loan commitment by SVB to up to $30.0 million. In May 2022, we entered into the Second Amendment with SVB (the “Second Amendment”), which amended the milestone upon which the Second Tranche commitment of $10.0 million would become available. As of December 31, 2023, we had $3.4 million outstanding under the Loan Agreement. Repayment of principal commenced in January 2023. Commitments available under the Second Tranche of $10.0 million expired on December 31, 2022.</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All obligations under the Term Loan are secured by a first priority lien on substantially all of our assets, excluding intellectual property assets. We have agreed with SVB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8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spacing w:after="0" w:line="8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Annual Report on Form 10-K.</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spacing w:after="0" w:line="7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strategic partners, and vendors may engage in misconduct or other improper activities, including noncompliance with regulatory standards and requirements.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8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spacing w:after="0" w:line="4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spacing w:after="0" w:line="84" w:lineRule="exact"/>
        <w:rPr>
          <w:sz w:val="20"/>
          <w:szCs w:val="20"/>
          <w:color w:val="auto"/>
        </w:rPr>
      </w:pPr>
    </w:p>
    <w:p>
      <w:pPr>
        <w:ind w:left="1020" w:right="60" w:hanging="503"/>
        <w:spacing w:after="0" w:line="254"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spacing w:after="0" w:line="83"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80"/>
        <w:spacing w:after="0" w:line="266" w:lineRule="auto"/>
        <w:rPr>
          <w:sz w:val="20"/>
          <w:szCs w:val="20"/>
          <w:color w:val="auto"/>
        </w:rPr>
      </w:pPr>
      <w:r>
        <w:rPr>
          <w:rFonts w:ascii="Times New Roman" w:cs="Times New Roman" w:eastAsia="Times New Roman" w:hAnsi="Times New Roman"/>
          <w:sz w:val="18"/>
          <w:szCs w:val="18"/>
          <w:color w:val="auto"/>
        </w:rPr>
        <w:t>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(“GDPR”) governing the privacy and security of health information in some circumstances, many of which differ from each other in significant ways and often are not preempted by HIPAA, thus complicating compliance efforts.</w:t>
      </w:r>
    </w:p>
    <w:p>
      <w:pPr>
        <w:spacing w:after="0" w:line="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Additionally, we may be subject to federal consumer protection and unfair competition laws, and equivalent foreign laws, which broadly regulate marketplace activities and activities that potentially harm consumers.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spacing w:after="0" w:line="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physical or electronic break-ins, social engineering attempts (including through deep fakes, phishing and spam emails), malicious code (such as computer viruses and worms), malware (including as a result of advanced persistent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addition, our relationship with the third parties upon which we rely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8"/>
          <w:szCs w:val="18"/>
          <w:color w:val="231F20"/>
        </w:rPr>
        <w:t>While we may be entitled to damages if our third-party service providers fail to satisfy their privacy or security-related obligations to us,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to detect and remediate vulnerabilities, in our information systems (such as our hardware and/or software, including that of third parties upon which we rely. We may not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upon whom we rely. A security incident or other interruption could disrupt our ability (and that of third parties upon whom we rely) to provide our services.</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or the third parties upon which we rely experience a security incident, applicable data privacy and security obligations may require us to notify relevant stakeholders, such as consumers, partners, collaborators,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government authorities, and the media. Such disclosures are costly, and the disclosure or the failure to comply with such requirements could lead to adverse consequences.</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we (or a third party upon which we rely)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6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consequences that could negatively affect our operating results and business.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and the third parties upon which we rely may be subject to federal, state, local, and foreign data privacy and security laws and regulations, as well as other rules, standards, policies and contractual or other obligations, relating to the processing of personal data, including data we collect about trial participants in connection with clinical trials. If we or the third parties upon which we rely fail, or are perceived to have failed, to address or comply with any such obligations, this could result in enforcement actions that could include investigations, fines, penalties, audits and inspections, litigation (including class-action claims) and arbitration, additional reporting requirements and/or oversight, temporary or permanent bans on all or some processing of personal data, or orders to destroy or not use personal data.</w:t>
      </w:r>
    </w:p>
    <w:p>
      <w:pPr>
        <w:spacing w:after="0" w:line="7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the California Consumer Privacy Act of 2018, as amended by the California Privacy Rights Act of 2020 (“CPRA”) (collectively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“CCPA”), applies to personal data of consumers, business representatives, and employees who are California residents, and requires businesses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disclosures in privacy notices and honor requests of such individuals to exercise certain privacy rights. The CCPA provides for fines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per intentional violation and allows private litigants affected by certain data breaches to recover significant statutory damages. Although the CCPA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exempts some data processed in the context of clinical trials, the CCPA increases compliance costs and potential liability with respect to other personal data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about California residents. In addition, the CPRA expanded the CCPA’s requirements, including by adding a new right for individuals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 their personal data and establishing a new regulatory agency to implement and enforce the law.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Other states, such as Virginia, Colorado, Connecticut and Utah have also passed comprehensive privacy laws, and similar laws are being considered in several other states, as well as at the federal and local levels. While these states, like the CCPA, also exempt some data processed in the context of clinical trials, these developments may further complicate compliance efforts, and increase legal risk and compliance costs for us and the third parties upon whom we rely.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including our processing of personal data. For example, our processing of personal data is or may become subject in certain circumstances to the GDPR. Each of these regulations requires stringent standards of data privacy and security concerning personal data and potentially significant sanctions. For example, under GDPR, companies may face temporary or definitive bans on processing of personal data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and other ‘inadequate’ countries in compliance with GDPR,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mechanisms to lawfully transfer personal data to the United States. If there is no lawful manner for us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upon which we rely,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w:t>
      </w:r>
    </w:p>
    <w:p>
      <w:pPr>
        <w:spacing w:after="0" w:line="8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and our efforts to comply with such obligations may not be successful. For example, patients about whom we or the third parties upon which we rely to obtain information, as well as the providers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7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individuals’ data privacy and security expectations) are quickly changing, becoming increasingly stringent, and creating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upon which we rely ability to operate in certain jurisdictions. Each of these constantly evolving laws can be subject to differing applications and interpretations which may be inconsistent or conflict among jurisdictions.</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If we or the third parties upon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tildacerfont and any future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tildacerfont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tildacerfont and any future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compete in domestic and international markets. We can face criminal liability and other serious consequences for violations, which can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2023, after reducing net operating losses (“NOLs”) and tax credits for amounts not expected to be utilized, we had federal NOL carryforwards of approximately $118.2 million and state NOL carryforwards of approximately $123.0 million. The federal NOL carryforwards arising in taxable years beginning prior to 2018 will begin to expire in 2036 and state NOL carryforwards will begin to expire in 2036, unless previously utilized. We also have federal and state tax credit carryforwards totaling $22.2 million and $1.7 million, respectively. The federal tax credit carryforwards will begin to expire in 2036, unless previously utilized. The state tax credits will not expire.</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2023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December 31, 2023, we recorded a full valuation allowance on our net deferred tax assets.</w:t>
      </w:r>
    </w:p>
    <w:p>
      <w:pPr>
        <w:spacing w:after="0" w:line="7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Lilly, the termination of which could result in the loss of significant rights, which would harm our business.</w:t>
      </w:r>
    </w:p>
    <w:p>
      <w:pPr>
        <w:spacing w:after="0" w:line="5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spacing w:after="0" w:line="6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we may not be able to obtain regulatory approval for or commercialize tildacerfont.</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spacing w:after="0" w:line="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spacing w:after="0" w:line="80"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spacing w:after="0" w:line="7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prospects, financial condition, and results of operations.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spacing w:after="0" w:line="4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tildacerfont and any future product candidates must be approved by the applicable regulatory authorities, including the FDA or comparable foreign regulatory authorities,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spacing w:after="0" w:line="8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spacing w:after="0" w:line="72" w:lineRule="exact"/>
        <w:rPr>
          <w:sz w:val="20"/>
          <w:szCs w:val="20"/>
          <w:color w:val="auto"/>
        </w:rPr>
      </w:pPr>
    </w:p>
    <w:p>
      <w:pPr>
        <w:ind w:firstLine="515"/>
        <w:spacing w:after="0" w:line="271"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spacing w:after="0" w:line="6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spacing w:after="0" w:line="68" w:lineRule="exact"/>
        <w:rPr>
          <w:sz w:val="20"/>
          <w:szCs w:val="20"/>
          <w:color w:val="auto"/>
        </w:rPr>
      </w:pPr>
    </w:p>
    <w:p>
      <w:pPr>
        <w:ind w:left="1020" w:right="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3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circumvented, found to be unenforceable, or may otherwise not provide any competitive advantage;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tildacerfont;</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spacing w:after="0" w:line="7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 in those countries.</w:t>
      </w:r>
    </w:p>
    <w:p>
      <w:pPr>
        <w:spacing w:after="0" w:line="5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8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spacing w:after="0" w:line="72" w:lineRule="exact"/>
        <w:rPr>
          <w:sz w:val="20"/>
          <w:szCs w:val="20"/>
          <w:color w:val="auto"/>
        </w:rPr>
      </w:pPr>
    </w:p>
    <w:p>
      <w:pPr>
        <w:ind w:left="1020" w:right="4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tildacerfont and any future product candidates but that are not covered by the claims of our patents;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5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and use tildacerfont and any future product candidates in countries where valid enforceable patents are not obtained;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obtain patents that cover the use or manufacture of tildacerfont;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U.S. patent applications containing a claim not entitled to priority before March 16, 2013, there is greater level of uncertainty in the patent law. In September 2011, the Leahy-Smith America Invents Act (“America Invents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tildacerfont, our business may be materially harmed.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spacing w:after="0" w:line="7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spacing w:after="0" w:line="67"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rights of the licensor that are not subject to the license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tildacerfont, and what activities satisfy those diligence obligations;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spacing w:after="0" w:line="6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tildacerfont.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and derivation proceedings that allow third parties to challenge the validity of issued patents. This applies to all of our U.S. patents,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federal courts, the U.S. Congress or the USPTO may impact the value of our patent rights. For example, the Supreme Court of the United States held in </w:t>
      </w:r>
      <w:r>
        <w:rPr>
          <w:rFonts w:ascii="Times New Roman" w:cs="Times New Roman" w:eastAsia="Times New Roman" w:hAnsi="Times New Roman"/>
          <w:sz w:val="18"/>
          <w:szCs w:val="18"/>
          <w:i w:val="1"/>
          <w:iCs w:val="1"/>
          <w:color w:val="auto"/>
        </w:rPr>
        <w:t>Amgen v. Sanofi</w:t>
      </w:r>
      <w:r>
        <w:rPr>
          <w:rFonts w:ascii="Times New Roman" w:cs="Times New Roman" w:eastAsia="Times New Roman" w:hAnsi="Times New Roman"/>
          <w:sz w:val="18"/>
          <w:szCs w:val="18"/>
          <w:color w:val="auto"/>
        </w:rPr>
        <w:t xml:space="preserve"> (2023) that a functionally claimed genus was invalid for failing to comply with the enablement requirement of the Patent Act. In addition, the Federal circuit recently issued a decision, </w:t>
      </w:r>
      <w:r>
        <w:rPr>
          <w:rFonts w:ascii="Times New Roman" w:cs="Times New Roman" w:eastAsia="Times New Roman" w:hAnsi="Times New Roman"/>
          <w:sz w:val="18"/>
          <w:szCs w:val="18"/>
          <w:i w:val="1"/>
          <w:iCs w:val="1"/>
          <w:color w:val="auto"/>
        </w:rPr>
        <w:t>In re Cellect, LLC</w:t>
      </w:r>
      <w:r>
        <w:rPr>
          <w:rFonts w:ascii="Times New Roman" w:cs="Times New Roman" w:eastAsia="Times New Roman" w:hAnsi="Times New Roman"/>
          <w:sz w:val="18"/>
          <w:szCs w:val="18"/>
          <w:color w:val="auto"/>
        </w:rPr>
        <w:t xml:space="preserve"> (2023) involving the interaction of patent term adjustment (“PTA”), terminal disclaimers, and obvious-type double patenting which may affect the patent term of any issued patents that rely on any PTA.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Congress authorizes the Secretary of the Department of Health and Human Services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w:t>
      </w:r>
      <w:r>
        <w:rPr>
          <w:rFonts w:ascii="Times New Roman" w:cs="Times New Roman" w:eastAsia="Times New Roman" w:hAnsi="Times New Roman"/>
          <w:sz w:val="18"/>
          <w:szCs w:val="18"/>
          <w:color w:val="231F20"/>
        </w:rPr>
        <w:t>In Europe, no earlier than October 1, 2022, European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applications have the option, upon grant of a patent, of becoming a Unitary Patent which will be subject to the jurisdiction of the Unitary Patent Court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UPC</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This is a significant change in European patent practice. As the UPC is a new court system, there is no precedent for the court, increasing the uncertainty of any litigation. In advance of June 1, 2023, European applications and patents had the option to opt-out of the UPC. We have opted-out all company owned European applications and patents from the UPC before the deadline. Also, for the licensed European applications and patents, the licensor has opted-out the licensed European applications and patents from the UPC except for EP1869049. Opted-out European applications and patents can withdraw opt-out requests and opt back in the UPC in the future. Nonetheless, due the uncertainty of the UPC, </w:t>
      </w:r>
      <w:r>
        <w:rPr>
          <w:rFonts w:ascii="Times New Roman" w:cs="Times New Roman" w:eastAsia="Times New Roman" w:hAnsi="Times New Roman"/>
          <w:sz w:val="18"/>
          <w:szCs w:val="18"/>
          <w:color w:val="000000"/>
        </w:rPr>
        <w:t>proceedings to enforce our patent rights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8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8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spacing w:after="0" w:line="8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spacing w:after="0" w:line="7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spacing w:after="0" w:line="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either on reasonable terms, or at all. We also may be unable to license or acquire third-party intellectual property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alleging intellectual property infringement may prevent or delay our drug discovery and development efforts.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and reexamination proceedings before the USPTO, or oppositions and other comparable proceedings in foreign jurisdictions. The America Invents Act introduced new procedures including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and post grant review. The implementation of these procedures brings uncertainty to the possibility of challenges to our patents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spacing w:after="0" w:line="84"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tildacerfont or any future product candidates until the asserted patent expires or is finally held invalid, unenforceable, or not infringed in a court of law;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3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the attorney’s fees and costs of litigation to the party whose intellectual property rights we may be found to be willfully infringing; and/or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license agreements, which may not be available on commercially reasonable terms, or at all.</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spacing w:after="0" w:line="75"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and elsewhere can be pending for many years before issuance, or unintentionally abandoned patents or applications can be revived;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79"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7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spacing w:after="0" w:line="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In July 2023, the USPTO dismissed the rehearing and POP requests and granted </w:t>
      </w:r>
      <w:r>
        <w:rPr>
          <w:rFonts w:ascii="Times New Roman" w:cs="Times New Roman" w:eastAsia="Times New Roman" w:hAnsi="Times New Roman"/>
          <w:sz w:val="17"/>
          <w:szCs w:val="17"/>
          <w:i w:val="1"/>
          <w:iCs w:val="1"/>
          <w:color w:val="auto"/>
        </w:rPr>
        <w:t>sua sponte</w:t>
      </w:r>
      <w:r>
        <w:rPr>
          <w:rFonts w:ascii="Times New Roman" w:cs="Times New Roman" w:eastAsia="Times New Roman" w:hAnsi="Times New Roman"/>
          <w:sz w:val="17"/>
          <w:szCs w:val="17"/>
          <w:color w:val="auto"/>
        </w:rPr>
        <w:t xml:space="preserve"> Director Review of the Board’s decisions. In August 2023, the USPTO issued a Director Review decision addressing the standards for inherent anticipation and written description and remanded for a new decision about institution from the Board. In December 2023, the Board instituted post-grant review.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or not in the best interest of our company or our stockholders. In such cases, we may decide that the more prudent course of action is to simply monitor the situation or initiate or seek some other non-litigious action or solution.</w:t>
      </w:r>
    </w:p>
    <w:p>
      <w:pPr>
        <w:spacing w:after="0" w:line="5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8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8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54"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tildacerfont and any future product candidates;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that could jeopardize or invalidate our intellectual property or proprietary information or expose us to potential liability;</w:t>
      </w:r>
    </w:p>
    <w:p>
      <w:pPr>
        <w:spacing w:after="0" w:line="117" w:lineRule="exact"/>
        <w:rPr>
          <w:sz w:val="20"/>
          <w:szCs w:val="20"/>
          <w:color w:val="auto"/>
        </w:rPr>
      </w:pPr>
    </w:p>
    <w:p>
      <w:pPr>
        <w:ind w:left="1020" w:right="1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develop or commercialize such intellectual property;</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be sustained.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2023 to March 14, 2024 has ranged from a low of $0.81 to a high of $5.49. In addition to the factors discussed in this “Risk Factors” section and elsewhere in this Annual Report on Form 10-K, these factors include:</w:t>
      </w:r>
    </w:p>
    <w:p>
      <w:pPr>
        <w:spacing w:after="0" w:line="72" w:lineRule="exact"/>
        <w:rPr>
          <w:sz w:val="20"/>
          <w:szCs w:val="20"/>
          <w:color w:val="auto"/>
        </w:rPr>
      </w:pPr>
    </w:p>
    <w:p>
      <w:pPr>
        <w:jc w:val="both"/>
        <w:ind w:left="1020" w:right="58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the clinical trial design of our planned and ongoing clinical trials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and EMA of data from our Phase 2b clinical trial or any future clinical trials we conduct;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clinical trials as a result of outbreaks of contagious diseases (such as the COVID-19 pandemic), patient engagement, protocol amendments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tildacerfont and any future product candidates;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tildacerfont and any future product candidates,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coverage and adequate reimbursement of tildacerfont and any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tildacerfont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executive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tildacerfont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 or the release or publication of clinical trial results from competing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if any, of the markets for classic CAH in adult and pediatric patients and females with PCOS, and other rare endocrine disorders that we may target;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macroeconomic conditions, including relating to contagious disease outbreaks, the ongoing wars in Ukraine and Israel, and recent and potential future disruptions in access to bank deposits or lending commitments due to bank failures;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spacing w:after="0" w:line="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Annual Report on Form 10-K,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pacing w:after="0" w:line="80"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6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Annual Report on Form 10-K,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spacing w:after="0" w:line="6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requirements. The impact of these requirements could also make it more difficult for us to attract and retain qualified persons to serve on our board of directors, our board committees or as executive officers.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2023, there were 41,029,832 shares of our common stock outstanding.</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All of the pre-funded warrants have been exercised. Pursuant to the securities purchase agreement, we have registered for resale such securities.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spacing w:after="0" w:line="67"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(the “Shelf Registration”). For example, in February 2022, we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2023,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all of which have been exercised, and warrants to purchase 12,687,000 shares of common stock. If these additional shares of common stock, and the shares of common stock issued or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9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w:t>
      </w:r>
    </w:p>
    <w:p>
      <w:pPr>
        <w:spacing w:after="0" w:line="3" w:lineRule="exact"/>
        <w:rPr>
          <w:sz w:val="20"/>
          <w:szCs w:val="20"/>
          <w:color w:val="auto"/>
        </w:rPr>
      </w:pPr>
    </w:p>
    <w:p>
      <w:pPr>
        <w:ind w:right="180" w:firstLine="8"/>
        <w:spacing w:after="0" w:line="260"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Unless our board of directors elects not to increase the number of shares available for future grant each year, our stockholders may experience additional dilution, which could cause our stock price to fall.</w:t>
      </w:r>
    </w:p>
    <w:p>
      <w:pPr>
        <w:spacing w:after="0" w:line="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1020" w:right="3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(and any appellate court therefrom) is the sole and exclusive forum for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revenues and financial condition and increase our costs and expenses.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personal health information (including clinical trial data) (“Information Systems and Data”).</w:t>
      </w:r>
    </w:p>
    <w:p>
      <w:pPr>
        <w:spacing w:after="0" w:line="72" w:lineRule="exact"/>
        <w:rPr>
          <w:sz w:val="20"/>
          <w:szCs w:val="20"/>
          <w:color w:val="auto"/>
        </w:rPr>
      </w:pPr>
    </w:p>
    <w:p>
      <w:pPr>
        <w:jc w:val="both"/>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information technology function, which is led by Samir Gharib, our President, Chief Financial Officer, and Chief Compliance Officer, helps identify, assess and manage the Company’s cybersecurity threats and risks. Our information technology function works to identify and assess risks from cybersecurity threats by monitoring and evaluating our threat environment and the Company’s risk profile using various methods including, employing both automated and manual tools and controls; conducting threat and vulnerability assessments; utilizing third-party services to monitor our information technology infrastructure; and performing internal audits.</w:t>
      </w:r>
    </w:p>
    <w:p>
      <w:pPr>
        <w:spacing w:after="0" w:line="7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risk assessments, incident detection and response policies, network security controls for certain systems (including as applicable data segregation, data encryption, access controls, physical security, and systems threat monitoring), disaster recovery and business continuity plans, vendor risk management program, and dedicated cybersecurity staff and employee training.</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cybersecurity risk is addressed as a component of the Company’s enterprise risk management program and the information technology function works with management to prioritize our risk management processes and mitigate cybersecurity threats that are more likely to lead to a material impact to our business. Additionally, Mr. Gharib and the audit committee of the board of directors evaluate material risks from cybersecurity threats against our overall business objectives and reports to the board of directors, which evaluates our overall enterprise risk.</w:t>
      </w:r>
    </w:p>
    <w:p>
      <w:pPr>
        <w:spacing w:after="0" w:line="7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cybersecurity software providers and managed cybersecurity service providers.</w:t>
      </w:r>
    </w:p>
    <w:p>
      <w:pPr>
        <w:spacing w:after="0" w:line="54"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contract research organizations, contract manufacturing organizations, and supply chain providers. We have a vendor management program to manage cybersecurity risks associated with our use of service providers. The program includes, as applicable, risk assessment for certain vendors, security questionnaires, review of certain vendors’ security programs and security assessments, and imposition of cybersecurity-related contractual obligations for some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we may impose contractual obligations related to cybersecurity on the provider.</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the sections titled “Risk Factors—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and “Risk Factors— We are subject to stringent and evolving obligations related to data privacy and security. These obligations include U.S. and foreign laws, regulations, and rules; contractual obligations; industry standards; and policies. Our actual or perceived failure to comply with such obligations could lead to regulatory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investigations and actions (which could include civil or criminal penalties); private litigation, (including class-action claims) and mass arbitration demands; disruptions to our business operations; adverse publicity; and other adverse consequences that could negatively affect our operating results and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audit committee of the board of directors is responsible for overseeing Company’s cybersecurity risk management processes, including oversight and mitigation of risks from cybersecurity threats.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Gharib, who oversees enterprise risk management and information security for the Company.</w:t>
      </w:r>
    </w:p>
    <w:p>
      <w:pPr>
        <w:spacing w:after="0" w:line="9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Mr. Gharib is responsible for hiring information security personnel, integrating cybersecurity risk considerations into the Company’s overall risk management strategy, and communicating key priorities to relevant personnel. Mr. Gharib is also responsible for approving budgets, helping prepare for cybersecurity incidents, approving cybersecurity processes, and reviewing security assessments and other security-related reports.</w:t>
      </w:r>
    </w:p>
    <w:p>
      <w:pPr>
        <w:spacing w:after="0" w:line="6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Our incident response and vulnerability management processes and policies are designed to escalate certain cybersecurity incidents to members of management depending on the circumstances, including Mr. Gharib and the Chief Executive Officer. Mr. Gharib works with the Company’s incident response team to help the Company mitigate and remediate cybersecurity incidents of which they are notified. In addition, the Company’s incident response and vulnerability management processes and policies include reporting to the audit committee of the board of directors for certain cybersecurity incidents.</w:t>
      </w:r>
    </w:p>
    <w:p>
      <w:pPr>
        <w:spacing w:after="0" w:line="56"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reports from Mr. Gharib concerning the Company’s significant cybersecurity threats and risk and the processes the Company has implemented to address them. The audit committee also receives various reports, summaries or presentations related to cybersecurity threats, risk and mitigation.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611 Gateway Boulevard, Suite 740, South San Francisco, California 94080, where we occupy approximately 6,500 square feet of office space pursuant to a lease entered in December 2022, which began in December 2022 and expires in February 2028.</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existing facility meets our current needs.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86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“SPRB” since October 9, 2020. Prior to that date, there was no public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March 14, 2024, we had 41,149,160 shares of common stock outstanding held by 36 holders of record,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12 of Part III of this Annual Report for information about our equity compensation plans which is incorporated by reference herein.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of our business and do not anticipate paying any cash dividends in the foreseeable future. In addition, pursuant to the Loan Agreement with Silicon Valley Bank, as amended, we are prohibited from paying cash dividends without the prior written consent of Silicon Valley Bank and future debt instruments may materially restrict our ability to pay dividends on our common stock.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commenced our IPO pursuant to the registration statement on Form S-1, as amended (File No. 333-48924), that was declared effective on October 8, 2020 and a registration statement on Form S-1 MEF (File No. 333-249397), which was effective on filing on October 8, 2020, and registered an aggregate of 6,900,000 shares of our common stock. We sold 6,900,000 shares of our common stock at a public offering price of $15.00 per share for aggregate gross proceeds of $103.5 million. On October 14, 2020, we completed our IPO. Cowen and Company, LLC, SVB Leerink LLC, Credit Suisse Securities (USA) LLC and RBC Capital Markets, LLC acted as joint book-running managers for the IPO.</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underwriting discounts and commissions for our IPO totaled approximately $7.2 million. We incurred additional costs of approximately $2.9 million in offering expenses, which when added to the underwriting discounts and commissions paid by us, amounts to total fees and costs of approximately $10.1 million. Thus, net offering proceeds to us, after deducting underwriting discounts, commissions and offering expenses, were $93.4 million. No offering expenses were paid directly or indirectly to any of our directors or officers (or their associates) or persons owning ten percent or more of any class of our equity securities or to any other affiliates.</w:t>
      </w:r>
    </w:p>
    <w:p>
      <w:pPr>
        <w:spacing w:after="0" w:line="7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use of proceeds from our IPO as described in our final prospectus filed with the SEC pursuant to Rule 424(b)(4) on October 9,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 Unless otherwise indicated, all references in this Annual Report to “Spruce,” the “company,” “we,” “our,” “us” or similar terms refer to Spruce Biosciences,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(“CAH”). Classic CAH is a serious and life-threatening disease with no known novel therapies approved in approximately 70 years. Over 200 subjects across nine completed clinical trials to date have been administered tildacerfont with no drug-related serious adverse events (“SAEs”) reported.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initiated CAHmelia-203, a placebo-controlled, double-blind Phase 2b clinical trial in 96 adult patients with classic CAH with highly elevated levels of androstenedione (“A4”) at baseline and reported topline results in March 2024. CAHmelia-203 enrolled 96 subjects with a mean baseline A4 level of 1,151 ng/dL, which is more than five times above the upper limit of normal (“ULN”). The clinical trial did not achieve the primary efficacy endpoint of change in A4 from baseline to week 12. 200mg once daily (“QD”) of tildacerfont demonstrated a placebo-adjusted reduction from baseline in A4 of -2.6% with a non-significant p-value at week 12. Compliance with study medication and glucocorticoid was low with approximately 50% of patients reporting 80% or greater compliance, resulting in lower-than-expected tildacerfont exposure. Tildacerfont was generally safe and well tolerated at all doses, with no treatment-related SAEs. Most adverse events were reported as mild to moderate. Based upon the outcome of the study, the CAHmelia-203 study will be terminated.</w:t>
      </w:r>
    </w:p>
    <w:p>
      <w:pPr>
        <w:spacing w:after="0" w:line="8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also initiated CAHmelia-204, a second Phase 2b clinical trial in 100 adult patients with classic CAH on mean daily dose of supraphysiologic glucocorticoids of 37 mg/day of hydrocortisone equivalents (“HCe”). Patients enrolled with mean A4 level at baseline of 224 ng/dL, which is approximately the ULN; 66% of patients enrolled with androgenic control, which is defined as having A4 values below the ULN at baseline.</w:t>
      </w:r>
    </w:p>
    <w:p>
      <w:pPr>
        <w:spacing w:after="0" w:line="6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initiated CAHptain, a Phase 2 open-label clinical trial, which will utilize a sequential three cohort design, to evaluate the safety, efficacy, and pharmacokinetics of tildacerfont in children two to 17 years of age with classic CAH. The clinical trial enrolled 30 patients and we reported topline results in March 2024. CAHptain-205 enrolled 30 children between two and 17 years of age with a mean baseline GC dose of 14 mg/m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/day and mean baseline A4 level of 372 ng/dL. The study characterized the safety and pharmacokinetic profiles of tildacerfont, as well as changes in androgen levels over 12 weeks of treatment, and the ability to reduce daily GC dose upon A4 normalization. 73% of all patients (22 of 30 patients) met the efficacy endpoint of A4 or GC reduction from baseline at 12 weeks of treatment with tildacerfont. 70% of patients with elevated baseline A4 values (16 of 23 patients) demonstrated an A4 reduction at week 4. Tildacerfont was generally well tolerated at all doses with no treatment-related SAEs reported. Although the CAHptain-205 clinical trial met the efficacy endpoints, the activity observed was less consistent than anticipated and without clear dose response. Preliminary pharmacokinetic analysis suggests that tildacerfont is cleared more rapidly in children than in adult CAH patients. It is not uncommon for children to require relatively higher doses than adults to achieve optimal exposures of drugs. So, while we are encouraged by the activity observed thus far at suboptimal doses in this Phase 2 dose-ranging study, we plan to continue to evaluate the optimal dose, with topline results from additional dose ranging cohorts anticipated in the fourth quarter of 2024. Assuming positive results from CAHmelia-204 and CAHptain-205, we plan to meet with</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U.S. Food and Drug Administration (“FDA”) and comparable foreign regulatory authorities to outline the design of a registrational clinical program in adult and pediatric classic CAH.</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spacing w:after="0" w:line="72"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By leveraging our existing Phase 1 program, which includes safety, tolerability, and pharmacokinetics of tildacerfont, we initiated and completed POWER, a Phase 2 proof-of-concept,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the study drug and single event occurrences. No serious adverse reactions or dose toxicities were observed, and there was no evidence of adrenal insufficiency. Final data from the POWER clinical trial will be presented at a future medical conference.</w:t>
      </w:r>
    </w:p>
    <w:p>
      <w:pPr>
        <w:spacing w:after="0" w:line="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(the “Kaken License Agreement”). Under the terms of the Kaken License Agreement, we received an upfront payment of $15.0 million from Kaken in April 2023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spacing w:after="0" w:line="84"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eliminating the need for us to invest in our own manufacturing facilities, equipment, and personnel while also enabling us to focus our expertise and resources on the development of tildacerfont.</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During the years ended December 31, 2023 and 2022, we incurred net losses of $47.9 million and $46.2 million, respectively, and used $33.3 million and $41.7 million of cash in operations, respectively. As of December 31, 2023 and 2022, we had an accumulated deficit of $197.2 million and $149.3 million, respectively,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spacing w:after="0" w:line="75" w:lineRule="exact"/>
        <w:rPr>
          <w:sz w:val="20"/>
          <w:szCs w:val="20"/>
          <w:color w:val="auto"/>
        </w:rPr>
      </w:pPr>
    </w:p>
    <w:p>
      <w:pPr>
        <w:ind w:right="480" w:firstLine="509"/>
        <w:spacing w:after="0" w:line="256" w:lineRule="auto"/>
        <w:rPr>
          <w:sz w:val="20"/>
          <w:szCs w:val="20"/>
          <w:color w:val="auto"/>
        </w:rPr>
      </w:pPr>
      <w:r>
        <w:rPr>
          <w:rFonts w:ascii="Times New Roman" w:cs="Times New Roman" w:eastAsia="Times New Roman" w:hAnsi="Times New Roman"/>
          <w:sz w:val="18"/>
          <w:szCs w:val="18"/>
          <w:color w:val="auto"/>
        </w:rPr>
        <w:t>In October 2020, we consummated our initial public offering (“IPO”) and issued 6,900,000 shares of common stock for net proceeds of $93.4 million, after deducting underwriting discounts and commissions and offering expenses. Since inception through December 31, 2023,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the $15.0 million upfront payment from Kaken received in April 2023. As of December 31, 2023, we had cash and cash equivalents of $96.3 million. As of December 31, 2022, we had cash, cash equivalents and investments of $79.1 million.</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as of December 31, 2023 will be sufficient to fund our operations and debt obligations for at least 12 months following the issuance date of our financial statements included elsewhere in this Annual Report. We have based this projection on assumptions that may be inaccurate and as a result, we may utilize our capital resources sooner than we expect. We expect our expenses will increase significantly in connection with our ongoing activities, as we:</w:t>
      </w:r>
    </w:p>
    <w:p>
      <w:pPr>
        <w:spacing w:after="0" w:line="72"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tildacerfont through our ongoing Phase 2b clinical trials in adult patients with classic CAH;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 development of tildacerfont in additional indications, including pediatric classic CAH and PCOS;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of tildacerfont in patients with classic CAH and PCOS;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highly specialized commercial organization to support the commercialization of tildacerfont, if approved, in the United States;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collaborations to benefit from the resources of biopharmaceutical companies specialized in either relevant disease areas or geographies in markets outside the United States;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indications and formulations for which to investigate tildacerfont in the future and expand our pipeline of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w:t>
      </w:r>
    </w:p>
    <w:p>
      <w:pPr>
        <w:spacing w:after="0" w:line="11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December 31, 2023, we have not issued any shares of common stock under the Sales Agreement.</w:t>
      </w:r>
    </w:p>
    <w:p>
      <w:pPr>
        <w:spacing w:after="0" w:line="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w:t>
      </w:r>
    </w:p>
    <w:p>
      <w:pPr>
        <w:spacing w:after="0" w:line="7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Eli Lilly and Company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 (“APIs”)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Kaken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January 5, 2023, we entered into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Kaken License Agreement, Kaken made an upfront payment to us of $15.0 million in April 2023. In addition to the upfront payment, we are entitled to receive up to an aggregate of approximately $65.0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 (the “Royalty Term”).</w:t>
      </w:r>
    </w:p>
    <w:p>
      <w:pPr>
        <w:spacing w:after="0" w:line="8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have agreed to supply Kaken’s clinical drug supply requirements of tildacerfont pursuant to a clinical supply agreement that the parties plan to consummate.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Silicon Valley Bank</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September 2019, we entered into a Loan and Security Agreement, as subsequently amended (the “Loan Agreement”), with SVB providing for a term loan (the “Term Loan”) for an aggregate principal amount of $4.5 million.</w:t>
      </w:r>
    </w:p>
    <w:p>
      <w:pPr>
        <w:spacing w:after="0" w:line="5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March 2021, we entered into a First Amendment to Loan and Security Agreement (the “First Amendment”) which increased the aggregate principal amount of the Term Loan to $30.0 million, of which $20.0 million was immediately available under the first 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May 2022, we entered into a Second Amendment to Loan and Security Agreement (the “Second Amendment”) which amended the milestones for the Second Tranche, added a liquidity covenant for the Second Tranche and amended the interest and prepayment terms.</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outstanding principal was comprised of $3.4 million and $5.0 million, respectively, under the First Tranche. Repayment of principal under the First Tranche commenced in January 2023. Commitments available under the Second Tranche of $10.0 million expired on December 31, 2022.</w:t>
      </w:r>
    </w:p>
    <w:p>
      <w:pPr>
        <w:spacing w:after="0" w:line="68"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p>
    <w:p>
      <w:pPr>
        <w:spacing w:after="0" w:line="7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spacing w:after="0" w:line="54"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w:t>
      </w:r>
    </w:p>
    <w:p>
      <w:pPr>
        <w:spacing w:after="0" w:line="68"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December 31, 2023, management believes that we are in compliance with all covenants under the Loan Agreement and there has been no material adverse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To date, our revenue has been derived from the Kaken License Agreement, pursuant to which we granted Kaken the exclusive right to develop and commercialize tildacerfont for CAH in Japan.</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will recognize royalty and milestone revenues under the Kaken License Agreement if and when appropriate under the relevant accounting rules (see Note 8 to our financial statements). We have not generated any revenues from the commercial sale of approved products and we do not expect to generate revenues from the commercial sale of our product candidates for at least the foreseeable future, if ever.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classify operating expenses into two main categories: (i) research and development expenses and (ii)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of external and internal expenses incurred in connection with our research activities and development programs.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expenses include:</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consisting of:</w:t>
      </w:r>
    </w:p>
    <w:p>
      <w:pPr>
        <w:spacing w:after="0" w:line="117" w:lineRule="exact"/>
        <w:rPr>
          <w:rFonts w:ascii="Times New Roman" w:cs="Times New Roman" w:eastAsia="Times New Roman" w:hAnsi="Times New Roman"/>
          <w:sz w:val="18"/>
          <w:szCs w:val="18"/>
          <w:color w:val="auto"/>
        </w:rPr>
      </w:pPr>
    </w:p>
    <w:p>
      <w:pPr>
        <w:ind w:left="1420" w:hanging="37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clinical development—expenses associated with clinical research organizations (“CROs”) engaged to manage and conduct clinical trials and other outside services;</w:t>
      </w:r>
    </w:p>
    <w:p>
      <w:pPr>
        <w:spacing w:after="0" w:line="5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preclinical studies—expenses associated with preclinical studies and clinical pharmacology;</w:t>
      </w:r>
    </w:p>
    <w:p>
      <w:pPr>
        <w:spacing w:after="0" w:line="117" w:lineRule="exact"/>
        <w:rPr>
          <w:rFonts w:ascii="Times New Roman" w:cs="Times New Roman" w:eastAsia="Times New Roman" w:hAnsi="Times New Roman"/>
          <w:sz w:val="18"/>
          <w:szCs w:val="18"/>
          <w:color w:val="auto"/>
        </w:rPr>
      </w:pPr>
    </w:p>
    <w:p>
      <w:pPr>
        <w:ind w:left="1420" w:right="240" w:hanging="37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manufacturing—expenses associated with contract manufacturing; labeling, packaging, and distribution of clinical trial supplies, and other outside services;</w:t>
      </w:r>
    </w:p>
    <w:p>
      <w:pPr>
        <w:spacing w:after="0" w:line="53"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other research and development—expenses associated with business operations, quality and regulatory compliance;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expenses, consisting of personnel, including expenses for salaries, bonuses, benefits, stock-based compensation, as well as allocation of certain expenses.</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potential regulatory approval.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continue to increase in the foreseeable future as additional administrative personnel and services are required to manage these functions of a public company, and as we advance tildacerfont through clinical development and potential regulatory approval.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incurred and non-cash amortization of debt discount and issuance costs in connection with the Term Loan.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net primarily consists of interest income earned on our cash, cash equivalents and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Comparisons of the Year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0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(51,993 )</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(47,283 )</w:t>
            </w: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(4,710 )</w:t>
            </w:r>
          </w:p>
        </w:tc>
        <w:tc>
          <w:tcPr>
            <w:tcW w:w="0" w:type="dxa"/>
            <w:vAlign w:val="bottom"/>
          </w:tcPr>
          <w:p>
            <w:pPr>
              <w:spacing w:after="0"/>
              <w:rPr>
                <w:sz w:val="1"/>
                <w:szCs w:val="1"/>
                <w:color w:val="auto"/>
              </w:rPr>
            </w:pPr>
          </w:p>
        </w:tc>
      </w:tr>
      <w:tr>
        <w:trPr>
          <w:trHeight w:val="247"/>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(483 )</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9"/>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(47,919 )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(46,180 )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(1,739 )</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-659130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-659130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-659130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research and development expenses for the periods presented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80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development</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32,354</w:t>
            </w: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24,085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 studies</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Internal expenses:</w:t>
            </w: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8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11,130</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and other</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49,432</w:t>
            </w:r>
          </w:p>
        </w:tc>
        <w:tc>
          <w:tcPr>
            <w:tcW w:w="10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35,198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596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$14.2 million during the year ended December 31, 2023 compared to the year ended December 31, 2022. The overall increase in research and development expenses was primarily related to the progression of clinical trials of tildacerfont in adult classic CAH, pediatric classic CAH, and PCOS. There was also an increase in personnel expenses attributable to an increase in headcount, an increase in manufacturing expenses due to timing of planned manufacturing activities related to clinical drug supply and an increase in other research and development to support clinical development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$0.6 million during the year ended December 31, 2023 compared to the year ended December 31, 2022. The overall increase in general and administrative expenses was primarily due to an increase in professional services, including legal, finance, and accounting and personnel expenses, partially offset by a decrease in insurance costs for directors and officers.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Interest expense was fairly consistent during the year ended December 31, 2023 compared to the year ended December 31, 2022 and was related to the Term Loan.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net increased by $3.0 million during the year ended December 31, 2023 compared to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higher yield earned on investment balances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anticipate that we will continue to incur net losses for the foreseeable future. As of December 31, 2023 and 2022, we had an accumulated deficit of $197.2 million and $149.3 million, respectively. As of December 31, 2023, we had cash and cash equivalents of $96.3 million. As of December 31, 2022, we had cash, cash equivalents and investments of $79.1 million. Since inception through December 31, 2023,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as of December 31, 2023 will be sufficient to fund our operations and debt obligations for at least 12 months following the issuance date of our financial statements included elsewhere in this Annual Report. In addition, we have streamlined our operations and have implemented cost reduction measures, including termination of the CAHmelia-203 study and a reduction in force of approximately 21 percent, which has extended our cash runway through the end of 2025, beyond topline data readouts for CAHmelia-204 and additional dose ranging data from CAHptain-205.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Sales Agreement</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 the Sales Agreement. As of December 31, 2023, we have not issued any shares of common stock pursuant to the Sales Agreement.</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agreed to pay Jefferies commissions for its services of acting as agent of 3.0% of the gross proceeds from the sale of the shares pursuant to the Sales Agreement. We have also agreed to provide Jefferies with customary indemnification and contribution rights.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shares will be sold pursuant to the Shelf Registration, and offerings of the shares will be made only by means of the prospectus supplement. This Annual Report on Form 10-K shall not constitute an offer to sell or solicitation of an offer to buy the shares, nor shall there be any sale of the shares in any state in which such offer, solicitation or sale would be unlawful prior to registration or qualification under the securities law of such state or jurisdiction.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product revenue.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seek to raise capital through equity or debt financings, collaborative agreements, potentially including agreements to out-license rights to develop and commercialize tildacerfont,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75"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ongoing and planned clinical trials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tildacerfont and establishing clinical and commercial supplies, and sales, marketing, and distribution capabilities;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favorable out-licensing agreements for the development and commercialization of tildacerfont;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product candidates;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tildacerfont and any future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53" w:lineRule="exact"/>
        <w:rPr>
          <w:rFonts w:ascii="Times New Roman" w:cs="Times New Roman" w:eastAsia="Times New Roman" w:hAnsi="Times New Roman"/>
          <w:sz w:val="18"/>
          <w:szCs w:val="18"/>
          <w:color w:val="auto"/>
        </w:rPr>
      </w:pPr>
    </w:p>
    <w:p>
      <w:pPr>
        <w:jc w:val="both"/>
        <w:ind w:left="1020" w:right="28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disruptions to and volatility in the credit and financial markets in the United States and worldwide from geopolitical and macroeconomic events, including the COVID-19 pandemic, the wars in Ukraine and Israel and related sanctions, and recent and potential future disruptions in access to bank deposits or lending commitments due to bank failures.</w:t>
      </w:r>
    </w:p>
    <w:p>
      <w:pPr>
        <w:spacing w:after="0" w:line="68"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such as the COVID-19 pandemic, the wars in Ukraine and Israel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development efforts.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you that we will ever be profitable or generate positive cash flow from operating activities.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future payments of principal and interest on the Term Loan, which commenced repayment in January 2023 and matures in January 2026, were $3.7 million. For a description of the terms of the Loan Agreement, see the section titled “Management’s Discussion and Analysis of Financial Condition and Results of Operations —Material Agreements — Loan Agreement"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undiscounted lease payments for our non-cancelable operating lease for office space, which terminates in February 2028 unless renewed, was $1.5 million.</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 required to pay up to an aggregate of $23.0 million upon the achievement of certain milestones. As of December 31, 2023, we were unable to estimate the timing or likelihood of achieving these milestones or generating 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Statements of Cash Flows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the periods presented below (in thousands):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(33,275 )</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(41,683 )</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(241 )</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71,642</w:t>
            </w:r>
          </w:p>
        </w:tc>
        <w:tc>
          <w:tcPr>
            <w:tcW w:w="260" w:type="dxa"/>
            <w:vAlign w:val="bottom"/>
          </w:tcPr>
          <w:p>
            <w:pPr>
              <w:spacing w:after="0"/>
              <w:rPr>
                <w:sz w:val="18"/>
                <w:szCs w:val="18"/>
                <w:color w:val="auto"/>
              </w:rPr>
            </w:pP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(18,232 )</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-299720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-299720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-299720</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decreased by $8.4 million during the year ended December 31, 2023 compared to the year ended December 31, 2023. There were higher cash payments driven by increased clinical development activities associated with the progression of clinical trials of tildacerfont in adult classic CAH, pediatric classic CAH, and PCOS. Additionally, there were higher personnel-related payments driven by increased headcount and higher payments for increased professional services, including legal, finance and accounting. The cash used was offset by the receipt of the $15.0 million upfront payment under the Kaken License Agreement in April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cash provided by investing activities was $55.7 million, consisting primarily of proceeds from maturities of investments of $67.7 million offset by purchases of investments of $11.9 million.</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cash provided by investing activities was $23.7 million, consisting primarily of proceeds from maturities of investments of $60.5 million offset by purchases of investments of $36.8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cash provided by financing activities was $49.1 million, consisting primarily of net proceeds received from the February 2023 private placement of $50.9 million, offset by the principal payments on the Term Loan of $1.6 million.</w:t>
      </w:r>
    </w:p>
    <w:p>
      <w:pPr>
        <w:spacing w:after="0" w:line="5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cash used in financing activities was $0.2 million, consisting primarily of payments of deferred offering costs offset by proceeds received from issuance of shares pursuant to our employee stock purchase plan.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operate and manage our business as one operating segment, which is the business of developing and commercializing novel therapies for rare endocrine disorders with significant unmet medical need.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Our accounting policies are more fully described in Note 2 of the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record accruals for estimated costs of preclinical, clinical, and manufacturing development, within accrued expenses which are significant components of research and development expenses. A substantial portion of our ongoing research and development activities is conducted by third-party service providers, including CROs. Our contracts with CROs generally include fees such as initiation fees, investigator grants, clinical safety, data management, laboratory expenses, project management, and pass-through expenses.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in accordance with the respective agreements. We determine the estimated costs through discussions with internal personnel and external service providers as to the progress, or stage of completion or actual timeline (start-date and end-date) of the services and the agreed-upon fees to be paid for such services. Payments made to third parties under these arrangements in advance of the performance of the related services by the third parties are recorded as prepaid expenses until the services are rendered.</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actual timing of the performance of services or the level of effort varies from the estimate, we adjust accrued expenses or prepaid expenses accordingly, which impact research and development expenses.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recognize revenue allocated to the Kaken License Agreement from non-refundable, up-front fees at the point in time when the license is transferred to the licensee and the licensee can use and benefit from the license. As the license is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As the performance obligation is satisfied over time, we evaluate the measure of progress each reporting period and, if necessary, adjust the measure of performance and related revenue recognition. We utilize the cost-based input method over the respective performance period. If the actual costs vary from our estimates, we adjust the recognition of revenue based on the updated measure of progress each reporting period. Although we do not expect our estimates to be materially different from amounts actually incurred, our projections of costs relative to the actual costs incurred may materially vary and may result in reporting amounts that are too high or too low in any particular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The JOBS Act permits emerging growth companies to take advantage of an extended transition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cash and cash equivalents as of December 31, 2023 consisted of $96.3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 for our Term Loan is variable.</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a hypothetical 1% change in interest rates would not have had a material effect on our financial statements. We do not currently engage in hedging transactions to manage our exposure to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operations include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among other things, the COVID-19 pandemic and other geopolitical and macroeconomic events, such as the ongoing military conflict between Ukraine and Russia and related sanctions, and recent and potential future disruptions in access to bank deposits or lending commitments due to bank failures, as of December 31, 2023, we do not expect anticipated changes in inflation to have a material effect on our business, financial condition or results of operations for future reporting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9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993"/>
        </w:trPr>
        <w:tc>
          <w:tcPr>
            <w:tcW w:w="9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2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P.C., Las Vegas, Nevada, PCAOB ID #243)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439"/>
        </w:trPr>
        <w:tc>
          <w:tcPr>
            <w:tcW w:w="20" w:type="dxa"/>
            <w:vAlign w:val="bottom"/>
            <w:tcBorders>
              <w:top w:val="single" w:sz="8" w:color="0000EE"/>
              <w:bottom w:val="single" w:sz="8" w:color="0000EE"/>
            </w:tcBorders>
          </w:tcPr>
          <w:p>
            <w:pPr>
              <w:spacing w:after="0"/>
              <w:rPr>
                <w:sz w:val="24"/>
                <w:szCs w:val="24"/>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Balance Sheets</w:t>
            </w:r>
          </w:p>
        </w:tc>
        <w:tc>
          <w:tcPr>
            <w:tcW w:w="3120" w:type="dxa"/>
            <w:vAlign w:val="bottom"/>
            <w:tcBorders>
              <w:top w:val="single" w:sz="8" w:color="0000FF"/>
            </w:tcBorders>
            <w:gridSpan w:val="7"/>
          </w:tcPr>
          <w:p>
            <w:pPr>
              <w:spacing w:after="0"/>
              <w:rPr>
                <w:sz w:val="24"/>
                <w:szCs w:val="24"/>
                <w:color w:val="auto"/>
              </w:rPr>
            </w:pPr>
          </w:p>
        </w:tc>
        <w:tc>
          <w:tcPr>
            <w:tcW w:w="54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439"/>
        </w:trPr>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439"/>
        </w:trPr>
        <w:tc>
          <w:tcPr>
            <w:tcW w:w="20" w:type="dxa"/>
            <w:vAlign w:val="bottom"/>
            <w:tcBorders>
              <w:top w:val="single" w:sz="8" w:color="0000EE"/>
              <w:bottom w:val="single" w:sz="8" w:color="0000FF"/>
            </w:tcBorders>
          </w:tcPr>
          <w:p>
            <w:pPr>
              <w:spacing w:after="0"/>
              <w:rPr>
                <w:sz w:val="24"/>
                <w:szCs w:val="24"/>
                <w:color w:val="auto"/>
              </w:rPr>
            </w:pPr>
          </w:p>
        </w:tc>
        <w:tc>
          <w:tcPr>
            <w:tcW w:w="2600" w:type="dxa"/>
            <w:vAlign w:val="bottom"/>
            <w:tcBorders>
              <w:top w:val="single" w:sz="8" w:color="0000FF"/>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Stockholders’ Equity</w:t>
            </w:r>
          </w:p>
        </w:tc>
        <w:tc>
          <w:tcPr>
            <w:tcW w:w="1080" w:type="dxa"/>
            <w:vAlign w:val="bottom"/>
            <w:tcBorders>
              <w:top w:val="single" w:sz="8" w:color="0000FF"/>
            </w:tcBorders>
          </w:tcPr>
          <w:p>
            <w:pPr>
              <w:spacing w:after="0"/>
              <w:rPr>
                <w:sz w:val="24"/>
                <w:szCs w:val="24"/>
                <w:color w:val="auto"/>
              </w:rPr>
            </w:pPr>
          </w:p>
        </w:tc>
        <w:tc>
          <w:tcPr>
            <w:tcW w:w="5960" w:type="dxa"/>
            <w:vAlign w:val="bottom"/>
            <w:gridSpan w:val="2"/>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439"/>
        </w:trPr>
        <w:tc>
          <w:tcPr>
            <w:tcW w:w="20" w:type="dxa"/>
            <w:vAlign w:val="bottom"/>
            <w:tcBorders>
              <w:bottom w:val="single" w:sz="8" w:color="0000EE"/>
            </w:tcBorders>
          </w:tcPr>
          <w:p>
            <w:pPr>
              <w:spacing w:after="0"/>
              <w:rPr>
                <w:sz w:val="24"/>
                <w:szCs w:val="24"/>
                <w:color w:val="auto"/>
              </w:rPr>
            </w:pPr>
          </w:p>
        </w:tc>
        <w:tc>
          <w:tcPr>
            <w:tcW w:w="1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Statements of Cash Flows</w:t>
            </w:r>
          </w:p>
        </w:tc>
        <w:tc>
          <w:tcPr>
            <w:tcW w:w="40" w:type="dxa"/>
            <w:vAlign w:val="bottom"/>
            <w:tcBorders>
              <w:bottom w:val="single" w:sz="8" w:color="0000EE"/>
            </w:tcBorders>
          </w:tcPr>
          <w:p>
            <w:pPr>
              <w:spacing w:after="0"/>
              <w:rPr>
                <w:sz w:val="24"/>
                <w:szCs w:val="24"/>
                <w:color w:val="auto"/>
              </w:rPr>
            </w:pPr>
          </w:p>
        </w:tc>
        <w:tc>
          <w:tcPr>
            <w:tcW w:w="772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39"/>
        </w:trPr>
        <w:tc>
          <w:tcPr>
            <w:tcW w:w="20" w:type="dxa"/>
            <w:vAlign w:val="bottom"/>
          </w:tcPr>
          <w:p>
            <w:pPr>
              <w:spacing w:after="0"/>
              <w:rPr>
                <w:sz w:val="24"/>
                <w:szCs w:val="24"/>
                <w:color w:val="auto"/>
              </w:rPr>
            </w:pPr>
          </w:p>
        </w:tc>
        <w:tc>
          <w:tcPr>
            <w:tcW w:w="2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7480" w:type="dxa"/>
            <w:vAlign w:val="bottom"/>
            <w:gridSpan w:val="4"/>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898"/>
        </w:trPr>
        <w:tc>
          <w:tcPr>
            <w:tcW w:w="9660" w:type="dxa"/>
            <w:vAlign w:val="bottom"/>
            <w:gridSpan w:val="10"/>
          </w:tcPr>
          <w:p>
            <w:pPr>
              <w:jc w:val="right"/>
              <w:ind w:right="3810"/>
              <w:spacing w:after="0"/>
              <w:rPr>
                <w:sz w:val="20"/>
                <w:szCs w:val="20"/>
                <w:color w:val="auto"/>
              </w:rPr>
            </w:pPr>
            <w:r>
              <w:rPr>
                <w:rFonts w:ascii="Times New Roman" w:cs="Times New Roman" w:eastAsia="Times New Roman" w:hAnsi="Times New Roman"/>
                <w:sz w:val="18"/>
                <w:szCs w:val="18"/>
                <w:color w:val="auto"/>
              </w:rPr>
              <w:t>116</w:t>
            </w:r>
          </w:p>
        </w:tc>
        <w:tc>
          <w:tcPr>
            <w:tcW w:w="15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Spruce Biosciences,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Spruce Biosciences, Inc. (the “Company”) as of December 31, 2023 and 2022, the related statements of operations and comprehensive loss, stockholders’ equity, and cash flows for each of the years then ended,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years then ended,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96,339</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shd w:val="clear" w:color="auto" w:fill="CFF0FC"/>
          </w:tcPr>
          <w:p>
            <w:pPr>
              <w:spacing w:after="0"/>
              <w:rPr>
                <w:sz w:val="21"/>
                <w:szCs w:val="2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54,590</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shd w:val="clear" w:color="auto" w:fill="CFF0FC"/>
          </w:tcPr>
          <w:p>
            <w:pPr>
              <w:spacing w:after="0"/>
              <w:rPr>
                <w:sz w:val="21"/>
                <w:szCs w:val="2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0"/>
                <w:szCs w:val="20"/>
                <w:color w:val="auto"/>
              </w:rPr>
            </w:pPr>
          </w:p>
        </w:tc>
      </w:tr>
      <w:tr>
        <w:trPr>
          <w:trHeight w:val="241"/>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102,183</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83,608</w:t>
            </w:r>
          </w:p>
        </w:tc>
        <w:tc>
          <w:tcPr>
            <w:tcW w:w="100" w:type="dxa"/>
            <w:vAlign w:val="bottom"/>
            <w:shd w:val="clear" w:color="auto" w:fill="CFF0FC"/>
          </w:tcPr>
          <w:p>
            <w:pPr>
              <w:spacing w:after="0"/>
              <w:rPr>
                <w:sz w:val="20"/>
                <w:szCs w:val="20"/>
                <w:color w:val="auto"/>
              </w:rPr>
            </w:pPr>
          </w:p>
        </w:tc>
      </w:tr>
      <w:tr>
        <w:trPr>
          <w:trHeight w:val="23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r>
      <w:tr>
        <w:trPr>
          <w:trHeight w:val="243"/>
        </w:trPr>
        <w:tc>
          <w:tcPr>
            <w:tcW w:w="7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103,946</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85,648</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FF0FC"/>
          </w:tcPr>
          <w:p>
            <w:pPr>
              <w:spacing w:after="0"/>
              <w:rPr>
                <w:sz w:val="21"/>
                <w:szCs w:val="2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current portion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FF0FC"/>
          </w:tcPr>
          <w:p>
            <w:pPr>
              <w:spacing w:after="0"/>
              <w:rPr>
                <w:sz w:val="21"/>
                <w:szCs w:val="2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24,465</w:t>
            </w:r>
          </w:p>
        </w:tc>
        <w:tc>
          <w:tcPr>
            <w:tcW w:w="26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shd w:val="clear" w:color="auto" w:fill="CFF0FC"/>
          </w:tcPr>
          <w:p>
            <w:pPr>
              <w:spacing w:after="0"/>
              <w:rPr>
                <w:sz w:val="20"/>
                <w:szCs w:val="20"/>
                <w:color w:val="auto"/>
              </w:rPr>
            </w:pPr>
          </w:p>
        </w:tc>
      </w:tr>
      <w:tr>
        <w:trPr>
          <w:trHeight w:val="23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FF0FC"/>
          </w:tcPr>
          <w:p>
            <w:pPr>
              <w:spacing w:after="0"/>
              <w:rPr>
                <w:sz w:val="21"/>
                <w:szCs w:val="21"/>
                <w:color w:val="auto"/>
              </w:rPr>
            </w:pPr>
          </w:p>
        </w:tc>
      </w:tr>
      <w:tr>
        <w:trPr>
          <w:trHeight w:val="239"/>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r>
      <w:tr>
        <w:trPr>
          <w:trHeight w:val="277"/>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27,437</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and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shares issued or outstanding as of December 31, 2023 and 2022</w:t>
            </w:r>
          </w:p>
        </w:tc>
        <w:tc>
          <w:tcPr>
            <w:tcW w:w="38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200,000,000 shares authorized as of</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and 2022; 41,029,832 and 23,601,004 shares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2023 and 2022, respectively</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273,737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218,354</w:t>
            </w:r>
          </w:p>
        </w:tc>
        <w:tc>
          <w:tcPr>
            <w:tcW w:w="10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(558 )</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(197,232 )</w:t>
            </w:r>
          </w:p>
        </w:tc>
        <w:tc>
          <w:tcPr>
            <w:tcW w:w="4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(149,313 )</w:t>
            </w:r>
          </w:p>
        </w:tc>
      </w:tr>
      <w:tr>
        <w:trPr>
          <w:trHeight w:val="236"/>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76,509</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103,946</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85,648</w:t>
            </w:r>
          </w:p>
        </w:tc>
        <w:tc>
          <w:tcPr>
            <w:tcW w:w="10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-3771265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-1868170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-1851025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49,432</w:t>
            </w: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62,082</w:t>
            </w:r>
          </w:p>
        </w:tc>
        <w:tc>
          <w:tcPr>
            <w:tcW w:w="3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(51,993 )</w:t>
            </w:r>
          </w:p>
        </w:tc>
        <w:tc>
          <w:tcPr>
            <w:tcW w:w="7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(47,283 )</w:t>
            </w:r>
          </w:p>
        </w:tc>
        <w:tc>
          <w:tcPr>
            <w:tcW w:w="0" w:type="dxa"/>
            <w:vAlign w:val="bottom"/>
          </w:tcPr>
          <w:p>
            <w:pPr>
              <w:spacing w:after="0"/>
              <w:rPr>
                <w:sz w:val="1"/>
                <w:szCs w:val="1"/>
                <w:color w:val="auto"/>
              </w:rPr>
            </w:pPr>
          </w:p>
        </w:tc>
      </w:tr>
      <w:tr>
        <w:trPr>
          <w:trHeight w:val="247"/>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(483 )</w:t>
            </w:r>
          </w:p>
        </w:tc>
        <w:tc>
          <w:tcPr>
            <w:tcW w:w="7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39"/>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(47,919 )</w:t>
            </w:r>
          </w:p>
        </w:tc>
        <w:tc>
          <w:tcPr>
            <w:tcW w:w="7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(46,180 )</w:t>
            </w:r>
          </w:p>
        </w:tc>
        <w:tc>
          <w:tcPr>
            <w:tcW w:w="0" w:type="dxa"/>
            <w:vAlign w:val="bottom"/>
          </w:tcPr>
          <w:p>
            <w:pPr>
              <w:spacing w:after="0"/>
              <w:rPr>
                <w:sz w:val="1"/>
                <w:szCs w:val="1"/>
                <w:color w:val="auto"/>
              </w:rPr>
            </w:pPr>
          </w:p>
        </w:tc>
      </w:tr>
      <w:tr>
        <w:trPr>
          <w:trHeight w:val="236"/>
        </w:trPr>
        <w:tc>
          <w:tcPr>
            <w:tcW w:w="7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 for sale securities</w:t>
            </w:r>
          </w:p>
        </w:tc>
        <w:tc>
          <w:tcPr>
            <w:tcW w:w="4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0"/>
        </w:trPr>
        <w:tc>
          <w:tcPr>
            <w:tcW w:w="7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(47,361 )</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(46,554 )</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(1.24 )</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196"/>
        </w:trPr>
        <w:tc>
          <w:tcPr>
            <w:tcW w:w="71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4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38,510,220</w:t>
            </w:r>
          </w:p>
        </w:tc>
        <w:tc>
          <w:tcPr>
            <w:tcW w:w="30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23,527,116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-1593850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-959485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-642620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-316230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-299720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4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23,491,881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214,685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(103,133 )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related to</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related to</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tax withholdings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(46,180 )</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(46,180 )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23,601,004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(149,313 )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related to</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162,791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related to</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tax withholdings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349,983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(311 )</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218"/>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offering costs of $2,721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16,116,000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 for sale securities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(47,919 )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(47,919 )</w:t>
            </w:r>
          </w:p>
        </w:tc>
        <w:tc>
          <w:tcPr>
            <w:tcW w:w="0" w:type="dxa"/>
            <w:vAlign w:val="bottom"/>
          </w:tcPr>
          <w:p>
            <w:pPr>
              <w:spacing w:after="0"/>
              <w:rPr>
                <w:sz w:val="1"/>
                <w:szCs w:val="1"/>
                <w:color w:val="auto"/>
              </w:rPr>
            </w:pPr>
          </w:p>
        </w:tc>
      </w:tr>
      <w:tr>
        <w:trPr>
          <w:trHeight w:val="278"/>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41,029,832</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273,737</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F"/>
            </w:tcBorders>
            <w:shd w:val="clear" w:color="auto" w:fill="CFF0FF"/>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(197,232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-2133600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-2133600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-2133600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-2133600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-2133600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-24765</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(47,919 )</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(46,180 )</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(accretion) of premium/discount on available-for-sale securities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(636 )</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(2,636 )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(817 )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(1,397 )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(331 )</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(33,275 )</w:t>
            </w: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(41,683 )</w:t>
            </w:r>
          </w:p>
        </w:tc>
      </w:tr>
      <w:tr>
        <w:trPr>
          <w:trHeight w:val="238"/>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67,665</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(11,881 )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(36,800 )</w:t>
            </w:r>
          </w:p>
        </w:tc>
      </w:tr>
      <w:tr>
        <w:trPr>
          <w:trHeight w:val="24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6"/>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55,777</w:t>
            </w: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23,692</w:t>
            </w:r>
          </w:p>
        </w:tc>
        <w:tc>
          <w:tcPr>
            <w:tcW w:w="100" w:type="dxa"/>
            <w:vAlign w:val="bottom"/>
            <w:tcBorders>
              <w:top w:val="single" w:sz="8" w:color="CFF0FC"/>
            </w:tcBorders>
          </w:tcPr>
          <w:p>
            <w:pPr>
              <w:spacing w:after="0"/>
              <w:rPr>
                <w:sz w:val="20"/>
                <w:szCs w:val="20"/>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related to employee stock</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purchase plan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(2,721 )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term loan</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(1,622 )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withholding payments on restricted stock units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(311 )</w:t>
            </w: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(241 )</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71,642</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(18,232 )</w:t>
            </w: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96,374</w:t>
            </w: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96,339</w:t>
            </w:r>
          </w:p>
        </w:tc>
        <w:tc>
          <w:tcPr>
            <w:tcW w:w="280" w:type="dxa"/>
            <w:vAlign w:val="bottom"/>
          </w:tcPr>
          <w:p>
            <w:pPr>
              <w:spacing w:after="0"/>
              <w:rPr>
                <w:sz w:val="20"/>
                <w:szCs w:val="20"/>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 short-term (included in other current assets)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long-term (included in other assets)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96,374</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 on term loan</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21"/>
                <w:szCs w:val="21"/>
                <w:color w:val="auto"/>
              </w:rPr>
            </w:pPr>
          </w:p>
        </w:tc>
      </w:tr>
      <w:tr>
        <w:trPr>
          <w:trHeight w:val="24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960" w:type="dxa"/>
            <w:vAlign w:val="bottom"/>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r>
      <w:tr>
        <w:trPr>
          <w:trHeight w:val="223"/>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 recognized in exchange for lease liability</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9"/>
                <w:szCs w:val="19"/>
                <w:color w:val="auto"/>
              </w:rPr>
            </w:pPr>
          </w:p>
        </w:tc>
      </w:tr>
      <w:tr>
        <w:trPr>
          <w:trHeight w:val="236"/>
        </w:trPr>
        <w:tc>
          <w:tcPr>
            <w:tcW w:w="8720" w:type="dxa"/>
            <w:vAlign w:val="bottom"/>
            <w:gridSpan w:val="2"/>
          </w:tcPr>
          <w:p>
            <w:pPr>
              <w:ind w:left="29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-4859655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-4234180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-4234180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-2527935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-2211070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-1087755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-1070610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068"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068"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SPRUCE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The Company is located in South San Francisco, California and was incorporated in the state of Delaware in April 2016.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2020, the Company consummated its initial public offering (“IPO”) and issued a total of 6,900,000 shares of common stock, which includes 900,000 shares issued pursuant to the exercise of the underwriters’ option to purchase additional shares, at an offering price of $15.00 per share. In aggregate, the Company received net proceeds of $93.4 million, after deducting underwriting discounts and commissions and offering expenses. Upon the closing of the IPO, all outstanding shares of the Company’s redeemable convertible preferred stock automatically converted into 15,492,019 shares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 Common Stock and Warrants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February 2023, the Company entered into a Securities Purchase Agreement (the “Purchase Agreement”) with certain institutional investors (the “Purchasers”), pursuant to which the Company agreed to sell and issue (i) 16,116,000 shares of the Company’s common stock (“Common Stock”), (ii) pre-funded warrants to purchase 800,000 shares of Common Stock (the “Pre-Funded Warrants”) to a Purchaser and (iii) 12,687,000 warrants to purchase Common Stock (the “Standard Warrants” and together with the Pre-Funded Warrants, the “Warrants”) in a private placement transaction (the “Private Placement”). The total gross proceeds to the Company were approximately $53.6 million, which does not include any proceeds that may be received upon exercise of the Standard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Open Market Sales Agreement</w:t>
      </w:r>
    </w:p>
    <w:p>
      <w:pPr>
        <w:spacing w:after="0" w:line="12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February 2022, the U.S. Securities and Exchange Commission (“SEC”) declared effective a registration statement on Form S-3 (the “Shelf Registration”), covering the sale of up to $200.0 million of the Company's securities. Also, in February 2022, the Company entered into an Open Market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Jefferies LLC (“Jefferies”) pursuant to which the Company may elect to issue and sell, from time to time, shares of Common Stock having an aggregate offering price of up to $21.0 million under the Shelf Registration through Jefferies acting as the sales agent and/or principal. As of December 31, 2023, the Company has not issued any shares of Common Stock under the Sales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that based on its current operating plan, its cash and cash equivalents of $96.3 million as of December 31, 2023 will be sufficient to fund its planned operations and debt obligations for at least 12 months following the issuance date of these financial statements.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During the year ended December 31, 2023,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a net loss of $47.9 million and used $33.3 million of cash in operations. As of December 31, 2023, the Company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$197.2 million and does not expect positive cash flows from operations in the foreseeable future. The Company has funded its operations primarily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and sale of equity securities, debt and collaboration revenue.</w:t>
      </w:r>
    </w:p>
    <w:p>
      <w:pPr>
        <w:spacing w:after="0" w:line="9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Company anticipates that it will need to raise substantial additional financing in the future to fund its operations. In order to meet these additional cash requirements, the Company may seek to out-license rights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develop and commercialize tildacerfont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and accompanying notes have been prepared in accordance with generally accepted accounting principles in the United States (“U.S. GAAP”) and include all adjustments necessary for the fair presentation of the Company’s financial position for the periods presented. Certain prior period amounts in the balance sheet and the statement of cash flows have been reclassified to conform to the current period presentation.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and geopolitical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primarily of cash and cash equivalents. The Company maintains deposits in federally insured financial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institutions in excess of federally insured limits. The Company is exposed to credit risk in the event of default by the financial institutions holding its cash and cash equivalents to the extent recorded in the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operating segment, which is the business of developing and commercializing novel therapies for rare endocrine disorders with significant unmet medical need.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remaining maturities at the date of purchase of three months or less to be cash equivalents. Cash equivalents, which consist of amounts invested in money market funds, are stated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had $35 thousand and $0.2 million of restricted cash as of December 31, 2023 and 2022, respectively, which is related to collateralized cash in connection with letters of credit issued on behalf of the Company for the security deposits required under operating leases. Short-term restricted cash is included in other current assets on the balance sheets and long-term restricted cash is included in other assets on the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financial assets and liabilities using the fair value hierarchy that describes three levels of inputs that may be used to measure fair value, as follows:</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54"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primarily consist of cash and cash equivalents, prepaid expenses, accounts payable, term loan, and accrued expenses. The carrying value of cash and cash equivalents, prepaid expenses, accounts payable, and accrued expenses are generally considered to be representative of their respective fair values because of the short-term nature of those instruments. The estimated fair value of the term loan is based on market observable interest rates, which is considered a Level 2 fair value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on January 1, 2023. The Company’s investments are classified as available-for-sale and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interest and other income, net.</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unrealized losses from declines in fair value below the amortized cost basis as a result of non-credit factors are recognized in accumulated other comprehensive loss, net of tax as a separate component of stockholders’ equity, along with unrealized gains. Realized gains and losses and declines in fair value, if any, on available-for-sale securities are included in interest and other income, net in the statement of operations and comprehensive loss.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Right-of-use assets and lease liabilities are recognized based on the present value of the future minimum lease payments over the lease term at the commencement date. The right-of-use asset includes any lease payments made on or before the lease commencement date, less lease incentives received. The incremental borrowing rate is used in determining the present value of future payments. The Company utilizes its incremental borrowing rate, which is the rate incurred to borrow on a collateralized basis over a similar term an amount equal to the lease payments in a similar economic environment. The lease terms may include options to extend or terminate the lease. Lease expense for operating leases is recognized on a straight-line basis over the non-cancelable lease term. Variable lease expense relates primarily to office lease common area maintenance, insurance, and property taxes, is expensed as incurred, and is excluded from the calculation of the lease liability and right-of-use-asset. The Company does not have any finance leases.</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recognize a right-of-use asset and lease liability for short-term leases. A short-term lease is a lease with an expected lease term of 12 months or less and which does not include an option to purchase the underlying asset that the lessee is reasonably certain to exercise. Lease agreements that include lease and non-lease components are accounted for as a single lease component.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are included in other assets on the balance sheets. Depreciation expense is calculated using the straight-line method over the estimated useful life of the respective asset and begins at the time the asset is placed into service. Maintenance and repairs are charged to expense as incurred, and improvements are capitalized.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useful lives of property and equipment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3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3 years</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53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3 years</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3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5 years</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machinery and equipment</w:t>
            </w:r>
          </w:p>
        </w:tc>
        <w:tc>
          <w:tcPr>
            <w:tcW w:w="53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7 years</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30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Lesser of lease term or 15 years</w:t>
            </w:r>
          </w:p>
        </w:tc>
        <w:tc>
          <w:tcPr>
            <w:tcW w:w="1120" w:type="dxa"/>
            <w:vAlign w:val="bottom"/>
          </w:tcPr>
          <w:p>
            <w:pPr>
              <w:spacing w:after="0"/>
              <w:rPr>
                <w:sz w:val="21"/>
                <w:szCs w:val="21"/>
                <w:color w:val="auto"/>
              </w:rPr>
            </w:pPr>
          </w:p>
        </w:tc>
      </w:tr>
      <w:tr>
        <w:trPr>
          <w:trHeight w:val="864"/>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Pr>
          <w:p>
            <w:pPr>
              <w:spacing w:after="0"/>
              <w:rPr>
                <w:sz w:val="24"/>
                <w:szCs w:val="24"/>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Research and Development Expenses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Clinical trial costs are charged to research and development expense as incurred. The Company accrues for expenses resulting from contracts with clinical research organizations (“CROs”),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The Company’s policy is to reflect the appropriate expense in the financial statements by matching the appropriate expenses with the period in which services and efforts are expended.</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CRO contracts generally include pass-through fees including, but not limited to, regulatory expenses, investigator fees, laboratory fees and other miscellaneous costs. The Company determines accrual estimates through reports from and discussion with clinical personnel and outside service providers as to the progress or state of completion of trials, or the services completed. The Company estimates accrued expenses as of each balance sheet date based on the facts and circumstances known at that time. The clinical trial accrual is dependent, in part, upon the receipt of timely and accurate reporting from the CROs and other third-party vendors.</w:t>
      </w:r>
    </w:p>
    <w:p>
      <w:pPr>
        <w:spacing w:after="0" w:line="7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If the actual timing of the performance of services or the level of effort varies from the original estimates, the Company will adjust the accrual accordingly. Payments associated with licensing agreements to acquire exclusive licenses to develop, use, manufacture and commercialize products that have not reached technological feasibility and do not have alternate commercial use are expensed as incurred. Payments made to third parties under these arrangements in advance of the performance of the related services by the third parties are recorded as prepaid expenses until the services are rendered.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revenues when, or as, the promised goods or services are transferred to customers in an amount that reflects the consideration to which the Company expects to be entitled in exchange for those services. To determine revenue recognition for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entered into a licensing and collaboration agreement that primarily includes the following: (i) upfront cash consideration; (ii) payments associated with achieving certain milestones; and (iii) royalties based on specified percentages of net product sales, if any. At the initiation of an agreement, the Company analyzes each unit of account within the contract to determine if the counterparty is a customer in the context of the unit of account.</w:t>
      </w:r>
    </w:p>
    <w:p>
      <w:pPr>
        <w:spacing w:after="0" w:line="72"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and enforceable in a contract with a customer and identifies those distinct goods and services that represent a performance obligation. If a promised good or service is not distinct, the Company combines that good or service with other promised goods or services until it identifies a bundle of goods or services that is distinct. Promised goods and services that are not material in the context of the contract are not considered performance obligations. Additional goods or services that are exercisable at a customer’s discretion are assessed to determine if they provide a material right to the customer and if so, they are considered performance obligations.</w:t>
      </w:r>
    </w:p>
    <w:p>
      <w:pPr>
        <w:spacing w:after="0" w:line="7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promised goods or services to a customer. The consideration promised in a contract with a customer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may include fixed amounts, variable amounts, or both. Non-refundable upfront payments are considered fixed consideration and included in the transaction price. At the inception of arrangements that include variable consideration, the Company uses judgment to estimate the amount of variable consideration to include in the transaction price using the most likely method. If it is probable that a significant revenue reversal will not occur, then the estimated amount is included in the transaction price. Milestone payments that are not within the Company’s or the licensee’s control, such as regulatory approvals, are not included in the transaction price until those approvals are received.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At the end of each reporting period, the Company re-evaluates the estimated variable consideration included in the transaction price and any related constraint and, as necessary, adjusts the estimate of the overall transaction price. Any adjustments will be recorded on a cumulative catch-up basis, which would affect revenues and earnings in the period of adjustment.</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it is determined that multiple performance obligations exist, the transaction price is allocated at the inception of the agreement to all identified performance obligations based on the relative standalone selling prices, unless the consideration is variable and meets the criteria to be allocated entirely to one or more, but not all, performance obligations in the contract. Other components of the transaction price are allocated based on the relative standalone selling price, over which the Company applies significant judgment. The Company develops assumptions that require judgment to determine the standalone selling price for license-related performance obligations under the adjusted market assessment approach, which may include forecasted revenues, development timelines, discount rates and probabilities of success.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The Company recognizes revenue over time by measuring the progress toward complete satisfaction of the relevant performance obligation using an appropriate input method based on the nature of the good or service promised to the customer. The Company uses judgment to assess the nature of the performance obligation to determine whether the performance obligation is satisfied over time or at a point in time. The selection of the method to measure progress towards completion requires judgment and is based on the nature of the products or services to be provided.</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a customer pays consideration, or the Company has an unconditional right to the consideration, before the satisfaction of the revenue recognition criteria, the amounts are recorded as deferred revenue in the Company’s balance sheet. The current portion of deferred revenue represents the amount of the performance obligation that is expected to be satisfied within the next twelve months. Amounts recognized as revenue prior to receipt or before they are due are recorded as contract assets in the Company’s balance sheet, excluding any amounts presented as accounts receivable. If the Company has an unconditional right to receive consideration, the contract assets are accounted for as accounts receivable and presented separately from contract assets. A net contract asset or liability is presented for each contract with a customer.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but are not limited to, personnel costs, fees paid to external entities that conduct certain non-clinical and clinical development activities on our behalf, manufacturing costs, outside service and consulting costs, and allocated overhead, including rent. Assets acquired that are utilized in research and development that have no alternative future use are also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using a fair value-based method, which requires the recognition of compensation expense for costs related to all stock-based payments including stock options, restricted stock units (“RSUs”) and purchase rights under the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highly complex and subjective variables. The model requires management to make a number of assumptions which include the following: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020" w:right="80" w:hanging="503"/>
        <w:spacing w:after="0" w:line="258"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is based on the simplified method, as the Company’s stock options have the following characteristics: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at-the-money; (ii) exercisability is conditioned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For the ESPP, the expected term is based on the term of the purchase period.</w:t>
      </w:r>
    </w:p>
    <w:p>
      <w:pPr>
        <w:spacing w:after="0" w:line="75"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is estimated using a combination of historical volatilities of the Company's stock and that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 traded biopharmaceutical companies. In evaluating similarity, the Company considered factors such as market capitalization, stage of development, area of specialty, and stock-specific attributes. The Company will continue to apply this process and analyze the historical stock price volatility and expected term assumptions as more historical data for the Company’s common stock becomes available.</w:t>
      </w:r>
    </w:p>
    <w:p>
      <w:pPr>
        <w:spacing w:after="0" w:line="75" w:lineRule="exact"/>
        <w:rPr>
          <w:rFonts w:ascii="Times New Roman" w:cs="Times New Roman" w:eastAsia="Times New Roman" w:hAnsi="Times New Roman"/>
          <w:sz w:val="18"/>
          <w:szCs w:val="18"/>
          <w:color w:val="auto"/>
        </w:rPr>
      </w:pPr>
    </w:p>
    <w:p>
      <w:pPr>
        <w:ind w:left="1020" w:right="460" w:hanging="503"/>
        <w:spacing w:after="0" w:line="284"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U.S. Treasury constant maturity rates with remaining terms similar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options.</w:t>
      </w:r>
    </w:p>
    <w:p>
      <w:pPr>
        <w:spacing w:after="0" w:line="50" w:lineRule="exact"/>
        <w:rPr>
          <w:rFonts w:ascii="Times New Roman" w:cs="Times New Roman" w:eastAsia="Times New Roman" w:hAnsi="Times New Roman"/>
          <w:sz w:val="18"/>
          <w:szCs w:val="18"/>
          <w:color w:val="auto"/>
        </w:rPr>
      </w:pPr>
    </w:p>
    <w:p>
      <w:pPr>
        <w:ind w:left="1020" w:right="480" w:hanging="503"/>
        <w:spacing w:after="0" w:line="284"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 The Company has never paid any dividends and does not plan to pay dividends in the foreseeable future,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used an expected dividend rate of zero in the valuation model.</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Forfeitures</w:t>
      </w:r>
      <w:r>
        <w:rPr>
          <w:rFonts w:ascii="Times New Roman" w:cs="Times New Roman" w:eastAsia="Times New Roman" w:hAnsi="Times New Roman"/>
          <w:sz w:val="18"/>
          <w:szCs w:val="18"/>
          <w:color w:val="auto"/>
        </w:rPr>
        <w:t>. The Company accounts for forfeitures as they occur.</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RSUs, including RSUs subject to performance-based vesting conditions, is based on the grant-date fair value of the Company's stock price.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on a straight-line basis over the requisite service period of the award, which is generally the vesting period. The Company accounts for forfeitures as they occur.</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options and RSUs that vest upon the satisfaction of certain performance conditions, the Company recognizes compensation expense when it becomes probable that the performance conditions will be met. When the criteria are deemed probable of being met, the Company records cumulative compensation expense in the period the performance criteria are deemed probable of being met and recognizes the remaining compensation expense on a straight-line basis over the remaining period for which the performance criteria are expected to be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pacing w:after="0" w:line="7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the likelihood that the Company’s deferred tax assets will be recovered from future taxable income, and to the extent the Company believes that recovery is not likely, the Company establishes a valuation allowance. The assessment of whether or not a valuation allowance is required often requires significant judgment, including the forecast of future taxable income and on-going prudent and feasible tax planning initiatives. Based upon the weight of available evidence, the Company has determined that net deferred tax assets should be fully offset by a valuation allowance. When the Company establishes or reduces the valuation allowance against its net deferred tax assets, its provision for income taxes will increase or decrease, respectively, in the period such determination is made.</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in accordance with Accounting Standards Codification 740. Tax positions are evaluated in a two-step process, whereby the Company first determines whether it is more likely than not that a tax position will be sustained upon examination by tax authorities, including resolutions of any related appeals or litigation processes, based on technical merit. If a tax position meets the more-likely-than-not recognition threshold, it is then measured to determine the amount of benefit to be recognized in the financial statements. The tax position is measured as the largest amount of benefit that is greater than 50% likely of being realized upon ultimate settlement. The Company’s policy is to recognize interest and penalties related to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underpayment of income taxes as a component of income tax expense or benefit. To date, there have been no interest or penalties charged in relation to unrecognized tax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Comprehensive loss represents the net loss for the period and other comprehensive income. Other comprehensive loss reflects certain gains and losses that are recorded as a component of stockholders’ equity and are not reflected in the statements of operations. The Company’s other comprehensive loss consists of changes in unrealized gains and losses on available-for-sale investments, net of tax. There was no income tax effect related to unrealized gains and losses during the years ended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outstanding stock options, RSUs, and shares expected to be issued pursuant to the ESPP are considered to be potentially dilutive securities. Because the Company has reported a net loss for all periods presented, diluted net loss per share is the same as basic net loss per share for those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2016-13, </w:t>
      </w:r>
      <w:r>
        <w:rPr>
          <w:rFonts w:ascii="Times New Roman" w:cs="Times New Roman" w:eastAsia="Times New Roman" w:hAnsi="Times New Roman"/>
          <w:sz w:val="18"/>
          <w:szCs w:val="18"/>
          <w:i w:val="1"/>
          <w:iCs w:val="1"/>
          <w:color w:val="auto"/>
        </w:rPr>
        <w:t>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(“ASU 2016-13”). ASU 2016-13 requires that financial assets measured at amortized cost be presented at the net amount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The Company adopted ASU 2016-13 on January 1, 2023 and the adoption did not have any impact on the Company’s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 Not Yet Adopted</w:t>
      </w:r>
    </w:p>
    <w:p>
      <w:pPr>
        <w:spacing w:after="0" w:line="227" w:lineRule="exact"/>
        <w:rPr>
          <w:sz w:val="20"/>
          <w:szCs w:val="20"/>
          <w:color w:val="auto"/>
        </w:rPr>
      </w:pPr>
    </w:p>
    <w:p>
      <w:pPr>
        <w:jc w:val="both"/>
        <w:ind w:right="240" w:firstLine="749"/>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Accounting Standards Update 2023-09, </w:t>
      </w:r>
      <w:r>
        <w:rPr>
          <w:rFonts w:ascii="Times New Roman" w:cs="Times New Roman" w:eastAsia="Times New Roman" w:hAnsi="Times New Roman"/>
          <w:sz w:val="17"/>
          <w:szCs w:val="17"/>
          <w:i w:val="1"/>
          <w:iCs w:val="1"/>
          <w:color w:val="auto"/>
        </w:rPr>
        <w:t>Income Taxes - Improvements to Income Tax Disclosures</w:t>
      </w:r>
      <w:r>
        <w:rPr>
          <w:rFonts w:ascii="Times New Roman" w:cs="Times New Roman" w:eastAsia="Times New Roman" w:hAnsi="Times New Roman"/>
          <w:sz w:val="17"/>
          <w:szCs w:val="17"/>
          <w:color w:val="auto"/>
        </w:rPr>
        <w:t xml:space="preserve"> (“ASU 2023-09”) requiring enhancements and further transparency to certain income tax disclosures, most notably the tax rate reconciliation and income taxes paid. ASU 2023-09 is effective for fiscal years beginning after December 15, 2024 on a prospective basis and retrospective application is permitted. The Company is currently evaluating the impact of the adoption of this standard on the Company’s financial statements and related disclosures.</w:t>
      </w:r>
    </w:p>
    <w:p>
      <w:pPr>
        <w:spacing w:after="0" w:line="164" w:lineRule="exact"/>
        <w:rPr>
          <w:sz w:val="20"/>
          <w:szCs w:val="20"/>
          <w:color w:val="auto"/>
        </w:rPr>
      </w:pPr>
    </w:p>
    <w:p>
      <w:pPr>
        <w:ind w:right="260" w:firstLine="749"/>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which is intended to improve reportable segment disclosure requirements, primarily through additional disclosures about significant segment expenses, including for single reportable segment entities. The standard is effective for fiscal years beginning after December 15, 2023, and interim periods within fiscal years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with early adoption permitted. The amendments should be applied retrospectively to all prior periods presented in the financial statements. We are evaluating the disclosure requirements related to the new standard.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 classifies money market funds and U.S. treasury securities as Level 1 investments as the Company uses quoted prices in active markets for identical assets to determine the fair value. The Company classifies corporate bonds and commercial paper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spacing w:after="0" w:line="8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on a recurring basis by level within the fair value hierarchy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94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940" w:type="dxa"/>
            <w:vAlign w:val="bottom"/>
          </w:tcPr>
          <w:p>
            <w:pPr>
              <w:jc w:val="center"/>
              <w:ind w:left="301"/>
              <w:spacing w:after="0" w:line="146"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194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160" w:type="dxa"/>
            <w:vAlign w:val="bottom"/>
            <w:tcBorders>
              <w:bottom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tcBorders>
              <w:bottom w:val="single" w:sz="8" w:color="CFF0FC"/>
            </w:tcBorders>
            <w:shd w:val="clear" w:color="auto" w:fill="CFF0FC"/>
          </w:tcPr>
          <w:p>
            <w:pPr>
              <w:jc w:val="center"/>
              <w:ind w:left="321"/>
              <w:spacing w:after="0"/>
              <w:rPr>
                <w:sz w:val="20"/>
                <w:szCs w:val="20"/>
                <w:color w:val="auto"/>
              </w:rPr>
            </w:pPr>
            <w:r>
              <w:rPr>
                <w:rFonts w:ascii="Times New Roman" w:cs="Times New Roman" w:eastAsia="Times New Roman" w:hAnsi="Times New Roman"/>
                <w:sz w:val="18"/>
                <w:szCs w:val="18"/>
                <w:color w:val="auto"/>
                <w:w w:val="99"/>
              </w:rPr>
              <w:t>Level 1</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95,875</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1940" w:type="dxa"/>
            <w:vAlign w:val="bottom"/>
          </w:tcPr>
          <w:p>
            <w:pPr>
              <w:spacing w:after="0"/>
              <w:rPr>
                <w:sz w:val="20"/>
                <w:szCs w:val="20"/>
                <w:color w:val="auto"/>
              </w:rPr>
            </w:pPr>
          </w:p>
        </w:tc>
        <w:tc>
          <w:tcPr>
            <w:tcW w:w="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95,875</w:t>
            </w:r>
          </w:p>
        </w:tc>
        <w:tc>
          <w:tcPr>
            <w:tcW w:w="28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40" w:type="dxa"/>
            <w:vAlign w:val="bottom"/>
          </w:tcPr>
          <w:p>
            <w:pPr>
              <w:spacing w:after="0"/>
              <w:rPr>
                <w:sz w:val="24"/>
                <w:szCs w:val="24"/>
                <w:color w:val="auto"/>
              </w:rPr>
            </w:pPr>
          </w:p>
        </w:tc>
        <w:tc>
          <w:tcPr>
            <w:tcW w:w="194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940" w:type="dxa"/>
            <w:vAlign w:val="bottom"/>
          </w:tcPr>
          <w:p>
            <w:pPr>
              <w:jc w:val="center"/>
              <w:ind w:left="301"/>
              <w:spacing w:after="0" w:line="146"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94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160" w:type="dxa"/>
            <w:vAlign w:val="bottom"/>
            <w:tcBorders>
              <w:bottom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940" w:type="dxa"/>
            <w:vAlign w:val="bottom"/>
            <w:tcBorders>
              <w:bottom w:val="single" w:sz="8" w:color="CFF0FC"/>
            </w:tcBorders>
            <w:shd w:val="clear" w:color="auto" w:fill="CFF0FC"/>
          </w:tcPr>
          <w:p>
            <w:pPr>
              <w:jc w:val="center"/>
              <w:ind w:left="321"/>
              <w:spacing w:after="0"/>
              <w:rPr>
                <w:sz w:val="20"/>
                <w:szCs w:val="20"/>
                <w:color w:val="auto"/>
              </w:rPr>
            </w:pPr>
            <w:r>
              <w:rPr>
                <w:rFonts w:ascii="Times New Roman" w:cs="Times New Roman" w:eastAsia="Times New Roman" w:hAnsi="Times New Roman"/>
                <w:sz w:val="18"/>
                <w:szCs w:val="18"/>
                <w:color w:val="auto"/>
                <w:w w:val="99"/>
              </w:rPr>
              <w:t>Level 1</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19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940" w:type="dxa"/>
            <w:vAlign w:val="bottom"/>
            <w:shd w:val="clear" w:color="auto" w:fill="CFF0FC"/>
          </w:tcPr>
          <w:p>
            <w:pPr>
              <w:jc w:val="center"/>
              <w:ind w:left="321"/>
              <w:spacing w:after="0"/>
              <w:rPr>
                <w:sz w:val="20"/>
                <w:szCs w:val="20"/>
                <w:color w:val="auto"/>
              </w:rPr>
            </w:pPr>
            <w:r>
              <w:rPr>
                <w:rFonts w:ascii="Times New Roman" w:cs="Times New Roman" w:eastAsia="Times New Roman" w:hAnsi="Times New Roman"/>
                <w:sz w:val="18"/>
                <w:szCs w:val="18"/>
                <w:color w:val="auto"/>
                <w:w w:val="99"/>
              </w:rPr>
              <w:t>Level 1</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(516 )</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940" w:type="dxa"/>
            <w:vAlign w:val="bottom"/>
          </w:tcPr>
          <w:p>
            <w:pPr>
              <w:jc w:val="center"/>
              <w:ind w:left="321"/>
              <w:spacing w:after="0"/>
              <w:rPr>
                <w:sz w:val="20"/>
                <w:szCs w:val="20"/>
                <w:color w:val="auto"/>
              </w:rPr>
            </w:pPr>
            <w:r>
              <w:rPr>
                <w:rFonts w:ascii="Times New Roman" w:cs="Times New Roman" w:eastAsia="Times New Roman" w:hAnsi="Times New Roman"/>
                <w:sz w:val="18"/>
                <w:szCs w:val="18"/>
                <w:color w:val="auto"/>
                <w:w w:val="99"/>
              </w:rPr>
              <w:t>Level 2</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9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1"/>
              </w:rPr>
              <w:t>(559 )</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194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77,644</w:t>
            </w:r>
          </w:p>
        </w:tc>
        <w:tc>
          <w:tcPr>
            <w:tcW w:w="2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1"/>
              </w:rPr>
              <w:t>(559 )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-1765300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-1765300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-1765300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-831215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-831215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-831215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3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realized gains or losses on available for sale securities for the periods presented. Unrealized gains and losses are included in “accumulated other comprehensive loss” within stockholders' equity on the balance sheets.</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were no investments as of December 31, 2023. Investments that were in an unrealized loss position as of December 31, 2022 consisted of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14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23,585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11,326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6"/>
              </w:rPr>
              <w:t>34,911</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51,654</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(559 )</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-25400</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No allowance for credit losses has been recognized as of December 31, 2023. During the years ended December 31, 2023 and 2022, the Company did not recognize any impairment losses related to investments.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term loan was $3.6 million and $4.9 million as of December 31, 2023 and 2022, respectively, and was based on market observable interest rates, a Level 2 input.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any financial liabilities recorded at fair value on a recurring or non-recurring basis as of December 31,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6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r>
      <w:tr>
        <w:trPr>
          <w:trHeight w:val="237"/>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9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7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80" w:type="dxa"/>
            <w:vAlign w:val="bottom"/>
            <w:shd w:val="clear" w:color="auto" w:fill="CFF0FC"/>
          </w:tcPr>
          <w:p>
            <w:pPr>
              <w:spacing w:after="0"/>
              <w:rPr>
                <w:sz w:val="20"/>
                <w:szCs w:val="20"/>
                <w:color w:val="auto"/>
              </w:rPr>
            </w:pPr>
          </w:p>
        </w:tc>
      </w:t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20"/>
                <w:szCs w:val="20"/>
                <w:color w:val="auto"/>
              </w:rPr>
            </w:pPr>
          </w:p>
        </w:tc>
      </w:tr>
      <w:tr>
        <w:trPr>
          <w:trHeight w:val="247"/>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general and administrative expenses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FF0FC"/>
          </w:tcPr>
          <w:p>
            <w:pPr>
              <w:spacing w:after="0"/>
              <w:rPr>
                <w:sz w:val="21"/>
                <w:szCs w:val="21"/>
                <w:color w:val="auto"/>
              </w:rPr>
            </w:pPr>
          </w:p>
        </w:tc>
      </w:t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0"/>
                <w:szCs w:val="20"/>
                <w:color w:val="auto"/>
              </w:rPr>
            </w:pPr>
          </w:p>
        </w:tc>
      </w:tr>
      <w:tr>
        <w:trPr>
          <w:trHeight w:val="277"/>
        </w:trPr>
        <w:tc>
          <w:tcPr>
            <w:tcW w:w="5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6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research and development expenses were primarily related to clinical trials and manufacturing of clinical drug supply.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leases space under a non-cancelable operating lease, which requires the Company to pay base rent, real estate taxes, insurance, general repairs, and maintenance.</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2022, the Company entered into a non-cancelable operating lease for approximately 6,500 square feet of office space in South San Francisco, California, which commenced in December 2022 and expires in February 2028 (the “South San Francisco Lease”). Total minimum rental payments for the South San Francisco Lease are $1.7 million over the lease term. The Company has an option to extend the lease term of the South San Francisco Lease for an additional three years which has not been included in the lease term as it is not reasonably certain that the Company will exercise this option. The Company will also be responsible for the payment of additional rent to cover the Company's share of the annual operating and tax expense for the building. Under the terms of the South San Francisco Lease, the Company issued a letter of credit to the landlord of $29 thousand, which is collateralized by a restricted cash deposit of $35 thousand.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the operating lease was as follows (dollar amounts in thousands):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940" w:type="dxa"/>
            <w:vAlign w:val="bottom"/>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9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9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8.0 %</w:t>
            </w:r>
          </w:p>
        </w:tc>
        <w:tc>
          <w:tcPr>
            <w:tcW w:w="98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Variable lease expense for the years ended December 31, 2023 and 2022 was immaterial.</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commitments under the Company’s leases as of December 31, 2023 were as follows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20"/>
                <w:szCs w:val="20"/>
                <w:color w:val="auto"/>
              </w:rPr>
            </w:pPr>
          </w:p>
        </w:tc>
      </w:tr>
      <w:tr>
        <w:trPr>
          <w:trHeight w:val="243"/>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(232 )</w:t>
            </w:r>
          </w:p>
        </w:tc>
      </w:tr>
      <w:tr>
        <w:trPr>
          <w:trHeight w:val="236"/>
        </w:trPr>
        <w:tc>
          <w:tcPr>
            <w:tcW w:w="79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top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top w:val="single" w:sz="8" w:color="CFF0FC"/>
            </w:tcBorders>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94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9"/>
                <w:szCs w:val="19"/>
                <w:color w:val="auto"/>
              </w:rPr>
            </w:pPr>
          </w:p>
        </w:tc>
      </w:tr>
      <w:tr>
        <w:trPr>
          <w:trHeight w:val="23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r>
      <w:tr>
        <w:trPr>
          <w:trHeight w:val="277"/>
        </w:trPr>
        <w:tc>
          <w:tcPr>
            <w:tcW w:w="7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-685165</wp:posOffset>
            </wp:positionV>
            <wp:extent cx="60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ind w:left="720" w:hanging="132"/>
        <w:spacing w:after="0"/>
        <w:tabs>
          <w:tab w:leader="none" w:pos="720" w:val="left"/>
        </w:tabs>
        <w:numPr>
          <w:ilvl w:val="1"/>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accrued expenses and other current liabilities on the balance sheets</w:t>
      </w:r>
    </w:p>
    <w:p>
      <w:pPr>
        <w:spacing w:after="0" w:line="200" w:lineRule="exact"/>
        <w:rPr>
          <w:rFonts w:ascii="Times New Roman" w:cs="Times New Roman" w:eastAsia="Times New Roman" w:hAnsi="Times New Roman"/>
          <w:sz w:val="18"/>
          <w:szCs w:val="18"/>
          <w:i w:val="1"/>
          <w:iCs w:val="1"/>
          <w:color w:val="auto"/>
        </w:rPr>
      </w:pPr>
    </w:p>
    <w:p>
      <w:pPr>
        <w:spacing w:after="0" w:line="360" w:lineRule="exact"/>
        <w:rPr>
          <w:rFonts w:ascii="Times New Roman" w:cs="Times New Roman" w:eastAsia="Times New Roman" w:hAnsi="Times New Roman"/>
          <w:sz w:val="18"/>
          <w:szCs w:val="18"/>
          <w:i w:val="1"/>
          <w:iCs w:val="1"/>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September 2019, the Company entered into a Loan and Security Agreement, as subsequently amended (the “Loan Agreement”) with Silicon Valley Bank (“SVB”) providing for a term loan (the “Term Loan”) for an aggregate principal amount of $4.5 million.</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September 2019 and in connection with the Loan Agreement, the Company issued a warrant to purchase up to an aggregate of 49,609 shares of Common Stock at $1.44 per share. The Company determined the initial fair value of the warrant to be $0.1 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 shares of Common Stock.</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First Amendment to Loan and Security Agreement (the “First Amendment”), which increased the aggregate principal amount of the Term Loan to $30.0 million, of which $20.0 million was immediately available under the first tranche (“First Tranche”) and $10.0 million was available under the second tranche through December 31, 2022 (“Second Tranche”), subject to the completion of certain clinical or financial milestones. Pursuant to the First Amendment, the Term Loan will mature on January 1, 2026 (the “Maturity Date”).</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May 2022, the Company entered into a Second Amendment to Loan and Security Agreement (the “Second Amendment”), which amended the milestones for the Second Tranche, added a liquidity covenant for the Second Tranche and amended the interest and prepayment terms.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carrying value of the Term Loan was $3.3 million, consisting of the outstanding principal under the First Tranche of $3.4 million, less unamortized debt discount and issuance costs of $39 thousand which are being amortized using the effective interest method over the life of the Term Loan. Commitments available under the Second Tranche of $10.0 million expired on December 31, 2022.</w:t>
      </w:r>
    </w:p>
    <w:p>
      <w:pPr>
        <w:spacing w:after="0" w:line="6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provided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is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As of December 31, 2023 and 2022, the stated interest rate of the Term Loan was 9.0% and 8.0%, respectively.</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final payment is due on the Maturity Date and includes all outstanding principal plus accrued unpaid interest and an end of term payment totaling $0.3 million, which is 6.0% of the original funded principal amount of the First Tranche (the “Supplemental Final Payment”). The Company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spacing w:after="0" w:line="7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December 31, 2023, the Company was in compliance with all covenants under the Loan Agreement and there has been no material adverse change.</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future payments of principal and interest are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shd w:val="clear" w:color="auto" w:fill="CFF0FC"/>
          </w:tcPr>
          <w:p>
            <w:pPr>
              <w:spacing w:after="0"/>
              <w:rPr>
                <w:sz w:val="20"/>
                <w:szCs w:val="20"/>
                <w:color w:val="auto"/>
              </w:rPr>
            </w:pPr>
          </w:p>
        </w:tc>
      </w:tr>
      <w:tr>
        <w:trPr>
          <w:trHeight w:val="23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tcPr>
          <w:p>
            <w:pPr>
              <w:spacing w:after="0"/>
              <w:rPr>
                <w:sz w:val="20"/>
                <w:szCs w:val="20"/>
                <w:color w:val="auto"/>
              </w:rPr>
            </w:pPr>
          </w:p>
        </w:tc>
      </w:tr>
      <w:tr>
        <w:trPr>
          <w:trHeight w:val="243"/>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80" w:type="dxa"/>
            <w:vAlign w:val="bottom"/>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(335 )</w:t>
            </w:r>
          </w:p>
        </w:tc>
      </w:tr>
      <w:tr>
        <w:trPr>
          <w:trHeight w:val="236"/>
        </w:trPr>
        <w:tc>
          <w:tcPr>
            <w:tcW w:w="72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Term loan, gross</w:t>
            </w:r>
          </w:p>
        </w:tc>
        <w:tc>
          <w:tcPr>
            <w:tcW w:w="16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tcBorders>
              <w:top w:val="single" w:sz="8" w:color="CFF0FC"/>
            </w:tcBorders>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r>
      <w:tr>
        <w:trPr>
          <w:trHeight w:val="23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Less: term loan, current portion</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(1,622 )</w:t>
            </w:r>
          </w:p>
        </w:tc>
      </w:tr>
      <w:tr>
        <w:trPr>
          <w:trHeight w:val="276"/>
        </w:trPr>
        <w:tc>
          <w:tcPr>
            <w:tcW w:w="7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1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-1028065</wp:posOffset>
            </wp:positionV>
            <wp:extent cx="51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The Company evaluates the likelihood of an unfavorable outcome in legal or regulatory proceedings to which it is a party and records a loss contingency on an undiscounted basis when it is probable that a liability has been incurred and the amount of the loss can be reasonably estimated. These judgments are subjective and based on the status of such legal proceedings, the merits of the Company’s defenses, and consultation with legal counsel. Actual outcomes of these legal proceedings may differ materially from the Company’s estimates. The Company estimates accruals for legal expenses when incurred as of each balance sheet date based on the facts and circumstances known to the Company at that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The Company was not subject to any material legal proceedings during the years ended December 31, 2023 and 2022 and management is not aware of any pending or threatened litigation.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 Lily and Company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the Company under the Lilly License Agreement, the Company made a one-time upfront payment to Lilly of $0.8 million during the year ended December 31, 2016, which was recorded as research and development expense as there was no alternative use due to the early stage of the technology. The Company is also required to pay Lilly up to an aggregate of $23.0 million 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 additional amounts were paid by the Company to Lilly during any of the periods presented, nor were due as of such dates pursuant to the Lilly License Agreement.</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Kaken Pharmaceutical Co, Ltd.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January 5, 2023, the Company entered into a collaboration and license agreement (the “Kaken License Agreement”) with Kaken Pharmaceutical Co, Ltd. (“Kaken”). Under the terms of the Kaken License Agreement, the Company granted to Kaken the 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Kaken License Agreement, Kaken made an upfront payment to the Company of $15.0 million in April 2023. In addition to the upfront payment, the Company is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spacing w:after="0" w:line="86"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 million. The transaction price is recognized as revenue using the cost-based input method over the estimated period of its non-contingent research and development obligations, which is approximately two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$10.1 million as collaboration revenue, all of which related to activities satisfied in the current period. As of December 31, 2023, deferred revenue was $4.9 million, all of which was current.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and 2022, the Company was authorized to issue 200,000,000 shares of $0.0001 par value common stock,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Company’s common stock are entitled to dividends if and when declared by the Board of Directors of the Company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of each share of common stock is entitled to one vote. As of December 31, 2023, no dividends were declared.</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 converted basis,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 issued and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12,687,000</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4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4,097,376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4,166,194</w:t>
            </w:r>
          </w:p>
        </w:tc>
        <w:tc>
          <w:tcPr>
            <w:tcW w:w="100" w:type="dxa"/>
            <w:vAlign w:val="bottom"/>
          </w:tcPr>
          <w:p>
            <w:pPr>
              <w:spacing w:after="0"/>
              <w:rPr>
                <w:sz w:val="20"/>
                <w:szCs w:val="20"/>
                <w:color w:val="auto"/>
              </w:rPr>
            </w:pPr>
          </w:p>
        </w:tc>
      </w:tr>
      <w:tr>
        <w:trPr>
          <w:trHeight w:val="247"/>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and performance stock units, issued and outstanding</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3,482,663</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1,996,128</w:t>
            </w:r>
          </w:p>
        </w:tc>
        <w:tc>
          <w:tcPr>
            <w:tcW w:w="100" w:type="dxa"/>
            <w:vAlign w:val="bottom"/>
            <w:shd w:val="clear" w:color="auto" w:fill="CFF0FC"/>
          </w:tcPr>
          <w:p>
            <w:pPr>
              <w:spacing w:after="0"/>
              <w:rPr>
                <w:sz w:val="21"/>
                <w:szCs w:val="21"/>
                <w:color w:val="auto"/>
              </w:rPr>
            </w:pPr>
          </w:p>
        </w:tc>
      </w:tr>
      <w:tr>
        <w:trPr>
          <w:trHeight w:val="23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940,061</w:t>
            </w:r>
          </w:p>
        </w:tc>
        <w:tc>
          <w:tcPr>
            <w:tcW w:w="100" w:type="dxa"/>
            <w:vAlign w:val="bottom"/>
          </w:tcPr>
          <w:p>
            <w:pPr>
              <w:spacing w:after="0"/>
              <w:rPr>
                <w:sz w:val="20"/>
                <w:szCs w:val="20"/>
                <w:color w:val="auto"/>
              </w:rPr>
            </w:pPr>
          </w:p>
        </w:tc>
      </w:tr>
      <w:tr>
        <w:trPr>
          <w:trHeight w:val="243"/>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for future issuance under 2020</w:t>
            </w:r>
          </w:p>
        </w:tc>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675,038</w:t>
            </w:r>
          </w:p>
        </w:tc>
        <w:tc>
          <w:tcPr>
            <w:tcW w:w="2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shares reserved</w:t>
            </w:r>
          </w:p>
        </w:tc>
        <w:tc>
          <w:tcPr>
            <w:tcW w:w="42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21,019,708</w:t>
            </w: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7,704,202</w:t>
            </w:r>
          </w:p>
        </w:tc>
        <w:tc>
          <w:tcPr>
            <w:tcW w:w="10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adopted the 2020 Equity Incentive Plan (the “2020 Plan”) in October 2020. The 2020 Plan is a successor to and continuation of the Amended and Restated 2016 Equity Incentive Plan (the “2016 Plan”) and provides for the granting of stock options, stock appreciation rights, restricted stock, restricted stock units, and other stock or cash-based awards to individuals who are then employees, officers, directors or consultants. A total of 2,647,684 shares of common stock were approved to be initially reserved for issuance under the 2020 Plan. In addition, the number of shares of common stock available for issuance under the 2020 Plan will be automatically increased on the first day of each calendar year during the ten-year term of the 2020 Plan, beginning with January 1, 2021 and ending with January 1, 2030, by an amount equal to 5% of the outstanding number of shares of the Company’s common stock on December 31st of the preceding calendar year or such lesser amount as determined by the Company’s Board of Directors. Following the effectiveness of the 2020 Plan, no further grants will be made under the 2016 Plan; however, shares subject to awards granted under the 2016 Plan will continue to be governed by the 2016 Plan.</w:t>
      </w:r>
    </w:p>
    <w:p>
      <w:pPr>
        <w:spacing w:after="0" w:line="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determines the per share exercise price of each stock option, which for ISOs shall not be less than 100% of the fair market value of a share on the date of grant; provided that the exercise price of an ISO granted to a stockholder who at the time of grant owns stock representing more than 10% of the voting power of all classes of stock (a 10% stockholder) shall not be less than 110% of the fair market value of a share on the date of grant.</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determines the period over which options vest and become exercisable. Options granted to new employees generally vest over a four-year period: 25% of the shares vest on the first anniversary from the vesting commencement date of the option and an additional 1/48th of the shares vest on each monthly anniversary thereafter, subject to the employee’s continuous service through each vesting date.</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also determines the term of options, provided the maximum term for ISOs granted to a 10% stockholder must be no longer than five years from date of grant and the maximum term for all other options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must be no longer than ten years from date of grant. If an option holder’s service terminates, options generally terminate three months from the date of termination except under certain circumstances, such as death or disability.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2020 Plan and the 2016 Plan, individuals can be granted the ability to early exercise their options. There were no shares, related to the early exercise of options, subject to repurchase by the Company as of December 31, 2023. As of December 31, 2023, 77,631 shares remained available for issuance under the 2020 Plan and no shares remained available for issuance under the 2016 Plan.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 (in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4,166,194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(338,764 )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4,097,376</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1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3,972,376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December 31, 2023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2,622,154</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-496570</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-479425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80" w:firstLine="569"/>
        <w:spacing w:after="0" w:line="282" w:lineRule="auto"/>
        <w:rPr>
          <w:sz w:val="20"/>
          <w:szCs w:val="20"/>
          <w:color w:val="auto"/>
        </w:rPr>
      </w:pPr>
      <w:r>
        <w:rPr>
          <w:rFonts w:ascii="Times New Roman" w:cs="Times New Roman" w:eastAsia="Times New Roman" w:hAnsi="Times New Roman"/>
          <w:sz w:val="18"/>
          <w:szCs w:val="18"/>
          <w:color w:val="auto"/>
        </w:rPr>
        <w:t>Stock options vested and expected to vest differs from total stock options outstanding as it excludes 125,000 performance-based stock options for which the performance criteria is not considered probable of achievement as of December 31, 2023.</w:t>
      </w:r>
    </w:p>
    <w:p>
      <w:pPr>
        <w:spacing w:after="0" w:line="54"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The aggregate intrinsic values of options outstanding and exercisable were calculated as the difference between the exercise price of the options and the estimated fair value of the Company’s common stock as of the respective balance sheet date. The total intrinsic value of options exercised was immaterial for the years ended December 31, 2023 and 2022, respectively. The total fair value of options vested was $4.0 million and $1.9 million for the years ended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is as follows (in thousands, except share and per share amounts):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6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Weight-Average Grant</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1"/>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1,996,128</w:t>
            </w:r>
          </w:p>
        </w:tc>
        <w:tc>
          <w:tcPr>
            <w:tcW w:w="160" w:type="dxa"/>
            <w:vAlign w:val="bottom"/>
          </w:tcPr>
          <w:p>
            <w:pPr>
              <w:spacing w:after="0"/>
              <w:rPr>
                <w:sz w:val="20"/>
                <w:szCs w:val="2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50"/>
        </w:trPr>
        <w:tc>
          <w:tcPr>
            <w:tcW w:w="5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2,375,250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9"/>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(484,152 )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(404,563 )</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6"/>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3,482,663</w:t>
            </w: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FF0FC"/>
            </w:tcBorders>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-187960</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weighted average fair value of RSUs granted was $1.24 per share. The total fair value of RSUs vested was $0.9 million and $0.3 million for the years ended December 31, 2023 and 2022, respectively. The aggregate intrinsic value of RSUs outstanding as of December 31, 2023 and 2022 was $10.2 million and $2.2 million, respectively.</w:t>
      </w:r>
    </w:p>
    <w:p>
      <w:pPr>
        <w:spacing w:after="0" w:line="68"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2,375,250 RSUs, including 1,449,300 RSUs subject to time-based vesting in installments through December 2027 and 925,950 RSUs subject to performance-based vesting conditions related to the satisfaction of certain clinical development milestones.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granted 2,018,375 RSUs subject to performance-based vesting conditions, of which 864,263 RSUs are considered probable of achievement.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Board of Directors adopted and the Company’s stockholders approved the 2020 Employee Stock Purchase Plan (the “ESPP”) in October 2020. The ESPP allows eligible employees to purchase shares of the Company’s common stock at a discount through payroll deductions of up to 15% of their eligible compensation. At the end of each purchase period, employees are able to purchase shares at 85% of the lower of the fair market value of the Company’s common stock as of the offering date or the applicable purchase date. A total of 220,640 shares of common stock were approved to be initially reserved for issuance under the ESPP. In addition, the number of shares of common stock available for issuance under the ESPP will be automatically increased on the first day of each calendar year during the first ten-years of the term of the ESPP, beginning with January 1, 2021 and ending with January 1, 2030, by an amount equal to the lessor of (i) 1% of the outstanding number of shares of the Company’s common stock on December 31st of the preceding calendar year, (ii) 441,280 shares of common stock or (iii) such lesser amount as determined by the Board of Directors.</w:t>
      </w:r>
    </w:p>
    <w:p>
      <w:pPr>
        <w:spacing w:after="0" w:line="90" w:lineRule="exact"/>
        <w:rPr>
          <w:sz w:val="20"/>
          <w:szCs w:val="20"/>
          <w:color w:val="auto"/>
        </w:rPr>
      </w:pPr>
    </w:p>
    <w:p>
      <w:pPr>
        <w:ind w:right="40" w:firstLine="509"/>
        <w:spacing w:after="0" w:line="227" w:lineRule="auto"/>
        <w:rPr>
          <w:sz w:val="20"/>
          <w:szCs w:val="20"/>
          <w:color w:val="auto"/>
        </w:rPr>
      </w:pPr>
      <w:r>
        <w:rPr>
          <w:rFonts w:ascii="Times New Roman" w:cs="Times New Roman" w:eastAsia="Times New Roman" w:hAnsi="Times New Roman"/>
          <w:sz w:val="18"/>
          <w:szCs w:val="18"/>
          <w:color w:val="auto"/>
        </w:rPr>
        <w:t>Except for the initial offering period, the ESPP provides for 24-month offering periods starting every January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and July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each consisting of four six-month purchase periods. As of December 31, 2023, 675,038 shares of common stock remained available for issuance under the ESPP.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2023 and 2022, the weighted-average fair value of options granted was $1.65 and $2.34 per share, respectively.</w:t>
      </w:r>
    </w:p>
    <w:p>
      <w:pPr>
        <w:spacing w:after="0" w:line="11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stock options and purchase rights under ESPP using the Black-Scholes option-pricing model, with the following weighted-average assumptions: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4100" w:type="dxa"/>
            <w:vAlign w:val="bottom"/>
          </w:tcPr>
          <w:p>
            <w:pPr>
              <w:spacing w:after="0"/>
              <w:rPr>
                <w:sz w:val="19"/>
                <w:szCs w:val="19"/>
                <w:color w:val="auto"/>
              </w:rPr>
            </w:pPr>
          </w:p>
        </w:tc>
        <w:tc>
          <w:tcPr>
            <w:tcW w:w="14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4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ESPP</w:t>
            </w:r>
          </w:p>
        </w:tc>
      </w:tr>
      <w:tr>
        <w:trPr>
          <w:trHeight w:val="22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87.8 %</w:t>
            </w: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105.4 %</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77.2 %</w:t>
            </w: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-454025</wp:posOffset>
            </wp:positionV>
            <wp:extent cx="5700395" cy="154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 options, RSUs and ESPP that is included in the Company’s statements of operations and comprehensive loss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top w:val="single" w:sz="8" w:color="auto"/>
            </w:tcBorders>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4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20"/>
                <w:szCs w:val="20"/>
                <w:color w:val="auto"/>
              </w:rPr>
            </w:pPr>
          </w:p>
        </w:tc>
      </w:tr>
      <w:tr>
        <w:trPr>
          <w:trHeight w:val="243"/>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-187960</wp:posOffset>
            </wp:positionV>
            <wp:extent cx="60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approximately $6.8 million of total unrecognized stock-based compensation expense related to awards that are expected to vest, which is expected to be recognized over an estimated weighted-average vesting term of 1.5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have any income tax expense for the years ended December 31, 2023 and 2022. The reconciliation of the federal statutory income tax rate to the Company’s effective tax rate is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3"/>
        </w:trPr>
        <w:tc>
          <w:tcPr>
            <w:tcW w:w="5240" w:type="dxa"/>
            <w:vAlign w:val="bottom"/>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7"/>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7"/>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240" w:type="dxa"/>
            <w:vAlign w:val="bottom"/>
            <w:shd w:val="clear" w:color="auto" w:fill="CFF0FC"/>
          </w:tcPr>
          <w:p>
            <w:pPr>
              <w:spacing w:after="0"/>
              <w:rPr>
                <w:sz w:val="21"/>
                <w:szCs w:val="21"/>
                <w:color w:val="auto"/>
              </w:rPr>
            </w:pPr>
          </w:p>
        </w:tc>
      </w:tr>
      <w:tr>
        <w:trPr>
          <w:trHeight w:val="23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7"/>
        </w:trPr>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r>
      <w:tr>
        <w:trPr>
          <w:trHeight w:val="239"/>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(36.4 )</w:t>
            </w:r>
          </w:p>
        </w:tc>
        <w:tc>
          <w:tcPr>
            <w:tcW w:w="24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state apportionment - deferred tax impact</w:t>
            </w:r>
          </w:p>
        </w:tc>
        <w:tc>
          <w:tcPr>
            <w:tcW w:w="10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r>
      <w:tr>
        <w:trPr>
          <w:trHeight w:val="241"/>
        </w:trPr>
        <w:tc>
          <w:tcPr>
            <w:tcW w:w="5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60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 assets and liabilities are as follows (in thousands):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4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33,871</w:t>
            </w:r>
          </w:p>
        </w:tc>
        <w:tc>
          <w:tcPr>
            <w:tcW w:w="80" w:type="dxa"/>
            <w:vAlign w:val="bottom"/>
            <w:shd w:val="clear" w:color="auto" w:fill="CFF0FC"/>
          </w:tcPr>
          <w:p>
            <w:pPr>
              <w:spacing w:after="0"/>
              <w:rPr>
                <w:sz w:val="21"/>
                <w:szCs w:val="21"/>
                <w:color w:val="auto"/>
              </w:rPr>
            </w:pPr>
          </w:p>
        </w:tc>
      </w:tr>
      <w:tr>
        <w:trPr>
          <w:trHeight w:val="23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and experimental costs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80" w:type="dxa"/>
            <w:vAlign w:val="bottom"/>
          </w:tcPr>
          <w:p>
            <w:pPr>
              <w:spacing w:after="0"/>
              <w:rPr>
                <w:sz w:val="20"/>
                <w:szCs w:val="20"/>
                <w:color w:val="auto"/>
              </w:rPr>
            </w:pPr>
          </w:p>
        </w:tc>
      </w:tr>
      <w:tr>
        <w:trPr>
          <w:trHeight w:val="247"/>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Accruals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FF0FC"/>
          </w:tcPr>
          <w:p>
            <w:pPr>
              <w:spacing w:after="0"/>
              <w:rPr>
                <w:sz w:val="21"/>
                <w:szCs w:val="21"/>
                <w:color w:val="auto"/>
              </w:rPr>
            </w:pPr>
          </w:p>
        </w:tc>
      </w:tr>
      <w:tr>
        <w:trPr>
          <w:trHeight w:val="23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r>
      <w:tr>
        <w:trPr>
          <w:trHeight w:val="247"/>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80" w:type="dxa"/>
            <w:vAlign w:val="bottom"/>
            <w:shd w:val="clear" w:color="auto" w:fill="CFF0FC"/>
          </w:tcPr>
          <w:p>
            <w:pPr>
              <w:spacing w:after="0"/>
              <w:rPr>
                <w:sz w:val="21"/>
                <w:szCs w:val="21"/>
                <w:color w:val="auto"/>
              </w:rPr>
            </w:pPr>
          </w:p>
        </w:tc>
      </w:tr>
      <w:tr>
        <w:trPr>
          <w:trHeight w:val="23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20"/>
                <w:szCs w:val="20"/>
                <w:color w:val="auto"/>
              </w:rPr>
            </w:pPr>
          </w:p>
        </w:tc>
      </w:tr>
      <w:tr>
        <w:trPr>
          <w:trHeight w:val="243"/>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67,397</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50,753</w:t>
            </w:r>
          </w:p>
        </w:tc>
        <w:tc>
          <w:tcPr>
            <w:tcW w:w="80" w:type="dxa"/>
            <w:vAlign w:val="bottom"/>
          </w:tcPr>
          <w:p>
            <w:pPr>
              <w:spacing w:after="0"/>
              <w:rPr>
                <w:sz w:val="20"/>
                <w:szCs w:val="20"/>
                <w:color w:val="auto"/>
              </w:rPr>
            </w:pPr>
          </w:p>
        </w:tc>
      </w:tr>
      <w:tr>
        <w:trPr>
          <w:trHeight w:val="243"/>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9"/>
              </w:rPr>
              <w:t>(67,148 )</w:t>
            </w:r>
          </w:p>
        </w:tc>
        <w:tc>
          <w:tcPr>
            <w:tcW w:w="4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(50,359 )</w:t>
            </w:r>
          </w:p>
        </w:tc>
      </w:tr>
      <w:tr>
        <w:trPr>
          <w:trHeight w:val="237"/>
        </w:trPr>
        <w:tc>
          <w:tcPr>
            <w:tcW w:w="54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Borders>
              <w:top w:val="single" w:sz="8" w:color="CFF0FC"/>
            </w:tcBorders>
          </w:tcPr>
          <w:p>
            <w:pPr>
              <w:spacing w:after="0"/>
              <w:rPr>
                <w:sz w:val="20"/>
                <w:szCs w:val="20"/>
                <w:color w:val="auto"/>
              </w:rPr>
            </w:pPr>
          </w:p>
        </w:tc>
      </w:tr>
      <w:tr>
        <w:trPr>
          <w:trHeight w:val="24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(248 )</w:t>
            </w:r>
          </w:p>
        </w:tc>
        <w:tc>
          <w:tcPr>
            <w:tcW w:w="4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(392 )</w:t>
            </w:r>
          </w:p>
        </w:tc>
      </w:tr>
      <w:tr>
        <w:trPr>
          <w:trHeight w:val="243"/>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4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54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(249 )</w:t>
            </w:r>
          </w:p>
        </w:tc>
        <w:tc>
          <w:tcPr>
            <w:tcW w:w="4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(394 )</w:t>
            </w:r>
          </w:p>
        </w:tc>
      </w:tr>
      <w:tr>
        <w:trPr>
          <w:trHeight w:val="276"/>
        </w:trPr>
        <w:tc>
          <w:tcPr>
            <w:tcW w:w="5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-1293495</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-1293495</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-976630</wp:posOffset>
            </wp:positionV>
            <wp:extent cx="603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-976630</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-351155</wp:posOffset>
            </wp:positionV>
            <wp:extent cx="6032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-351155</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03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032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and accordingly, for the year ended December 31, 2023, the Company has provided a valuation allowance against the Company’s U.S. net deferred tax assets. The valuation allowance increased by $16.8 million during the year ended December 31, 2023, primarily due to an increase in the net operating loss (primarily from pre-tax book loss) and an increase in current year capitalization of Section 174 research and experimental costs. The valuation allowance increased by $17.0 million during the year ended December 31, 2022, primarily due to an increase in the net operating loss (primarily from pre-tax book loss) and the current year capitalization of Section 174 research and experimental costs.</w:t>
      </w:r>
    </w:p>
    <w:p>
      <w:pPr>
        <w:spacing w:after="0" w:line="8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net operating loss carryforwards for federal and state income tax purposes of approximately $118.2 million and $123.0 million, respectively, both of which will begin to expire in 2036 with the exception of $111.0 million of the Company's federal net operating losses that carry over indefinitely.</w:t>
      </w:r>
    </w:p>
    <w:p>
      <w:pPr>
        <w:spacing w:after="0" w:line="68" w:lineRule="exact"/>
        <w:rPr>
          <w:sz w:val="20"/>
          <w:szCs w:val="20"/>
          <w:color w:val="auto"/>
        </w:rPr>
      </w:pPr>
    </w:p>
    <w:p>
      <w:pPr>
        <w:ind w:right="9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federal general business credit and state research and development credit carryforwards of approximately $22.2 million and $1.7 million, respectively. The federal general</w:t>
      </w:r>
    </w:p>
    <w:p>
      <w:pPr>
        <w:sectPr>
          <w:pgSz w:w="11900" w:h="16838" w:orient="portrait"/>
          <w:cols w:equalWidth="0" w:num="1">
            <w:col w:w="11240"/>
          </w:cols>
          <w:pgMar w:left="320" w:top="769"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credit carryforwards will begin to expire in 2036 while the California research credit carryforwards have an indefinite life.</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California state jurisdiction. The Company is not currently under audit by the Internal Revenue Service or any other similar state, local, or foreign authority. All tax years remain open to examination by major taxing jurisdictions to which the Company is subject.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Income Tax Positions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had approximately $3.2 million and $3.0 million of unrecognized tax benefits as of December 31, 2023 and 2022, respectively. No liability related to uncertain tax positions is recorded in the financial statements due to the fact the liabilities have been netted against deferred attribute carryovers. The unrecognized tax benefits would not impact the annual effective tax rate if recognized because the Company has recorded a valuation allowance on its deferred tax assets. The Company does not expect the amount of unrecognized tax benefits to materially change in the next 12 months. As of December 31, 2023 and 2022, the Company has not recognized any tax-related penalties or interest in its financial statements.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the unrecognized tax benefits is as follows (in thousands):</w:t>
      </w:r>
    </w:p>
    <w:p>
      <w:pPr>
        <w:spacing w:after="0" w:line="28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440" w:type="dxa"/>
            <w:vAlign w:val="bottom"/>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FF0FC"/>
          </w:tcPr>
          <w:p>
            <w:pPr>
              <w:spacing w:after="0"/>
              <w:rPr>
                <w:sz w:val="20"/>
                <w:szCs w:val="20"/>
                <w:color w:val="auto"/>
              </w:rPr>
            </w:pPr>
          </w:p>
        </w:tc>
      </w:tr>
      <w:tr>
        <w:trPr>
          <w:trHeight w:val="239"/>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Increases based on tax positions related to current period</w:t>
            </w:r>
          </w:p>
        </w:tc>
        <w:tc>
          <w:tcPr>
            <w:tcW w:w="1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0"/>
                <w:szCs w:val="20"/>
                <w:color w:val="auto"/>
              </w:rPr>
            </w:pPr>
          </w:p>
        </w:tc>
      </w:tr>
      <w:tr>
        <w:trPr>
          <w:trHeight w:val="247"/>
        </w:trPr>
        <w:tc>
          <w:tcPr>
            <w:tcW w:w="6440" w:type="dxa"/>
            <w:vAlign w:val="bottom"/>
            <w:shd w:val="clear" w:color="auto" w:fill="CFF0FF"/>
          </w:tcPr>
          <w:p>
            <w:pPr>
              <w:ind w:left="180"/>
              <w:spacing w:after="0"/>
              <w:rPr>
                <w:sz w:val="20"/>
                <w:szCs w:val="20"/>
                <w:color w:val="auto"/>
              </w:rPr>
            </w:pPr>
            <w:r>
              <w:rPr>
                <w:rFonts w:ascii="Times New Roman" w:cs="Times New Roman" w:eastAsia="Times New Roman" w:hAnsi="Times New Roman"/>
                <w:sz w:val="18"/>
                <w:szCs w:val="18"/>
                <w:color w:val="auto"/>
              </w:rPr>
              <w:t>Increases based on tax positions related to prior period</w:t>
            </w:r>
          </w:p>
        </w:tc>
        <w:tc>
          <w:tcPr>
            <w:tcW w:w="1240" w:type="dxa"/>
            <w:vAlign w:val="bottom"/>
            <w:shd w:val="clear" w:color="auto" w:fill="CFF0FF"/>
          </w:tcPr>
          <w:p>
            <w:pPr>
              <w:spacing w:after="0"/>
              <w:rPr>
                <w:sz w:val="21"/>
                <w:szCs w:val="21"/>
                <w:color w:val="auto"/>
              </w:rPr>
            </w:pPr>
          </w:p>
        </w:tc>
        <w:tc>
          <w:tcPr>
            <w:tcW w:w="6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420" w:type="dxa"/>
            <w:vAlign w:val="bottom"/>
            <w:shd w:val="clear" w:color="auto" w:fill="CFF0FF"/>
          </w:tcPr>
          <w:p>
            <w:pPr>
              <w:spacing w:after="0"/>
              <w:rPr>
                <w:sz w:val="21"/>
                <w:szCs w:val="21"/>
                <w:color w:val="auto"/>
              </w:rPr>
            </w:pPr>
          </w:p>
        </w:tc>
        <w:tc>
          <w:tcPr>
            <w:tcW w:w="500" w:type="dxa"/>
            <w:vAlign w:val="bottom"/>
            <w:shd w:val="clear" w:color="auto" w:fill="CFF0FF"/>
          </w:tcPr>
          <w:p>
            <w:pPr>
              <w:spacing w:after="0"/>
              <w:rPr>
                <w:sz w:val="21"/>
                <w:szCs w:val="21"/>
                <w:color w:val="auto"/>
              </w:rPr>
            </w:pPr>
          </w:p>
        </w:tc>
        <w:tc>
          <w:tcPr>
            <w:tcW w:w="1440" w:type="dxa"/>
            <w:vAlign w:val="bottom"/>
            <w:gridSpan w:val="2"/>
            <w:shd w:val="clear" w:color="auto" w:fill="CFF0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based on tax positions related to prior period</w:t>
            </w:r>
          </w:p>
        </w:tc>
        <w:tc>
          <w:tcPr>
            <w:tcW w:w="12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(2,195 )</w:t>
            </w:r>
          </w:p>
        </w:tc>
        <w:tc>
          <w:tcPr>
            <w:tcW w:w="5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r>
      <w:tr>
        <w:trPr>
          <w:trHeight w:val="277"/>
        </w:trPr>
        <w:tc>
          <w:tcPr>
            <w:tcW w:w="6440" w:type="dxa"/>
            <w:vAlign w:val="bottom"/>
            <w:tcBorders>
              <w:bottom w:val="single" w:sz="8" w:color="CFF0FF"/>
            </w:tcBorders>
            <w:shd w:val="clear" w:color="auto" w:fill="CFF0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40" w:type="dxa"/>
            <w:vAlign w:val="bottom"/>
            <w:tcBorders>
              <w:top w:val="single" w:sz="8" w:color="auto"/>
              <w:bottom w:val="single" w:sz="8" w:color="auto"/>
            </w:tcBorders>
            <w:shd w:val="clear" w:color="auto" w:fill="CFF0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420" w:type="dxa"/>
            <w:vAlign w:val="bottom"/>
            <w:tcBorders>
              <w:bottom w:val="single" w:sz="8" w:color="CFF0FF"/>
            </w:tcBorders>
            <w:shd w:val="clear" w:color="auto" w:fill="CFF0FF"/>
          </w:tcPr>
          <w:p>
            <w:pPr>
              <w:spacing w:after="0"/>
              <w:rPr>
                <w:sz w:val="24"/>
                <w:szCs w:val="24"/>
                <w:color w:val="auto"/>
              </w:rPr>
            </w:pPr>
          </w:p>
        </w:tc>
        <w:tc>
          <w:tcPr>
            <w:tcW w:w="500" w:type="dxa"/>
            <w:vAlign w:val="bottom"/>
            <w:tcBorders>
              <w:top w:val="single" w:sz="8" w:color="auto"/>
              <w:bottom w:val="single" w:sz="8" w:color="auto"/>
            </w:tcBorders>
            <w:shd w:val="clear" w:color="auto" w:fill="CFF0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FF0FF"/>
            </w:tcBorders>
            <w:shd w:val="clear" w:color="auto" w:fill="CFF0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401(k) Retirement Savings Plan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December 2017, the Company adopted a plan under Section 401(k) of the Internal Revenue Code (the “401(k) Plan”) for all employees who have met certain eligibility requirements. Under the 401(k), employees may elect to contribute a portion of their eligible compensation, subject to certain limitations. During the years ended December 31, 2023 and 2022, the Company incurred expense of $0.1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(47,919 )</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(46,180 )</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9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38,510,220</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23,527,116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(1.24 )</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(1.96 )</w:t>
            </w:r>
          </w:p>
        </w:tc>
        <w:tc>
          <w:tcPr>
            <w:tcW w:w="560" w:type="dxa"/>
            <w:vAlign w:val="bottom"/>
          </w:tcPr>
          <w:p>
            <w:pPr>
              <w:spacing w:after="0"/>
              <w:rPr>
                <w:sz w:val="24"/>
                <w:szCs w:val="24"/>
                <w:color w:val="auto"/>
              </w:rPr>
            </w:pPr>
          </w:p>
        </w:tc>
      </w:tr>
      <w:tr>
        <w:trPr>
          <w:trHeight w:val="849"/>
        </w:trPr>
        <w:tc>
          <w:tcPr>
            <w:tcW w:w="580" w:type="dxa"/>
            <w:vAlign w:val="bottom"/>
          </w:tcPr>
          <w:p>
            <w:pPr>
              <w:spacing w:after="0"/>
              <w:rPr>
                <w:sz w:val="24"/>
                <w:szCs w:val="24"/>
                <w:color w:val="auto"/>
              </w:rPr>
            </w:pPr>
          </w:p>
        </w:tc>
        <w:tc>
          <w:tcPr>
            <w:tcW w:w="454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jc w:val="right"/>
              <w:ind w:right="1190"/>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-1062355</wp:posOffset>
            </wp:positionV>
            <wp:extent cx="603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-1045210</wp:posOffset>
            </wp:positionV>
            <wp:extent cx="603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03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-1045210</wp:posOffset>
            </wp:positionV>
            <wp:extent cx="603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21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5720" w:type="dxa"/>
            <w:vAlign w:val="bottom"/>
          </w:tcPr>
          <w:p>
            <w:pPr>
              <w:spacing w:after="0"/>
              <w:rPr>
                <w:sz w:val="19"/>
                <w:szCs w:val="19"/>
                <w:color w:val="auto"/>
              </w:rPr>
            </w:pPr>
          </w:p>
        </w:tc>
        <w:tc>
          <w:tcPr>
            <w:tcW w:w="15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r>
      <w:tr>
        <w:trPr>
          <w:trHeight w:val="237"/>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Standard Warrants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12,687,000</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4,097,376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4,166,194</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RSUs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3,482,663</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1,996,128</w:t>
            </w:r>
          </w:p>
        </w:tc>
        <w:tc>
          <w:tcPr>
            <w:tcW w:w="80" w:type="dxa"/>
            <w:vAlign w:val="bottom"/>
            <w:shd w:val="clear" w:color="auto" w:fill="CFF0FC"/>
          </w:tcPr>
          <w:p>
            <w:pPr>
              <w:spacing w:after="0"/>
              <w:rPr>
                <w:sz w:val="21"/>
                <w:szCs w:val="21"/>
                <w:color w:val="auto"/>
              </w:rPr>
            </w:pPr>
          </w:p>
        </w:tc>
      </w:tr>
      <w:tr>
        <w:trPr>
          <w:trHeight w:val="23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126,151</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303,236</w:t>
            </w:r>
          </w:p>
        </w:tc>
        <w:tc>
          <w:tcPr>
            <w:tcW w:w="80" w:type="dxa"/>
            <w:vAlign w:val="bottom"/>
          </w:tcPr>
          <w:p>
            <w:pPr>
              <w:spacing w:after="0"/>
              <w:rPr>
                <w:sz w:val="20"/>
                <w:szCs w:val="20"/>
                <w:color w:val="auto"/>
              </w:rPr>
            </w:pPr>
          </w:p>
        </w:tc>
      </w:tr>
      <w:tr>
        <w:trPr>
          <w:trHeight w:val="277"/>
        </w:trPr>
        <w:tc>
          <w:tcPr>
            <w:tcW w:w="5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20,393,190</w:t>
            </w:r>
          </w:p>
        </w:tc>
        <w:tc>
          <w:tcPr>
            <w:tcW w:w="2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6,465,558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5143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Realignment Plan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March 10, 2024, the Board of Directors approved a plan to implement cost savings initiatives, including termination of the CAHmelia-203 study and a workforce reduction of approximately 21% (the “Realignment Plan”). The Realignment Plan is effective immediately, with a termination date of March 31, 2024 for affected employees. Affected employees will be offered separation benefits, including severance payments and healthcare coverage assistance.</w:t>
      </w:r>
    </w:p>
    <w:p>
      <w:pPr>
        <w:spacing w:after="0" w:line="7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final costs, charges and expenditures relating to the Realignment Plan will not be known until all related activities have been completed. The Company estimates that it will incur approximately $0.4 million in cash charges in connection with the Realignment Plan, consisting of expenses related to employee severance payments and healthcare coverage assistance and related costs. The Company expects that the majority of these estimated charges will be recorded in the second quarter of 2024 and that the execution of the Realignment Plan will be substantially complete during the second quarter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March 2024, the Company granted certain executive officers RSUs underlying approximately 1.2 million shares of Common Stock with time-based and performance-based vesting criteria.</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Securities and Exchange Commission's (“SEC’s”) rules and forms, and that such information is accumulated and communicated to the Company’s management, including its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2023.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our management assessed the effectiveness of our internal control over financial reporting using the criteria set forth by the Committee of Sponsoring Organizations of the Treadway Commission in Internal Control-Integrated Framework (2013). Based on this assessment, our management concluded that, as of December 31, 2023, our internal control over financial reporting was effective based on those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internal control over financial reporting due to an exemption established by the JOBS Act for “emerging growth companies” and because we qualify as a “non-accelerated filer” (i.e., we do not qualify as either an “accelerated filer” or a “large accelerated filer” as defined in Rule 12b-2 under the Exchange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2023 that has materially affected, or is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our definitive proxy statement to be filed with respect to the 2024 annual meeting of stockholders (the “Proxy Statement”), all of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maintain a Code of Conduct that applies to all our employees, officers and directors. This includes our principal executive officer, principal financial officer and principal accounting officer or controller, or persons performing similar functions. The full text of our Code of Conduct is posted on our website at www.sprucebiosciences.com. The information on our website is not incorporated by reference into this Annual Report or our Proxy Statement.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all of which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set forth in our Proxy Statement, all of which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9" w:right="5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113" w:lineRule="exact"/>
        <w:rPr>
          <w:rFonts w:ascii="Times New Roman" w:cs="Times New Roman" w:eastAsia="Times New Roman" w:hAnsi="Times New Roman"/>
          <w:sz w:val="18"/>
          <w:szCs w:val="18"/>
          <w:color w:val="auto"/>
        </w:rPr>
      </w:pPr>
    </w:p>
    <w:p>
      <w:pPr>
        <w:ind w:left="1420" w:hanging="514"/>
        <w:spacing w:after="0"/>
        <w:tabs>
          <w:tab w:leader="none" w:pos="14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113" w:lineRule="exact"/>
        <w:rPr>
          <w:rFonts w:ascii="Times New Roman" w:cs="Times New Roman" w:eastAsia="Times New Roman" w:hAnsi="Times New Roman"/>
          <w:sz w:val="18"/>
          <w:szCs w:val="18"/>
          <w:b w:val="1"/>
          <w:bCs w:val="1"/>
          <w:color w:val="auto"/>
        </w:rPr>
      </w:pPr>
    </w:p>
    <w:p>
      <w:pPr>
        <w:ind w:left="1420" w:hanging="514"/>
        <w:spacing w:after="0"/>
        <w:tabs>
          <w:tab w:leader="none" w:pos="14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rFonts w:ascii="Times New Roman" w:cs="Times New Roman" w:eastAsia="Times New Roman" w:hAnsi="Times New Roman"/>
          <w:sz w:val="18"/>
          <w:szCs w:val="18"/>
          <w:b w:val="1"/>
          <w:bCs w:val="1"/>
          <w:color w:val="auto"/>
        </w:rPr>
      </w:pPr>
    </w:p>
    <w:p>
      <w:pPr>
        <w:ind w:left="142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49" w:lineRule="exact"/>
        <w:rPr>
          <w:rFonts w:ascii="Times New Roman" w:cs="Times New Roman" w:eastAsia="Times New Roman" w:hAnsi="Times New Roman"/>
          <w:sz w:val="18"/>
          <w:szCs w:val="18"/>
          <w:b w:val="1"/>
          <w:bCs w:val="1"/>
          <w:color w:val="auto"/>
        </w:rPr>
      </w:pPr>
    </w:p>
    <w:p>
      <w:pPr>
        <w:ind w:left="1420" w:hanging="514"/>
        <w:spacing w:after="0"/>
        <w:tabs>
          <w:tab w:leader="none" w:pos="142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list of exhibits filed with this Annual Report incorporated herein by reference (numbered in accordance with Item</w:t>
      </w:r>
    </w:p>
    <w:p>
      <w:pPr>
        <w:spacing w:after="0" w:line="27" w:lineRule="exact"/>
        <w:rPr>
          <w:rFonts w:ascii="Times New Roman" w:cs="Times New Roman" w:eastAsia="Times New Roman" w:hAnsi="Times New Roman"/>
          <w:sz w:val="18"/>
          <w:szCs w:val="18"/>
          <w:b w:val="1"/>
          <w:bCs w:val="1"/>
          <w:color w:val="auto"/>
        </w:rPr>
      </w:pPr>
    </w:p>
    <w:p>
      <w:pPr>
        <w:ind w:left="1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601 of Regulation S-K):</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4"/>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120" w:type="dxa"/>
            <w:vAlign w:val="bottom"/>
            <w:gridSpan w:val="19"/>
          </w:tcPr>
          <w:p>
            <w:pPr>
              <w:ind w:left="9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8"/>
                <w:szCs w:val="18"/>
                <w:color w:val="auto"/>
              </w:rPr>
            </w:pPr>
          </w:p>
        </w:tc>
        <w:tc>
          <w:tcPr>
            <w:tcW w:w="5200" w:type="dxa"/>
            <w:vAlign w:val="bottom"/>
            <w:gridSpan w:val="22"/>
          </w:tcPr>
          <w:p>
            <w:pPr>
              <w:spacing w:after="0"/>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Amended and Restated Certificate of Incorporation</w:t>
              </w:r>
            </w:hyperlink>
          </w:p>
        </w:tc>
        <w:tc>
          <w:tcPr>
            <w:tcW w:w="60" w:type="dxa"/>
            <w:vAlign w:val="bottom"/>
          </w:tcPr>
          <w:p>
            <w:pPr>
              <w:spacing w:after="0"/>
              <w:rPr>
                <w:sz w:val="18"/>
                <w:szCs w:val="18"/>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October 14, 2020</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368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Amended and Restated Bylaws</w:t>
              </w:r>
            </w:hyperlink>
          </w:p>
        </w:tc>
        <w:tc>
          <w:tcPr>
            <w:tcW w:w="152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October 14, 2020</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466">
              <w:r>
                <w:rPr>
                  <w:rFonts w:ascii="Times New Roman" w:cs="Times New Roman" w:eastAsia="Times New Roman" w:hAnsi="Times New Roman"/>
                  <w:sz w:val="18"/>
                  <w:szCs w:val="18"/>
                  <w:color w:val="0000FF"/>
                  <w:w w:val="99"/>
                </w:rPr>
                <w:t>Form of Common Stock Certificate</w:t>
              </w:r>
            </w:hyperlink>
          </w:p>
        </w:tc>
        <w:tc>
          <w:tcPr>
            <w:tcW w:w="40" w:type="dxa"/>
            <w:vAlign w:val="bottom"/>
            <w:tcBorders>
              <w:bottom w:val="single" w:sz="8" w:color="0000EE"/>
            </w:tcBorders>
          </w:tcPr>
          <w:p>
            <w:pPr>
              <w:spacing w:after="0"/>
              <w:rPr>
                <w:sz w:val="24"/>
                <w:szCs w:val="24"/>
                <w:color w:val="auto"/>
              </w:rPr>
            </w:pPr>
          </w:p>
        </w:tc>
        <w:tc>
          <w:tcPr>
            <w:tcW w:w="2600" w:type="dxa"/>
            <w:vAlign w:val="bottom"/>
            <w:gridSpan w:val="15"/>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October 5, 2020</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52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Amended and Restated Investors’ Rights Agreement, by and among the</w:t>
              </w:r>
            </w:hyperlink>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registrant and certain of its stockholders, dated February 19, 2020</w:t>
              </w:r>
            </w:hyperlink>
          </w:p>
        </w:tc>
        <w:tc>
          <w:tcPr>
            <w:tcW w:w="42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2020</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50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468">
              <w:r>
                <w:rPr>
                  <w:rFonts w:ascii="Times New Roman" w:cs="Times New Roman" w:eastAsia="Times New Roman" w:hAnsi="Times New Roman"/>
                  <w:sz w:val="18"/>
                  <w:szCs w:val="18"/>
                  <w:color w:val="0000FF"/>
                  <w:w w:val="99"/>
                </w:rPr>
                <w:t>Form of Warrant to Purchase Common Stock issued to Silicon Valley</w:t>
              </w:r>
            </w:hyperlink>
          </w:p>
        </w:tc>
        <w:tc>
          <w:tcPr>
            <w:tcW w:w="1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4.3</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gridSpan w:val="22"/>
          </w:tcPr>
          <w:p>
            <w:pPr>
              <w:spacing w:after="0" w:line="196" w:lineRule="exact"/>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Bank, dated September 23, 2019</w:t>
              </w:r>
            </w:hyperlink>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2020</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342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rPr>
            </w:pPr>
            <w:hyperlink r:id="rId469">
              <w:r>
                <w:rPr>
                  <w:rFonts w:ascii="Times New Roman" w:cs="Times New Roman" w:eastAsia="Times New Roman" w:hAnsi="Times New Roman"/>
                  <w:sz w:val="18"/>
                  <w:szCs w:val="18"/>
                  <w:color w:val="0000FF"/>
                </w:rPr>
                <w:t>Description of Common Stock of the registrant</w:t>
              </w:r>
            </w:hyperlink>
          </w:p>
        </w:tc>
        <w:tc>
          <w:tcPr>
            <w:tcW w:w="178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4.4</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March 22, 2021</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41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470">
              <w:r>
                <w:rPr>
                  <w:rFonts w:ascii="Times New Roman" w:cs="Times New Roman" w:eastAsia="Times New Roman" w:hAnsi="Times New Roman"/>
                  <w:sz w:val="18"/>
                  <w:szCs w:val="18"/>
                  <w:color w:val="0000FF"/>
                  <w:w w:val="99"/>
                </w:rPr>
                <w:t>Form of Pre-Funded Warrant to Purchase Common Stock</w:t>
              </w:r>
            </w:hyperlink>
          </w:p>
        </w:tc>
        <w:tc>
          <w:tcPr>
            <w:tcW w:w="10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5200" w:type="dxa"/>
            <w:vAlign w:val="bottom"/>
            <w:gridSpan w:val="22"/>
          </w:tcPr>
          <w:p>
            <w:pPr>
              <w:spacing w:after="0"/>
              <w:rPr>
                <w:rFonts w:ascii="Times New Roman" w:cs="Times New Roman" w:eastAsia="Times New Roman" w:hAnsi="Times New Roman"/>
                <w:sz w:val="18"/>
                <w:szCs w:val="18"/>
                <w:color w:val="0000FF"/>
              </w:rPr>
            </w:pPr>
            <w:hyperlink r:id="rId471">
              <w:r>
                <w:rPr>
                  <w:rFonts w:ascii="Times New Roman" w:cs="Times New Roman" w:eastAsia="Times New Roman" w:hAnsi="Times New Roman"/>
                  <w:sz w:val="18"/>
                  <w:szCs w:val="18"/>
                  <w:color w:val="0000FF"/>
                </w:rPr>
                <w:t>Form of Common Stock Purchase Warrant</w:t>
              </w:r>
            </w:hyperlink>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5"/>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1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Spruce Biosciences, Inc. Amended and Restated 2016 Equity Incentive</w:t>
              </w:r>
            </w:hyperlink>
          </w:p>
        </w:tc>
        <w:tc>
          <w:tcPr>
            <w:tcW w:w="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472">
              <w:r>
                <w:rPr>
                  <w:rFonts w:ascii="Times New Roman" w:cs="Times New Roman" w:eastAsia="Times New Roman" w:hAnsi="Times New Roman"/>
                  <w:sz w:val="18"/>
                  <w:szCs w:val="18"/>
                  <w:color w:val="0000FF"/>
                  <w:w w:val="93"/>
                </w:rPr>
                <w:t>Plan</w:t>
              </w:r>
            </w:hyperlink>
          </w:p>
        </w:tc>
        <w:tc>
          <w:tcPr>
            <w:tcW w:w="40" w:type="dxa"/>
            <w:vAlign w:val="bottom"/>
            <w:tcBorders>
              <w:bottom w:val="single" w:sz="8" w:color="0000EE"/>
            </w:tcBorders>
          </w:tcPr>
          <w:p>
            <w:pPr>
              <w:spacing w:after="0"/>
              <w:rPr>
                <w:sz w:val="17"/>
                <w:szCs w:val="17"/>
                <w:color w:val="auto"/>
              </w:rPr>
            </w:pPr>
          </w:p>
        </w:tc>
        <w:tc>
          <w:tcPr>
            <w:tcW w:w="4840" w:type="dxa"/>
            <w:vAlign w:val="bottom"/>
            <w:gridSpan w:val="20"/>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2020</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52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73">
              <w:r>
                <w:rPr>
                  <w:rFonts w:ascii="Times New Roman" w:cs="Times New Roman" w:eastAsia="Times New Roman" w:hAnsi="Times New Roman"/>
                  <w:sz w:val="18"/>
                  <w:szCs w:val="18"/>
                  <w:color w:val="0000FF"/>
                  <w:w w:val="99"/>
                </w:rPr>
                <w:t>Forms of Grant Notice, Stock Option Agreement and Notice of Exercise</w:t>
              </w:r>
            </w:hyperlink>
          </w:p>
        </w:tc>
        <w:tc>
          <w:tcPr>
            <w:tcW w:w="60" w:type="dxa"/>
            <w:vAlign w:val="bottom"/>
            <w:tcBorders>
              <w:bottom w:val="single" w:sz="8" w:color="0000FF"/>
            </w:tcBorders>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73">
              <w:r>
                <w:rPr>
                  <w:rFonts w:ascii="Times New Roman" w:cs="Times New Roman" w:eastAsia="Times New Roman" w:hAnsi="Times New Roman"/>
                  <w:sz w:val="18"/>
                  <w:szCs w:val="18"/>
                  <w:color w:val="0000FF"/>
                </w:rPr>
                <w:t>under the Spruce Biosciences, Inc. Amended and Restated 2016 Equity</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2020</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473">
              <w:r>
                <w:rPr>
                  <w:rFonts w:ascii="Times New Roman" w:cs="Times New Roman" w:eastAsia="Times New Roman" w:hAnsi="Times New Roman"/>
                  <w:sz w:val="18"/>
                  <w:szCs w:val="18"/>
                  <w:color w:val="0000FF"/>
                </w:rPr>
                <w:t>Incentive Plan</w:t>
              </w:r>
            </w:hyperlink>
          </w:p>
        </w:tc>
        <w:tc>
          <w:tcPr>
            <w:tcW w:w="4120" w:type="dxa"/>
            <w:vAlign w:val="bottom"/>
            <w:gridSpan w:val="19"/>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7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474">
              <w:r>
                <w:rPr>
                  <w:rFonts w:ascii="Times New Roman" w:cs="Times New Roman" w:eastAsia="Times New Roman" w:hAnsi="Times New Roman"/>
                  <w:sz w:val="18"/>
                  <w:szCs w:val="18"/>
                  <w:color w:val="0000FF"/>
                  <w:w w:val="99"/>
                </w:rPr>
                <w:t>Spruce Biosciences, Inc. 2020 Equity Incentive Plan</w:t>
              </w:r>
            </w:hyperlink>
          </w:p>
        </w:tc>
        <w:tc>
          <w:tcPr>
            <w:tcW w:w="20" w:type="dxa"/>
            <w:vAlign w:val="bottom"/>
            <w:tcBorders>
              <w:bottom w:val="single" w:sz="8" w:color="0000EE"/>
            </w:tcBorders>
          </w:tcPr>
          <w:p>
            <w:pPr>
              <w:spacing w:after="0"/>
              <w:rPr>
                <w:sz w:val="24"/>
                <w:szCs w:val="24"/>
                <w:color w:val="auto"/>
              </w:rPr>
            </w:pPr>
          </w:p>
        </w:tc>
        <w:tc>
          <w:tcPr>
            <w:tcW w:w="140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October 5, 2020</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2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75">
              <w:r>
                <w:rPr>
                  <w:rFonts w:ascii="Times New Roman" w:cs="Times New Roman" w:eastAsia="Times New Roman" w:hAnsi="Times New Roman"/>
                  <w:sz w:val="18"/>
                  <w:szCs w:val="18"/>
                  <w:color w:val="0000FF"/>
                  <w:w w:val="99"/>
                </w:rPr>
                <w:t>Forms of Grant Notice, Stock Option Agreement and Notice of Exercise</w:t>
              </w:r>
            </w:hyperlink>
          </w:p>
        </w:tc>
        <w:tc>
          <w:tcPr>
            <w:tcW w:w="60" w:type="dxa"/>
            <w:vAlign w:val="bottom"/>
            <w:tcBorders>
              <w:bottom w:val="single" w:sz="8" w:color="0000FF"/>
            </w:tcBorders>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10.4</w:t>
            </w:r>
          </w:p>
        </w:tc>
        <w:tc>
          <w:tcPr>
            <w:tcW w:w="14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under the Spruce Biosciences, Inc. 2020 Equity Incentive Plan</w:t>
              </w:r>
            </w:hyperlink>
          </w:p>
        </w:tc>
        <w:tc>
          <w:tcPr>
            <w:tcW w:w="66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w w:val="99"/>
              </w:rPr>
              <w:t>2020</w:t>
            </w: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49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Forms of Restricted Stock Unit Grant Notice and Award Agreement</w:t>
              </w:r>
            </w:hyperlink>
          </w:p>
        </w:tc>
        <w:tc>
          <w:tcPr>
            <w:tcW w:w="2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10.5</w:t>
            </w:r>
          </w:p>
        </w:tc>
        <w:tc>
          <w:tcPr>
            <w:tcW w:w="14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March 16, 2023</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476">
              <w:r>
                <w:rPr>
                  <w:rFonts w:ascii="Times New Roman" w:cs="Times New Roman" w:eastAsia="Times New Roman" w:hAnsi="Times New Roman"/>
                  <w:sz w:val="18"/>
                  <w:szCs w:val="18"/>
                  <w:color w:val="0000FF"/>
                  <w:w w:val="99"/>
                </w:rPr>
                <w:t>under the Spruce Biosciences, Inc. 2020 Equity Incentive Plan</w:t>
              </w:r>
            </w:hyperlink>
          </w:p>
        </w:tc>
        <w:tc>
          <w:tcPr>
            <w:tcW w:w="20" w:type="dxa"/>
            <w:vAlign w:val="bottom"/>
            <w:tcBorders>
              <w:bottom w:val="single" w:sz="8" w:color="0000EE"/>
            </w:tcBorders>
          </w:tcPr>
          <w:p>
            <w:pPr>
              <w:spacing w:after="0"/>
              <w:rPr>
                <w:sz w:val="17"/>
                <w:szCs w:val="17"/>
                <w:color w:val="auto"/>
              </w:rPr>
            </w:pPr>
          </w:p>
        </w:tc>
        <w:tc>
          <w:tcPr>
            <w:tcW w:w="68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709"/>
        </w:trPr>
        <w:tc>
          <w:tcPr>
            <w:tcW w:w="1020" w:type="dxa"/>
            <w:vAlign w:val="bottom"/>
          </w:tcPr>
          <w:p>
            <w:pPr>
              <w:spacing w:after="0"/>
              <w:rPr>
                <w:sz w:val="24"/>
                <w:szCs w:val="24"/>
                <w:color w:val="auto"/>
              </w:rPr>
            </w:pPr>
          </w:p>
        </w:tc>
        <w:tc>
          <w:tcPr>
            <w:tcW w:w="4920" w:type="dxa"/>
            <w:vAlign w:val="bottom"/>
            <w:gridSpan w:val="18"/>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480">
        <w:r>
          <w:rPr>
            <w:rFonts w:ascii="Times New Roman" w:cs="Times New Roman" w:eastAsia="Times New Roman" w:hAnsi="Times New Roman"/>
            <w:sz w:val="17"/>
            <w:szCs w:val="17"/>
            <w:u w:val="single" w:color="auto"/>
            <w:color w:val="0000FF"/>
          </w:rPr>
          <w:t>Spruce Biosciences, Inc. 2020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286194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70" w:lineRule="exact"/>
        <w:rPr>
          <w:sz w:val="20"/>
          <w:szCs w:val="20"/>
          <w:color w:val="auto"/>
        </w:rPr>
      </w:pPr>
    </w:p>
    <w:p>
      <w:pPr>
        <w:ind w:left="1160" w:right="160" w:hanging="848"/>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482">
        <w:r>
          <w:rPr>
            <w:rFonts w:ascii="Times New Roman" w:cs="Times New Roman" w:eastAsia="Times New Roman" w:hAnsi="Times New Roman"/>
            <w:sz w:val="18"/>
            <w:szCs w:val="18"/>
            <w:u w:val="single" w:color="auto"/>
            <w:color w:val="0000FF"/>
          </w:rPr>
          <w:t>Spruce Biosciences, Inc. 2020 Employee Stock Purchase Plan Offering</w:t>
        </w:r>
      </w:hyperlink>
      <w:r>
        <w:rPr>
          <w:rFonts w:ascii="Times New Roman" w:cs="Times New Roman" w:eastAsia="Times New Roman" w:hAnsi="Times New Roman"/>
          <w:sz w:val="18"/>
          <w:szCs w:val="18"/>
          <w:u w:val="single" w:color="auto"/>
          <w:color w:val="0000FF"/>
        </w:rPr>
        <w:t xml:space="preserve"> </w:t>
      </w:r>
      <w:hyperlink r:id="rId482">
        <w:r>
          <w:rPr>
            <w:rFonts w:ascii="Times New Roman" w:cs="Times New Roman" w:eastAsia="Times New Roman" w:hAnsi="Times New Roman"/>
            <w:sz w:val="18"/>
            <w:szCs w:val="18"/>
            <w:u w:val="single" w:color="auto"/>
            <w:color w:val="0000FF"/>
          </w:rPr>
          <w:t>Document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2816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328168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5041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7" w:lineRule="exact"/>
        <w:rPr>
          <w:sz w:val="20"/>
          <w:szCs w:val="20"/>
          <w:color w:val="auto"/>
        </w:rPr>
      </w:pPr>
    </w:p>
    <w:p>
      <w:pPr>
        <w:jc w:val="both"/>
        <w:ind w:left="1160" w:right="180" w:hanging="848"/>
        <w:spacing w:after="0" w:line="266"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485">
        <w:r>
          <w:rPr>
            <w:rFonts w:ascii="Times New Roman" w:cs="Times New Roman" w:eastAsia="Times New Roman" w:hAnsi="Times New Roman"/>
            <w:sz w:val="18"/>
            <w:szCs w:val="18"/>
            <w:u w:val="single" w:color="auto"/>
            <w:color w:val="0000FF"/>
          </w:rPr>
          <w:t>Form of Stock Option Grant Notice, Option Agreement and Notice of</w:t>
        </w:r>
      </w:hyperlink>
      <w:r>
        <w:rPr>
          <w:rFonts w:ascii="Times New Roman" w:cs="Times New Roman" w:eastAsia="Times New Roman" w:hAnsi="Times New Roman"/>
          <w:sz w:val="18"/>
          <w:szCs w:val="18"/>
          <w:u w:val="single" w:color="auto"/>
          <w:color w:val="0000FF"/>
        </w:rPr>
        <w:t xml:space="preserve"> </w:t>
      </w:r>
      <w:hyperlink r:id="rId485">
        <w:r>
          <w:rPr>
            <w:rFonts w:ascii="Times New Roman" w:cs="Times New Roman" w:eastAsia="Times New Roman" w:hAnsi="Times New Roman"/>
            <w:sz w:val="18"/>
            <w:szCs w:val="18"/>
            <w:u w:val="single" w:color="auto"/>
            <w:color w:val="0000FF"/>
          </w:rPr>
          <w:t>Exercise for Inducement Grant Outside of the Spruce Biosciences, Inc.</w:t>
        </w:r>
      </w:hyperlink>
      <w:r>
        <w:rPr>
          <w:rFonts w:ascii="Times New Roman" w:cs="Times New Roman" w:eastAsia="Times New Roman" w:hAnsi="Times New Roman"/>
          <w:sz w:val="18"/>
          <w:szCs w:val="18"/>
          <w:u w:val="single" w:color="auto"/>
          <w:color w:val="0000FF"/>
        </w:rPr>
        <w:t xml:space="preserve"> </w:t>
      </w:r>
      <w:hyperlink r:id="rId485">
        <w:r>
          <w:rPr>
            <w:rFonts w:ascii="Times New Roman" w:cs="Times New Roman" w:eastAsia="Times New Roman" w:hAnsi="Times New Roman"/>
            <w:sz w:val="18"/>
            <w:szCs w:val="18"/>
            <w:u w:val="single" w:color="auto"/>
            <w:color w:val="0000FF"/>
          </w:rPr>
          <w:t>2020 Equity Incentive Plan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-313055</wp:posOffset>
            </wp:positionV>
            <wp:extent cx="321754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321754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-175895</wp:posOffset>
            </wp:positionV>
            <wp:extent cx="32677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326771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-38735</wp:posOffset>
            </wp:positionV>
            <wp:extent cx="124714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1247140" cy="8890"/>
                    </a:xfrm>
                    <a:prstGeom prst="rect">
                      <a:avLst/>
                    </a:prstGeom>
                    <a:noFill/>
                  </pic:spPr>
                </pic:pic>
              </a:graphicData>
            </a:graphic>
          </wp:anchor>
        </w:drawing>
      </w:r>
    </w:p>
    <w:p>
      <w:pPr>
        <w:spacing w:after="0" w:line="21" w:lineRule="exact"/>
        <w:rPr>
          <w:rFonts w:ascii="Times New Roman" w:cs="Times New Roman" w:eastAsia="Times New Roman" w:hAnsi="Times New Roman"/>
          <w:sz w:val="18"/>
          <w:szCs w:val="18"/>
          <w:u w:val="single" w:color="auto"/>
          <w:color w:val="0000FF"/>
        </w:rPr>
      </w:pPr>
    </w:p>
    <w:p>
      <w:pPr>
        <w:ind w:left="1160" w:right="240" w:hanging="848"/>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489">
        <w:r>
          <w:rPr>
            <w:rFonts w:ascii="Times New Roman" w:cs="Times New Roman" w:eastAsia="Times New Roman" w:hAnsi="Times New Roman"/>
            <w:sz w:val="18"/>
            <w:szCs w:val="18"/>
            <w:u w:val="single" w:color="auto"/>
            <w:color w:val="0000FF"/>
          </w:rPr>
          <w:t>Spruce Biosciences, Inc. 2020 Non-Employee Director Compensation</w:t>
        </w:r>
      </w:hyperlink>
      <w:r>
        <w:rPr>
          <w:rFonts w:ascii="Times New Roman" w:cs="Times New Roman" w:eastAsia="Times New Roman" w:hAnsi="Times New Roman"/>
          <w:sz w:val="18"/>
          <w:szCs w:val="18"/>
          <w:u w:val="single" w:color="auto"/>
          <w:color w:val="0000FF"/>
        </w:rPr>
        <w:t xml:space="preserve"> </w:t>
      </w:r>
      <w:hyperlink r:id="rId489">
        <w:r>
          <w:rPr>
            <w:rFonts w:ascii="Times New Roman" w:cs="Times New Roman" w:eastAsia="Times New Roman" w:hAnsi="Times New Roman"/>
            <w:sz w:val="18"/>
            <w:szCs w:val="18"/>
            <w:u w:val="single" w:color="auto"/>
            <w:color w:val="0000FF"/>
          </w:rPr>
          <w:t>Policy, as amended on April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2334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323342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66179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1661795" cy="8255"/>
                    </a:xfrm>
                    <a:prstGeom prst="rect">
                      <a:avLst/>
                    </a:prstGeom>
                    <a:noFill/>
                  </pic:spPr>
                </pic:pic>
              </a:graphicData>
            </a:graphic>
          </wp:anchor>
        </w:drawing>
      </w:r>
    </w:p>
    <w:p>
      <w:pPr>
        <w:spacing w:after="0" w:line="7" w:lineRule="exact"/>
        <w:rPr>
          <w:sz w:val="20"/>
          <w:szCs w:val="20"/>
          <w:color w:val="auto"/>
        </w:rPr>
      </w:pPr>
    </w:p>
    <w:p>
      <w:pPr>
        <w:ind w:left="1160" w:right="200" w:hanging="89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492">
        <w:r>
          <w:rPr>
            <w:rFonts w:ascii="Times New Roman" w:cs="Times New Roman" w:eastAsia="Times New Roman" w:hAnsi="Times New Roman"/>
            <w:sz w:val="18"/>
            <w:szCs w:val="18"/>
            <w:u w:val="single" w:color="auto"/>
            <w:color w:val="0000FF"/>
          </w:rPr>
          <w:t>Form of Indemnification Agreement by and between the registrant and</w:t>
        </w:r>
      </w:hyperlink>
      <w:r>
        <w:rPr>
          <w:rFonts w:ascii="Times New Roman" w:cs="Times New Roman" w:eastAsia="Times New Roman" w:hAnsi="Times New Roman"/>
          <w:sz w:val="18"/>
          <w:szCs w:val="18"/>
          <w:u w:val="single" w:color="auto"/>
          <w:color w:val="0000FF"/>
        </w:rPr>
        <w:t xml:space="preserve"> </w:t>
      </w:r>
      <w:hyperlink r:id="rId492">
        <w:r>
          <w:rPr>
            <w:rFonts w:ascii="Times New Roman" w:cs="Times New Roman" w:eastAsia="Times New Roman" w:hAnsi="Times New Roman"/>
            <w:sz w:val="18"/>
            <w:szCs w:val="18"/>
            <w:u w:val="single" w:color="auto"/>
            <w:color w:val="0000FF"/>
          </w:rPr>
          <w:t>its directors and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2613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32613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5716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1571625" cy="8890"/>
                    </a:xfrm>
                    <a:prstGeom prst="rect">
                      <a:avLst/>
                    </a:prstGeom>
                    <a:noFill/>
                  </pic:spPr>
                </pic:pic>
              </a:graphicData>
            </a:graphic>
          </wp:anchor>
        </w:drawing>
      </w:r>
    </w:p>
    <w:p>
      <w:pPr>
        <w:spacing w:after="0" w:line="7" w:lineRule="exact"/>
        <w:rPr>
          <w:sz w:val="20"/>
          <w:szCs w:val="20"/>
          <w:color w:val="auto"/>
        </w:rPr>
      </w:pPr>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495">
        <w:r>
          <w:rPr>
            <w:rFonts w:ascii="Times New Roman" w:cs="Times New Roman" w:eastAsia="Times New Roman" w:hAnsi="Times New Roman"/>
            <w:sz w:val="18"/>
            <w:szCs w:val="18"/>
            <w:u w:val="single" w:color="auto"/>
            <w:color w:val="0000FF"/>
          </w:rPr>
          <w:t>Spruce Biosciences, Inc. Severance and Change in Control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29476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2947670" cy="8255"/>
                    </a:xfrm>
                    <a:prstGeom prst="rect">
                      <a:avLst/>
                    </a:prstGeom>
                    <a:noFill/>
                  </pic:spPr>
                </pic:pic>
              </a:graphicData>
            </a:graphic>
          </wp:anchor>
        </w:drawing>
      </w:r>
    </w:p>
    <w:p>
      <w:pPr>
        <w:spacing w:after="0" w:line="286" w:lineRule="exact"/>
        <w:rPr>
          <w:sz w:val="20"/>
          <w:szCs w:val="20"/>
          <w:color w:val="auto"/>
        </w:rPr>
      </w:pPr>
    </w:p>
    <w:p>
      <w:pPr>
        <w:ind w:left="2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497">
        <w:r>
          <w:rPr>
            <w:rFonts w:ascii="Times New Roman" w:cs="Times New Roman" w:eastAsia="Times New Roman" w:hAnsi="Times New Roman"/>
            <w:sz w:val="17"/>
            <w:szCs w:val="17"/>
            <w:u w:val="single" w:color="auto"/>
            <w:color w:val="0000FF"/>
          </w:rPr>
          <w:t>Offer Letter, by and between the registrant and Samir Gharib, dated April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36105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8">
                      <a:extLst>
                        <a:ext uri="{28A0092B-C50C-407E-A947-70E740481C1C}"/>
                      </a:extLst>
                    </a:blip>
                    <a:srcRect/>
                    <a:stretch>
                      <a:fillRect/>
                    </a:stretch>
                  </pic:blipFill>
                  <pic:spPr bwMode="auto">
                    <a:xfrm>
                      <a:off x="0" y="0"/>
                      <a:ext cx="3361055" cy="8890"/>
                    </a:xfrm>
                    <a:prstGeom prst="rect">
                      <a:avLst/>
                    </a:prstGeom>
                    <a:noFill/>
                  </pic:spPr>
                </pic:pic>
              </a:graphicData>
            </a:graphic>
          </wp:anchor>
        </w:drawing>
      </w:r>
    </w:p>
    <w:p>
      <w:pPr>
        <w:spacing w:after="0" w:line="7"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497">
        <w:r>
          <w:rPr>
            <w:rFonts w:ascii="Times New Roman" w:cs="Times New Roman" w:eastAsia="Times New Roman" w:hAnsi="Times New Roman"/>
            <w:sz w:val="18"/>
            <w:szCs w:val="18"/>
            <w:u w:val="single" w:color="auto"/>
            <w:color w:val="0000FF"/>
          </w:rPr>
          <w:t>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3429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2" w:lineRule="exact"/>
        <w:rPr>
          <w:sz w:val="20"/>
          <w:szCs w:val="20"/>
          <w:color w:val="auto"/>
        </w:rPr>
      </w:pPr>
    </w:p>
    <w:p>
      <w:pPr>
        <w:ind w:left="1160" w:right="620" w:hanging="938"/>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500">
        <w:r>
          <w:rPr>
            <w:rFonts w:ascii="Times New Roman" w:cs="Times New Roman" w:eastAsia="Times New Roman" w:hAnsi="Times New Roman"/>
            <w:sz w:val="18"/>
            <w:szCs w:val="18"/>
            <w:u w:val="single" w:color="auto"/>
            <w:color w:val="0000FF"/>
          </w:rPr>
          <w:t>Offer Letter, by and between the registrant and Rosh Dias, M.D.,</w:t>
        </w:r>
      </w:hyperlink>
      <w:r>
        <w:rPr>
          <w:rFonts w:ascii="Times New Roman" w:cs="Times New Roman" w:eastAsia="Times New Roman" w:hAnsi="Times New Roman"/>
          <w:sz w:val="18"/>
          <w:szCs w:val="18"/>
          <w:u w:val="single" w:color="auto"/>
          <w:color w:val="0000FF"/>
        </w:rPr>
        <w:t xml:space="preserve"> </w:t>
      </w:r>
      <w:hyperlink r:id="rId500">
        <w:r>
          <w:rPr>
            <w:rFonts w:ascii="Times New Roman" w:cs="Times New Roman" w:eastAsia="Times New Roman" w:hAnsi="Times New Roman"/>
            <w:sz w:val="18"/>
            <w:szCs w:val="18"/>
            <w:u w:val="single" w:color="auto"/>
            <w:color w:val="0000FF"/>
          </w:rPr>
          <w:t>M.R.C.P., dated July 28,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29946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29946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3995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7" w:lineRule="exact"/>
        <w:rPr>
          <w:sz w:val="20"/>
          <w:szCs w:val="20"/>
          <w:color w:val="auto"/>
        </w:rPr>
      </w:pPr>
    </w:p>
    <w:p>
      <w:pPr>
        <w:ind w:left="1160" w:right="420" w:hanging="89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503">
        <w:r>
          <w:rPr>
            <w:rFonts w:ascii="Times New Roman" w:cs="Times New Roman" w:eastAsia="Times New Roman" w:hAnsi="Times New Roman"/>
            <w:sz w:val="18"/>
            <w:szCs w:val="18"/>
            <w:u w:val="single" w:color="auto"/>
            <w:color w:val="0000FF"/>
          </w:rPr>
          <w:t>Letter Agreement, by and between the registrant and Michael Grey,</w:t>
        </w:r>
      </w:hyperlink>
      <w:r>
        <w:rPr>
          <w:rFonts w:ascii="Times New Roman" w:cs="Times New Roman" w:eastAsia="Times New Roman" w:hAnsi="Times New Roman"/>
          <w:sz w:val="18"/>
          <w:szCs w:val="18"/>
          <w:u w:val="single" w:color="auto"/>
          <w:color w:val="0000FF"/>
        </w:rPr>
        <w:t xml:space="preserve"> </w:t>
      </w:r>
      <w:hyperlink r:id="rId503">
        <w:r>
          <w:rPr>
            <w:rFonts w:ascii="Times New Roman" w:cs="Times New Roman" w:eastAsia="Times New Roman" w:hAnsi="Times New Roman"/>
            <w:sz w:val="18"/>
            <w:szCs w:val="18"/>
            <w:u w:val="single" w:color="auto"/>
            <w:color w:val="0000FF"/>
          </w:rPr>
          <w:t>dated March 24,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11404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311404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03124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7" w:lineRule="exact"/>
        <w:rPr>
          <w:sz w:val="20"/>
          <w:szCs w:val="20"/>
          <w:color w:val="auto"/>
        </w:rPr>
      </w:pPr>
    </w:p>
    <w:p>
      <w:pPr>
        <w:ind w:left="1160" w:right="680" w:hanging="89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506">
        <w:r>
          <w:rPr>
            <w:rFonts w:ascii="Times New Roman" w:cs="Times New Roman" w:eastAsia="Times New Roman" w:hAnsi="Times New Roman"/>
            <w:sz w:val="18"/>
            <w:szCs w:val="18"/>
            <w:u w:val="single" w:color="auto"/>
            <w:color w:val="0000FF"/>
          </w:rPr>
          <w:t>Letter Agreement, by and between the registrant and Camilla V.</w:t>
        </w:r>
      </w:hyperlink>
      <w:r>
        <w:rPr>
          <w:rFonts w:ascii="Times New Roman" w:cs="Times New Roman" w:eastAsia="Times New Roman" w:hAnsi="Times New Roman"/>
          <w:sz w:val="18"/>
          <w:szCs w:val="18"/>
          <w:u w:val="single" w:color="auto"/>
          <w:color w:val="0000FF"/>
        </w:rPr>
        <w:t xml:space="preserve"> </w:t>
      </w:r>
      <w:hyperlink r:id="rId506">
        <w:r>
          <w:rPr>
            <w:rFonts w:ascii="Times New Roman" w:cs="Times New Roman" w:eastAsia="Times New Roman" w:hAnsi="Times New Roman"/>
            <w:sz w:val="18"/>
            <w:szCs w:val="18"/>
            <w:u w:val="single" w:color="auto"/>
            <w:color w:val="0000FF"/>
          </w:rPr>
          <w:t>Simpson, dated October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294830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294830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55384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7" w:lineRule="exact"/>
        <w:rPr>
          <w:sz w:val="20"/>
          <w:szCs w:val="20"/>
          <w:color w:val="auto"/>
        </w:rPr>
      </w:pPr>
    </w:p>
    <w:p>
      <w:pPr>
        <w:ind w:left="1160" w:right="40" w:hanging="89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509">
        <w:r>
          <w:rPr>
            <w:rFonts w:ascii="Times New Roman" w:cs="Times New Roman" w:eastAsia="Times New Roman" w:hAnsi="Times New Roman"/>
            <w:sz w:val="18"/>
            <w:szCs w:val="18"/>
            <w:u w:val="single" w:color="auto"/>
            <w:color w:val="0000FF"/>
          </w:rPr>
          <w:t>Letter Agreement, by and between the registrant and Daniel Spiegelman,</w:t>
        </w:r>
      </w:hyperlink>
      <w:r>
        <w:rPr>
          <w:rFonts w:ascii="Times New Roman" w:cs="Times New Roman" w:eastAsia="Times New Roman" w:hAnsi="Times New Roman"/>
          <w:sz w:val="18"/>
          <w:szCs w:val="18"/>
          <w:u w:val="single" w:color="auto"/>
          <w:color w:val="0000FF"/>
        </w:rPr>
        <w:t xml:space="preserve"> </w:t>
      </w:r>
      <w:hyperlink r:id="rId509">
        <w:r>
          <w:rPr>
            <w:rFonts w:ascii="Times New Roman" w:cs="Times New Roman" w:eastAsia="Times New Roman" w:hAnsi="Times New Roman"/>
            <w:sz w:val="18"/>
            <w:szCs w:val="18"/>
            <w:u w:val="single" w:color="auto"/>
            <w:color w:val="0000FF"/>
          </w:rPr>
          <w:t>dated August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3610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0">
                      <a:extLst>
                        <a:ext uri="{28A0092B-C50C-407E-A947-70E740481C1C}"/>
                      </a:extLst>
                    </a:blip>
                    <a:srcRect/>
                    <a:stretch>
                      <a:fillRect/>
                    </a:stretch>
                  </pic:blipFill>
                  <pic:spPr bwMode="auto">
                    <a:xfrm>
                      <a:off x="0" y="0"/>
                      <a:ext cx="336105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0344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1">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spacing w:after="0" w:line="7" w:lineRule="exact"/>
        <w:rPr>
          <w:sz w:val="20"/>
          <w:szCs w:val="20"/>
          <w:color w:val="auto"/>
        </w:rPr>
      </w:pPr>
    </w:p>
    <w:p>
      <w:pPr>
        <w:ind w:left="1160" w:right="40" w:hanging="89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512">
        <w:r>
          <w:rPr>
            <w:rFonts w:ascii="Times New Roman" w:cs="Times New Roman" w:eastAsia="Times New Roman" w:hAnsi="Times New Roman"/>
            <w:sz w:val="18"/>
            <w:szCs w:val="18"/>
            <w:u w:val="single" w:color="auto"/>
            <w:color w:val="0000FF"/>
          </w:rPr>
          <w:t>Offer Letter, by and between the registrant and Javier Szwarcberg, M.D.,</w:t>
        </w:r>
      </w:hyperlink>
      <w:r>
        <w:rPr>
          <w:rFonts w:ascii="Times New Roman" w:cs="Times New Roman" w:eastAsia="Times New Roman" w:hAnsi="Times New Roman"/>
          <w:sz w:val="18"/>
          <w:szCs w:val="18"/>
          <w:u w:val="single" w:color="auto"/>
          <w:color w:val="0000FF"/>
        </w:rPr>
        <w:t xml:space="preserve"> </w:t>
      </w:r>
      <w:hyperlink r:id="rId512">
        <w:r>
          <w:rPr>
            <w:rFonts w:ascii="Times New Roman" w:cs="Times New Roman" w:eastAsia="Times New Roman" w:hAnsi="Times New Roman"/>
            <w:sz w:val="18"/>
            <w:szCs w:val="18"/>
            <w:u w:val="single" w:color="auto"/>
            <w:color w:val="0000FF"/>
          </w:rPr>
          <w:t>MPH, dated December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3604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336042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4789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7" w:lineRule="exact"/>
        <w:rPr>
          <w:sz w:val="20"/>
          <w:szCs w:val="20"/>
          <w:color w:val="auto"/>
        </w:rPr>
      </w:pPr>
    </w:p>
    <w:p>
      <w:pPr>
        <w:ind w:left="1160" w:right="320" w:hanging="89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515">
        <w:r>
          <w:rPr>
            <w:rFonts w:ascii="Times New Roman" w:cs="Times New Roman" w:eastAsia="Times New Roman" w:hAnsi="Times New Roman"/>
            <w:sz w:val="18"/>
            <w:szCs w:val="18"/>
            <w:u w:val="single" w:color="auto"/>
            <w:color w:val="0000FF"/>
          </w:rPr>
          <w:t>Amendment to Offer Letter, by and between the registrant and Javier</w:t>
        </w:r>
      </w:hyperlink>
      <w:r>
        <w:rPr>
          <w:rFonts w:ascii="Times New Roman" w:cs="Times New Roman" w:eastAsia="Times New Roman" w:hAnsi="Times New Roman"/>
          <w:sz w:val="18"/>
          <w:szCs w:val="18"/>
          <w:u w:val="single" w:color="auto"/>
          <w:color w:val="0000FF"/>
        </w:rPr>
        <w:t xml:space="preserve"> </w:t>
      </w:r>
      <w:hyperlink r:id="rId515">
        <w:r>
          <w:rPr>
            <w:rFonts w:ascii="Times New Roman" w:cs="Times New Roman" w:eastAsia="Times New Roman" w:hAnsi="Times New Roman"/>
            <w:sz w:val="18"/>
            <w:szCs w:val="18"/>
            <w:u w:val="single" w:color="auto"/>
            <w:color w:val="0000FF"/>
          </w:rPr>
          <w:t>Szwarcberg, M.D., MPH, dated April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17881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317881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20859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2085975" cy="8255"/>
                    </a:xfrm>
                    <a:prstGeom prst="rect">
                      <a:avLst/>
                    </a:prstGeom>
                    <a:noFill/>
                  </pic:spPr>
                </pic:pic>
              </a:graphicData>
            </a:graphic>
          </wp:anchor>
        </w:drawing>
      </w:r>
    </w:p>
    <w:p>
      <w:pPr>
        <w:spacing w:after="0" w:line="7" w:lineRule="exact"/>
        <w:rPr>
          <w:sz w:val="20"/>
          <w:szCs w:val="20"/>
          <w:color w:val="auto"/>
        </w:rPr>
      </w:pPr>
    </w:p>
    <w:p>
      <w:pPr>
        <w:ind w:left="1160" w:right="420" w:hanging="887"/>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518">
        <w:r>
          <w:rPr>
            <w:rFonts w:ascii="Times New Roman" w:cs="Times New Roman" w:eastAsia="Times New Roman" w:hAnsi="Times New Roman"/>
            <w:sz w:val="18"/>
            <w:szCs w:val="18"/>
            <w:u w:val="single" w:color="auto"/>
            <w:color w:val="0000FF"/>
          </w:rPr>
          <w:t>License Agreement, by and between the registrant and Eli Lilly and</w:t>
        </w:r>
      </w:hyperlink>
      <w:r>
        <w:rPr>
          <w:rFonts w:ascii="Times New Roman" w:cs="Times New Roman" w:eastAsia="Times New Roman" w:hAnsi="Times New Roman"/>
          <w:sz w:val="18"/>
          <w:szCs w:val="18"/>
          <w:u w:val="single" w:color="auto"/>
          <w:color w:val="0000FF"/>
        </w:rPr>
        <w:t xml:space="preserve"> </w:t>
      </w:r>
      <w:hyperlink r:id="rId518">
        <w:r>
          <w:rPr>
            <w:rFonts w:ascii="Times New Roman" w:cs="Times New Roman" w:eastAsia="Times New Roman" w:hAnsi="Times New Roman"/>
            <w:sz w:val="18"/>
            <w:szCs w:val="18"/>
            <w:u w:val="single" w:color="auto"/>
            <w:color w:val="0000FF"/>
          </w:rPr>
          <w:t>Company, dated May 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1216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35064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7" w:lineRule="exact"/>
        <w:rPr>
          <w:sz w:val="20"/>
          <w:szCs w:val="20"/>
          <w:color w:val="auto"/>
        </w:rPr>
      </w:pPr>
    </w:p>
    <w:p>
      <w:pPr>
        <w:ind w:left="1160" w:right="60" w:hanging="842"/>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521">
        <w:r>
          <w:rPr>
            <w:rFonts w:ascii="Times New Roman" w:cs="Times New Roman" w:eastAsia="Times New Roman" w:hAnsi="Times New Roman"/>
            <w:sz w:val="18"/>
            <w:szCs w:val="18"/>
            <w:u w:val="single" w:color="auto"/>
            <w:color w:val="0000FF"/>
          </w:rPr>
          <w:t>Loan and Security Agreement, by and between the registrant and Silicon</w:t>
        </w:r>
      </w:hyperlink>
      <w:r>
        <w:rPr>
          <w:rFonts w:ascii="Times New Roman" w:cs="Times New Roman" w:eastAsia="Times New Roman" w:hAnsi="Times New Roman"/>
          <w:sz w:val="18"/>
          <w:szCs w:val="18"/>
          <w:u w:val="single" w:color="auto"/>
          <w:color w:val="0000FF"/>
        </w:rPr>
        <w:t xml:space="preserve"> </w:t>
      </w:r>
      <w:hyperlink r:id="rId521">
        <w:r>
          <w:rPr>
            <w:rFonts w:ascii="Times New Roman" w:cs="Times New Roman" w:eastAsia="Times New Roman" w:hAnsi="Times New Roman"/>
            <w:sz w:val="18"/>
            <w:szCs w:val="18"/>
            <w:u w:val="single" w:color="auto"/>
            <w:color w:val="0000FF"/>
          </w:rPr>
          <w:t>Valley Bank, dated September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3502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33502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84023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1840230" cy="8255"/>
                    </a:xfrm>
                    <a:prstGeom prst="rect">
                      <a:avLst/>
                    </a:prstGeom>
                    <a:noFill/>
                  </pic:spPr>
                </pic:pic>
              </a:graphicData>
            </a:graphic>
          </wp:anchor>
        </w:drawing>
      </w:r>
    </w:p>
    <w:p>
      <w:pPr>
        <w:spacing w:after="0" w:line="7" w:lineRule="exact"/>
        <w:rPr>
          <w:sz w:val="20"/>
          <w:szCs w:val="20"/>
          <w:color w:val="auto"/>
        </w:rPr>
      </w:pPr>
    </w:p>
    <w:p>
      <w:pPr>
        <w:ind w:left="1160" w:right="140" w:hanging="842"/>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524">
        <w:r>
          <w:rPr>
            <w:rFonts w:ascii="Times New Roman" w:cs="Times New Roman" w:eastAsia="Times New Roman" w:hAnsi="Times New Roman"/>
            <w:sz w:val="18"/>
            <w:szCs w:val="18"/>
            <w:u w:val="single" w:color="auto"/>
            <w:color w:val="0000FF"/>
          </w:rPr>
          <w:t>First Amendment to Loan and Security Agreement, by and between the</w:t>
        </w:r>
      </w:hyperlink>
      <w:r>
        <w:rPr>
          <w:rFonts w:ascii="Times New Roman" w:cs="Times New Roman" w:eastAsia="Times New Roman" w:hAnsi="Times New Roman"/>
          <w:sz w:val="18"/>
          <w:szCs w:val="18"/>
          <w:u w:val="single" w:color="auto"/>
          <w:color w:val="0000FF"/>
        </w:rPr>
        <w:t xml:space="preserve"> </w:t>
      </w:r>
      <w:hyperlink r:id="rId524">
        <w:r>
          <w:rPr>
            <w:rFonts w:ascii="Times New Roman" w:cs="Times New Roman" w:eastAsia="Times New Roman" w:hAnsi="Times New Roman"/>
            <w:sz w:val="18"/>
            <w:szCs w:val="18"/>
            <w:u w:val="single" w:color="auto"/>
            <w:color w:val="0000FF"/>
          </w:rPr>
          <w:t>registrant and Silicon Valley Bank dated March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29374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5">
                      <a:extLst>
                        <a:ext uri="{28A0092B-C50C-407E-A947-70E740481C1C}"/>
                      </a:extLst>
                    </a:blip>
                    <a:srcRect/>
                    <a:stretch>
                      <a:fillRect/>
                    </a:stretch>
                  </pic:blipFill>
                  <pic:spPr bwMode="auto">
                    <a:xfrm>
                      <a:off x="0" y="0"/>
                      <a:ext cx="329374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25984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6">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7" w:lineRule="exact"/>
        <w:rPr>
          <w:sz w:val="20"/>
          <w:szCs w:val="20"/>
          <w:color w:val="auto"/>
        </w:rPr>
      </w:pPr>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527">
        <w:r>
          <w:rPr>
            <w:rFonts w:ascii="Times New Roman" w:cs="Times New Roman" w:eastAsia="Times New Roman" w:hAnsi="Times New Roman"/>
            <w:sz w:val="18"/>
            <w:szCs w:val="18"/>
            <w:u w:val="single" w:color="auto"/>
            <w:color w:val="0000FF"/>
          </w:rPr>
          <w:t>Second Amendment to Loan and Security Agreement, by and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251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8">
                      <a:extLst>
                        <a:ext uri="{28A0092B-C50C-407E-A947-70E740481C1C}"/>
                      </a:extLst>
                    </a:blip>
                    <a:srcRect/>
                    <a:stretch>
                      <a:fillRect/>
                    </a:stretch>
                  </pic:blipFill>
                  <pic:spPr bwMode="auto">
                    <a:xfrm>
                      <a:off x="0" y="0"/>
                      <a:ext cx="3251835" cy="8255"/>
                    </a:xfrm>
                    <a:prstGeom prst="rect">
                      <a:avLst/>
                    </a:prstGeom>
                    <a:noFill/>
                  </pic:spPr>
                </pic:pic>
              </a:graphicData>
            </a:graphic>
          </wp:anchor>
        </w:drawing>
      </w:r>
    </w:p>
    <w:p>
      <w:pPr>
        <w:spacing w:after="0" w:line="7"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527">
        <w:r>
          <w:rPr>
            <w:rFonts w:ascii="Times New Roman" w:cs="Times New Roman" w:eastAsia="Times New Roman" w:hAnsi="Times New Roman"/>
            <w:sz w:val="18"/>
            <w:szCs w:val="18"/>
            <w:u w:val="single" w:color="auto"/>
            <w:color w:val="0000FF"/>
          </w:rPr>
          <w:t>the registrant and Silicon Valley Bank dated May 10,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267779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9">
                      <a:extLst>
                        <a:ext uri="{28A0092B-C50C-407E-A947-70E740481C1C}"/>
                      </a:extLst>
                    </a:blip>
                    <a:srcRect/>
                    <a:stretch>
                      <a:fillRect/>
                    </a:stretch>
                  </pic:blipFill>
                  <pic:spPr bwMode="auto">
                    <a:xfrm>
                      <a:off x="0" y="0"/>
                      <a:ext cx="2677795" cy="8890"/>
                    </a:xfrm>
                    <a:prstGeom prst="rect">
                      <a:avLst/>
                    </a:prstGeom>
                    <a:noFill/>
                  </pic:spPr>
                </pic:pic>
              </a:graphicData>
            </a:graphic>
          </wp:anchor>
        </w:drawing>
      </w:r>
    </w:p>
    <w:p>
      <w:pPr>
        <w:spacing w:after="0" w:line="18" w:lineRule="exact"/>
        <w:rPr>
          <w:sz w:val="20"/>
          <w:szCs w:val="20"/>
          <w:color w:val="auto"/>
        </w:rPr>
      </w:pPr>
    </w:p>
    <w:p>
      <w:pPr>
        <w:ind w:left="1160" w:right="440" w:hanging="842"/>
        <w:spacing w:after="0" w:line="241"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530">
        <w:r>
          <w:rPr>
            <w:rFonts w:ascii="Times New Roman" w:cs="Times New Roman" w:eastAsia="Times New Roman" w:hAnsi="Times New Roman"/>
            <w:sz w:val="18"/>
            <w:szCs w:val="18"/>
            <w:u w:val="single" w:color="auto"/>
            <w:color w:val="0000FF"/>
          </w:rPr>
          <w:t>Open Market Sale Agreement</w:t>
        </w:r>
        <w:r>
          <w:rPr>
            <w:rFonts w:ascii="Times New Roman" w:cs="Times New Roman" w:eastAsia="Times New Roman" w:hAnsi="Times New Roman"/>
            <w:sz w:val="24"/>
            <w:szCs w:val="24"/>
            <w:u w:val="single" w:color="auto"/>
            <w:color w:val="0000FF"/>
            <w:vertAlign w:val="superscript"/>
          </w:rPr>
          <w:t>SM</w:t>
        </w:r>
        <w:r>
          <w:rPr>
            <w:rFonts w:ascii="Times New Roman" w:cs="Times New Roman" w:eastAsia="Times New Roman" w:hAnsi="Times New Roman"/>
            <w:sz w:val="18"/>
            <w:szCs w:val="18"/>
            <w:u w:val="single" w:color="auto"/>
            <w:color w:val="0000FF"/>
          </w:rPr>
          <w:t>, by and between the registrant and</w:t>
        </w:r>
      </w:hyperlink>
      <w:r>
        <w:rPr>
          <w:rFonts w:ascii="Times New Roman" w:cs="Times New Roman" w:eastAsia="Times New Roman" w:hAnsi="Times New Roman"/>
          <w:sz w:val="18"/>
          <w:szCs w:val="18"/>
          <w:u w:val="single" w:color="auto"/>
          <w:color w:val="0000FF"/>
        </w:rPr>
        <w:t xml:space="preserve"> </w:t>
      </w:r>
      <w:hyperlink r:id="rId530">
        <w:r>
          <w:rPr>
            <w:rFonts w:ascii="Times New Roman" w:cs="Times New Roman" w:eastAsia="Times New Roman" w:hAnsi="Times New Roman"/>
            <w:sz w:val="18"/>
            <w:szCs w:val="18"/>
            <w:u w:val="single" w:color="auto"/>
            <w:color w:val="0000FF"/>
          </w:rPr>
          <w:t>Jefferies LLC, dated February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-163195</wp:posOffset>
            </wp:positionV>
            <wp:extent cx="310197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1">
                      <a:extLst>
                        <a:ext uri="{28A0092B-C50C-407E-A947-70E740481C1C}"/>
                      </a:extLst>
                    </a:blip>
                    <a:srcRect/>
                    <a:stretch>
                      <a:fillRect/>
                    </a:stretch>
                  </pic:blipFill>
                  <pic:spPr bwMode="auto">
                    <a:xfrm>
                      <a:off x="0" y="0"/>
                      <a:ext cx="310197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-26035</wp:posOffset>
            </wp:positionV>
            <wp:extent cx="18034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2">
                      <a:extLst>
                        <a:ext uri="{28A0092B-C50C-407E-A947-70E740481C1C}"/>
                      </a:extLst>
                    </a:blip>
                    <a:srcRect/>
                    <a:stretch>
                      <a:fillRect/>
                    </a:stretch>
                  </pic:blipFill>
                  <pic:spPr bwMode="auto">
                    <a:xfrm>
                      <a:off x="0" y="0"/>
                      <a:ext cx="1803400" cy="889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-222885</wp:posOffset>
            </wp:positionV>
            <wp:extent cx="1104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3">
                      <a:extLst>
                        <a:ext uri="{28A0092B-C50C-407E-A947-70E740481C1C}"/>
                      </a:extLst>
                    </a:blip>
                    <a:srcRect/>
                    <a:stretch>
                      <a:fillRect/>
                    </a:stretch>
                  </pic:blipFill>
                  <pic:spPr bwMode="auto">
                    <a:xfrm>
                      <a:off x="0" y="0"/>
                      <a:ext cx="110490" cy="8890"/>
                    </a:xfrm>
                    <a:prstGeom prst="rect">
                      <a:avLst/>
                    </a:prstGeom>
                    <a:noFill/>
                  </pic:spPr>
                </pic:pic>
              </a:graphicData>
            </a:graphic>
          </wp:anchor>
        </w:drawing>
      </w:r>
    </w:p>
    <w:p>
      <w:pPr>
        <w:spacing w:after="0" w:line="42" w:lineRule="exact"/>
        <w:rPr>
          <w:sz w:val="20"/>
          <w:szCs w:val="20"/>
          <w:color w:val="auto"/>
        </w:rPr>
      </w:pPr>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534">
        <w:r>
          <w:rPr>
            <w:rFonts w:ascii="Times New Roman" w:cs="Times New Roman" w:eastAsia="Times New Roman" w:hAnsi="Times New Roman"/>
            <w:sz w:val="17"/>
            <w:szCs w:val="17"/>
            <w:u w:val="single" w:color="auto"/>
            <w:color w:val="0000FF"/>
          </w:rPr>
          <w:t>Separation and Release Agreement, dated March 11, 2022, by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0511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5">
                      <a:extLst>
                        <a:ext uri="{28A0092B-C50C-407E-A947-70E740481C1C}"/>
                      </a:extLst>
                    </a:blip>
                    <a:srcRect/>
                    <a:stretch>
                      <a:fillRect/>
                    </a:stretch>
                  </pic:blipFill>
                  <pic:spPr bwMode="auto">
                    <a:xfrm>
                      <a:off x="0" y="0"/>
                      <a:ext cx="3051175" cy="8255"/>
                    </a:xfrm>
                    <a:prstGeom prst="rect">
                      <a:avLst/>
                    </a:prstGeom>
                    <a:noFill/>
                  </pic:spPr>
                </pic:pic>
              </a:graphicData>
            </a:graphic>
          </wp:anchor>
        </w:drawing>
      </w:r>
    </w:p>
    <w:p>
      <w:pPr>
        <w:spacing w:after="0" w:line="7"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534">
        <w:r>
          <w:rPr>
            <w:rFonts w:ascii="Times New Roman" w:cs="Times New Roman" w:eastAsia="Times New Roman" w:hAnsi="Times New Roman"/>
            <w:sz w:val="18"/>
            <w:szCs w:val="18"/>
            <w:u w:val="single" w:color="auto"/>
            <w:color w:val="0000FF"/>
          </w:rPr>
          <w:t>between the registrant and Rosh Dias, M.D., M.R.C.P.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247840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52" w:lineRule="exact"/>
        <w:rPr>
          <w:sz w:val="20"/>
          <w:szCs w:val="20"/>
          <w:color w:val="auto"/>
        </w:rPr>
      </w:pPr>
    </w:p>
    <w:p>
      <w:pPr>
        <w:ind w:left="1160" w:right="140" w:hanging="89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537">
        <w:r>
          <w:rPr>
            <w:rFonts w:ascii="Times New Roman" w:cs="Times New Roman" w:eastAsia="Times New Roman" w:hAnsi="Times New Roman"/>
            <w:sz w:val="18"/>
            <w:szCs w:val="18"/>
            <w:u w:val="single" w:color="auto"/>
            <w:color w:val="0000FF"/>
          </w:rPr>
          <w:t>Offer Letter, by and between the registrant and Ralph William Charlton</w:t>
        </w:r>
      </w:hyperlink>
      <w:r>
        <w:rPr>
          <w:rFonts w:ascii="Times New Roman" w:cs="Times New Roman" w:eastAsia="Times New Roman" w:hAnsi="Times New Roman"/>
          <w:sz w:val="18"/>
          <w:szCs w:val="18"/>
          <w:u w:val="single" w:color="auto"/>
          <w:color w:val="0000FF"/>
        </w:rPr>
        <w:t xml:space="preserve"> </w:t>
      </w:r>
      <w:hyperlink r:id="rId537">
        <w:r>
          <w:rPr>
            <w:rFonts w:ascii="Times New Roman" w:cs="Times New Roman" w:eastAsia="Times New Roman" w:hAnsi="Times New Roman"/>
            <w:sz w:val="18"/>
            <w:szCs w:val="18"/>
            <w:u w:val="single" w:color="auto"/>
            <w:color w:val="0000FF"/>
          </w:rPr>
          <w:t>III, M.D., M.A.S., dated March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2943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329438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8624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1862455" cy="8890"/>
                    </a:xfrm>
                    <a:prstGeom prst="rect">
                      <a:avLst/>
                    </a:prstGeom>
                    <a:noFill/>
                  </pic:spPr>
                </pic:pic>
              </a:graphicData>
            </a:graphic>
          </wp:anchor>
        </w:drawing>
      </w:r>
    </w:p>
    <w:p>
      <w:pPr>
        <w:spacing w:after="0" w:line="3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October 5, 2020</w:t>
            </w:r>
          </w:p>
        </w:tc>
      </w:tr>
      <w:tr>
        <w:trPr>
          <w:trHeight w:val="297"/>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22, 2021</w:t>
            </w:r>
          </w:p>
        </w:tc>
      </w:tr>
      <w:tr>
        <w:trPr>
          <w:trHeight w:val="513"/>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January 5, 2022</w:t>
            </w:r>
          </w:p>
        </w:tc>
      </w:tr>
      <w:tr>
        <w:trPr>
          <w:trHeight w:val="72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May 11, 2022</w:t>
            </w:r>
          </w:p>
        </w:tc>
      </w:tr>
      <w:tr>
        <w:trPr>
          <w:trHeight w:val="495"/>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97"/>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January 5, 2022</w:t>
            </w:r>
          </w:p>
        </w:tc>
      </w:tr>
      <w:tr>
        <w:trPr>
          <w:trHeight w:val="513"/>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April 8, 2022</w:t>
            </w:r>
          </w:p>
        </w:tc>
      </w:tr>
      <w:tr>
        <w:trPr>
          <w:trHeight w:val="495"/>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79"/>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333-248924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3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September 18,</w:t>
            </w:r>
          </w:p>
        </w:tc>
      </w:tr>
      <w:tr>
        <w:trPr>
          <w:trHeight w:val="234"/>
        </w:trPr>
        <w:tc>
          <w:tcPr>
            <w:tcW w:w="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97"/>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22, 2021</w:t>
            </w:r>
          </w:p>
        </w:tc>
      </w:tr>
      <w:tr>
        <w:trPr>
          <w:trHeight w:val="513"/>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May 11, 2022</w:t>
            </w:r>
          </w:p>
        </w:tc>
      </w:tr>
      <w:tr>
        <w:trPr>
          <w:trHeight w:val="513"/>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14, 2022</w:t>
            </w:r>
          </w:p>
        </w:tc>
      </w:tr>
      <w:tr>
        <w:trPr>
          <w:trHeight w:val="513"/>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14, 2022</w:t>
            </w:r>
          </w:p>
        </w:tc>
      </w:tr>
      <w:tr>
        <w:trPr>
          <w:trHeight w:val="513"/>
        </w:trPr>
        <w:tc>
          <w:tcPr>
            <w:tcW w:w="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001-39594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March 14, 2022</w:t>
            </w:r>
          </w:p>
        </w:tc>
      </w:tr>
    </w:tbl>
    <w:p>
      <w:pPr>
        <w:sectPr>
          <w:pgSz w:w="11900" w:h="16838" w:orient="portrait"/>
          <w:cols w:equalWidth="0" w:num="2">
            <w:col w:w="6440" w:space="380"/>
            <w:col w:w="4360"/>
          </w:cols>
          <w:pgMar w:left="320" w:top="769" w:right="39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68"/>
        </w:trPr>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10.26</w:t>
            </w:r>
          </w:p>
        </w:tc>
        <w:tc>
          <w:tcPr>
            <w:tcW w:w="5260" w:type="dxa"/>
            <w:vAlign w:val="bottom"/>
            <w:gridSpan w:val="7"/>
          </w:tcPr>
          <w:p>
            <w:pPr>
              <w:spacing w:after="0"/>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Lease Agreement, by and between the registrant and 611 Gateway</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December 2,</w:t>
            </w:r>
          </w:p>
        </w:tc>
      </w:tr>
      <w:tr>
        <w:trPr>
          <w:trHeight w:val="20"/>
        </w:trPr>
        <w:tc>
          <w:tcPr>
            <w:tcW w:w="1180" w:type="dxa"/>
            <w:vAlign w:val="bottom"/>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260" w:type="dxa"/>
            <w:vAlign w:val="bottom"/>
            <w:gridSpan w:val="7"/>
          </w:tcPr>
          <w:p>
            <w:pPr>
              <w:spacing w:after="0" w:line="196" w:lineRule="exact"/>
              <w:rPr>
                <w:rFonts w:ascii="Times New Roman" w:cs="Times New Roman" w:eastAsia="Times New Roman" w:hAnsi="Times New Roman"/>
                <w:sz w:val="18"/>
                <w:szCs w:val="18"/>
                <w:color w:val="0000FF"/>
              </w:rPr>
            </w:pPr>
            <w:hyperlink r:id="rId541">
              <w:r>
                <w:rPr>
                  <w:rFonts w:ascii="Times New Roman" w:cs="Times New Roman" w:eastAsia="Times New Roman" w:hAnsi="Times New Roman"/>
                  <w:sz w:val="18"/>
                  <w:szCs w:val="18"/>
                  <w:color w:val="0000FF"/>
                </w:rPr>
                <w:t>Center LP, dated December 1, 2022</w:t>
              </w:r>
            </w:hyperlink>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9"/>
              </w:rPr>
              <w:t>2022</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10.27#</w:t>
            </w:r>
          </w:p>
        </w:tc>
        <w:tc>
          <w:tcPr>
            <w:tcW w:w="5260" w:type="dxa"/>
            <w:vAlign w:val="bottom"/>
            <w:gridSpan w:val="7"/>
          </w:tcPr>
          <w:p>
            <w:pPr>
              <w:spacing w:after="0"/>
              <w:rPr>
                <w:rFonts w:ascii="Times New Roman" w:cs="Times New Roman" w:eastAsia="Times New Roman" w:hAnsi="Times New Roman"/>
                <w:sz w:val="18"/>
                <w:szCs w:val="18"/>
                <w:color w:val="0000FF"/>
                <w:w w:val="99"/>
              </w:rPr>
            </w:pPr>
            <w:hyperlink r:id="rId542">
              <w:r>
                <w:rPr>
                  <w:rFonts w:ascii="Times New Roman" w:cs="Times New Roman" w:eastAsia="Times New Roman" w:hAnsi="Times New Roman"/>
                  <w:sz w:val="18"/>
                  <w:szCs w:val="18"/>
                  <w:color w:val="0000FF"/>
                  <w:w w:val="99"/>
                </w:rPr>
                <w:t>Collaboration and License Agreement, by and between the registrant and</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10.27</w:t>
            </w:r>
          </w:p>
        </w:tc>
        <w:tc>
          <w:tcPr>
            <w:tcW w:w="1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March 16, 2023</w:t>
            </w:r>
          </w:p>
        </w:tc>
      </w:tr>
      <w:tr>
        <w:trPr>
          <w:trHeight w:val="20"/>
        </w:trPr>
        <w:tc>
          <w:tcPr>
            <w:tcW w:w="1180" w:type="dxa"/>
            <w:vAlign w:val="bottom"/>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260" w:type="dxa"/>
            <w:vAlign w:val="bottom"/>
            <w:gridSpan w:val="7"/>
          </w:tcPr>
          <w:p>
            <w:pPr>
              <w:spacing w:after="0" w:line="196" w:lineRule="exact"/>
              <w:rPr>
                <w:rFonts w:ascii="Times New Roman" w:cs="Times New Roman" w:eastAsia="Times New Roman" w:hAnsi="Times New Roman"/>
                <w:sz w:val="18"/>
                <w:szCs w:val="18"/>
                <w:color w:val="0000FF"/>
              </w:rPr>
            </w:pPr>
            <w:hyperlink r:id="rId542">
              <w:r>
                <w:rPr>
                  <w:rFonts w:ascii="Times New Roman" w:cs="Times New Roman" w:eastAsia="Times New Roman" w:hAnsi="Times New Roman"/>
                  <w:sz w:val="18"/>
                  <w:szCs w:val="18"/>
                  <w:color w:val="0000FF"/>
                </w:rPr>
                <w:t>Kaken Pharmaceutical Co., LTD., dated January 5, 2023</w:t>
              </w:r>
            </w:hyperlink>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77"/>
        </w:trPr>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10.28</w:t>
            </w:r>
          </w:p>
        </w:tc>
        <w:tc>
          <w:tcPr>
            <w:tcW w:w="5260" w:type="dxa"/>
            <w:vAlign w:val="bottom"/>
            <w:gridSpan w:val="7"/>
          </w:tcPr>
          <w:p>
            <w:pPr>
              <w:spacing w:after="0"/>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Securities Purchase Agreement, dated February 8, 2023, by and among</w:t>
              </w:r>
            </w:hyperlink>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001-39594</w:t>
            </w: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February 8, 2023</w:t>
            </w:r>
          </w:p>
        </w:tc>
      </w:tr>
      <w:tr>
        <w:trPr>
          <w:trHeight w:val="20"/>
        </w:trPr>
        <w:tc>
          <w:tcPr>
            <w:tcW w:w="1180" w:type="dxa"/>
            <w:vAlign w:val="bottom"/>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260" w:type="dxa"/>
            <w:vAlign w:val="bottom"/>
            <w:gridSpan w:val="7"/>
          </w:tcPr>
          <w:p>
            <w:pPr>
              <w:spacing w:after="0" w:line="196" w:lineRule="exact"/>
              <w:rPr>
                <w:rFonts w:ascii="Times New Roman" w:cs="Times New Roman" w:eastAsia="Times New Roman" w:hAnsi="Times New Roman"/>
                <w:sz w:val="18"/>
                <w:szCs w:val="18"/>
                <w:color w:val="0000FF"/>
              </w:rPr>
            </w:pPr>
            <w:hyperlink r:id="rId543">
              <w:r>
                <w:rPr>
                  <w:rFonts w:ascii="Times New Roman" w:cs="Times New Roman" w:eastAsia="Times New Roman" w:hAnsi="Times New Roman"/>
                  <w:sz w:val="18"/>
                  <w:szCs w:val="18"/>
                  <w:color w:val="0000FF"/>
                </w:rPr>
                <w:t>Spruce Biosciences, Inc. and the Purchasers</w:t>
              </w:r>
            </w:hyperlink>
          </w:p>
        </w:tc>
        <w:tc>
          <w:tcPr>
            <w:tcW w:w="1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1220"/>
          </w:cols>
          <w:pgMar w:left="320" w:top="756" w:right="359" w:bottom="1440" w:gutter="0" w:footer="0" w:header="0"/>
        </w:sectPr>
      </w:pPr>
    </w:p>
    <w:p>
      <w:pPr>
        <w:ind w:left="1160" w:right="1460" w:hanging="79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BDO USA, P.C.,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2334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4">
                      <a:extLst>
                        <a:ext uri="{28A0092B-C50C-407E-A947-70E740481C1C}"/>
                      </a:extLst>
                    </a:blip>
                    <a:srcRect/>
                    <a:stretch>
                      <a:fillRect/>
                    </a:stretch>
                  </pic:blipFill>
                  <pic:spPr bwMode="auto">
                    <a:xfrm>
                      <a:off x="0" y="0"/>
                      <a:ext cx="323342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9685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5">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(see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18370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6">
                      <a:extLst>
                        <a:ext uri="{28A0092B-C50C-407E-A947-70E740481C1C}"/>
                      </a:extLst>
                    </a:blip>
                    <a:srcRect/>
                    <a:stretch>
                      <a:fillRect/>
                    </a:stretch>
                  </pic:blipFill>
                  <pic:spPr bwMode="auto">
                    <a:xfrm>
                      <a:off x="0" y="0"/>
                      <a:ext cx="1837055" cy="8255"/>
                    </a:xfrm>
                    <a:prstGeom prst="rect">
                      <a:avLst/>
                    </a:prstGeom>
                    <a:noFill/>
                  </pic:spPr>
                </pic:pic>
              </a:graphicData>
            </a:graphic>
          </wp:anchor>
        </w:drawing>
      </w:r>
    </w:p>
    <w:p>
      <w:pPr>
        <w:spacing w:after="0" w:line="70" w:lineRule="exact"/>
        <w:rPr>
          <w:sz w:val="20"/>
          <w:szCs w:val="20"/>
          <w:color w:val="auto"/>
        </w:rPr>
      </w:pPr>
    </w:p>
    <w:p>
      <w:pPr>
        <w:ind w:left="1160" w:right="1320" w:hanging="79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-313055</wp:posOffset>
            </wp:positionV>
            <wp:extent cx="33197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7">
                      <a:extLst>
                        <a:ext uri="{28A0092B-C50C-407E-A947-70E740481C1C}"/>
                      </a:extLst>
                    </a:blip>
                    <a:srcRect/>
                    <a:stretch>
                      <a:fillRect/>
                    </a:stretch>
                  </pic:blipFill>
                  <pic:spPr bwMode="auto">
                    <a:xfrm>
                      <a:off x="0" y="0"/>
                      <a:ext cx="331978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-175895</wp:posOffset>
            </wp:positionV>
            <wp:extent cx="32359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8">
                      <a:extLst>
                        <a:ext uri="{28A0092B-C50C-407E-A947-70E740481C1C}"/>
                      </a:extLst>
                    </a:blip>
                    <a:srcRect/>
                    <a:stretch>
                      <a:fillRect/>
                    </a:stretch>
                  </pic:blipFill>
                  <pic:spPr bwMode="auto">
                    <a:xfrm>
                      <a:off x="0" y="0"/>
                      <a:ext cx="32359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-38735</wp:posOffset>
            </wp:positionV>
            <wp:extent cx="27133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9">
                      <a:extLst>
                        <a:ext uri="{28A0092B-C50C-407E-A947-70E740481C1C}"/>
                      </a:extLst>
                    </a:blip>
                    <a:srcRect/>
                    <a:stretch>
                      <a:fillRect/>
                    </a:stretch>
                  </pic:blipFill>
                  <pic:spPr bwMode="auto">
                    <a:xfrm>
                      <a:off x="0" y="0"/>
                      <a:ext cx="2713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441" w:lineRule="exact"/>
        <w:rPr>
          <w:sz w:val="20"/>
          <w:szCs w:val="20"/>
          <w:color w:val="auto"/>
        </w:rPr>
      </w:pPr>
    </w:p>
    <w:p>
      <w:pPr>
        <w:sectPr>
          <w:pgSz w:w="11900" w:h="16838" w:orient="portrait"/>
          <w:cols w:equalWidth="0" w:num="2">
            <w:col w:w="7660" w:space="720"/>
            <w:col w:w="2840"/>
          </w:cols>
          <w:pgMar w:left="320" w:top="756" w:right="35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31.2</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300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Pr>
          <w:p>
            <w:pPr>
              <w:spacing w:after="0"/>
              <w:rPr>
                <w:sz w:val="7"/>
                <w:szCs w:val="7"/>
                <w:color w:val="auto"/>
              </w:rPr>
            </w:pPr>
          </w:p>
        </w:tc>
        <w:tc>
          <w:tcPr>
            <w:tcW w:w="52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260" w:type="dxa"/>
            <w:vAlign w:val="bottom"/>
            <w:gridSpan w:val="8"/>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32.1†</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300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Pr>
          <w:p>
            <w:pPr>
              <w:spacing w:after="0"/>
              <w:rPr>
                <w:sz w:val="7"/>
                <w:szCs w:val="7"/>
                <w:color w:val="auto"/>
              </w:rPr>
            </w:pPr>
          </w:p>
        </w:tc>
        <w:tc>
          <w:tcPr>
            <w:tcW w:w="52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260" w:type="dxa"/>
            <w:vAlign w:val="bottom"/>
            <w:gridSpan w:val="8"/>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2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32.2†</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300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Pr>
          <w:p>
            <w:pPr>
              <w:spacing w:after="0"/>
              <w:rPr>
                <w:sz w:val="7"/>
                <w:szCs w:val="7"/>
                <w:color w:val="auto"/>
              </w:rPr>
            </w:pPr>
          </w:p>
        </w:tc>
        <w:tc>
          <w:tcPr>
            <w:tcW w:w="52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5260" w:type="dxa"/>
            <w:vAlign w:val="bottom"/>
            <w:gridSpan w:val="8"/>
            <w:vMerge w:val="continue"/>
          </w:tcPr>
          <w:p>
            <w:pPr>
              <w:spacing w:after="0"/>
              <w:rPr>
                <w:sz w:val="9"/>
                <w:szCs w:val="9"/>
                <w:color w:val="auto"/>
              </w:rPr>
            </w:pPr>
          </w:p>
        </w:tc>
        <w:tc>
          <w:tcPr>
            <w:tcW w:w="3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5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97</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Incentive Compensation Recoupment Policy</w:t>
            </w:r>
          </w:p>
        </w:tc>
        <w:tc>
          <w:tcPr>
            <w:tcW w:w="300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101.INS</w:t>
            </w:r>
          </w:p>
        </w:tc>
        <w:tc>
          <w:tcPr>
            <w:tcW w:w="52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1000" w:type="dxa"/>
            <w:vAlign w:val="bottom"/>
            <w:vMerge w:val="continue"/>
          </w:tcPr>
          <w:p>
            <w:pPr>
              <w:spacing w:after="0"/>
              <w:rPr>
                <w:sz w:val="24"/>
                <w:szCs w:val="24"/>
                <w:color w:val="auto"/>
              </w:rPr>
            </w:pPr>
          </w:p>
        </w:tc>
        <w:tc>
          <w:tcPr>
            <w:tcW w:w="5260" w:type="dxa"/>
            <w:vAlign w:val="bottom"/>
            <w:gridSpan w:val="8"/>
            <w:vMerge w:val="continue"/>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5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160" w:right="5420" w:hanging="780"/>
        <w:spacing w:after="0" w:line="282" w:lineRule="auto"/>
        <w:tabs>
          <w:tab w:leader="none" w:pos="1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4"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sz w:val="20"/>
          <w:szCs w:val="20"/>
          <w:color w:val="auto"/>
        </w:rPr>
      </w:pPr>
    </w:p>
    <w:p>
      <w:pPr>
        <w:ind w:right="120" w:firstLine="8"/>
        <w:spacing w:after="0" w:line="266" w:lineRule="auto"/>
        <w:tabs>
          <w:tab w:leader="none" w:pos="1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portions of this exhibit have been omitted by means of marking such portions with asterisks because the registrant has determined that the information is the type that the registrant customarily and actually treats as private or confidential and is not material.</w:t>
      </w:r>
    </w:p>
    <w:p>
      <w:pPr>
        <w:spacing w:after="0" w:line="68" w:lineRule="exact"/>
        <w:rPr>
          <w:sz w:val="20"/>
          <w:szCs w:val="20"/>
          <w:color w:val="auto"/>
        </w:rPr>
      </w:pPr>
    </w:p>
    <w:p>
      <w:pPr>
        <w:ind w:right="540" w:firstLine="8"/>
        <w:spacing w:after="0" w:line="282" w:lineRule="auto"/>
        <w:tabs>
          <w:tab w:leader="none" w:pos="1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undertakes to furnish supplemental copies of any of the omitted schedules upon request by the SEC.</w:t>
      </w:r>
    </w:p>
    <w:p>
      <w:pPr>
        <w:spacing w:after="0" w:line="54" w:lineRule="exact"/>
        <w:rPr>
          <w:sz w:val="20"/>
          <w:szCs w:val="20"/>
          <w:color w:val="auto"/>
        </w:rPr>
      </w:pPr>
    </w:p>
    <w:p>
      <w:pPr>
        <w:ind w:right="20" w:firstLine="8"/>
        <w:spacing w:after="0" w:line="266" w:lineRule="auto"/>
        <w:tabs>
          <w:tab w:leader="none" w:pos="1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Annual Report), unless the Registrant specifically incorporates the foregoing information into those documents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SPRUCE BIOSCIENCES, INC.</w:t>
            </w:r>
          </w:p>
        </w:tc>
      </w:tr>
      <w:tr>
        <w:trPr>
          <w:trHeight w:val="47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March 18, 2024</w:t>
            </w:r>
          </w:p>
        </w:tc>
        <w:tc>
          <w:tcPr>
            <w:tcW w:w="26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Javier Szwarcberg, M.D., MPH</w:t>
            </w:r>
          </w:p>
        </w:tc>
      </w:tr>
      <w:tr>
        <w:trPr>
          <w:trHeight w:val="205"/>
        </w:trPr>
        <w:tc>
          <w:tcPr>
            <w:tcW w:w="33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Javier Szwarcberg, M.D., MPH</w:t>
            </w:r>
          </w:p>
        </w:tc>
      </w:tr>
      <w:tr>
        <w:trPr>
          <w:trHeight w:val="234"/>
        </w:trPr>
        <w:tc>
          <w:tcPr>
            <w:tcW w:w="3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80" w:firstLine="629"/>
        <w:spacing w:after="0" w:line="219" w:lineRule="exact"/>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Javier Szwarcberg, M.D., MPH and Samir Gharib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substitute or substitutes, may lawfully do or cause to be done by virtue hereof.</w:t>
      </w:r>
    </w:p>
    <w:p>
      <w:pPr>
        <w:spacing w:after="0" w:line="9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769" w:right="3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35712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i w:val="1"/>
          <w:iCs w:val="1"/>
          <w:color w:val="auto"/>
        </w:rPr>
        <w:t>/s/ Javier Szwarcberg, M.D., MPH</w:t>
      </w:r>
    </w:p>
    <w:p>
      <w:pPr>
        <w:spacing w:after="0" w:line="5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Samir Gharib</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Michael Grey</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Michael Grey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Tiba Aynechi, Ph.D.</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Tiba Aynechi,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Percival Barretto-Ko</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Percival Barretto-Ko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Bali Muralidhar, M.D, Ph.D.</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Bali Muralidhar,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Niall O’Donnell, Ph.D.</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Niall O’Donnell,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Camilla V. Simpson, M.Sc.</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Camilla V. Simpson, M.Sc.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Daniel Spiegelman</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Daniel Spiegelman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Kirk Ways, M.D, Ph.D.</w:t>
      </w:r>
    </w:p>
    <w:p>
      <w:pPr>
        <w:spacing w:after="0" w:line="3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Kirk Ways,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3"/>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3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3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38"/>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Chairman</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56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56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56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56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56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56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r>
        <w:trPr>
          <w:trHeight w:val="56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r>
    </w:tbl>
    <w:p>
      <w:pPr>
        <w:spacing w:after="0" w:line="402" w:lineRule="exact"/>
        <w:rPr>
          <w:sz w:val="20"/>
          <w:szCs w:val="20"/>
          <w:color w:val="auto"/>
        </w:rPr>
      </w:pPr>
    </w:p>
    <w:p>
      <w:pPr>
        <w:sectPr>
          <w:pgSz w:w="11900" w:h="16838" w:orient="portrait"/>
          <w:cols w:equalWidth="0" w:num="2">
            <w:col w:w="3120" w:space="720"/>
            <w:col w:w="7400"/>
          </w:cols>
          <w:pgMar w:left="320" w:top="769"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9" w:name="page150"/>
    <w:bookmarkEnd w:id="149"/>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333-249431, 333-254593, 333-263534 and 333-270610) of Spruce Biosciences, Inc. of our report dated March 18, 2024, relating to the financial statements, which appears in this Annual Report on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Javier Szwarcberg, certify that:</w:t>
      </w:r>
    </w:p>
    <w:p>
      <w:pPr>
        <w:spacing w:after="0" w:line="225"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Spruce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500" w:val="left"/>
          <w:tab w:leader="none" w:pos="734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spacing w:after="0" w:line="3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Samir Gharib, certify that:</w:t>
      </w:r>
    </w:p>
    <w:p>
      <w:pPr>
        <w:spacing w:after="0" w:line="225"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Spruce Biosciences,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500" w:val="left"/>
          <w:tab w:leader="none" w:pos="800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Samir Gharib</w:t>
      </w:r>
    </w:p>
    <w:p>
      <w:pPr>
        <w:spacing w:after="0" w:line="36"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pacing w:after="0" w:line="3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Spruce Biosciences,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500" w:val="left"/>
          <w:tab w:leader="none" w:pos="734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Javier Szwarcberg,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Javier Szwarcberg, M.D., MPH</w:t>
      </w:r>
    </w:p>
    <w:p>
      <w:pPr>
        <w:spacing w:after="0" w:line="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Spruce Biosciences,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5400" w:val="left"/>
          <w:tab w:leader="none" w:pos="7940" w:val="left"/>
        </w:tabs>
        <w:rPr>
          <w:sz w:val="20"/>
          <w:szCs w:val="20"/>
          <w:color w:val="auto"/>
        </w:rPr>
      </w:pPr>
      <w:r>
        <w:rPr>
          <w:rFonts w:ascii="Times New Roman" w:cs="Times New Roman" w:eastAsia="Times New Roman" w:hAnsi="Times New Roman"/>
          <w:sz w:val="18"/>
          <w:szCs w:val="18"/>
          <w:color w:val="auto"/>
        </w:rPr>
        <w:t>Date: March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Samir Gharib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Samir Gharib</w:t>
      </w:r>
    </w:p>
    <w:p>
      <w:pPr>
        <w:spacing w:after="0" w:line="3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pacing w:after="0" w:line="36"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1044575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SPRUCE BIOSCIENCES,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0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Spruce Biosciences,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6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62"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189" w:lineRule="exact"/>
        <w:rPr>
          <w:sz w:val="20"/>
          <w:szCs w:val="20"/>
          <w:color w:val="auto"/>
        </w:rPr>
      </w:pPr>
    </w:p>
    <w:p>
      <w:pPr>
        <w:jc w:val="both"/>
        <w:ind w:firstLine="843"/>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6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4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188"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6" w:name="page157"/>
    <w:bookmarkEnd w:id="156"/>
    <w:p>
      <w:pPr>
        <w:jc w:val="both"/>
        <w:ind w:firstLine="757"/>
        <w:spacing w:after="0" w:line="246" w:lineRule="auto"/>
        <w:tabs>
          <w:tab w:leader="none" w:pos="101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65"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92"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71"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56"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60"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62" w:lineRule="exact"/>
        <w:rPr>
          <w:rFonts w:ascii="Times New Roman" w:cs="Times New Roman" w:eastAsia="Times New Roman" w:hAnsi="Times New Roman"/>
          <w:sz w:val="20"/>
          <w:szCs w:val="20"/>
          <w:b w:val="1"/>
          <w:bCs w:val="1"/>
          <w:color w:val="auto"/>
        </w:rPr>
      </w:pPr>
    </w:p>
    <w:p>
      <w:pPr>
        <w:ind w:right="20" w:firstLine="757"/>
        <w:spacing w:after="0" w:line="273" w:lineRule="auto"/>
        <w:tabs>
          <w:tab w:leader="none" w:pos="1018"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7" w:name="page158"/>
    <w:bookmarkEnd w:id="157"/>
    <w:p>
      <w:pPr>
        <w:jc w:val="both"/>
        <w:spacing w:after="0" w:line="254" w:lineRule="auto"/>
        <w:rPr>
          <w:sz w:val="20"/>
          <w:szCs w:val="20"/>
          <w:color w:val="auto"/>
        </w:rPr>
      </w:pPr>
      <w:r>
        <w:rPr>
          <w:rFonts w:ascii="Times New Roman" w:cs="Times New Roman" w:eastAsia="Times New Roman" w:hAnsi="Times New Roman"/>
          <w:sz w:val="20"/>
          <w:szCs w:val="20"/>
          <w:color w:val="auto"/>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57"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19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72"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49"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w:t>
      </w:r>
    </w:p>
    <w:p>
      <w:pPr>
        <w:spacing w:after="0" w:line="172"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19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42"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0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ind w:left="400" w:hanging="392"/>
        <w:spacing w:after="0"/>
        <w:tabs>
          <w:tab w:leader="none" w:pos="40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206"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32" w:lineRule="exact"/>
        <w:rPr>
          <w:sz w:val="20"/>
          <w:szCs w:val="20"/>
          <w:color w:val="auto"/>
        </w:rPr>
      </w:pPr>
    </w:p>
    <w:p>
      <w:pPr>
        <w:jc w:val="center"/>
        <w:ind w:right="-19"/>
        <w:spacing w:after="0"/>
        <w:tabs>
          <w:tab w:leader="none" w:pos="280" w:val="left"/>
          <w:tab w:leader="none" w:pos="280" w:val="left"/>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pruce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iosciences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Spruce Biosciences,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Spruce Biosciences,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2514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1365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9">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2032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0">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1278890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-10795</wp:posOffset>
            </wp:positionV>
            <wp:extent cx="1987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2">
                      <a:extLst>
                        <a:ext uri="{28A0092B-C50C-407E-A947-70E740481C1C}"/>
                      </a:extLst>
                    </a:blip>
                    <a:srcRect/>
                    <a:stretch>
                      <a:fillRect/>
                    </a:stretch>
                  </pic:blipFill>
                  <pic:spPr bwMode="auto">
                    <a:xfrm>
                      <a:off x="0" y="0"/>
                      <a:ext cx="198755"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0" w:name="page161"/>
    <w:bookmarkEnd w:id="1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lowerRoman"/>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lowerRoman"/>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lowerRoman"/>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1."/>
      <w:numFmt w:val="decimal"/>
      <w:start w:val="5"/>
    </w:lvl>
    <w:lvl w:ilvl="1">
      <w:lvlJc w:val="left"/>
      <w:lvlText w:val="*"/>
      <w:numFmt w:val="bullet"/>
      <w:start w:val="1"/>
    </w:lvl>
  </w:abstractNum>
  <w:abstractNum w:abstractNumId="48">
    <w:nsid w:val="47398C89"/>
    <w:multiLevelType w:val="hybridMultilevel"/>
    <w:lvl w:ilvl="0">
      <w:lvlJc w:val="left"/>
      <w:lvlText w:val="%1)"/>
      <w:numFmt w:val="lowerLetter"/>
      <w:start w:val="1"/>
    </w:lvl>
    <w:lvl w:ilvl="1">
      <w:lvlJc w:val="left"/>
      <w:lvlText w:val="%2."/>
      <w:numFmt w:val="decimal"/>
      <w:start w:val="1"/>
    </w:lvl>
  </w:abstractNum>
  <w:abstractNum w:abstractNumId="49">
    <w:nsid w:val="354FE9F9"/>
    <w:multiLevelType w:val="hybridMultilevel"/>
    <w:lvl w:ilvl="0">
      <w:lvlJc w:val="left"/>
      <w:lvlText w:val="+"/>
      <w:numFmt w:val="bullet"/>
      <w:start w:val="1"/>
    </w:lvl>
    <w:lvl w:ilvl="1">
      <w:lvlJc w:val="left"/>
      <w:lvlText w:val="%2"/>
      <w:numFmt w:val="decimal"/>
      <w:start w:val="104"/>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1"/>
    </w:lvl>
    <w:lvl w:ilvl="1">
      <w:lvlJc w:val="left"/>
      <w:lvlText w:val="(%2)"/>
      <w:numFmt w:val="lowerLetter"/>
      <w:start w:val="1"/>
    </w:lvl>
  </w:abstractNum>
  <w:abstractNum w:abstractNumId="54">
    <w:nsid w:val="3F6AB60F"/>
    <w:multiLevelType w:val="hybridMultilevel"/>
    <w:lvl w:ilvl="0">
      <w:lvlJc w:val="left"/>
      <w:lvlText w:val="%1."/>
      <w:numFmt w:val="decimal"/>
      <w:start w:val="1"/>
    </w:lvl>
    <w:lvl w:ilvl="1">
      <w:lvlJc w:val="left"/>
      <w:lvlText w:val="(%2)"/>
      <w:numFmt w:val="lowerLetter"/>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1."/>
      <w:numFmt w:val="decimal"/>
      <w:start w:val="3"/>
    </w:lvl>
  </w:abstractNum>
  <w:abstractNum w:abstractNumId="60">
    <w:nsid w:val="5FF87E05"/>
    <w:multiLevelType w:val="hybridMultilevel"/>
    <w:lvl w:ilvl="0">
      <w:lvlJc w:val="left"/>
      <w:lvlText w:val="%1."/>
      <w:numFmt w:val="decimal"/>
      <w:start w:val="4"/>
    </w:lvl>
    <w:lvl w:ilvl="1">
      <w:lvlJc w:val="left"/>
      <w:lvlText w:val="(%2)"/>
      <w:numFmt w:val="lowerLetter"/>
      <w:start w:val="1"/>
    </w:lvl>
  </w:abstractNum>
  <w:abstractNum w:abstractNumId="61">
    <w:nsid w:val="2F305DEF"/>
    <w:multiLevelType w:val="hybridMultilevel"/>
    <w:lvl w:ilvl="0">
      <w:lvlJc w:val="left"/>
      <w:lvlText w:val="(%1)"/>
      <w:numFmt w:val="lowerLetter"/>
      <w:start w:val="2"/>
    </w:lvl>
    <w:lvl w:ilvl="1">
      <w:lvlJc w:val="left"/>
      <w:lvlText w:val="(%2)"/>
      <w:numFmt w:val="lowerRoman"/>
      <w:start w:val="1"/>
    </w:lvl>
  </w:abstractNum>
  <w:abstractNum w:abstractNumId="62">
    <w:nsid w:val="25A70BF7"/>
    <w:multiLevelType w:val="hybridMultilevel"/>
    <w:lvl w:ilvl="0">
      <w:lvlJc w:val="left"/>
      <w:lvlText w:val="%1."/>
      <w:numFmt w:val="decimal"/>
      <w:start w:val="5"/>
    </w:lvl>
  </w:abstractNum>
  <w:abstractNum w:abstractNumId="63">
    <w:nsid w:val="1DBABF00"/>
    <w:multiLevelType w:val="hybridMultilevel"/>
    <w:lvl w:ilvl="0">
      <w:lvlJc w:val="left"/>
      <w:lvlText w:val="%1."/>
      <w:numFmt w:val="decimal"/>
      <w:start w:val="6"/>
    </w:lvl>
  </w:abstractNum>
  <w:abstractNum w:abstractNumId="64">
    <w:nsid w:val="4AD084E9"/>
    <w:multiLevelType w:val="hybridMultilevel"/>
    <w:lvl w:ilvl="0">
      <w:lvlJc w:val="left"/>
      <w:lvlText w:val="%1."/>
      <w:numFmt w:val="decimal"/>
      <w:start w:val="7"/>
    </w:lvl>
  </w:abstractNum>
  <w:abstractNum w:abstractNumId="65">
    <w:nsid w:val="1F48EAA1"/>
    <w:multiLevelType w:val="hybridMultilevel"/>
    <w:lvl w:ilvl="0">
      <w:lvlJc w:val="left"/>
      <w:lvlText w:val="%1."/>
      <w:numFmt w:val="decimal"/>
      <w:start w:val="8"/>
    </w:lvl>
  </w:abstractNum>
  <w:abstractNum w:abstractNumId="66">
    <w:nsid w:val="1381823A"/>
    <w:multiLevelType w:val="hybridMultilevel"/>
    <w:lvl w:ilvl="0">
      <w:lvlJc w:val="left"/>
      <w:lvlText w:val="%1."/>
      <w:numFmt w:val="decimal"/>
      <w:start w:val="9"/>
    </w:lvl>
  </w:abstractNum>
  <w:abstractNum w:abstractNumId="67">
    <w:nsid w:val="5DB70AE5"/>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1"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6" Type="http://schemas.openxmlformats.org/officeDocument/2006/relationships/image" Target="media/image463.png"/><Relationship Id="rId487" Type="http://schemas.openxmlformats.org/officeDocument/2006/relationships/image" Target="media/image464.png"/><Relationship Id="rId488"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6" Type="http://schemas.openxmlformats.org/officeDocument/2006/relationships/image" Target="media/image470.png"/><Relationship Id="rId498" Type="http://schemas.openxmlformats.org/officeDocument/2006/relationships/image" Target="media/image471.png"/><Relationship Id="rId499"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4" Type="http://schemas.openxmlformats.org/officeDocument/2006/relationships/image" Target="media/image475.png"/><Relationship Id="rId505"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10" Type="http://schemas.openxmlformats.org/officeDocument/2006/relationships/image" Target="media/image479.png"/><Relationship Id="rId511"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5" Type="http://schemas.openxmlformats.org/officeDocument/2006/relationships/image" Target="media/image489.png"/><Relationship Id="rId526" Type="http://schemas.openxmlformats.org/officeDocument/2006/relationships/image" Target="media/image490.png"/><Relationship Id="rId528" Type="http://schemas.openxmlformats.org/officeDocument/2006/relationships/image" Target="media/image491.png"/><Relationship Id="rId529" Type="http://schemas.openxmlformats.org/officeDocument/2006/relationships/image" Target="media/image492.png"/><Relationship Id="rId531" Type="http://schemas.openxmlformats.org/officeDocument/2006/relationships/image" Target="media/image493.png"/><Relationship Id="rId532" Type="http://schemas.openxmlformats.org/officeDocument/2006/relationships/image" Target="media/image494.png"/><Relationship Id="rId533" Type="http://schemas.openxmlformats.org/officeDocument/2006/relationships/image" Target="media/image495.png"/><Relationship Id="rId535" Type="http://schemas.openxmlformats.org/officeDocument/2006/relationships/image" Target="media/image496.png"/><Relationship Id="rId536"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4" Type="http://schemas.openxmlformats.org/officeDocument/2006/relationships/image" Target="media/image501.png"/><Relationship Id="rId545" Type="http://schemas.openxmlformats.org/officeDocument/2006/relationships/image" Target="media/image502.png"/><Relationship Id="rId546" Type="http://schemas.openxmlformats.org/officeDocument/2006/relationships/image" Target="media/image503.png"/><Relationship Id="rId547" Type="http://schemas.openxmlformats.org/officeDocument/2006/relationships/image" Target="media/image504.png"/><Relationship Id="rId548" Type="http://schemas.openxmlformats.org/officeDocument/2006/relationships/image" Target="media/image505.png"/><Relationship Id="rId549" Type="http://schemas.openxmlformats.org/officeDocument/2006/relationships/image" Target="media/image506.png"/><Relationship Id="rId550" Type="http://schemas.openxmlformats.org/officeDocument/2006/relationships/image" Target="media/image507.png"/><Relationship Id="rId551" Type="http://schemas.openxmlformats.org/officeDocument/2006/relationships/image" Target="media/image508.png"/><Relationship Id="rId552" Type="http://schemas.openxmlformats.org/officeDocument/2006/relationships/image" Target="media/image509.png"/><Relationship Id="rId553" Type="http://schemas.openxmlformats.org/officeDocument/2006/relationships/image" Target="media/image510.png"/><Relationship Id="rId554" Type="http://schemas.openxmlformats.org/officeDocument/2006/relationships/image" Target="media/image511.png"/><Relationship Id="rId555" Type="http://schemas.openxmlformats.org/officeDocument/2006/relationships/image" Target="media/image512.png"/><Relationship Id="rId556" Type="http://schemas.openxmlformats.org/officeDocument/2006/relationships/image" Target="media/image513.png"/><Relationship Id="rId557" Type="http://schemas.openxmlformats.org/officeDocument/2006/relationships/image" Target="media/image514.png"/><Relationship Id="rId558" Type="http://schemas.openxmlformats.org/officeDocument/2006/relationships/image" Target="media/image515.png"/><Relationship Id="rId559" Type="http://schemas.openxmlformats.org/officeDocument/2006/relationships/image" Target="media/image516.png"/><Relationship Id="rId560" Type="http://schemas.openxmlformats.org/officeDocument/2006/relationships/image" Target="media/image517.png"/><Relationship Id="rId561" Type="http://schemas.openxmlformats.org/officeDocument/2006/relationships/image" Target="media/image518.png"/><Relationship Id="rId562" Type="http://schemas.openxmlformats.org/officeDocument/2006/relationships/image" Target="media/image519.png"/><Relationship Id="rId563" Type="http://schemas.openxmlformats.org/officeDocument/2006/relationships/image" Target="media/image520.png"/><Relationship Id="rId564" Type="http://schemas.openxmlformats.org/officeDocument/2006/relationships/image" Target="media/image521.png"/><Relationship Id="rId565" Type="http://schemas.openxmlformats.org/officeDocument/2006/relationships/image" Target="media/image522.png"/><Relationship Id="rId566" Type="http://schemas.openxmlformats.org/officeDocument/2006/relationships/image" Target="media/image523.png"/><Relationship Id="rId567" Type="http://schemas.openxmlformats.org/officeDocument/2006/relationships/image" Target="media/image524.png"/><Relationship Id="rId568" Type="http://schemas.openxmlformats.org/officeDocument/2006/relationships/image" Target="media/image525.png"/><Relationship Id="rId569" Type="http://schemas.openxmlformats.org/officeDocument/2006/relationships/image" Target="media/image526.png"/><Relationship Id="rId570" Type="http://schemas.openxmlformats.org/officeDocument/2006/relationships/image" Target="media/image527.png"/><Relationship Id="rId571" Type="http://schemas.openxmlformats.org/officeDocument/2006/relationships/image" Target="media/image528.png"/><Relationship Id="rId572" Type="http://schemas.openxmlformats.org/officeDocument/2006/relationships/image" Target="media/image529.png"/><Relationship Id="rId573" Type="http://schemas.openxmlformats.org/officeDocument/2006/relationships/image" Target="media/image530.png"/><Relationship Id="rId574" Type="http://schemas.openxmlformats.org/officeDocument/2006/relationships/image" Target="media/image531.png"/><Relationship Id="rId575" Type="http://schemas.openxmlformats.org/officeDocument/2006/relationships/image" Target="media/image532.png"/><Relationship Id="rId576" Type="http://schemas.openxmlformats.org/officeDocument/2006/relationships/image" Target="media/image533.png"/><Relationship Id="rId577" Type="http://schemas.openxmlformats.org/officeDocument/2006/relationships/image" Target="media/image534.png"/><Relationship Id="rId578" Type="http://schemas.openxmlformats.org/officeDocument/2006/relationships/image" Target="media/image535.png"/><Relationship Id="rId579" Type="http://schemas.openxmlformats.org/officeDocument/2006/relationships/image" Target="media/image536.png"/><Relationship Id="rId580" Type="http://schemas.openxmlformats.org/officeDocument/2006/relationships/image" Target="media/image537.png"/><Relationship Id="rId581" Type="http://schemas.openxmlformats.org/officeDocument/2006/relationships/image" Target="media/image538.png"/><Relationship Id="rId582" Type="http://schemas.openxmlformats.org/officeDocument/2006/relationships/image" Target="media/image539.png"/><Relationship Id="rId464" Type="http://schemas.openxmlformats.org/officeDocument/2006/relationships/hyperlink" Target="https://www.sec.gov/Archives/edgar/data/0001683553/000119312520269344/d12372dex31.htm" TargetMode="External"/><Relationship Id="rId465" Type="http://schemas.openxmlformats.org/officeDocument/2006/relationships/hyperlink" Target="https://www.sec.gov/Archives/edgar/data/0001683553/000119312520269344/d12372dex32.htm" TargetMode="External"/><Relationship Id="rId466" Type="http://schemas.openxmlformats.org/officeDocument/2006/relationships/hyperlink" Target="https://www.sec.gov/Archives/edgar/data/0001683553/000119312520263195/d902020dex41.htm" TargetMode="External"/><Relationship Id="rId467" Type="http://schemas.openxmlformats.org/officeDocument/2006/relationships/hyperlink" Target="https://www.sec.gov/Archives/edgar/data/0001683553/000119312520249221/d902020dex42.htm" TargetMode="External"/><Relationship Id="rId468" Type="http://schemas.openxmlformats.org/officeDocument/2006/relationships/hyperlink" Target="https://www.sec.gov/Archives/edgar/data/1683553/000119312520249221/d902020dex43.htm" TargetMode="External"/><Relationship Id="rId469" Type="http://schemas.openxmlformats.org/officeDocument/2006/relationships/hyperlink" Target="https://www.sec.gov/Archives/edgar/data/0001683553/000156459021014593/sprb-ex44_801.htm" TargetMode="External"/><Relationship Id="rId470" Type="http://schemas.openxmlformats.org/officeDocument/2006/relationships/hyperlink" Target="https://www.sec.gov/Archives/edgar/data/1683553/000095017023002369/sprb-ex4_1.htm" TargetMode="External"/><Relationship Id="rId471" Type="http://schemas.openxmlformats.org/officeDocument/2006/relationships/hyperlink" Target="https://www.sec.gov/Archives/edgar/data/1683553/000095017023002369/sprb-ex4_2.htm" TargetMode="External"/><Relationship Id="rId472" Type="http://schemas.openxmlformats.org/officeDocument/2006/relationships/hyperlink" Target="https://www.sec.gov/Archives/edgar/data/0001683553/000119312520249221/d902020dex101.htm" TargetMode="External"/><Relationship Id="rId473" Type="http://schemas.openxmlformats.org/officeDocument/2006/relationships/hyperlink" Target="https://www.sec.gov/Archives/edgar/data/0001683553/000119312520249221/d902020dex102.htm" TargetMode="External"/><Relationship Id="rId474" Type="http://schemas.openxmlformats.org/officeDocument/2006/relationships/hyperlink" Target="https://www.sec.gov/Archives/edgar/data/1683553/000119312520263195/d902020dex103.htm" TargetMode="External"/><Relationship Id="rId475" Type="http://schemas.openxmlformats.org/officeDocument/2006/relationships/hyperlink" Target="https://www.sec.gov/Archives/edgar/data/0001683553/000119312520249221/d902020dex104.htm" TargetMode="External"/><Relationship Id="rId476" Type="http://schemas.openxmlformats.org/officeDocument/2006/relationships/hyperlink" Target="https://www.sec.gov/Archives/edgar/data/1683553/000095017023008456/sprb-ex10_5.htm" TargetMode="External"/><Relationship Id="rId480" Type="http://schemas.openxmlformats.org/officeDocument/2006/relationships/hyperlink" Target="https://www.sec.gov/Archives/edgar/data/1683553/000119312520263195/d902020dex105.htm" TargetMode="External"/><Relationship Id="rId482" Type="http://schemas.openxmlformats.org/officeDocument/2006/relationships/hyperlink" Target="https://www.sec.gov/Archives/edgar/data/1683553/000156459021014593/sprb-ex106_1193.htm" TargetMode="External"/><Relationship Id="rId485" Type="http://schemas.openxmlformats.org/officeDocument/2006/relationships/hyperlink" Target="https://www.sec.gov/Archives/edgar/data/1683553/000156459022000432/sprb-ex102_6.htm" TargetMode="External"/><Relationship Id="rId489" Type="http://schemas.openxmlformats.org/officeDocument/2006/relationships/hyperlink" Target="https://www.sec.gov/Archives/edgar/data/1683553/000095017022009335/sprb-ex10_7.htm" TargetMode="External"/><Relationship Id="rId492" Type="http://schemas.openxmlformats.org/officeDocument/2006/relationships/hyperlink" Target="https://www.sec.gov/Archives/edgar/data/0001683553/000119312520249221/d902020dex107.htm" TargetMode="External"/><Relationship Id="rId495" Type="http://schemas.openxmlformats.org/officeDocument/2006/relationships/hyperlink" Target="https://www.sec.gov/Archives/edgar/data/0001683553/000119312520249221/d902020dex109.htm" TargetMode="External"/><Relationship Id="rId497" Type="http://schemas.openxmlformats.org/officeDocument/2006/relationships/hyperlink" Target="https://www.sec.gov/Archives/edgar/data/0001683553/000119312520249221/d902020dex1016.htm" TargetMode="External"/><Relationship Id="rId500" Type="http://schemas.openxmlformats.org/officeDocument/2006/relationships/hyperlink" Target="https://www.sec.gov/Archives/edgar/data/0001683553/000119312520249221/d902020dex1017.htm" TargetMode="External"/><Relationship Id="rId503" Type="http://schemas.openxmlformats.org/officeDocument/2006/relationships/hyperlink" Target="https://www.sec.gov/Archives/edgar/data/0001683553/000119312520249221/d902020dex1018.htm" TargetMode="External"/><Relationship Id="rId506" Type="http://schemas.openxmlformats.org/officeDocument/2006/relationships/hyperlink" Target="https://www.sec.gov/Archives/edgar/data/0001683553/000119312520249221/d902020dex1019.htm" TargetMode="External"/><Relationship Id="rId509" Type="http://schemas.openxmlformats.org/officeDocument/2006/relationships/hyperlink" Target="https://www.sec.gov/Archives/edgar/data/0001683553/000119312520249221/d902020dex1020.htm" TargetMode="External"/><Relationship Id="rId512" Type="http://schemas.openxmlformats.org/officeDocument/2006/relationships/hyperlink" Target="https://www.sec.gov/Archives/edgar/data/1683553/000156459022000432/sprb-ex101_7.htm" TargetMode="External"/><Relationship Id="rId515" Type="http://schemas.openxmlformats.org/officeDocument/2006/relationships/hyperlink" Target="https://www.sec.gov/Archives/edgar/data/1683553/000095017022005528/sprb-ex10_1.htm" TargetMode="External"/><Relationship Id="rId518" Type="http://schemas.openxmlformats.org/officeDocument/2006/relationships/hyperlink" Target="https://www.sec.gov/Archives/edgar/data/0001683553/000119312520249221/d902020dex1022.htm" TargetMode="External"/><Relationship Id="rId521" Type="http://schemas.openxmlformats.org/officeDocument/2006/relationships/hyperlink" Target="https://www.sec.gov/Archives/edgar/data/0001683553/000119312520249221/d902020dex1023.htm" TargetMode="External"/><Relationship Id="rId524" Type="http://schemas.openxmlformats.org/officeDocument/2006/relationships/hyperlink" Target="https://www.sec.gov/Archives/edgar/data/0001683553/000156459021014593/sprb-ex1019_1101.htm" TargetMode="External"/><Relationship Id="rId527" Type="http://schemas.openxmlformats.org/officeDocument/2006/relationships/hyperlink" Target="https://www.sec.gov/Archives/edgar/data/1683553/000095017022009335/sprb-ex10_8.htm" TargetMode="External"/><Relationship Id="rId530" Type="http://schemas.openxmlformats.org/officeDocument/2006/relationships/hyperlink" Target="https://www.sec.gov/Archives/edgar/data/1683553/000095017022003582/sprb-ex10_22.htm" TargetMode="External"/><Relationship Id="rId534" Type="http://schemas.openxmlformats.org/officeDocument/2006/relationships/hyperlink" Target="https://www.sec.gov/Archives/edgar/data/1683553/000095017022003582/sprb-ex10_23.htm" TargetMode="External"/><Relationship Id="rId537" Type="http://schemas.openxmlformats.org/officeDocument/2006/relationships/hyperlink" Target="https://www.sec.gov/Archives/edgar/data/1683553/000095017022003582/sprb-ex10_24.htm" TargetMode="External"/><Relationship Id="rId541" Type="http://schemas.openxmlformats.org/officeDocument/2006/relationships/hyperlink" Target="https://www.sec.gov/Archives/edgar/data/1683553/000095017022026009/sprb-ex10_1.htm" TargetMode="External"/><Relationship Id="rId542" Type="http://schemas.openxmlformats.org/officeDocument/2006/relationships/hyperlink" Target="https://www.sec.gov/Archives/edgar/data/1683553/000095017023008456/sprb-ex10_27.htm" TargetMode="External"/><Relationship Id="rId543" Type="http://schemas.openxmlformats.org/officeDocument/2006/relationships/hyperlink" Target="https://www.sec.gov/Archives/edgar/data/1683553/000095017023002369/sprb-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2024-03-18T15:19:04Z</dcterms:created>
  <dcterms:modified xsi:type="dcterms:W3CDTF">2024-03-18T15:19:04Z</dcterms:modified>
</cp:coreProperties>
</file>